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116"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SCHEDULE 14A</w:t>
      </w:r>
    </w:p>
    <w:p>
      <w:pPr>
        <w:spacing w:after="0" w:line="160"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(Rule 14a-101)</w:t>
      </w:r>
    </w:p>
    <w:p>
      <w:pPr>
        <w:spacing w:after="0" w:line="141" w:lineRule="exact"/>
        <w:rPr>
          <w:sz w:val="24"/>
          <w:szCs w:val="24"/>
          <w:color w:val="auto"/>
        </w:rPr>
      </w:pPr>
    </w:p>
    <w:p>
      <w:pPr>
        <w:jc w:val="center"/>
        <w:ind w:right="-1220"/>
        <w:spacing w:after="0"/>
        <w:rPr>
          <w:sz w:val="20"/>
          <w:szCs w:val="20"/>
          <w:color w:val="auto"/>
        </w:rPr>
      </w:pPr>
      <w:r>
        <w:rPr>
          <w:rFonts w:ascii="Arial" w:cs="Arial" w:eastAsia="Arial" w:hAnsi="Arial"/>
          <w:sz w:val="11"/>
          <w:szCs w:val="11"/>
          <w:b w:val="1"/>
          <w:bCs w:val="1"/>
          <w:color w:val="auto"/>
        </w:rPr>
        <w:t>INFORMATION REQUIRED IN PROXY STATEMENT</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SCHEDULE 14A INFORMATION</w:t>
      </w:r>
    </w:p>
    <w:p>
      <w:pPr>
        <w:sectPr>
          <w:pgSz w:w="11900" w:h="16838" w:orient="portrait"/>
          <w:cols w:equalWidth="0" w:num="1">
            <w:col w:w="10239"/>
          </w:cols>
          <w:pgMar w:left="220" w:top="520" w:right="1440" w:bottom="1440" w:gutter="0" w:footer="0" w:header="0"/>
        </w:sectPr>
      </w:pPr>
    </w:p>
    <w:p>
      <w:pPr>
        <w:spacing w:after="0" w:line="141"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Proxy Statement Pursuant to Section 14(a) of</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1"/>
          <w:szCs w:val="11"/>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113" w:lineRule="exact"/>
        <w:rPr>
          <w:sz w:val="24"/>
          <w:szCs w:val="24"/>
          <w:color w:val="auto"/>
        </w:rPr>
      </w:pPr>
    </w:p>
    <w:p>
      <w:pPr>
        <w:sectPr>
          <w:pgSz w:w="11900" w:h="16838" w:orient="portrait"/>
          <w:cols w:equalWidth="0" w:num="2">
            <w:col w:w="6960" w:space="320"/>
            <w:col w:w="2959"/>
          </w:cols>
          <w:pgMar w:left="220" w:top="520" w:right="1440" w:bottom="1440" w:gutter="0" w:footer="0" w:header="0"/>
          <w:type w:val="continuous"/>
        </w:sectPr>
      </w:pPr>
    </w:p>
    <w:p>
      <w:pPr>
        <w:ind w:left="114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189" w:lineRule="exact"/>
        <w:rPr>
          <w:sz w:val="24"/>
          <w:szCs w:val="24"/>
          <w:color w:val="auto"/>
        </w:rPr>
      </w:pPr>
    </w:p>
    <w:p>
      <w:pPr>
        <w:ind w:left="1140"/>
        <w:spacing w:after="0"/>
        <w:rPr>
          <w:sz w:val="20"/>
          <w:szCs w:val="20"/>
          <w:color w:val="auto"/>
        </w:rPr>
      </w:pPr>
      <w:r>
        <w:rPr>
          <w:rFonts w:ascii="Arial" w:cs="Arial" w:eastAsia="Arial" w:hAnsi="Arial"/>
          <w:sz w:val="12"/>
          <w:szCs w:val="12"/>
          <w:color w:val="auto"/>
        </w:rPr>
        <w:t>Filed by a Party other than the Registrant o</w:t>
      </w:r>
    </w:p>
    <w:p>
      <w:pPr>
        <w:spacing w:after="0" w:line="150" w:lineRule="exact"/>
        <w:rPr>
          <w:sz w:val="24"/>
          <w:szCs w:val="24"/>
          <w:color w:val="auto"/>
        </w:rPr>
      </w:pPr>
    </w:p>
    <w:p>
      <w:pPr>
        <w:ind w:left="1140"/>
        <w:spacing w:after="0"/>
        <w:rPr>
          <w:sz w:val="20"/>
          <w:szCs w:val="20"/>
          <w:color w:val="auto"/>
        </w:rPr>
      </w:pPr>
      <w:r>
        <w:rPr>
          <w:rFonts w:ascii="Arial" w:cs="Arial" w:eastAsia="Arial" w:hAnsi="Arial"/>
          <w:sz w:val="12"/>
          <w:szCs w:val="12"/>
          <w:color w:val="auto"/>
        </w:rPr>
        <w:t>Check the appropriate box:</w:t>
      </w:r>
    </w:p>
    <w:p>
      <w:pPr>
        <w:spacing w:after="0" w:line="159" w:lineRule="exact"/>
        <w:rPr>
          <w:sz w:val="24"/>
          <w:szCs w:val="24"/>
          <w:color w:val="auto"/>
        </w:rPr>
      </w:pPr>
    </w:p>
    <w:p>
      <w:pPr>
        <w:ind w:left="1400" w:hanging="260"/>
        <w:spacing w:after="0"/>
        <w:tabs>
          <w:tab w:leader="none" w:pos="140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154" w:lineRule="exact"/>
        <w:rPr>
          <w:rFonts w:ascii="Arial" w:cs="Arial" w:eastAsia="Arial" w:hAnsi="Arial"/>
          <w:sz w:val="12"/>
          <w:szCs w:val="12"/>
          <w:color w:val="auto"/>
        </w:rPr>
      </w:pPr>
    </w:p>
    <w:p>
      <w:pPr>
        <w:ind w:left="1400" w:hanging="260"/>
        <w:spacing w:after="0"/>
        <w:tabs>
          <w:tab w:leader="none" w:pos="140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82" w:lineRule="exact"/>
        <w:rPr>
          <w:sz w:val="24"/>
          <w:szCs w:val="24"/>
          <w:color w:val="auto"/>
        </w:rPr>
      </w:pPr>
    </w:p>
    <w:p>
      <w:pPr>
        <w:ind w:left="1400" w:hanging="260"/>
        <w:spacing w:after="0"/>
        <w:tabs>
          <w:tab w:leader="none" w:pos="14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68" w:lineRule="exact"/>
        <w:rPr>
          <w:sz w:val="24"/>
          <w:szCs w:val="24"/>
          <w:color w:val="auto"/>
        </w:rPr>
      </w:pPr>
    </w:p>
    <w:p>
      <w:pPr>
        <w:ind w:left="1400" w:hanging="260"/>
        <w:spacing w:after="0"/>
        <w:tabs>
          <w:tab w:leader="none" w:pos="1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168" w:lineRule="exact"/>
        <w:rPr>
          <w:rFonts w:ascii="Arial" w:cs="Arial" w:eastAsia="Arial" w:hAnsi="Arial"/>
          <w:sz w:val="12"/>
          <w:szCs w:val="12"/>
          <w:color w:val="auto"/>
        </w:rPr>
      </w:pPr>
    </w:p>
    <w:p>
      <w:pPr>
        <w:ind w:left="1400" w:hanging="260"/>
        <w:spacing w:after="0"/>
        <w:tabs>
          <w:tab w:leader="none" w:pos="1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Soliciting Material under §240.14a-12</w:t>
      </w:r>
    </w:p>
    <w:p>
      <w:pPr>
        <w:spacing w:after="0" w:line="200" w:lineRule="exact"/>
        <w:rPr>
          <w:sz w:val="24"/>
          <w:szCs w:val="24"/>
          <w:color w:val="auto"/>
        </w:rPr>
      </w:pPr>
    </w:p>
    <w:p>
      <w:pPr>
        <w:spacing w:after="0" w:line="215" w:lineRule="exact"/>
        <w:rPr>
          <w:sz w:val="24"/>
          <w:szCs w:val="24"/>
          <w:color w:val="auto"/>
        </w:rPr>
      </w:pPr>
    </w:p>
    <w:p>
      <w:pPr>
        <w:jc w:val="center"/>
        <w:ind w:right="-1240"/>
        <w:spacing w:after="0"/>
        <w:rPr>
          <w:sz w:val="20"/>
          <w:szCs w:val="20"/>
          <w:color w:val="auto"/>
        </w:rPr>
      </w:pPr>
      <w:r>
        <w:rPr>
          <w:rFonts w:ascii="Arial" w:cs="Arial" w:eastAsia="Arial" w:hAnsi="Arial"/>
          <w:sz w:val="12"/>
          <w:szCs w:val="1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45720</wp:posOffset>
            </wp:positionV>
            <wp:extent cx="58451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5175" cy="5715"/>
                    </a:xfrm>
                    <a:prstGeom prst="rect">
                      <a:avLst/>
                    </a:prstGeom>
                    <a:noFill/>
                  </pic:spPr>
                </pic:pic>
              </a:graphicData>
            </a:graphic>
          </wp:anchor>
        </w:drawing>
      </w:r>
    </w:p>
    <w:p>
      <w:pPr>
        <w:spacing w:after="0" w:line="117" w:lineRule="exact"/>
        <w:rPr>
          <w:sz w:val="24"/>
          <w:szCs w:val="24"/>
          <w:color w:val="auto"/>
        </w:rPr>
      </w:pPr>
    </w:p>
    <w:p>
      <w:pPr>
        <w:jc w:val="center"/>
        <w:ind w:right="-1240"/>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225425</wp:posOffset>
            </wp:positionV>
            <wp:extent cx="58451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5175" cy="5715"/>
                    </a:xfrm>
                    <a:prstGeom prst="rect">
                      <a:avLst/>
                    </a:prstGeom>
                    <a:noFill/>
                  </pic:spPr>
                </pic:pic>
              </a:graphicData>
            </a:graphic>
          </wp:anchor>
        </w:drawing>
      </w:r>
    </w:p>
    <w:p>
      <w:pPr>
        <w:spacing w:after="0" w:line="400" w:lineRule="exact"/>
        <w:rPr>
          <w:sz w:val="24"/>
          <w:szCs w:val="24"/>
          <w:color w:val="auto"/>
        </w:rPr>
      </w:pPr>
    </w:p>
    <w:p>
      <w:pPr>
        <w:ind w:left="388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32" w:lineRule="exact"/>
        <w:rPr>
          <w:sz w:val="24"/>
          <w:szCs w:val="24"/>
          <w:color w:val="auto"/>
        </w:rPr>
      </w:pPr>
    </w:p>
    <w:p>
      <w:pPr>
        <w:ind w:left="1140"/>
        <w:spacing w:after="0"/>
        <w:rPr>
          <w:sz w:val="20"/>
          <w:szCs w:val="20"/>
          <w:color w:val="auto"/>
        </w:rPr>
      </w:pPr>
      <w:r>
        <w:rPr>
          <w:rFonts w:ascii="Arial" w:cs="Arial" w:eastAsia="Arial" w:hAnsi="Arial"/>
          <w:sz w:val="12"/>
          <w:szCs w:val="12"/>
          <w:color w:val="auto"/>
        </w:rPr>
        <w:t>Payment of Filing Fee (Check the appropriate box):</w:t>
      </w:r>
    </w:p>
    <w:p>
      <w:pPr>
        <w:spacing w:after="0" w:line="159" w:lineRule="exact"/>
        <w:rPr>
          <w:sz w:val="24"/>
          <w:szCs w:val="24"/>
          <w:color w:val="auto"/>
        </w:rPr>
      </w:pPr>
    </w:p>
    <w:p>
      <w:pPr>
        <w:ind w:left="1400" w:hanging="260"/>
        <w:spacing w:after="0"/>
        <w:tabs>
          <w:tab w:leader="none" w:pos="140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68" w:lineRule="exact"/>
        <w:rPr>
          <w:sz w:val="24"/>
          <w:szCs w:val="24"/>
          <w:color w:val="auto"/>
        </w:rPr>
      </w:pPr>
    </w:p>
    <w:p>
      <w:pPr>
        <w:ind w:left="1400" w:hanging="260"/>
        <w:spacing w:after="0"/>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6"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68"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68" w:lineRule="exact"/>
        <w:rPr>
          <w:rFonts w:ascii="Arial" w:cs="Arial" w:eastAsia="Arial" w:hAnsi="Arial"/>
          <w:sz w:val="12"/>
          <w:szCs w:val="12"/>
          <w:color w:val="auto"/>
        </w:rPr>
      </w:pPr>
    </w:p>
    <w:p>
      <w:pPr>
        <w:ind w:left="1680" w:right="159" w:hanging="278"/>
        <w:spacing w:after="0" w:line="239" w:lineRule="auto"/>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66"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68"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330" w:lineRule="exact"/>
        <w:rPr>
          <w:rFonts w:ascii="Arial" w:cs="Arial" w:eastAsia="Arial" w:hAnsi="Arial"/>
          <w:sz w:val="12"/>
          <w:szCs w:val="12"/>
          <w:color w:val="auto"/>
        </w:rPr>
      </w:pPr>
    </w:p>
    <w:p>
      <w:pPr>
        <w:ind w:left="1400" w:hanging="260"/>
        <w:spacing w:after="0"/>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168" w:lineRule="exact"/>
        <w:rPr>
          <w:rFonts w:ascii="Arial" w:cs="Arial" w:eastAsia="Arial" w:hAnsi="Arial"/>
          <w:sz w:val="12"/>
          <w:szCs w:val="12"/>
          <w:color w:val="auto"/>
        </w:rPr>
      </w:pPr>
    </w:p>
    <w:p>
      <w:pPr>
        <w:ind w:left="1400" w:right="219" w:hanging="260"/>
        <w:spacing w:after="0" w:line="239" w:lineRule="auto"/>
        <w:tabs>
          <w:tab w:leader="none" w:pos="1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68"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68"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68" w:lineRule="exact"/>
        <w:rPr>
          <w:rFonts w:ascii="Arial" w:cs="Arial" w:eastAsia="Arial" w:hAnsi="Arial"/>
          <w:sz w:val="12"/>
          <w:szCs w:val="12"/>
          <w:color w:val="auto"/>
        </w:rPr>
      </w:pPr>
    </w:p>
    <w:p>
      <w:pPr>
        <w:ind w:left="1680" w:hanging="278"/>
        <w:spacing w:after="0"/>
        <w:tabs>
          <w:tab w:leader="none" w:pos="168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147955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-2113280</wp:posOffset>
            </wp:positionV>
            <wp:extent cx="54851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-1918335</wp:posOffset>
            </wp:positionV>
            <wp:extent cx="54851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-1638300</wp:posOffset>
            </wp:positionV>
            <wp:extent cx="54851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-1443990</wp:posOffset>
            </wp:positionV>
            <wp:extent cx="54851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-1249680</wp:posOffset>
            </wp:positionV>
            <wp:extent cx="54851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-483235</wp:posOffset>
            </wp:positionV>
            <wp:extent cx="548513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-288290</wp:posOffset>
            </wp:positionV>
            <wp:extent cx="548513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-93980</wp:posOffset>
            </wp:positionV>
            <wp:extent cx="54851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5130" cy="5715"/>
                    </a:xfrm>
                    <a:prstGeom prst="rect">
                      <a:avLst/>
                    </a:prstGeom>
                    <a:noFill/>
                  </pic:spPr>
                </pic:pic>
              </a:graphicData>
            </a:graphic>
          </wp:anchor>
        </w:drawing>
        <w:drawing>
          <wp:anchor simplePos="0" relativeHeight="251657728" behindDoc="1" locked="0" layoutInCell="0" allowOverlap="1">
            <wp:simplePos x="0" y="0"/>
            <wp:positionH relativeFrom="column">
              <wp:posOffset>1075690</wp:posOffset>
            </wp:positionH>
            <wp:positionV relativeFrom="paragraph">
              <wp:posOffset>99695</wp:posOffset>
            </wp:positionV>
            <wp:extent cx="54851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5130" cy="5715"/>
                    </a:xfrm>
                    <a:prstGeom prst="rect">
                      <a:avLst/>
                    </a:prstGeom>
                    <a:noFill/>
                  </pic:spPr>
                </pic:pic>
              </a:graphicData>
            </a:graphic>
          </wp:anchor>
        </w:drawing>
      </w:r>
    </w:p>
    <w:p>
      <w:pPr>
        <w:sectPr>
          <w:pgSz w:w="11900" w:h="16838" w:orient="portrait"/>
          <w:cols w:equalWidth="0" w:num="1">
            <w:col w:w="10239"/>
          </w:cols>
          <w:pgMar w:left="220" w:top="520" w:right="1440" w:bottom="1440" w:gutter="0" w:footer="0" w:header="0"/>
          <w:type w:val="continuous"/>
        </w:sectPr>
      </w:pPr>
    </w:p>
    <w:bookmarkStart w:id="1" w:name="page2"/>
    <w:bookmarkEnd w:id="1"/>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5202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520255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2" w:name="page3"/>
    <w:bookmarkEnd w:id="2"/>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254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2548890"/>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299325" cy="7055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7055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MANAGEMENT LETTER TO SHAREHOLDERS</w:t>
      </w:r>
    </w:p>
    <w:p>
      <w:pPr>
        <w:spacing w:after="0" w:line="309" w:lineRule="exact"/>
        <w:rPr>
          <w:sz w:val="20"/>
          <w:szCs w:val="20"/>
          <w:color w:val="auto"/>
        </w:rPr>
      </w:pPr>
    </w:p>
    <w:p>
      <w:pPr>
        <w:ind w:left="520"/>
        <w:spacing w:after="0"/>
        <w:rPr>
          <w:sz w:val="20"/>
          <w:szCs w:val="20"/>
          <w:color w:val="auto"/>
        </w:rPr>
      </w:pPr>
      <w:r>
        <w:rPr>
          <w:rFonts w:ascii="Arial" w:cs="Arial" w:eastAsia="Arial" w:hAnsi="Arial"/>
          <w:sz w:val="22"/>
          <w:szCs w:val="22"/>
          <w:color w:val="D21C5A"/>
        </w:rPr>
        <w:t>DEAR FELLOW SHAREHOLDERS,</w:t>
      </w:r>
    </w:p>
    <w:p>
      <w:pPr>
        <w:spacing w:after="0" w:line="224" w:lineRule="exact"/>
        <w:rPr>
          <w:sz w:val="20"/>
          <w:szCs w:val="20"/>
          <w:color w:val="auto"/>
        </w:rPr>
      </w:pPr>
    </w:p>
    <w:p>
      <w:pPr>
        <w:ind w:left="520" w:right="200"/>
        <w:spacing w:after="0" w:line="237" w:lineRule="auto"/>
        <w:rPr>
          <w:sz w:val="20"/>
          <w:szCs w:val="20"/>
          <w:color w:val="auto"/>
        </w:rPr>
      </w:pPr>
      <w:r>
        <w:rPr>
          <w:rFonts w:ascii="Arial" w:cs="Arial" w:eastAsia="Arial" w:hAnsi="Arial"/>
          <w:sz w:val="12"/>
          <w:szCs w:val="12"/>
          <w:color w:val="auto"/>
        </w:rPr>
        <w:t>In 2018, we are celebrating the 30th anniversary of Regeneron's incorporation. A lot has changed since our early days, but many things remain constant, including our core mission of bringing important new medicines to people with serious diseases. We have always taken a long-term view to our business, investing in science and technology that we believe will drive innovation today and for many years to come. This investment has yielded six FDA-approved medicines and a robust, internally discovered and developed product pipeline.</w:t>
      </w:r>
    </w:p>
    <w:p>
      <w:pPr>
        <w:spacing w:after="0" w:line="141" w:lineRule="exact"/>
        <w:rPr>
          <w:sz w:val="20"/>
          <w:szCs w:val="20"/>
          <w:color w:val="auto"/>
        </w:rPr>
      </w:pPr>
    </w:p>
    <w:p>
      <w:pPr>
        <w:ind w:left="520" w:right="60"/>
        <w:spacing w:after="0" w:line="237" w:lineRule="auto"/>
        <w:rPr>
          <w:sz w:val="20"/>
          <w:szCs w:val="20"/>
          <w:color w:val="auto"/>
        </w:rPr>
      </w:pPr>
      <w:r>
        <w:rPr>
          <w:rFonts w:ascii="Arial" w:cs="Arial" w:eastAsia="Arial" w:hAnsi="Arial"/>
          <w:sz w:val="12"/>
          <w:szCs w:val="12"/>
          <w:color w:val="auto"/>
        </w:rPr>
        <w:t>In 2017, we received U.S. Food and Drug Administration (FDA) and European Commission approvals for two important new medicines, DUPIXENT® (dupilumab, blocking the IL-4 and IL-13 pathways) Injection for adults with moderate-to-severe atopic dermatitis and KEVZARA® (sarilumab, blocking the IL-6 pathway) Injection for adults with moderately to severely active rheumatoid arthritis, both of which were homegrown in our laboratories. We were one of only three companies to obtain multiple FDA approvals for novel medicines in 2017, and in its overview of 2017 approvals, the FDA highlighted DUPIXENT as one of two notable examples of first-in-class medicines with "potential for strong positive impact on the health of the American people."</w:t>
      </w:r>
    </w:p>
    <w:p>
      <w:pPr>
        <w:spacing w:after="0" w:line="139" w:lineRule="exact"/>
        <w:rPr>
          <w:sz w:val="20"/>
          <w:szCs w:val="20"/>
          <w:color w:val="auto"/>
        </w:rPr>
      </w:pPr>
    </w:p>
    <w:p>
      <w:pPr>
        <w:ind w:left="520"/>
        <w:spacing w:after="0" w:line="237" w:lineRule="auto"/>
        <w:rPr>
          <w:sz w:val="20"/>
          <w:szCs w:val="20"/>
          <w:color w:val="auto"/>
        </w:rPr>
      </w:pPr>
      <w:r>
        <w:rPr>
          <w:rFonts w:ascii="Arial" w:cs="Arial" w:eastAsia="Arial" w:hAnsi="Arial"/>
          <w:sz w:val="12"/>
          <w:szCs w:val="12"/>
          <w:color w:val="auto"/>
        </w:rPr>
        <w:t>We also continued to bring EYLEA® (aflibercept, blocking VEGF) Injection to more people in need, achieving nearly $6 billion in global sales in 2017, together with our ex-U.S. collaborator Bayer. In addition, the United States Court of Appeals for the Federal Circuit ordered a new trial on the issues of written description and enablement and vacated the permanent injunction in the ongoing litigation regarding PRALUENT® (alirocumab, blocking PCSK9) Injection. With positive results from the large cardiovascular ODYSSEY OUTCOMES trial announced in early 2018, we hope that PRALUENT will be able to deliver on its promise of helping the many patients at high cardiovascular risk who are not adequately treated with statins.</w:t>
      </w:r>
    </w:p>
    <w:p>
      <w:pPr>
        <w:spacing w:after="0" w:line="139" w:lineRule="exact"/>
        <w:rPr>
          <w:sz w:val="20"/>
          <w:szCs w:val="20"/>
          <w:color w:val="auto"/>
        </w:rPr>
      </w:pPr>
    </w:p>
    <w:p>
      <w:pPr>
        <w:ind w:left="520" w:right="80"/>
        <w:spacing w:after="0" w:line="237" w:lineRule="auto"/>
        <w:rPr>
          <w:sz w:val="20"/>
          <w:szCs w:val="20"/>
          <w:color w:val="auto"/>
        </w:rPr>
      </w:pPr>
      <w:r>
        <w:rPr>
          <w:rFonts w:ascii="Arial" w:cs="Arial" w:eastAsia="Arial" w:hAnsi="Arial"/>
          <w:sz w:val="12"/>
          <w:szCs w:val="12"/>
          <w:color w:val="auto"/>
        </w:rPr>
        <w:t>In 2018, we are anticipating two additional FDA approval decisions: dupilumab for the treatment of adults and adolescents (12 years+) with moderate-to-severe asthma; and cemiplimab, our PD-1 antibody, in advanced cutaneous squamous cell carcinoma, a difficult-to-treat skin cancer. Our clinical-stage pipeline includes 16 important new product candidates, including fully human antibodies and bispecific antibodies, in multiple different therapeutic areas, including cancer, diabetic eye diseases, pain, muscle atrophy, and allergic disease.</w:t>
      </w:r>
    </w:p>
    <w:p>
      <w:pPr>
        <w:spacing w:after="0" w:line="141" w:lineRule="exact"/>
        <w:rPr>
          <w:sz w:val="20"/>
          <w:szCs w:val="20"/>
          <w:color w:val="auto"/>
        </w:rPr>
      </w:pPr>
    </w:p>
    <w:p>
      <w:pPr>
        <w:ind w:left="520" w:right="20"/>
        <w:spacing w:after="0" w:line="237" w:lineRule="auto"/>
        <w:rPr>
          <w:sz w:val="20"/>
          <w:szCs w:val="20"/>
          <w:color w:val="auto"/>
        </w:rPr>
      </w:pPr>
      <w:r>
        <w:rPr>
          <w:rFonts w:ascii="Arial" w:cs="Arial" w:eastAsia="Arial" w:hAnsi="Arial"/>
          <w:sz w:val="12"/>
          <w:szCs w:val="12"/>
          <w:color w:val="auto"/>
        </w:rPr>
        <w:t>With DUPIXENT's approval in adults with uncontrolled moderate-to-severe atopic dermatitis and strong clinical data in multiple investigational settings (asthma, eosinophilic esophagitis, and nasal polyps), we see potential to change the practice of medicine in allergic diseases. We are further evaluating dupilumab in pediatric patients, in patients who suffer from multiple allergic conditions at the same time, as well as in people with peanut allergy and grass allergy. With the accelerated development of REGN3500, our IL-33 antibody which may also have a potential impact on diseases like atopic dermatitis, asthma, and chronic obstructive pulmonary disease, allergic diseases will be a focus of the company for many years to come.</w:t>
      </w:r>
    </w:p>
    <w:p>
      <w:pPr>
        <w:spacing w:after="0" w:line="139" w:lineRule="exact"/>
        <w:rPr>
          <w:sz w:val="20"/>
          <w:szCs w:val="20"/>
          <w:color w:val="auto"/>
        </w:rPr>
      </w:pPr>
    </w:p>
    <w:p>
      <w:pPr>
        <w:ind w:left="520" w:right="60"/>
        <w:spacing w:after="0" w:line="264" w:lineRule="auto"/>
        <w:rPr>
          <w:sz w:val="20"/>
          <w:szCs w:val="20"/>
          <w:color w:val="auto"/>
        </w:rPr>
      </w:pPr>
      <w:r>
        <w:rPr>
          <w:rFonts w:ascii="Arial" w:cs="Arial" w:eastAsia="Arial" w:hAnsi="Arial"/>
          <w:sz w:val="11"/>
          <w:szCs w:val="11"/>
          <w:color w:val="auto"/>
        </w:rPr>
        <w:t>We also continue to actively develop and refine new technologies that can improve and expedite the drug development process. One major technology initiative, the Regeneron Genetics Center (RGC), is one of the leading genomics efforts in the world. To date, the RGC has sequenced exomes from 300,000 volunteers, enabled through collaborations with health-record pioneers like the Geisinger Health System and UK Biobank. Early in 2018, we were proud to form a novel, pre-competitive consortium with other leading life sciences companies to fund the RGC's sequencing of the 500,000 individuals in the UK Biobank population—one of the largest human sequencing efforts in the world—advancing Regeneron's research and accelerating delivery of this unprecedented "big data" resource to the global research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5" w:name="page6"/>
    <w:bookmarkEnd w:id="5"/>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92340" cy="65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28" w:right="120"/>
        <w:spacing w:after="0" w:line="239" w:lineRule="auto"/>
        <w:rPr>
          <w:sz w:val="20"/>
          <w:szCs w:val="20"/>
          <w:color w:val="auto"/>
        </w:rPr>
      </w:pPr>
      <w:r>
        <w:rPr>
          <w:rFonts w:ascii="Arial" w:cs="Arial" w:eastAsia="Arial" w:hAnsi="Arial"/>
          <w:sz w:val="12"/>
          <w:szCs w:val="12"/>
          <w:color w:val="auto"/>
        </w:rPr>
        <w:t>In 2017 we also created new alliances with several emerging companies that have synergistic technology capabilities, including Intellia Therapeutics, Inc. to pursue CRISPR-based therapeutics and Decibel Therapeutics, Inc. to pursue solutions for hearing loss.</w:t>
      </w:r>
    </w:p>
    <w:p>
      <w:pPr>
        <w:spacing w:after="0" w:line="139" w:lineRule="exact"/>
        <w:rPr>
          <w:sz w:val="20"/>
          <w:szCs w:val="20"/>
          <w:color w:val="auto"/>
        </w:rPr>
      </w:pPr>
    </w:p>
    <w:p>
      <w:pPr>
        <w:ind w:left="1428" w:right="40"/>
        <w:spacing w:after="0" w:line="237" w:lineRule="auto"/>
        <w:rPr>
          <w:sz w:val="20"/>
          <w:szCs w:val="20"/>
          <w:color w:val="auto"/>
        </w:rPr>
      </w:pPr>
      <w:r>
        <w:rPr>
          <w:rFonts w:ascii="Arial" w:cs="Arial" w:eastAsia="Arial" w:hAnsi="Arial"/>
          <w:sz w:val="12"/>
          <w:szCs w:val="12"/>
          <w:color w:val="auto"/>
        </w:rPr>
        <w:t>We are committed to investing in our R&amp;D efforts while continuing to deliver strong financial results for our shareholders. In 2017, total revenues increased 21 percent from 2016 to $5.9 billion, driven by continued growth within our EYLEA franchise, as well as increased contributions of revenue from our collaborators. This revenue growth was realized without taking any price increases on our medicines. We earned $16.32 per diluted share from non-GAAP net income of $1.90 billion, a 44 percent increase over 2016, and generated free cash flow in excess of $1.0 billion.* Our balance sheet remains strong, and we ended the year with $2.9 billion in cash and marketable securities.</w:t>
      </w:r>
    </w:p>
    <w:p>
      <w:pPr>
        <w:spacing w:after="0" w:line="139" w:lineRule="exact"/>
        <w:rPr>
          <w:sz w:val="20"/>
          <w:szCs w:val="20"/>
          <w:color w:val="auto"/>
        </w:rPr>
      </w:pPr>
    </w:p>
    <w:p>
      <w:pPr>
        <w:ind w:left="1428" w:right="60"/>
        <w:spacing w:after="0" w:line="237" w:lineRule="auto"/>
        <w:rPr>
          <w:sz w:val="20"/>
          <w:szCs w:val="20"/>
          <w:color w:val="auto"/>
        </w:rPr>
      </w:pPr>
      <w:r>
        <w:rPr>
          <w:rFonts w:ascii="Arial" w:cs="Arial" w:eastAsia="Arial" w:hAnsi="Arial"/>
          <w:sz w:val="12"/>
          <w:szCs w:val="12"/>
          <w:color w:val="auto"/>
        </w:rPr>
        <w:t>The reduction of the U.S. corporate tax rate to 21 percent will provide a significant benefit to Regeneron, especially as currently most of our profits are subject to taxation in the United States. We do not expect the new tax law to have a material impact on our overall strategy, as we develop and manufacture products in the United States and Ireland based on business needs. Our near-term plan for the incremental cash flow that will be generated by the reduction in tax is to re-invest it into our research efforts and use it to support our growth.</w:t>
      </w:r>
    </w:p>
    <w:p>
      <w:pPr>
        <w:spacing w:after="0" w:line="141" w:lineRule="exact"/>
        <w:rPr>
          <w:sz w:val="20"/>
          <w:szCs w:val="20"/>
          <w:color w:val="auto"/>
        </w:rPr>
      </w:pPr>
    </w:p>
    <w:p>
      <w:pPr>
        <w:ind w:left="1428" w:right="240"/>
        <w:spacing w:after="0" w:line="237" w:lineRule="auto"/>
        <w:rPr>
          <w:sz w:val="20"/>
          <w:szCs w:val="20"/>
          <w:color w:val="auto"/>
        </w:rPr>
      </w:pPr>
      <w:r>
        <w:rPr>
          <w:rFonts w:ascii="Arial" w:cs="Arial" w:eastAsia="Arial" w:hAnsi="Arial"/>
          <w:sz w:val="12"/>
          <w:szCs w:val="12"/>
          <w:color w:val="auto"/>
        </w:rPr>
        <w:t>We have grown our team to over 6,500 people and have purposely created an innovative and collaborative culture where the highest-quality research thrives and where committed teams can discover, develop, and commercialize new medicines. After the 2018 annual shareholder meeting, Charles Baker will be retiring from the Board of Directors, having served for nearly three decades. We thank Chuck for his early support and for offering his leadership, business expertise, and wisdom to the company and its shareholders.</w:t>
      </w:r>
    </w:p>
    <w:p>
      <w:pPr>
        <w:spacing w:after="0" w:line="141" w:lineRule="exact"/>
        <w:rPr>
          <w:sz w:val="20"/>
          <w:szCs w:val="20"/>
          <w:color w:val="auto"/>
        </w:rPr>
      </w:pPr>
    </w:p>
    <w:p>
      <w:pPr>
        <w:ind w:left="1428" w:right="20"/>
        <w:spacing w:after="0" w:line="237" w:lineRule="auto"/>
        <w:rPr>
          <w:sz w:val="20"/>
          <w:szCs w:val="20"/>
          <w:color w:val="auto"/>
        </w:rPr>
      </w:pPr>
      <w:r>
        <w:rPr>
          <w:rFonts w:ascii="Arial" w:cs="Arial" w:eastAsia="Arial" w:hAnsi="Arial"/>
          <w:sz w:val="12"/>
          <w:szCs w:val="12"/>
          <w:color w:val="auto"/>
        </w:rPr>
        <w:t>Beyond our own Regeneron team, we also are keenly focused on fostering the next generation of scientific innovators. We are a leader in supporting STEM (Science, Technology, Engineering, and Math) initiatives that reward and inspire promising young minds, including providing in excess of $100 million over ten years to support the Regeneron Science Talent Search, the nation's oldest and most prestigious high school science competition. We take our commitment to being a responsible corporate citizen seriously, and, in order to increase transparency around all aspects of our environmental, social and governance practices, we have launched a new Responsibility Report this year.</w:t>
      </w:r>
    </w:p>
    <w:p>
      <w:pPr>
        <w:spacing w:after="0" w:line="139" w:lineRule="exact"/>
        <w:rPr>
          <w:sz w:val="20"/>
          <w:szCs w:val="20"/>
          <w:color w:val="auto"/>
        </w:rPr>
      </w:pPr>
    </w:p>
    <w:p>
      <w:pPr>
        <w:ind w:left="1428" w:right="200"/>
        <w:spacing w:after="0" w:line="239" w:lineRule="auto"/>
        <w:rPr>
          <w:sz w:val="20"/>
          <w:szCs w:val="20"/>
          <w:color w:val="auto"/>
        </w:rPr>
      </w:pPr>
      <w:r>
        <w:rPr>
          <w:rFonts w:ascii="Arial" w:cs="Arial" w:eastAsia="Arial" w:hAnsi="Arial"/>
          <w:sz w:val="12"/>
          <w:szCs w:val="12"/>
          <w:color w:val="auto"/>
        </w:rPr>
        <w:t>We are confident that our proven ability to turn science into medicine, as well as our prudent financial management, keeps us well-positioned to deliver important advances for patients in need and deliver sustainable, long-term growth.</w:t>
      </w:r>
    </w:p>
    <w:p>
      <w:pPr>
        <w:spacing w:after="0" w:line="139" w:lineRule="exact"/>
        <w:rPr>
          <w:sz w:val="20"/>
          <w:szCs w:val="20"/>
          <w:color w:val="auto"/>
        </w:rPr>
      </w:pPr>
    </w:p>
    <w:tbl>
      <w:tblPr>
        <w:tblLayout w:type="fixed"/>
        <w:tblInd w:w="1428" w:type="dxa"/>
        <w:tblCellMar>
          <w:top w:w="0" w:type="dxa"/>
          <w:left w:w="0" w:type="dxa"/>
          <w:bottom w:w="0" w:type="dxa"/>
          <w:right w:w="0" w:type="dxa"/>
        </w:tblCellMar>
      </w:tblPr>
      <w:tr>
        <w:trPr>
          <w:trHeight w:val="140"/>
        </w:trPr>
        <w:tc>
          <w:tcPr>
            <w:tcW w:w="2900" w:type="dxa"/>
            <w:vAlign w:val="bottom"/>
          </w:tcPr>
          <w:p>
            <w:pPr>
              <w:spacing w:after="0"/>
              <w:rPr>
                <w:sz w:val="20"/>
                <w:szCs w:val="20"/>
                <w:color w:val="auto"/>
              </w:rPr>
            </w:pPr>
            <w:r>
              <w:rPr>
                <w:rFonts w:ascii="Arial" w:cs="Arial" w:eastAsia="Arial" w:hAnsi="Arial"/>
                <w:sz w:val="12"/>
                <w:szCs w:val="12"/>
                <w:color w:val="auto"/>
              </w:rPr>
              <w:t>Sincerely,</w:t>
            </w:r>
          </w:p>
        </w:tc>
        <w:tc>
          <w:tcPr>
            <w:tcW w:w="4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767"/>
        </w:trPr>
        <w:tc>
          <w:tcPr>
            <w:tcW w:w="2900" w:type="dxa"/>
            <w:vAlign w:val="bottom"/>
          </w:tcPr>
          <w:p>
            <w:pPr>
              <w:spacing w:after="0"/>
              <w:rPr>
                <w:sz w:val="20"/>
                <w:szCs w:val="20"/>
                <w:color w:val="auto"/>
              </w:rPr>
            </w:pPr>
            <w:r>
              <w:rPr>
                <w:rFonts w:ascii="Arial" w:cs="Arial" w:eastAsia="Arial" w:hAnsi="Arial"/>
                <w:sz w:val="12"/>
                <w:szCs w:val="12"/>
                <w:b w:val="1"/>
                <w:bCs w:val="1"/>
                <w:color w:val="105BAB"/>
              </w:rPr>
              <w:t>Leonard S. Schleifer, M.D., Ph.D.</w:t>
            </w:r>
          </w:p>
        </w:tc>
        <w:tc>
          <w:tcPr>
            <w:tcW w:w="4100" w:type="dxa"/>
            <w:vAlign w:val="bottom"/>
          </w:tcPr>
          <w:p>
            <w:pPr>
              <w:ind w:left="1100"/>
              <w:spacing w:after="0"/>
              <w:rPr>
                <w:sz w:val="20"/>
                <w:szCs w:val="20"/>
                <w:color w:val="auto"/>
              </w:rPr>
            </w:pPr>
            <w:r>
              <w:rPr>
                <w:rFonts w:ascii="Arial" w:cs="Arial" w:eastAsia="Arial" w:hAnsi="Arial"/>
                <w:sz w:val="12"/>
                <w:szCs w:val="12"/>
                <w:b w:val="1"/>
                <w:bCs w:val="1"/>
                <w:color w:val="105BAB"/>
              </w:rPr>
              <w:t>George D. Yancopoulos, M.D., Ph.D.</w:t>
            </w:r>
          </w:p>
        </w:tc>
        <w:tc>
          <w:tcPr>
            <w:tcW w:w="2180" w:type="dxa"/>
            <w:vAlign w:val="bottom"/>
          </w:tcPr>
          <w:p>
            <w:pPr>
              <w:ind w:left="1000"/>
              <w:spacing w:after="0"/>
              <w:rPr>
                <w:sz w:val="20"/>
                <w:szCs w:val="20"/>
                <w:color w:val="auto"/>
              </w:rPr>
            </w:pPr>
            <w:r>
              <w:rPr>
                <w:rFonts w:ascii="Arial" w:cs="Arial" w:eastAsia="Arial" w:hAnsi="Arial"/>
                <w:sz w:val="12"/>
                <w:szCs w:val="12"/>
                <w:b w:val="1"/>
                <w:bCs w:val="1"/>
                <w:color w:val="105BAB"/>
                <w:w w:val="97"/>
              </w:rPr>
              <w:t>P. Roy Vagelos, M.D.</w:t>
            </w: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i w:val="1"/>
                <w:iCs w:val="1"/>
                <w:color w:val="auto"/>
              </w:rPr>
              <w:t>Founder, President and Chief</w:t>
            </w:r>
          </w:p>
        </w:tc>
        <w:tc>
          <w:tcPr>
            <w:tcW w:w="4100" w:type="dxa"/>
            <w:vAlign w:val="bottom"/>
          </w:tcPr>
          <w:p>
            <w:pPr>
              <w:ind w:left="1100"/>
              <w:spacing w:after="0" w:line="135" w:lineRule="exact"/>
              <w:rPr>
                <w:sz w:val="20"/>
                <w:szCs w:val="20"/>
                <w:color w:val="auto"/>
              </w:rPr>
            </w:pPr>
            <w:r>
              <w:rPr>
                <w:rFonts w:ascii="Arial" w:cs="Arial" w:eastAsia="Arial" w:hAnsi="Arial"/>
                <w:sz w:val="12"/>
                <w:szCs w:val="12"/>
                <w:i w:val="1"/>
                <w:iCs w:val="1"/>
                <w:color w:val="auto"/>
              </w:rPr>
              <w:t>Founding Scientist, President and</w:t>
            </w:r>
          </w:p>
        </w:tc>
        <w:tc>
          <w:tcPr>
            <w:tcW w:w="2180" w:type="dxa"/>
            <w:vAlign w:val="bottom"/>
          </w:tcPr>
          <w:p>
            <w:pPr>
              <w:ind w:left="1000"/>
              <w:spacing w:after="0" w:line="135" w:lineRule="exact"/>
              <w:rPr>
                <w:sz w:val="20"/>
                <w:szCs w:val="20"/>
                <w:color w:val="auto"/>
              </w:rPr>
            </w:pPr>
            <w:r>
              <w:rPr>
                <w:rFonts w:ascii="Arial" w:cs="Arial" w:eastAsia="Arial" w:hAnsi="Arial"/>
                <w:sz w:val="12"/>
                <w:szCs w:val="12"/>
                <w:i w:val="1"/>
                <w:iCs w:val="1"/>
                <w:color w:val="auto"/>
                <w:w w:val="96"/>
              </w:rPr>
              <w:t>Chairman of the Board</w:t>
            </w:r>
          </w:p>
        </w:tc>
      </w:tr>
      <w:tr>
        <w:trPr>
          <w:trHeight w:val="152"/>
        </w:trPr>
        <w:tc>
          <w:tcPr>
            <w:tcW w:w="2900" w:type="dxa"/>
            <w:vAlign w:val="bottom"/>
          </w:tcPr>
          <w:p>
            <w:pPr>
              <w:spacing w:after="0"/>
              <w:rPr>
                <w:sz w:val="20"/>
                <w:szCs w:val="20"/>
                <w:color w:val="auto"/>
              </w:rPr>
            </w:pPr>
            <w:r>
              <w:rPr>
                <w:rFonts w:ascii="Arial" w:cs="Arial" w:eastAsia="Arial" w:hAnsi="Arial"/>
                <w:sz w:val="12"/>
                <w:szCs w:val="12"/>
                <w:i w:val="1"/>
                <w:iCs w:val="1"/>
                <w:color w:val="auto"/>
              </w:rPr>
              <w:t>Executive Officer</w:t>
            </w:r>
          </w:p>
        </w:tc>
        <w:tc>
          <w:tcPr>
            <w:tcW w:w="4100" w:type="dxa"/>
            <w:vAlign w:val="bottom"/>
          </w:tcPr>
          <w:p>
            <w:pPr>
              <w:ind w:left="1100"/>
              <w:spacing w:after="0"/>
              <w:rPr>
                <w:sz w:val="20"/>
                <w:szCs w:val="20"/>
                <w:color w:val="auto"/>
              </w:rPr>
            </w:pPr>
            <w:r>
              <w:rPr>
                <w:rFonts w:ascii="Arial" w:cs="Arial" w:eastAsia="Arial" w:hAnsi="Arial"/>
                <w:sz w:val="12"/>
                <w:szCs w:val="12"/>
                <w:i w:val="1"/>
                <w:iCs w:val="1"/>
                <w:color w:val="auto"/>
              </w:rPr>
              <w:t>Chief Scientific Officer</w:t>
            </w:r>
          </w:p>
        </w:tc>
        <w:tc>
          <w:tcPr>
            <w:tcW w:w="21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1687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7195" cy="571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-570230</wp:posOffset>
            </wp:positionV>
            <wp:extent cx="61785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855" cy="20574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-570230</wp:posOffset>
            </wp:positionV>
            <wp:extent cx="61785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855" cy="20574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-570230</wp:posOffset>
            </wp:positionV>
            <wp:extent cx="6178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855" cy="20574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68" w:hanging="368"/>
        <w:spacing w:after="0" w:line="232" w:lineRule="auto"/>
        <w:tabs>
          <w:tab w:leader="none" w:pos="368" w:val="left"/>
        </w:tabs>
        <w:numPr>
          <w:ilvl w:val="0"/>
          <w:numId w:val="6"/>
        </w:numPr>
        <w:rPr>
          <w:rFonts w:ascii="Arial" w:cs="Arial" w:eastAsia="Arial" w:hAnsi="Arial"/>
          <w:sz w:val="10"/>
          <w:szCs w:val="10"/>
          <w:color w:val="auto"/>
        </w:rPr>
      </w:pPr>
      <w:r>
        <w:rPr>
          <w:rFonts w:ascii="Arial" w:cs="Arial" w:eastAsia="Arial" w:hAnsi="Arial"/>
          <w:sz w:val="10"/>
          <w:szCs w:val="10"/>
          <w:color w:val="auto"/>
        </w:rPr>
        <w:t>Non-GAAP net income, non-GAAP net income per share, and free cash flow are not measures calculated in accordance with U.S. Generally Accepted Accounting Principles ("GAAP"). See Appendix A for a definition of these measures and a reconciliation of each of these measures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299325" cy="6901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690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1106805</wp:posOffset>
            </wp:positionV>
            <wp:extent cx="11379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7920" cy="571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D21C5A"/>
        </w:rPr>
        <w:t>NOTICE OF</w:t>
      </w:r>
    </w:p>
    <w:p>
      <w:pPr>
        <w:spacing w:after="0"/>
        <w:rPr>
          <w:sz w:val="20"/>
          <w:szCs w:val="20"/>
          <w:color w:val="auto"/>
        </w:rPr>
      </w:pPr>
      <w:r>
        <w:rPr>
          <w:rFonts w:ascii="Arial" w:cs="Arial" w:eastAsia="Arial" w:hAnsi="Arial"/>
          <w:sz w:val="22"/>
          <w:szCs w:val="22"/>
          <w:color w:val="D21C5A"/>
        </w:rPr>
        <w:t>ANNUAL</w:t>
      </w:r>
    </w:p>
    <w:p>
      <w:pPr>
        <w:spacing w:after="0"/>
        <w:rPr>
          <w:sz w:val="20"/>
          <w:szCs w:val="20"/>
          <w:color w:val="auto"/>
        </w:rPr>
      </w:pPr>
      <w:r>
        <w:rPr>
          <w:rFonts w:ascii="Arial" w:cs="Arial" w:eastAsia="Arial" w:hAnsi="Arial"/>
          <w:sz w:val="22"/>
          <w:szCs w:val="22"/>
          <w:color w:val="D21C5A"/>
        </w:rPr>
        <w:t>MEETING OF</w:t>
      </w:r>
    </w:p>
    <w:p>
      <w:pPr>
        <w:spacing w:after="0"/>
        <w:rPr>
          <w:sz w:val="20"/>
          <w:szCs w:val="20"/>
          <w:color w:val="auto"/>
        </w:rPr>
      </w:pPr>
      <w:r>
        <w:rPr>
          <w:rFonts w:ascii="Arial" w:cs="Arial" w:eastAsia="Arial" w:hAnsi="Arial"/>
          <w:sz w:val="21"/>
          <w:szCs w:val="21"/>
          <w:color w:val="D21C5A"/>
        </w:rPr>
        <w:t>SHAREHOLDERS</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2"/>
          <w:szCs w:val="12"/>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-480060</wp:posOffset>
            </wp:positionV>
            <wp:extent cx="7292340" cy="4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-342265</wp:posOffset>
            </wp:positionV>
            <wp:extent cx="1595755" cy="194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5755" cy="19431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777 Old Saw Mill River Road</w:t>
      </w:r>
    </w:p>
    <w:p>
      <w:pPr>
        <w:ind w:left="7"/>
        <w:spacing w:after="0"/>
        <w:rPr>
          <w:sz w:val="20"/>
          <w:szCs w:val="20"/>
          <w:color w:val="auto"/>
        </w:rPr>
      </w:pPr>
      <w:r>
        <w:rPr>
          <w:rFonts w:ascii="Arial" w:cs="Arial" w:eastAsia="Arial" w:hAnsi="Arial"/>
          <w:sz w:val="12"/>
          <w:szCs w:val="12"/>
          <w:color w:val="auto"/>
        </w:rPr>
        <w:t>Tarrytown, New York 10591-6707</w:t>
      </w:r>
    </w:p>
    <w:p>
      <w:pPr>
        <w:spacing w:after="0" w:line="276" w:lineRule="exact"/>
        <w:rPr>
          <w:sz w:val="20"/>
          <w:szCs w:val="20"/>
          <w:color w:val="auto"/>
        </w:rPr>
      </w:pPr>
    </w:p>
    <w:p>
      <w:pPr>
        <w:ind w:left="7"/>
        <w:spacing w:after="0"/>
        <w:rPr>
          <w:sz w:val="20"/>
          <w:szCs w:val="20"/>
          <w:color w:val="auto"/>
        </w:rPr>
      </w:pPr>
      <w:r>
        <w:rPr>
          <w:rFonts w:ascii="Arial" w:cs="Arial" w:eastAsia="Arial" w:hAnsi="Arial"/>
          <w:sz w:val="11"/>
          <w:szCs w:val="11"/>
          <w:color w:val="auto"/>
        </w:rPr>
        <w:t>The 2018 Annual Meeting of Shareholders of Regeneron Pharmaceuticals, Inc. (the "Company") will be held on Friday, June 8, 2018, commencing at 10:30 a.m., Eastern Time, at the</w:t>
      </w:r>
    </w:p>
    <w:p>
      <w:pPr>
        <w:spacing w:after="0" w:line="9" w:lineRule="exact"/>
        <w:rPr>
          <w:sz w:val="20"/>
          <w:szCs w:val="20"/>
          <w:color w:val="auto"/>
        </w:rPr>
      </w:pPr>
    </w:p>
    <w:p>
      <w:pPr>
        <w:ind w:left="7"/>
        <w:spacing w:after="0"/>
        <w:rPr>
          <w:sz w:val="20"/>
          <w:szCs w:val="20"/>
          <w:color w:val="auto"/>
        </w:rPr>
      </w:pPr>
      <w:r>
        <w:rPr>
          <w:rFonts w:ascii="Arial" w:cs="Arial" w:eastAsia="Arial" w:hAnsi="Arial"/>
          <w:sz w:val="12"/>
          <w:szCs w:val="12"/>
          <w:color w:val="auto"/>
        </w:rPr>
        <w:t>Westchester Marriott Hotel, 670 White Plains Road, Tarrytown, New York, for the following purposes:</w:t>
      </w:r>
    </w:p>
    <w:p>
      <w:pPr>
        <w:spacing w:after="0" w:line="132" w:lineRule="exact"/>
        <w:rPr>
          <w:sz w:val="20"/>
          <w:szCs w:val="20"/>
          <w:color w:val="auto"/>
        </w:rPr>
      </w:pPr>
    </w:p>
    <w:p>
      <w:pPr>
        <w:ind w:left="147" w:hanging="147"/>
        <w:spacing w:after="0"/>
        <w:tabs>
          <w:tab w:leader="none" w:pos="147" w:val="left"/>
        </w:tabs>
        <w:numPr>
          <w:ilvl w:val="0"/>
          <w:numId w:val="7"/>
        </w:numPr>
        <w:rPr>
          <w:rFonts w:ascii="Arial" w:cs="Arial" w:eastAsia="Arial" w:hAnsi="Arial"/>
          <w:sz w:val="10"/>
          <w:szCs w:val="10"/>
          <w:color w:val="105BAB"/>
        </w:rPr>
      </w:pPr>
      <w:r>
        <w:rPr>
          <w:rFonts w:ascii="Arial" w:cs="Arial" w:eastAsia="Arial" w:hAnsi="Arial"/>
          <w:sz w:val="12"/>
          <w:szCs w:val="12"/>
          <w:color w:val="auto"/>
        </w:rPr>
        <w:t>to elect three Class III directors for a term of three years;</w:t>
      </w:r>
    </w:p>
    <w:p>
      <w:pPr>
        <w:spacing w:after="0" w:line="123" w:lineRule="exact"/>
        <w:rPr>
          <w:sz w:val="20"/>
          <w:szCs w:val="20"/>
          <w:color w:val="auto"/>
        </w:rPr>
      </w:pPr>
    </w:p>
    <w:p>
      <w:pPr>
        <w:ind w:left="147" w:hanging="147"/>
        <w:spacing w:after="0"/>
        <w:tabs>
          <w:tab w:leader="none" w:pos="147" w:val="left"/>
        </w:tabs>
        <w:numPr>
          <w:ilvl w:val="0"/>
          <w:numId w:val="8"/>
        </w:numPr>
        <w:rPr>
          <w:rFonts w:ascii="Arial" w:cs="Arial" w:eastAsia="Arial" w:hAnsi="Arial"/>
          <w:sz w:val="10"/>
          <w:szCs w:val="10"/>
          <w:color w:val="105BAB"/>
        </w:rPr>
      </w:pPr>
      <w:r>
        <w:rPr>
          <w:rFonts w:ascii="Arial" w:cs="Arial" w:eastAsia="Arial" w:hAnsi="Arial"/>
          <w:sz w:val="12"/>
          <w:szCs w:val="12"/>
          <w:color w:val="auto"/>
        </w:rPr>
        <w:t>to ratify the appointment of PricewaterhouseCoopers LLP as the Company's independent registered public accounting firm for the fiscal year ending December 31, 2018; and</w:t>
      </w:r>
    </w:p>
    <w:p>
      <w:pPr>
        <w:spacing w:after="0" w:line="132" w:lineRule="exact"/>
        <w:rPr>
          <w:sz w:val="20"/>
          <w:szCs w:val="20"/>
          <w:color w:val="auto"/>
        </w:rPr>
      </w:pPr>
    </w:p>
    <w:p>
      <w:pPr>
        <w:ind w:left="147" w:hanging="147"/>
        <w:spacing w:after="0"/>
        <w:tabs>
          <w:tab w:leader="none" w:pos="147" w:val="left"/>
        </w:tabs>
        <w:numPr>
          <w:ilvl w:val="0"/>
          <w:numId w:val="9"/>
        </w:numPr>
        <w:rPr>
          <w:rFonts w:ascii="Arial" w:cs="Arial" w:eastAsia="Arial" w:hAnsi="Arial"/>
          <w:sz w:val="10"/>
          <w:szCs w:val="10"/>
          <w:color w:val="105BAB"/>
        </w:rPr>
      </w:pPr>
      <w:r>
        <w:rPr>
          <w:rFonts w:ascii="Arial" w:cs="Arial" w:eastAsia="Arial" w:hAnsi="Arial"/>
          <w:sz w:val="12"/>
          <w:szCs w:val="12"/>
          <w:color w:val="auto"/>
        </w:rPr>
        <w:t>to act upon such other matters as may properly come before the meeting and any adjournment(s) or postponement(s) thereof.</w:t>
      </w:r>
    </w:p>
    <w:p>
      <w:pPr>
        <w:spacing w:after="0" w:line="141" w:lineRule="exact"/>
        <w:rPr>
          <w:sz w:val="20"/>
          <w:szCs w:val="20"/>
          <w:color w:val="auto"/>
        </w:rPr>
      </w:pPr>
    </w:p>
    <w:p>
      <w:pPr>
        <w:ind w:left="7" w:right="120"/>
        <w:spacing w:after="0" w:line="239" w:lineRule="auto"/>
        <w:rPr>
          <w:sz w:val="20"/>
          <w:szCs w:val="20"/>
          <w:color w:val="auto"/>
        </w:rPr>
      </w:pPr>
      <w:r>
        <w:rPr>
          <w:rFonts w:ascii="Arial" w:cs="Arial" w:eastAsia="Arial" w:hAnsi="Arial"/>
          <w:sz w:val="12"/>
          <w:szCs w:val="12"/>
          <w:color w:val="auto"/>
        </w:rPr>
        <w:t>The board of directors has fixed the close of business on April 12, 2018 as the record date for determining shareholders entitled to notice of, and to vote at, the Annual Meeting and at any adjournment(s) or postponement(s) thereof.</w:t>
      </w:r>
    </w:p>
    <w:p>
      <w:pPr>
        <w:spacing w:after="0" w:line="139" w:lineRule="exact"/>
        <w:rPr>
          <w:sz w:val="20"/>
          <w:szCs w:val="20"/>
          <w:color w:val="auto"/>
        </w:rPr>
      </w:pPr>
    </w:p>
    <w:p>
      <w:pPr>
        <w:ind w:left="7" w:right="160"/>
        <w:spacing w:after="0" w:line="256" w:lineRule="auto"/>
        <w:rPr>
          <w:sz w:val="20"/>
          <w:szCs w:val="20"/>
          <w:color w:val="auto"/>
        </w:rPr>
      </w:pPr>
      <w:r>
        <w:rPr>
          <w:rFonts w:ascii="Arial" w:cs="Arial" w:eastAsia="Arial" w:hAnsi="Arial"/>
          <w:sz w:val="11"/>
          <w:szCs w:val="11"/>
          <w:color w:val="auto"/>
        </w:rPr>
        <w:t>Pursuant to the rules of the Securities and Exchange Commission, we have elected to use the "Notice and Access" method of providing our proxy materials over the Internet. Accordingly, we will mail, beginning on or about April 23, 2018,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w:t>
      </w:r>
    </w:p>
    <w:p>
      <w:pPr>
        <w:spacing w:after="0" w:line="1" w:lineRule="exact"/>
        <w:rPr>
          <w:sz w:val="20"/>
          <w:szCs w:val="20"/>
          <w:color w:val="auto"/>
        </w:rPr>
      </w:pPr>
    </w:p>
    <w:p>
      <w:pPr>
        <w:ind w:left="7" w:hanging="7"/>
        <w:spacing w:after="0" w:line="237" w:lineRule="auto"/>
        <w:tabs>
          <w:tab w:leader="none" w:pos="196" w:val="left"/>
        </w:tabs>
        <w:numPr>
          <w:ilvl w:val="0"/>
          <w:numId w:val="10"/>
        </w:numPr>
        <w:rPr>
          <w:rFonts w:ascii="Arial" w:cs="Arial" w:eastAsia="Arial" w:hAnsi="Arial"/>
          <w:sz w:val="12"/>
          <w:szCs w:val="12"/>
          <w:color w:val="auto"/>
        </w:rPr>
      </w:pPr>
      <w:r>
        <w:rPr>
          <w:rFonts w:ascii="Arial" w:cs="Arial" w:eastAsia="Arial" w:hAnsi="Arial"/>
          <w:sz w:val="12"/>
          <w:szCs w:val="12"/>
          <w:color w:val="auto"/>
        </w:rPr>
        <w:t>shareholders who participate and hold shares of common stock in the Regeneron Pharmaceuticals, Inc. 401(k) Savings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41" w:lineRule="exact"/>
        <w:rPr>
          <w:sz w:val="20"/>
          <w:szCs w:val="20"/>
          <w:color w:val="auto"/>
        </w:rPr>
      </w:pPr>
    </w:p>
    <w:p>
      <w:pPr>
        <w:ind w:left="7" w:right="60"/>
        <w:spacing w:after="0" w:line="237" w:lineRule="auto"/>
        <w:rPr>
          <w:sz w:val="20"/>
          <w:szCs w:val="20"/>
          <w:color w:val="auto"/>
        </w:rPr>
      </w:pPr>
      <w:r>
        <w:rPr>
          <w:rFonts w:ascii="Arial" w:cs="Arial" w:eastAsia="Arial" w:hAnsi="Arial"/>
          <w:sz w:val="12"/>
          <w:szCs w:val="12"/>
          <w:color w:val="auto"/>
        </w:rPr>
        <w:t>The Notice of Internet Availability of Proxy Materials also contains a toll-free telephone number, an e-mail address, and a website where shareholders can request a paper or electronic copy of the proxy statement, our 2017 annual report, and/or a form of proxy relating to the Annual Meeting. These materials are available free of charge. The Notice also contains information on how to access and vote the form of proxy.</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2"/>
          <w:szCs w:val="12"/>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046480" cy="314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648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
        <w:spacing w:after="0"/>
        <w:rPr>
          <w:sz w:val="20"/>
          <w:szCs w:val="20"/>
          <w:color w:val="auto"/>
        </w:rPr>
      </w:pPr>
      <w:r>
        <w:rPr>
          <w:rFonts w:ascii="Arial" w:cs="Arial" w:eastAsia="Arial" w:hAnsi="Arial"/>
          <w:sz w:val="12"/>
          <w:szCs w:val="12"/>
          <w:color w:val="auto"/>
        </w:rPr>
        <w:t>Joseph J. LaRosa</w:t>
      </w:r>
    </w:p>
    <w:p>
      <w:pPr>
        <w:ind w:left="7"/>
        <w:spacing w:after="0"/>
        <w:rPr>
          <w:sz w:val="20"/>
          <w:szCs w:val="20"/>
          <w:color w:val="auto"/>
        </w:rPr>
      </w:pPr>
      <w:r>
        <w:rPr>
          <w:rFonts w:ascii="Arial" w:cs="Arial" w:eastAsia="Arial" w:hAnsi="Arial"/>
          <w:sz w:val="12"/>
          <w:szCs w:val="12"/>
          <w:i w:val="1"/>
          <w:iCs w:val="1"/>
          <w:color w:val="auto"/>
        </w:rPr>
        <w:t>Senior Vice President, General Counsel and Secretary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2"/>
          <w:szCs w:val="12"/>
          <w:color w:val="auto"/>
        </w:rPr>
        <w:t>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39370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780" w:space="113"/>
            <w:col w:w="9527"/>
          </w:cols>
          <w:pgMar w:left="220" w:top="1055" w:right="25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299325" cy="6901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690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513080</wp:posOffset>
            </wp:positionV>
            <wp:extent cx="7550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5015" cy="5715"/>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581660</wp:posOffset>
            </wp:positionV>
            <wp:extent cx="62687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872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21"/>
          <w:szCs w:val="21"/>
          <w:color w:val="D21C5A"/>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720" w:type="dxa"/>
            <w:vAlign w:val="bottom"/>
            <w:tcBorders>
              <w:bottom w:val="single" w:sz="8" w:color="105BAB"/>
            </w:tcBorders>
            <w:gridSpan w:val="3"/>
          </w:tcPr>
          <w:p>
            <w:pPr>
              <w:spacing w:after="0"/>
              <w:rPr>
                <w:rFonts w:ascii="Arial" w:cs="Arial" w:eastAsia="Arial" w:hAnsi="Arial"/>
                <w:sz w:val="12"/>
                <w:szCs w:val="12"/>
                <w:b w:val="1"/>
                <w:bCs w:val="1"/>
                <w:color w:val="105BAB"/>
                <w:w w:val="95"/>
              </w:rPr>
            </w:pPr>
            <w:hyperlink w:anchor="page12">
              <w:r>
                <w:rPr>
                  <w:rFonts w:ascii="Arial" w:cs="Arial" w:eastAsia="Arial" w:hAnsi="Arial"/>
                  <w:sz w:val="12"/>
                  <w:szCs w:val="12"/>
                  <w:b w:val="1"/>
                  <w:bCs w:val="1"/>
                  <w:color w:val="105BAB"/>
                  <w:w w:val="95"/>
                </w:rPr>
                <w:t>Users' Guide</w:t>
              </w:r>
            </w:hyperlink>
          </w:p>
        </w:tc>
        <w:tc>
          <w:tcPr>
            <w:tcW w:w="6160" w:type="dxa"/>
            <w:vAlign w:val="bottom"/>
            <w:gridSpan w:val="15"/>
          </w:tcPr>
          <w:p>
            <w:pPr>
              <w:spacing w:after="0"/>
              <w:rPr>
                <w:sz w:val="13"/>
                <w:szCs w:val="13"/>
                <w:color w:val="auto"/>
              </w:rPr>
            </w:pPr>
          </w:p>
        </w:tc>
        <w:tc>
          <w:tcPr>
            <w:tcW w:w="2840" w:type="dxa"/>
            <w:vAlign w:val="bottom"/>
            <w:gridSpan w:val="3"/>
          </w:tcPr>
          <w:p>
            <w:pPr>
              <w:jc w:val="right"/>
              <w:ind w:right="20"/>
              <w:spacing w:after="0"/>
              <w:rPr>
                <w:rFonts w:ascii="Arial" w:cs="Arial" w:eastAsia="Arial" w:hAnsi="Arial"/>
                <w:sz w:val="10"/>
                <w:szCs w:val="10"/>
                <w:b w:val="1"/>
                <w:bCs w:val="1"/>
                <w:u w:val="single" w:color="auto"/>
                <w:color w:val="105BAB"/>
              </w:rPr>
            </w:pPr>
            <w:hyperlink w:anchor="page12">
              <w:r>
                <w:rPr>
                  <w:rFonts w:ascii="Arial" w:cs="Arial" w:eastAsia="Arial" w:hAnsi="Arial"/>
                  <w:sz w:val="10"/>
                  <w:szCs w:val="10"/>
                  <w:b w:val="1"/>
                  <w:bCs w:val="1"/>
                  <w:u w:val="single" w:color="auto"/>
                  <w:color w:val="105BAB"/>
                </w:rPr>
                <w:t>1</w:t>
              </w:r>
            </w:hyperlink>
          </w:p>
        </w:tc>
        <w:tc>
          <w:tcPr>
            <w:tcW w:w="0" w:type="dxa"/>
            <w:vAlign w:val="bottom"/>
          </w:tcPr>
          <w:p>
            <w:pPr>
              <w:spacing w:after="0"/>
              <w:rPr>
                <w:sz w:val="1"/>
                <w:szCs w:val="1"/>
                <w:color w:val="auto"/>
              </w:rPr>
            </w:pPr>
          </w:p>
        </w:tc>
      </w:tr>
      <w:tr>
        <w:trPr>
          <w:trHeight w:val="97"/>
        </w:trPr>
        <w:tc>
          <w:tcPr>
            <w:tcW w:w="6880" w:type="dxa"/>
            <w:vAlign w:val="bottom"/>
            <w:gridSpan w:val="18"/>
          </w:tcPr>
          <w:p>
            <w:pPr>
              <w:spacing w:after="0" w:line="97" w:lineRule="exact"/>
              <w:rPr>
                <w:rFonts w:ascii="Arial" w:cs="Arial" w:eastAsia="Arial" w:hAnsi="Arial"/>
                <w:sz w:val="10"/>
                <w:szCs w:val="10"/>
                <w:b w:val="1"/>
                <w:bCs w:val="1"/>
                <w:color w:val="0000EE"/>
              </w:rPr>
            </w:pPr>
            <w:hyperlink w:anchor="page12">
              <w:r>
                <w:rPr>
                  <w:rFonts w:ascii="Arial" w:cs="Arial" w:eastAsia="Arial" w:hAnsi="Arial"/>
                  <w:sz w:val="10"/>
                  <w:szCs w:val="10"/>
                  <w:b w:val="1"/>
                  <w:bCs w:val="1"/>
                  <w:color w:val="0000EE"/>
                </w:rPr>
                <w:t>Proxy Dashboard</w:t>
              </w:r>
            </w:hyperlink>
          </w:p>
        </w:tc>
        <w:tc>
          <w:tcPr>
            <w:tcW w:w="2840" w:type="dxa"/>
            <w:vAlign w:val="bottom"/>
            <w:gridSpan w:val="3"/>
          </w:tcPr>
          <w:p>
            <w:pPr>
              <w:jc w:val="right"/>
              <w:ind w:right="20"/>
              <w:spacing w:after="0" w:line="97" w:lineRule="exact"/>
              <w:rPr>
                <w:rFonts w:ascii="Arial" w:cs="Arial" w:eastAsia="Arial" w:hAnsi="Arial"/>
                <w:sz w:val="10"/>
                <w:szCs w:val="10"/>
                <w:b w:val="1"/>
                <w:bCs w:val="1"/>
                <w:u w:val="single" w:color="auto"/>
                <w:color w:val="0000EE"/>
              </w:rPr>
            </w:pPr>
            <w:hyperlink w:anchor="page12">
              <w:r>
                <w:rPr>
                  <w:rFonts w:ascii="Arial" w:cs="Arial" w:eastAsia="Arial" w:hAnsi="Arial"/>
                  <w:sz w:val="10"/>
                  <w:szCs w:val="10"/>
                  <w:b w:val="1"/>
                  <w:bCs w:val="1"/>
                  <w:u w:val="single" w:color="auto"/>
                  <w:color w:val="0000EE"/>
                </w:rPr>
                <w:t>1</w:t>
              </w:r>
            </w:hyperlink>
          </w:p>
        </w:tc>
        <w:tc>
          <w:tcPr>
            <w:tcW w:w="0" w:type="dxa"/>
            <w:vAlign w:val="bottom"/>
          </w:tcPr>
          <w:p>
            <w:pPr>
              <w:spacing w:after="0"/>
              <w:rPr>
                <w:sz w:val="1"/>
                <w:szCs w:val="1"/>
                <w:color w:val="auto"/>
              </w:rPr>
            </w:pPr>
          </w:p>
        </w:tc>
      </w:tr>
      <w:tr>
        <w:trPr>
          <w:trHeight w:val="88"/>
        </w:trPr>
        <w:tc>
          <w:tcPr>
            <w:tcW w:w="800" w:type="dxa"/>
            <w:vAlign w:val="bottom"/>
            <w:tcBorders>
              <w:top w:val="single" w:sz="8" w:color="0000EE"/>
            </w:tcBorders>
            <w:gridSpan w:val="5"/>
          </w:tcPr>
          <w:p>
            <w:pPr>
              <w:spacing w:after="0" w:line="88" w:lineRule="exact"/>
              <w:rPr>
                <w:rFonts w:ascii="Arial" w:cs="Arial" w:eastAsia="Arial" w:hAnsi="Arial"/>
                <w:sz w:val="10"/>
                <w:szCs w:val="10"/>
                <w:b w:val="1"/>
                <w:bCs w:val="1"/>
                <w:color w:val="0000EE"/>
                <w:w w:val="98"/>
              </w:rPr>
            </w:pPr>
            <w:hyperlink w:anchor="page12">
              <w:r>
                <w:rPr>
                  <w:rFonts w:ascii="Arial" w:cs="Arial" w:eastAsia="Arial" w:hAnsi="Arial"/>
                  <w:sz w:val="10"/>
                  <w:szCs w:val="10"/>
                  <w:b w:val="1"/>
                  <w:bCs w:val="1"/>
                  <w:color w:val="0000EE"/>
                  <w:w w:val="98"/>
                </w:rPr>
                <w:t>Proxy Highlights</w:t>
              </w:r>
            </w:hyperlink>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840" w:type="dxa"/>
            <w:vAlign w:val="bottom"/>
            <w:gridSpan w:val="3"/>
          </w:tcPr>
          <w:p>
            <w:pPr>
              <w:jc w:val="right"/>
              <w:ind w:right="20"/>
              <w:spacing w:after="0" w:line="88" w:lineRule="exact"/>
              <w:rPr>
                <w:rFonts w:ascii="Arial" w:cs="Arial" w:eastAsia="Arial" w:hAnsi="Arial"/>
                <w:sz w:val="10"/>
                <w:szCs w:val="10"/>
                <w:b w:val="1"/>
                <w:bCs w:val="1"/>
                <w:u w:val="single" w:color="auto"/>
                <w:color w:val="0000EE"/>
              </w:rPr>
            </w:pPr>
            <w:hyperlink w:anchor="page12">
              <w:r>
                <w:rPr>
                  <w:rFonts w:ascii="Arial" w:cs="Arial" w:eastAsia="Arial" w:hAnsi="Arial"/>
                  <w:sz w:val="10"/>
                  <w:szCs w:val="10"/>
                  <w:b w:val="1"/>
                  <w:bCs w:val="1"/>
                  <w:u w:val="single" w:color="auto"/>
                  <w:color w:val="0000EE"/>
                </w:rPr>
                <w:t>1</w:t>
              </w:r>
            </w:hyperlink>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gridSpan w:val="3"/>
            <w:vMerge w:val="restart"/>
          </w:tcPr>
          <w:p>
            <w:pPr>
              <w:jc w:val="right"/>
              <w:ind w:right="20"/>
              <w:spacing w:after="0" w:line="108" w:lineRule="exact"/>
              <w:rPr>
                <w:rFonts w:ascii="Arial" w:cs="Arial" w:eastAsia="Arial" w:hAnsi="Arial"/>
                <w:sz w:val="10"/>
                <w:szCs w:val="10"/>
                <w:b w:val="1"/>
                <w:bCs w:val="1"/>
                <w:u w:val="single" w:color="auto"/>
                <w:color w:val="0000EE"/>
              </w:rPr>
            </w:pPr>
            <w:hyperlink w:anchor="page13">
              <w:r>
                <w:rPr>
                  <w:rFonts w:ascii="Arial" w:cs="Arial" w:eastAsia="Arial" w:hAnsi="Arial"/>
                  <w:sz w:val="10"/>
                  <w:szCs w:val="10"/>
                  <w:b w:val="1"/>
                  <w:bCs w:val="1"/>
                  <w:u w:val="single" w:color="auto"/>
                  <w:color w:val="0000EE"/>
                </w:rPr>
                <w:t>2</w:t>
              </w:r>
            </w:hyperlink>
          </w:p>
        </w:tc>
        <w:tc>
          <w:tcPr>
            <w:tcW w:w="0" w:type="dxa"/>
            <w:vAlign w:val="bottom"/>
          </w:tcPr>
          <w:p>
            <w:pPr>
              <w:spacing w:after="0" w:line="20" w:lineRule="exact"/>
              <w:rPr>
                <w:sz w:val="1"/>
                <w:szCs w:val="1"/>
                <w:color w:val="auto"/>
              </w:rPr>
            </w:pPr>
          </w:p>
        </w:tc>
      </w:tr>
      <w:tr>
        <w:trPr>
          <w:trHeight w:val="88"/>
        </w:trPr>
        <w:tc>
          <w:tcPr>
            <w:tcW w:w="6880" w:type="dxa"/>
            <w:vAlign w:val="bottom"/>
            <w:gridSpan w:val="18"/>
          </w:tcPr>
          <w:p>
            <w:pPr>
              <w:spacing w:after="0" w:line="88" w:lineRule="exact"/>
              <w:rPr>
                <w:rFonts w:ascii="Arial" w:cs="Arial" w:eastAsia="Arial" w:hAnsi="Arial"/>
                <w:sz w:val="10"/>
                <w:szCs w:val="10"/>
                <w:b w:val="1"/>
                <w:bCs w:val="1"/>
                <w:color w:val="0000EE"/>
              </w:rPr>
            </w:pPr>
            <w:hyperlink w:anchor="page13">
              <w:r>
                <w:rPr>
                  <w:rFonts w:ascii="Arial" w:cs="Arial" w:eastAsia="Arial" w:hAnsi="Arial"/>
                  <w:sz w:val="10"/>
                  <w:szCs w:val="10"/>
                  <w:b w:val="1"/>
                  <w:bCs w:val="1"/>
                  <w:color w:val="0000EE"/>
                </w:rPr>
                <w:t>General Information about the Meeting</w:t>
              </w:r>
            </w:hyperlink>
          </w:p>
        </w:tc>
        <w:tc>
          <w:tcPr>
            <w:tcW w:w="2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040" w:type="dxa"/>
            <w:vAlign w:val="bottom"/>
            <w:tcBorders>
              <w:top w:val="single" w:sz="8" w:color="0000EE"/>
              <w:bottom w:val="single" w:sz="8" w:color="105BAB"/>
            </w:tcBorders>
            <w:gridSpan w:val="9"/>
          </w:tcPr>
          <w:p>
            <w:pPr>
              <w:spacing w:after="0" w:line="97" w:lineRule="exact"/>
              <w:rPr>
                <w:rFonts w:ascii="Arial" w:cs="Arial" w:eastAsia="Arial" w:hAnsi="Arial"/>
                <w:sz w:val="11"/>
                <w:szCs w:val="11"/>
                <w:b w:val="1"/>
                <w:bCs w:val="1"/>
                <w:color w:val="105BAB"/>
              </w:rPr>
            </w:pPr>
            <w:hyperlink w:anchor="page18">
              <w:r>
                <w:rPr>
                  <w:rFonts w:ascii="Arial" w:cs="Arial" w:eastAsia="Arial" w:hAnsi="Arial"/>
                  <w:sz w:val="11"/>
                  <w:szCs w:val="11"/>
                  <w:b w:val="1"/>
                  <w:bCs w:val="1"/>
                  <w:color w:val="105BAB"/>
                </w:rPr>
                <w:t>Board of Directors</w:t>
              </w:r>
            </w:hyperlink>
          </w:p>
        </w:tc>
        <w:tc>
          <w:tcPr>
            <w:tcW w:w="720" w:type="dxa"/>
            <w:vAlign w:val="bottom"/>
            <w:tcBorders>
              <w:top w:val="single" w:sz="8" w:color="0000EE"/>
            </w:tcBorders>
            <w:gridSpan w:val="2"/>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840" w:type="dxa"/>
            <w:vAlign w:val="bottom"/>
            <w:gridSpan w:val="3"/>
          </w:tcPr>
          <w:p>
            <w:pPr>
              <w:jc w:val="right"/>
              <w:ind w:right="20"/>
              <w:spacing w:after="0" w:line="97" w:lineRule="exact"/>
              <w:rPr>
                <w:rFonts w:ascii="Arial" w:cs="Arial" w:eastAsia="Arial" w:hAnsi="Arial"/>
                <w:sz w:val="10"/>
                <w:szCs w:val="10"/>
                <w:b w:val="1"/>
                <w:bCs w:val="1"/>
                <w:u w:val="single" w:color="auto"/>
                <w:color w:val="105BAB"/>
              </w:rPr>
            </w:pPr>
            <w:hyperlink w:anchor="page18">
              <w:r>
                <w:rPr>
                  <w:rFonts w:ascii="Arial" w:cs="Arial" w:eastAsia="Arial" w:hAnsi="Arial"/>
                  <w:sz w:val="10"/>
                  <w:szCs w:val="10"/>
                  <w:b w:val="1"/>
                  <w:bCs w:val="1"/>
                  <w:u w:val="single" w:color="auto"/>
                  <w:color w:val="105BAB"/>
                </w:rPr>
                <w:t>7</w:t>
              </w:r>
            </w:hyperlink>
          </w:p>
        </w:tc>
        <w:tc>
          <w:tcPr>
            <w:tcW w:w="0" w:type="dxa"/>
            <w:vAlign w:val="bottom"/>
          </w:tcPr>
          <w:p>
            <w:pPr>
              <w:spacing w:after="0"/>
              <w:rPr>
                <w:sz w:val="1"/>
                <w:szCs w:val="1"/>
                <w:color w:val="auto"/>
              </w:rPr>
            </w:pPr>
          </w:p>
        </w:tc>
      </w:tr>
      <w:tr>
        <w:trPr>
          <w:trHeight w:val="97"/>
        </w:trPr>
        <w:tc>
          <w:tcPr>
            <w:tcW w:w="700" w:type="dxa"/>
            <w:vAlign w:val="bottom"/>
            <w:tcBorders>
              <w:bottom w:val="single" w:sz="8" w:color="0000EE"/>
            </w:tcBorders>
            <w:gridSpan w:val="2"/>
          </w:tcPr>
          <w:p>
            <w:pPr>
              <w:spacing w:after="0" w:line="97" w:lineRule="exact"/>
              <w:rPr>
                <w:rFonts w:ascii="Arial" w:cs="Arial" w:eastAsia="Arial" w:hAnsi="Arial"/>
                <w:sz w:val="10"/>
                <w:szCs w:val="10"/>
                <w:b w:val="1"/>
                <w:bCs w:val="1"/>
                <w:color w:val="0000EE"/>
                <w:w w:val="94"/>
              </w:rPr>
            </w:pPr>
            <w:hyperlink w:anchor="page18">
              <w:r>
                <w:rPr>
                  <w:rFonts w:ascii="Arial" w:cs="Arial" w:eastAsia="Arial" w:hAnsi="Arial"/>
                  <w:sz w:val="10"/>
                  <w:szCs w:val="10"/>
                  <w:b w:val="1"/>
                  <w:bCs w:val="1"/>
                  <w:color w:val="0000EE"/>
                  <w:w w:val="94"/>
                </w:rPr>
                <w:t>Meet the Board</w:t>
              </w:r>
            </w:hyperlink>
          </w:p>
        </w:tc>
        <w:tc>
          <w:tcPr>
            <w:tcW w:w="6180" w:type="dxa"/>
            <w:vAlign w:val="bottom"/>
            <w:gridSpan w:val="16"/>
          </w:tcPr>
          <w:p>
            <w:pPr>
              <w:spacing w:after="0"/>
              <w:rPr>
                <w:sz w:val="8"/>
                <w:szCs w:val="8"/>
                <w:color w:val="auto"/>
              </w:rPr>
            </w:pPr>
          </w:p>
        </w:tc>
        <w:tc>
          <w:tcPr>
            <w:tcW w:w="2840" w:type="dxa"/>
            <w:vAlign w:val="bottom"/>
            <w:gridSpan w:val="3"/>
          </w:tcPr>
          <w:p>
            <w:pPr>
              <w:jc w:val="right"/>
              <w:ind w:right="20"/>
              <w:spacing w:after="0" w:line="97" w:lineRule="exact"/>
              <w:rPr>
                <w:rFonts w:ascii="Arial" w:cs="Arial" w:eastAsia="Arial" w:hAnsi="Arial"/>
                <w:sz w:val="10"/>
                <w:szCs w:val="10"/>
                <w:b w:val="1"/>
                <w:bCs w:val="1"/>
                <w:u w:val="single" w:color="auto"/>
                <w:color w:val="0000EE"/>
              </w:rPr>
            </w:pPr>
            <w:hyperlink w:anchor="page18">
              <w:r>
                <w:rPr>
                  <w:rFonts w:ascii="Arial" w:cs="Arial" w:eastAsia="Arial" w:hAnsi="Arial"/>
                  <w:sz w:val="10"/>
                  <w:szCs w:val="10"/>
                  <w:b w:val="1"/>
                  <w:bCs w:val="1"/>
                  <w:u w:val="single" w:color="auto"/>
                  <w:color w:val="0000EE"/>
                </w:rPr>
                <w:t>7</w:t>
              </w:r>
            </w:hyperlink>
          </w:p>
        </w:tc>
        <w:tc>
          <w:tcPr>
            <w:tcW w:w="0" w:type="dxa"/>
            <w:vAlign w:val="bottom"/>
          </w:tcPr>
          <w:p>
            <w:pPr>
              <w:spacing w:after="0"/>
              <w:rPr>
                <w:sz w:val="1"/>
                <w:szCs w:val="1"/>
                <w:color w:val="auto"/>
              </w:rPr>
            </w:pPr>
          </w:p>
        </w:tc>
      </w:tr>
      <w:tr>
        <w:trPr>
          <w:trHeight w:val="88"/>
        </w:trPr>
        <w:tc>
          <w:tcPr>
            <w:tcW w:w="6880" w:type="dxa"/>
            <w:vAlign w:val="bottom"/>
            <w:gridSpan w:val="18"/>
          </w:tcPr>
          <w:p>
            <w:pPr>
              <w:spacing w:after="0" w:line="88" w:lineRule="exact"/>
              <w:rPr>
                <w:rFonts w:ascii="Arial" w:cs="Arial" w:eastAsia="Arial" w:hAnsi="Arial"/>
                <w:sz w:val="10"/>
                <w:szCs w:val="10"/>
                <w:b w:val="1"/>
                <w:bCs w:val="1"/>
                <w:color w:val="0000EE"/>
              </w:rPr>
            </w:pPr>
            <w:hyperlink w:anchor="page31">
              <w:r>
                <w:rPr>
                  <w:rFonts w:ascii="Arial" w:cs="Arial" w:eastAsia="Arial" w:hAnsi="Arial"/>
                  <w:sz w:val="10"/>
                  <w:szCs w:val="10"/>
                  <w:b w:val="1"/>
                  <w:bCs w:val="1"/>
                  <w:color w:val="0000EE"/>
                </w:rPr>
                <w:t>Board Committees</w:t>
              </w:r>
            </w:hyperlink>
          </w:p>
        </w:tc>
        <w:tc>
          <w:tcPr>
            <w:tcW w:w="2840" w:type="dxa"/>
            <w:vAlign w:val="bottom"/>
            <w:gridSpan w:val="3"/>
          </w:tcPr>
          <w:p>
            <w:pPr>
              <w:jc w:val="right"/>
              <w:ind w:right="20"/>
              <w:spacing w:after="0" w:line="88" w:lineRule="exact"/>
              <w:rPr>
                <w:rFonts w:ascii="Arial" w:cs="Arial" w:eastAsia="Arial" w:hAnsi="Arial"/>
                <w:sz w:val="10"/>
                <w:szCs w:val="10"/>
                <w:b w:val="1"/>
                <w:bCs w:val="1"/>
                <w:color w:val="0000EE"/>
              </w:rPr>
            </w:pPr>
            <w:hyperlink w:anchor="page31">
              <w:r>
                <w:rPr>
                  <w:rFonts w:ascii="Arial" w:cs="Arial" w:eastAsia="Arial" w:hAnsi="Arial"/>
                  <w:sz w:val="10"/>
                  <w:szCs w:val="10"/>
                  <w:b w:val="1"/>
                  <w:bCs w:val="1"/>
                  <w:color w:val="0000EE"/>
                </w:rPr>
                <w:t>20</w:t>
              </w:r>
            </w:hyperlink>
          </w:p>
        </w:tc>
        <w:tc>
          <w:tcPr>
            <w:tcW w:w="0" w:type="dxa"/>
            <w:vAlign w:val="bottom"/>
          </w:tcPr>
          <w:p>
            <w:pPr>
              <w:spacing w:after="0"/>
              <w:rPr>
                <w:sz w:val="1"/>
                <w:szCs w:val="1"/>
                <w:color w:val="auto"/>
              </w:rPr>
            </w:pPr>
          </w:p>
        </w:tc>
      </w:tr>
      <w:tr>
        <w:trPr>
          <w:trHeight w:val="88"/>
        </w:trPr>
        <w:tc>
          <w:tcPr>
            <w:tcW w:w="860" w:type="dxa"/>
            <w:vAlign w:val="bottom"/>
            <w:tcBorders>
              <w:top w:val="single" w:sz="8" w:color="0000EE"/>
              <w:bottom w:val="single" w:sz="8" w:color="0000EE"/>
            </w:tcBorders>
            <w:gridSpan w:val="6"/>
          </w:tcPr>
          <w:p>
            <w:pPr>
              <w:spacing w:after="0" w:line="88" w:lineRule="exact"/>
              <w:rPr>
                <w:rFonts w:ascii="Arial" w:cs="Arial" w:eastAsia="Arial" w:hAnsi="Arial"/>
                <w:sz w:val="10"/>
                <w:szCs w:val="10"/>
                <w:b w:val="1"/>
                <w:bCs w:val="1"/>
                <w:color w:val="0000EE"/>
                <w:w w:val="93"/>
              </w:rPr>
            </w:pPr>
            <w:hyperlink w:anchor="page33">
              <w:r>
                <w:rPr>
                  <w:rFonts w:ascii="Arial" w:cs="Arial" w:eastAsia="Arial" w:hAnsi="Arial"/>
                  <w:sz w:val="10"/>
                  <w:szCs w:val="10"/>
                  <w:b w:val="1"/>
                  <w:bCs w:val="1"/>
                  <w:color w:val="0000EE"/>
                  <w:w w:val="93"/>
                </w:rPr>
                <w:t>Board Governance</w:t>
              </w:r>
            </w:hyperlink>
          </w:p>
        </w:tc>
        <w:tc>
          <w:tcPr>
            <w:tcW w:w="20" w:type="dxa"/>
            <w:vAlign w:val="bottom"/>
            <w:tcBorders>
              <w:bottom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760" w:type="dxa"/>
            <w:vAlign w:val="bottom"/>
            <w:gridSpan w:val="2"/>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33">
              <w:r>
                <w:rPr>
                  <w:rFonts w:ascii="Arial" w:cs="Arial" w:eastAsia="Arial" w:hAnsi="Arial"/>
                  <w:sz w:val="10"/>
                  <w:szCs w:val="10"/>
                  <w:b w:val="1"/>
                  <w:bCs w:val="1"/>
                  <w:color w:val="0000EE"/>
                  <w:w w:val="89"/>
                </w:rPr>
                <w:t>22</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680" w:type="dxa"/>
            <w:vAlign w:val="bottom"/>
            <w:tcBorders>
              <w:bottom w:val="single" w:sz="8" w:color="0000EE"/>
            </w:tcBorders>
            <w:gridSpan w:val="7"/>
          </w:tcPr>
          <w:p>
            <w:pPr>
              <w:spacing w:after="0" w:line="88" w:lineRule="exact"/>
              <w:rPr>
                <w:rFonts w:ascii="Arial" w:cs="Arial" w:eastAsia="Arial" w:hAnsi="Arial"/>
                <w:sz w:val="10"/>
                <w:szCs w:val="10"/>
                <w:color w:val="0000EE"/>
                <w:w w:val="94"/>
              </w:rPr>
            </w:pPr>
            <w:hyperlink w:anchor="page33">
              <w:r>
                <w:rPr>
                  <w:rFonts w:ascii="Arial" w:cs="Arial" w:eastAsia="Arial" w:hAnsi="Arial"/>
                  <w:sz w:val="10"/>
                  <w:szCs w:val="10"/>
                  <w:color w:val="0000EE"/>
                  <w:w w:val="94"/>
                </w:rPr>
                <w:t>Board Structure</w:t>
              </w:r>
            </w:hyperlink>
          </w:p>
        </w:tc>
        <w:tc>
          <w:tcPr>
            <w:tcW w:w="5940" w:type="dxa"/>
            <w:vAlign w:val="bottom"/>
            <w:gridSpan w:val="10"/>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33">
              <w:r>
                <w:rPr>
                  <w:rFonts w:ascii="Arial" w:cs="Arial" w:eastAsia="Arial" w:hAnsi="Arial"/>
                  <w:sz w:val="10"/>
                  <w:szCs w:val="10"/>
                  <w:color w:val="0000EE"/>
                  <w:w w:val="89"/>
                </w:rPr>
                <w:t>22</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1900" w:type="dxa"/>
            <w:vAlign w:val="bottom"/>
            <w:tcBorders>
              <w:bottom w:val="single" w:sz="8" w:color="0000EE"/>
            </w:tcBorders>
            <w:gridSpan w:val="12"/>
          </w:tcPr>
          <w:p>
            <w:pPr>
              <w:spacing w:after="0" w:line="88" w:lineRule="exact"/>
              <w:rPr>
                <w:rFonts w:ascii="Arial" w:cs="Arial" w:eastAsia="Arial" w:hAnsi="Arial"/>
                <w:sz w:val="10"/>
                <w:szCs w:val="10"/>
                <w:color w:val="0000EE"/>
                <w:w w:val="95"/>
              </w:rPr>
            </w:pPr>
            <w:hyperlink w:anchor="page33">
              <w:r>
                <w:rPr>
                  <w:rFonts w:ascii="Arial" w:cs="Arial" w:eastAsia="Arial" w:hAnsi="Arial"/>
                  <w:sz w:val="10"/>
                  <w:szCs w:val="10"/>
                  <w:color w:val="0000EE"/>
                  <w:w w:val="95"/>
                </w:rPr>
                <w:t>Board Meetings and Attendance of Directors</w:t>
              </w:r>
            </w:hyperlink>
          </w:p>
        </w:tc>
        <w:tc>
          <w:tcPr>
            <w:tcW w:w="4720" w:type="dxa"/>
            <w:vAlign w:val="bottom"/>
            <w:gridSpan w:val="5"/>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33">
              <w:r>
                <w:rPr>
                  <w:rFonts w:ascii="Arial" w:cs="Arial" w:eastAsia="Arial" w:hAnsi="Arial"/>
                  <w:sz w:val="10"/>
                  <w:szCs w:val="10"/>
                  <w:color w:val="0000EE"/>
                  <w:w w:val="89"/>
                </w:rPr>
                <w:t>22</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6620" w:type="dxa"/>
            <w:vAlign w:val="bottom"/>
            <w:gridSpan w:val="17"/>
          </w:tcPr>
          <w:p>
            <w:pPr>
              <w:spacing w:after="0" w:line="88" w:lineRule="exact"/>
              <w:rPr>
                <w:rFonts w:ascii="Arial" w:cs="Arial" w:eastAsia="Arial" w:hAnsi="Arial"/>
                <w:sz w:val="10"/>
                <w:szCs w:val="10"/>
                <w:color w:val="0000EE"/>
              </w:rPr>
            </w:pPr>
            <w:hyperlink w:anchor="page33">
              <w:r>
                <w:rPr>
                  <w:rFonts w:ascii="Arial" w:cs="Arial" w:eastAsia="Arial" w:hAnsi="Arial"/>
                  <w:sz w:val="10"/>
                  <w:szCs w:val="10"/>
                  <w:color w:val="0000EE"/>
                </w:rPr>
                <w:t>Procedures Relating to Nominees; Board Succession Planning</w:t>
              </w:r>
            </w:hyperlink>
          </w:p>
        </w:tc>
        <w:tc>
          <w:tcPr>
            <w:tcW w:w="2840" w:type="dxa"/>
            <w:vAlign w:val="bottom"/>
            <w:gridSpan w:val="3"/>
          </w:tcPr>
          <w:p>
            <w:pPr>
              <w:jc w:val="right"/>
              <w:ind w:right="20"/>
              <w:spacing w:after="0" w:line="88" w:lineRule="exact"/>
              <w:rPr>
                <w:rFonts w:ascii="Arial" w:cs="Arial" w:eastAsia="Arial" w:hAnsi="Arial"/>
                <w:sz w:val="10"/>
                <w:szCs w:val="10"/>
                <w:color w:val="0000EE"/>
              </w:rPr>
            </w:pPr>
            <w:hyperlink w:anchor="page33">
              <w:r>
                <w:rPr>
                  <w:rFonts w:ascii="Arial" w:cs="Arial" w:eastAsia="Arial" w:hAnsi="Arial"/>
                  <w:sz w:val="10"/>
                  <w:szCs w:val="10"/>
                  <w:color w:val="0000EE"/>
                </w:rPr>
                <w:t>22</w:t>
              </w:r>
            </w:hyperlink>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1740" w:type="dxa"/>
            <w:vAlign w:val="bottom"/>
            <w:tcBorders>
              <w:top w:val="single" w:sz="8" w:color="0000EE"/>
              <w:bottom w:val="single" w:sz="8" w:color="0000EE"/>
            </w:tcBorders>
            <w:gridSpan w:val="11"/>
          </w:tcPr>
          <w:p>
            <w:pPr>
              <w:spacing w:after="0" w:line="88" w:lineRule="exact"/>
              <w:rPr>
                <w:rFonts w:ascii="Arial" w:cs="Arial" w:eastAsia="Arial" w:hAnsi="Arial"/>
                <w:sz w:val="10"/>
                <w:szCs w:val="10"/>
                <w:color w:val="0000EE"/>
                <w:w w:val="95"/>
              </w:rPr>
            </w:pPr>
            <w:hyperlink w:anchor="page34">
              <w:r>
                <w:rPr>
                  <w:rFonts w:ascii="Arial" w:cs="Arial" w:eastAsia="Arial" w:hAnsi="Arial"/>
                  <w:sz w:val="10"/>
                  <w:szCs w:val="10"/>
                  <w:color w:val="0000EE"/>
                  <w:w w:val="95"/>
                </w:rPr>
                <w:t>Board and Committee Self-Assessments</w:t>
              </w:r>
            </w:hyperlink>
          </w:p>
        </w:tc>
        <w:tc>
          <w:tcPr>
            <w:tcW w:w="920" w:type="dxa"/>
            <w:vAlign w:val="bottom"/>
            <w:tcBorders>
              <w:top w:val="single" w:sz="8" w:color="0000EE"/>
            </w:tcBorders>
            <w:gridSpan w:val="3"/>
          </w:tcPr>
          <w:p>
            <w:pPr>
              <w:spacing w:after="0"/>
              <w:rPr>
                <w:sz w:val="7"/>
                <w:szCs w:val="7"/>
                <w:color w:val="auto"/>
              </w:rPr>
            </w:pPr>
          </w:p>
        </w:tc>
        <w:tc>
          <w:tcPr>
            <w:tcW w:w="3960" w:type="dxa"/>
            <w:vAlign w:val="bottom"/>
            <w:gridSpan w:val="3"/>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color w:val="0000EE"/>
                <w:w w:val="89"/>
              </w:rPr>
            </w:pPr>
            <w:hyperlink w:anchor="page34">
              <w:r>
                <w:rPr>
                  <w:rFonts w:ascii="Arial" w:cs="Arial" w:eastAsia="Arial" w:hAnsi="Arial"/>
                  <w:sz w:val="10"/>
                  <w:szCs w:val="10"/>
                  <w:color w:val="0000EE"/>
                  <w:w w:val="89"/>
                </w:rPr>
                <w:t>23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3920" w:type="dxa"/>
            <w:vAlign w:val="bottom"/>
            <w:tcBorders>
              <w:bottom w:val="single" w:sz="8" w:color="0000EE"/>
            </w:tcBorders>
            <w:gridSpan w:val="16"/>
          </w:tcPr>
          <w:p>
            <w:pPr>
              <w:spacing w:after="0" w:line="88" w:lineRule="exact"/>
              <w:rPr>
                <w:rFonts w:ascii="Arial" w:cs="Arial" w:eastAsia="Arial" w:hAnsi="Arial"/>
                <w:sz w:val="10"/>
                <w:szCs w:val="10"/>
                <w:color w:val="0000EE"/>
                <w:w w:val="95"/>
              </w:rPr>
            </w:pPr>
            <w:hyperlink w:anchor="page34">
              <w:r>
                <w:rPr>
                  <w:rFonts w:ascii="Arial" w:cs="Arial" w:eastAsia="Arial" w:hAnsi="Arial"/>
                  <w:sz w:val="10"/>
                  <w:szCs w:val="10"/>
                  <w:color w:val="0000EE"/>
                  <w:w w:val="95"/>
                </w:rPr>
                <w:t>Shareholder Rights to Remove Directors for Cause and to Call Special Shareholder Meeting</w:t>
              </w:r>
            </w:hyperlink>
          </w:p>
        </w:tc>
        <w:tc>
          <w:tcPr>
            <w:tcW w:w="27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34">
              <w:r>
                <w:rPr>
                  <w:rFonts w:ascii="Arial" w:cs="Arial" w:eastAsia="Arial" w:hAnsi="Arial"/>
                  <w:sz w:val="10"/>
                  <w:szCs w:val="10"/>
                  <w:color w:val="0000EE"/>
                  <w:w w:val="89"/>
                </w:rPr>
                <w:t>23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980" w:type="dxa"/>
            <w:vAlign w:val="bottom"/>
            <w:tcBorders>
              <w:bottom w:val="single" w:sz="8" w:color="0000EE"/>
            </w:tcBorders>
            <w:gridSpan w:val="9"/>
          </w:tcPr>
          <w:p>
            <w:pPr>
              <w:spacing w:after="0" w:line="88" w:lineRule="exact"/>
              <w:rPr>
                <w:rFonts w:ascii="Arial" w:cs="Arial" w:eastAsia="Arial" w:hAnsi="Arial"/>
                <w:sz w:val="10"/>
                <w:szCs w:val="10"/>
                <w:color w:val="0000EE"/>
                <w:w w:val="94"/>
              </w:rPr>
            </w:pPr>
            <w:hyperlink w:anchor="page34">
              <w:r>
                <w:rPr>
                  <w:rFonts w:ascii="Arial" w:cs="Arial" w:eastAsia="Arial" w:hAnsi="Arial"/>
                  <w:sz w:val="10"/>
                  <w:szCs w:val="10"/>
                  <w:color w:val="0000EE"/>
                  <w:w w:val="94"/>
                </w:rPr>
                <w:t>Director Independence</w:t>
              </w:r>
            </w:hyperlink>
          </w:p>
        </w:tc>
        <w:tc>
          <w:tcPr>
            <w:tcW w:w="5640" w:type="dxa"/>
            <w:vAlign w:val="bottom"/>
            <w:gridSpan w:val="8"/>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34">
              <w:r>
                <w:rPr>
                  <w:rFonts w:ascii="Arial" w:cs="Arial" w:eastAsia="Arial" w:hAnsi="Arial"/>
                  <w:sz w:val="10"/>
                  <w:szCs w:val="10"/>
                  <w:color w:val="0000EE"/>
                  <w:w w:val="89"/>
                </w:rPr>
                <w:t>23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6620" w:type="dxa"/>
            <w:vAlign w:val="bottom"/>
            <w:gridSpan w:val="17"/>
          </w:tcPr>
          <w:p>
            <w:pPr>
              <w:spacing w:after="0" w:line="88" w:lineRule="exact"/>
              <w:rPr>
                <w:rFonts w:ascii="Arial" w:cs="Arial" w:eastAsia="Arial" w:hAnsi="Arial"/>
                <w:sz w:val="10"/>
                <w:szCs w:val="10"/>
                <w:color w:val="0000EE"/>
              </w:rPr>
            </w:pPr>
            <w:hyperlink w:anchor="page35">
              <w:r>
                <w:rPr>
                  <w:rFonts w:ascii="Arial" w:cs="Arial" w:eastAsia="Arial" w:hAnsi="Arial"/>
                  <w:sz w:val="10"/>
                  <w:szCs w:val="10"/>
                  <w:color w:val="0000EE"/>
                </w:rPr>
                <w:t>Board Leadership and Role in Risk Oversight</w:t>
              </w:r>
            </w:hyperlink>
          </w:p>
        </w:tc>
        <w:tc>
          <w:tcPr>
            <w:tcW w:w="2840" w:type="dxa"/>
            <w:vAlign w:val="bottom"/>
            <w:gridSpan w:val="3"/>
          </w:tcPr>
          <w:p>
            <w:pPr>
              <w:jc w:val="right"/>
              <w:ind w:right="20"/>
              <w:spacing w:after="0" w:line="88" w:lineRule="exact"/>
              <w:rPr>
                <w:rFonts w:ascii="Arial" w:cs="Arial" w:eastAsia="Arial" w:hAnsi="Arial"/>
                <w:sz w:val="10"/>
                <w:szCs w:val="10"/>
                <w:color w:val="0000EE"/>
              </w:rPr>
            </w:pPr>
            <w:hyperlink w:anchor="page35">
              <w:r>
                <w:rPr>
                  <w:rFonts w:ascii="Arial" w:cs="Arial" w:eastAsia="Arial" w:hAnsi="Arial"/>
                  <w:sz w:val="10"/>
                  <w:szCs w:val="10"/>
                  <w:color w:val="0000EE"/>
                </w:rPr>
                <w:t>24</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gridSpan w:val="9"/>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60" w:type="dxa"/>
            <w:vAlign w:val="bottom"/>
          </w:tcPr>
          <w:p>
            <w:pPr>
              <w:spacing w:after="0"/>
              <w:rPr>
                <w:sz w:val="7"/>
                <w:szCs w:val="7"/>
                <w:color w:val="auto"/>
              </w:rPr>
            </w:pPr>
          </w:p>
        </w:tc>
        <w:tc>
          <w:tcPr>
            <w:tcW w:w="6620" w:type="dxa"/>
            <w:vAlign w:val="bottom"/>
            <w:gridSpan w:val="17"/>
          </w:tcPr>
          <w:p>
            <w:pPr>
              <w:spacing w:after="0" w:line="88" w:lineRule="exact"/>
              <w:rPr>
                <w:rFonts w:ascii="Arial" w:cs="Arial" w:eastAsia="Arial" w:hAnsi="Arial"/>
                <w:sz w:val="10"/>
                <w:szCs w:val="10"/>
                <w:color w:val="0000EE"/>
              </w:rPr>
            </w:pPr>
            <w:hyperlink w:anchor="page36">
              <w:r>
                <w:rPr>
                  <w:rFonts w:ascii="Arial" w:cs="Arial" w:eastAsia="Arial" w:hAnsi="Arial"/>
                  <w:sz w:val="10"/>
                  <w:szCs w:val="10"/>
                  <w:color w:val="0000EE"/>
                </w:rPr>
                <w:t>Executive Compensation Processes and Procedures; Role of Compensation Consultants</w:t>
              </w:r>
            </w:hyperlink>
          </w:p>
        </w:tc>
        <w:tc>
          <w:tcPr>
            <w:tcW w:w="2840" w:type="dxa"/>
            <w:vAlign w:val="bottom"/>
            <w:gridSpan w:val="3"/>
          </w:tcPr>
          <w:p>
            <w:pPr>
              <w:jc w:val="right"/>
              <w:ind w:right="20"/>
              <w:spacing w:after="0" w:line="88" w:lineRule="exact"/>
              <w:rPr>
                <w:rFonts w:ascii="Arial" w:cs="Arial" w:eastAsia="Arial" w:hAnsi="Arial"/>
                <w:sz w:val="10"/>
                <w:szCs w:val="10"/>
                <w:color w:val="0000EE"/>
              </w:rPr>
            </w:pPr>
            <w:hyperlink w:anchor="page36">
              <w:r>
                <w:rPr>
                  <w:rFonts w:ascii="Arial" w:cs="Arial" w:eastAsia="Arial" w:hAnsi="Arial"/>
                  <w:sz w:val="10"/>
                  <w:szCs w:val="10"/>
                  <w:color w:val="0000EE"/>
                </w:rPr>
                <w:t>25</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gridSpan w:val="9"/>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40" w:type="dxa"/>
            <w:vAlign w:val="bottom"/>
            <w:tcBorders>
              <w:bottom w:val="single" w:sz="8" w:color="0000EE"/>
            </w:tcBorders>
            <w:gridSpan w:val="10"/>
          </w:tcPr>
          <w:p>
            <w:pPr>
              <w:spacing w:after="0" w:line="88" w:lineRule="exact"/>
              <w:rPr>
                <w:rFonts w:ascii="Arial" w:cs="Arial" w:eastAsia="Arial" w:hAnsi="Arial"/>
                <w:sz w:val="10"/>
                <w:szCs w:val="10"/>
                <w:b w:val="1"/>
                <w:bCs w:val="1"/>
                <w:color w:val="0000EE"/>
                <w:w w:val="95"/>
              </w:rPr>
            </w:pPr>
            <w:hyperlink w:anchor="page37">
              <w:r>
                <w:rPr>
                  <w:rFonts w:ascii="Arial" w:cs="Arial" w:eastAsia="Arial" w:hAnsi="Arial"/>
                  <w:sz w:val="10"/>
                  <w:szCs w:val="10"/>
                  <w:b w:val="1"/>
                  <w:bCs w:val="1"/>
                  <w:color w:val="0000EE"/>
                  <w:w w:val="95"/>
                </w:rPr>
                <w:t>Compensation of Directors</w:t>
              </w:r>
            </w:hyperlink>
          </w:p>
        </w:tc>
        <w:tc>
          <w:tcPr>
            <w:tcW w:w="2800" w:type="dxa"/>
            <w:vAlign w:val="bottom"/>
            <w:gridSpan w:val="6"/>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37">
              <w:r>
                <w:rPr>
                  <w:rFonts w:ascii="Arial" w:cs="Arial" w:eastAsia="Arial" w:hAnsi="Arial"/>
                  <w:sz w:val="10"/>
                  <w:szCs w:val="10"/>
                  <w:b w:val="1"/>
                  <w:bCs w:val="1"/>
                  <w:color w:val="0000EE"/>
                  <w:w w:val="89"/>
                </w:rPr>
                <w:t>26</w:t>
              </w:r>
            </w:hyperlink>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2">
            <w:col w:w="1180" w:space="600"/>
            <w:col w:w="9700"/>
          </w:cols>
          <w:pgMar w:left="220" w:top="142" w:right="199" w:bottom="1440" w:gutter="0" w:footer="0" w:header="0"/>
          <w:type w:val="continuous"/>
        </w:sectPr>
      </w:pPr>
    </w:p>
    <w:tbl>
      <w:tblPr>
        <w:tblLayout w:type="fixed"/>
        <w:tblInd w:w="1600" w:type="dxa"/>
        <w:tblCellMar>
          <w:top w:w="0" w:type="dxa"/>
          <w:left w:w="0" w:type="dxa"/>
          <w:bottom w:w="0" w:type="dxa"/>
          <w:right w:w="0" w:type="dxa"/>
        </w:tblCellMar>
      </w:tblPr>
      <w:tr>
        <w:trPr>
          <w:trHeight w:val="144"/>
        </w:trPr>
        <w:tc>
          <w:tcPr>
            <w:tcW w:w="1220" w:type="dxa"/>
            <w:vAlign w:val="bottom"/>
            <w:tcBorders>
              <w:top w:val="single" w:sz="8" w:color="105BAB"/>
              <w:bottom w:val="single" w:sz="8" w:color="0000EE"/>
            </w:tcBorders>
            <w:gridSpan w:val="12"/>
          </w:tcPr>
          <w:p>
            <w:pPr>
              <w:spacing w:after="0" w:line="144" w:lineRule="exact"/>
              <w:rPr>
                <w:rFonts w:ascii="Arial" w:cs="Arial" w:eastAsia="Arial" w:hAnsi="Arial"/>
                <w:sz w:val="14"/>
                <w:szCs w:val="14"/>
                <w:color w:val="0000EE"/>
              </w:rPr>
            </w:pPr>
            <w:hyperlink w:anchor="page41">
              <w:r>
                <w:rPr>
                  <w:rFonts w:ascii="Arial" w:cs="Arial" w:eastAsia="Arial" w:hAnsi="Arial"/>
                  <w:sz w:val="14"/>
                  <w:szCs w:val="14"/>
                  <w:color w:val="0000EE"/>
                </w:rPr>
                <w:t>PROPOSAL NO. 1</w:t>
              </w:r>
            </w:hyperlink>
          </w:p>
        </w:tc>
        <w:tc>
          <w:tcPr>
            <w:tcW w:w="7320" w:type="dxa"/>
            <w:vAlign w:val="bottom"/>
            <w:tcBorders>
              <w:top w:val="single" w:sz="8" w:color="105BAB"/>
            </w:tcBorders>
            <w:gridSpan w:val="17"/>
          </w:tcPr>
          <w:p>
            <w:pPr>
              <w:spacing w:after="0"/>
              <w:rPr>
                <w:sz w:val="12"/>
                <w:szCs w:val="12"/>
                <w:color w:val="auto"/>
              </w:rPr>
            </w:pPr>
          </w:p>
        </w:tc>
        <w:tc>
          <w:tcPr>
            <w:tcW w:w="1160" w:type="dxa"/>
            <w:vAlign w:val="bottom"/>
            <w:tcBorders>
              <w:top w:val="single" w:sz="8" w:color="105BAB"/>
            </w:tcBorders>
          </w:tcPr>
          <w:p>
            <w:pPr>
              <w:spacing w:after="0"/>
              <w:rPr>
                <w:sz w:val="12"/>
                <w:szCs w:val="12"/>
                <w:color w:val="auto"/>
              </w:rPr>
            </w:pPr>
          </w:p>
        </w:tc>
        <w:tc>
          <w:tcPr>
            <w:tcW w:w="60" w:type="dxa"/>
            <w:vAlign w:val="bottom"/>
            <w:tcBorders>
              <w:top w:val="single" w:sz="8" w:color="105BAB"/>
            </w:tcBorders>
          </w:tcPr>
          <w:p>
            <w:pPr>
              <w:spacing w:after="0"/>
              <w:rPr>
                <w:sz w:val="12"/>
                <w:szCs w:val="12"/>
                <w:color w:val="auto"/>
              </w:rPr>
            </w:pPr>
          </w:p>
        </w:tc>
        <w:tc>
          <w:tcPr>
            <w:tcW w:w="120" w:type="dxa"/>
            <w:vAlign w:val="bottom"/>
            <w:tcBorders>
              <w:top w:val="single" w:sz="8" w:color="105BAB"/>
            </w:tcBorders>
          </w:tcPr>
          <w:p>
            <w:pPr>
              <w:spacing w:after="0"/>
              <w:rPr>
                <w:sz w:val="12"/>
                <w:szCs w:val="12"/>
                <w:color w:val="auto"/>
              </w:rPr>
            </w:pPr>
          </w:p>
        </w:tc>
        <w:tc>
          <w:tcPr>
            <w:tcW w:w="20" w:type="dxa"/>
            <w:vAlign w:val="bottom"/>
            <w:tcBorders>
              <w:top w:val="single" w:sz="8" w:color="105BAB"/>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540" w:type="dxa"/>
            <w:vAlign w:val="bottom"/>
            <w:gridSpan w:val="29"/>
          </w:tcPr>
          <w:p>
            <w:pPr>
              <w:spacing w:after="0" w:line="160" w:lineRule="exact"/>
              <w:rPr>
                <w:rFonts w:ascii="Arial" w:cs="Arial" w:eastAsia="Arial" w:hAnsi="Arial"/>
                <w:sz w:val="16"/>
                <w:szCs w:val="16"/>
                <w:color w:val="105BAB"/>
              </w:rPr>
            </w:pPr>
            <w:hyperlink w:anchor="page41">
              <w:r>
                <w:rPr>
                  <w:rFonts w:ascii="Arial" w:cs="Arial" w:eastAsia="Arial" w:hAnsi="Arial"/>
                  <w:sz w:val="16"/>
                  <w:szCs w:val="16"/>
                  <w:color w:val="105BAB"/>
                </w:rPr>
                <w:t>ELECTION OF DIRECTORS</w:t>
              </w:r>
            </w:hyperlink>
          </w:p>
        </w:tc>
        <w:tc>
          <w:tcPr>
            <w:tcW w:w="1340" w:type="dxa"/>
            <w:vAlign w:val="bottom"/>
            <w:gridSpan w:val="3"/>
          </w:tcPr>
          <w:p>
            <w:pPr>
              <w:jc w:val="right"/>
              <w:spacing w:after="0" w:line="160" w:lineRule="exact"/>
              <w:rPr>
                <w:rFonts w:ascii="Arial" w:cs="Arial" w:eastAsia="Arial" w:hAnsi="Arial"/>
                <w:sz w:val="16"/>
                <w:szCs w:val="16"/>
                <w:color w:val="105BAB"/>
              </w:rPr>
            </w:pPr>
            <w:hyperlink w:anchor="page41">
              <w:r>
                <w:rPr>
                  <w:rFonts w:ascii="Arial" w:cs="Arial" w:eastAsia="Arial" w:hAnsi="Arial"/>
                  <w:sz w:val="16"/>
                  <w:szCs w:val="16"/>
                  <w:color w:val="105BAB"/>
                </w:rPr>
                <w:t>30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105BAB"/>
            </w:tcBorders>
          </w:tcPr>
          <w:p>
            <w:pPr>
              <w:spacing w:after="0" w:line="20" w:lineRule="exact"/>
              <w:rPr>
                <w:sz w:val="1"/>
                <w:szCs w:val="1"/>
                <w:color w:val="auto"/>
              </w:rPr>
            </w:pPr>
          </w:p>
        </w:tc>
        <w:tc>
          <w:tcPr>
            <w:tcW w:w="160" w:type="dxa"/>
            <w:vAlign w:val="bottom"/>
            <w:tcBorders>
              <w:top w:val="single" w:sz="8" w:color="105BAB"/>
              <w:bottom w:val="single" w:sz="8" w:color="105BAB"/>
            </w:tcBorders>
          </w:tcPr>
          <w:p>
            <w:pPr>
              <w:spacing w:after="0" w:line="20" w:lineRule="exact"/>
              <w:rPr>
                <w:sz w:val="1"/>
                <w:szCs w:val="1"/>
                <w:color w:val="auto"/>
              </w:rPr>
            </w:pPr>
          </w:p>
        </w:tc>
        <w:tc>
          <w:tcPr>
            <w:tcW w:w="180" w:type="dxa"/>
            <w:vAlign w:val="bottom"/>
            <w:tcBorders>
              <w:top w:val="single" w:sz="8" w:color="105BAB"/>
              <w:bottom w:val="single" w:sz="8" w:color="105BAB"/>
            </w:tcBorders>
          </w:tcPr>
          <w:p>
            <w:pPr>
              <w:spacing w:after="0" w:line="20" w:lineRule="exact"/>
              <w:rPr>
                <w:sz w:val="1"/>
                <w:szCs w:val="1"/>
                <w:color w:val="auto"/>
              </w:rPr>
            </w:pPr>
          </w:p>
        </w:tc>
        <w:tc>
          <w:tcPr>
            <w:tcW w:w="80" w:type="dxa"/>
            <w:vAlign w:val="bottom"/>
            <w:tcBorders>
              <w:top w:val="single" w:sz="8" w:color="105BAB"/>
              <w:bottom w:val="single" w:sz="8" w:color="105BAB"/>
            </w:tcBorders>
          </w:tcPr>
          <w:p>
            <w:pPr>
              <w:spacing w:after="0" w:line="20" w:lineRule="exact"/>
              <w:rPr>
                <w:sz w:val="1"/>
                <w:szCs w:val="1"/>
                <w:color w:val="auto"/>
              </w:rPr>
            </w:pPr>
          </w:p>
        </w:tc>
        <w:tc>
          <w:tcPr>
            <w:tcW w:w="300" w:type="dxa"/>
            <w:vAlign w:val="bottom"/>
            <w:tcBorders>
              <w:top w:val="single" w:sz="8" w:color="105BAB"/>
              <w:bottom w:val="single" w:sz="8" w:color="105BAB"/>
            </w:tcBorders>
          </w:tcPr>
          <w:p>
            <w:pPr>
              <w:spacing w:after="0" w:line="20" w:lineRule="exact"/>
              <w:rPr>
                <w:sz w:val="1"/>
                <w:szCs w:val="1"/>
                <w:color w:val="auto"/>
              </w:rPr>
            </w:pPr>
          </w:p>
        </w:tc>
        <w:tc>
          <w:tcPr>
            <w:tcW w:w="100" w:type="dxa"/>
            <w:vAlign w:val="bottom"/>
            <w:tcBorders>
              <w:top w:val="single" w:sz="8" w:color="105BAB"/>
              <w:bottom w:val="single" w:sz="8" w:color="105BAB"/>
            </w:tcBorders>
          </w:tcPr>
          <w:p>
            <w:pPr>
              <w:spacing w:after="0" w:line="20" w:lineRule="exact"/>
              <w:rPr>
                <w:sz w:val="1"/>
                <w:szCs w:val="1"/>
                <w:color w:val="auto"/>
              </w:rPr>
            </w:pPr>
          </w:p>
        </w:tc>
        <w:tc>
          <w:tcPr>
            <w:tcW w:w="10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100" w:type="dxa"/>
            <w:vAlign w:val="bottom"/>
            <w:tcBorders>
              <w:top w:val="single" w:sz="8" w:color="105BAB"/>
              <w:bottom w:val="single" w:sz="8" w:color="105BAB"/>
            </w:tcBorders>
          </w:tcPr>
          <w:p>
            <w:pPr>
              <w:spacing w:after="0" w:line="20" w:lineRule="exact"/>
              <w:rPr>
                <w:sz w:val="1"/>
                <w:szCs w:val="1"/>
                <w:color w:val="auto"/>
              </w:rPr>
            </w:pPr>
          </w:p>
        </w:tc>
        <w:tc>
          <w:tcPr>
            <w:tcW w:w="1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4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20" w:type="dxa"/>
            <w:vAlign w:val="bottom"/>
            <w:tcBorders>
              <w:top w:val="single" w:sz="8" w:color="105BAB"/>
              <w:bottom w:val="single" w:sz="8" w:color="105BAB"/>
            </w:tcBorders>
          </w:tcPr>
          <w:p>
            <w:pPr>
              <w:spacing w:after="0" w:line="20" w:lineRule="exact"/>
              <w:rPr>
                <w:sz w:val="1"/>
                <w:szCs w:val="1"/>
                <w:color w:val="auto"/>
              </w:rPr>
            </w:pPr>
          </w:p>
        </w:tc>
        <w:tc>
          <w:tcPr>
            <w:tcW w:w="60" w:type="dxa"/>
            <w:vAlign w:val="bottom"/>
            <w:tcBorders>
              <w:top w:val="single" w:sz="8" w:color="105BAB"/>
              <w:bottom w:val="single" w:sz="8" w:color="105BAB"/>
            </w:tcBorders>
          </w:tcPr>
          <w:p>
            <w:pPr>
              <w:spacing w:after="0" w:line="20" w:lineRule="exact"/>
              <w:rPr>
                <w:sz w:val="1"/>
                <w:szCs w:val="1"/>
                <w:color w:val="auto"/>
              </w:rPr>
            </w:pPr>
          </w:p>
        </w:tc>
        <w:tc>
          <w:tcPr>
            <w:tcW w:w="1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160" w:type="dxa"/>
            <w:vAlign w:val="bottom"/>
            <w:tcBorders>
              <w:top w:val="single" w:sz="8" w:color="105BAB"/>
              <w:bottom w:val="single" w:sz="8" w:color="105BAB"/>
            </w:tcBorders>
          </w:tcPr>
          <w:p>
            <w:pPr>
              <w:spacing w:after="0" w:line="20" w:lineRule="exact"/>
              <w:rPr>
                <w:sz w:val="1"/>
                <w:szCs w:val="1"/>
                <w:color w:val="auto"/>
              </w:rPr>
            </w:pPr>
          </w:p>
        </w:tc>
        <w:tc>
          <w:tcPr>
            <w:tcW w:w="280" w:type="dxa"/>
            <w:vAlign w:val="bottom"/>
            <w:tcBorders>
              <w:bottom w:val="single" w:sz="8" w:color="105BAB"/>
            </w:tcBorders>
          </w:tcPr>
          <w:p>
            <w:pPr>
              <w:spacing w:after="0" w:line="20" w:lineRule="exact"/>
              <w:rPr>
                <w:sz w:val="1"/>
                <w:szCs w:val="1"/>
                <w:color w:val="auto"/>
              </w:rPr>
            </w:pPr>
          </w:p>
        </w:tc>
        <w:tc>
          <w:tcPr>
            <w:tcW w:w="240" w:type="dxa"/>
            <w:vAlign w:val="bottom"/>
            <w:tcBorders>
              <w:bottom w:val="single" w:sz="8" w:color="105BAB"/>
            </w:tcBorders>
          </w:tcPr>
          <w:p>
            <w:pPr>
              <w:spacing w:after="0" w:line="20" w:lineRule="exact"/>
              <w:rPr>
                <w:sz w:val="1"/>
                <w:szCs w:val="1"/>
                <w:color w:val="auto"/>
              </w:rPr>
            </w:pPr>
          </w:p>
        </w:tc>
        <w:tc>
          <w:tcPr>
            <w:tcW w:w="180" w:type="dxa"/>
            <w:vAlign w:val="bottom"/>
            <w:tcBorders>
              <w:bottom w:val="single" w:sz="8" w:color="105BAB"/>
            </w:tcBorders>
          </w:tcPr>
          <w:p>
            <w:pPr>
              <w:spacing w:after="0" w:line="20" w:lineRule="exact"/>
              <w:rPr>
                <w:sz w:val="1"/>
                <w:szCs w:val="1"/>
                <w:color w:val="auto"/>
              </w:rPr>
            </w:pPr>
          </w:p>
        </w:tc>
        <w:tc>
          <w:tcPr>
            <w:tcW w:w="60" w:type="dxa"/>
            <w:vAlign w:val="bottom"/>
            <w:tcBorders>
              <w:bottom w:val="single" w:sz="8" w:color="105BAB"/>
            </w:tcBorders>
          </w:tcPr>
          <w:p>
            <w:pPr>
              <w:spacing w:after="0" w:line="20" w:lineRule="exact"/>
              <w:rPr>
                <w:sz w:val="1"/>
                <w:szCs w:val="1"/>
                <w:color w:val="auto"/>
              </w:rPr>
            </w:pPr>
          </w:p>
        </w:tc>
        <w:tc>
          <w:tcPr>
            <w:tcW w:w="460" w:type="dxa"/>
            <w:vAlign w:val="bottom"/>
            <w:tcBorders>
              <w:bottom w:val="single" w:sz="8" w:color="105BAB"/>
            </w:tcBorders>
          </w:tcPr>
          <w:p>
            <w:pPr>
              <w:spacing w:after="0" w:line="20" w:lineRule="exact"/>
              <w:rPr>
                <w:sz w:val="1"/>
                <w:szCs w:val="1"/>
                <w:color w:val="auto"/>
              </w:rPr>
            </w:pPr>
          </w:p>
        </w:tc>
        <w:tc>
          <w:tcPr>
            <w:tcW w:w="140" w:type="dxa"/>
            <w:vAlign w:val="bottom"/>
            <w:tcBorders>
              <w:bottom w:val="single" w:sz="8" w:color="105BAB"/>
            </w:tcBorders>
          </w:tcPr>
          <w:p>
            <w:pPr>
              <w:spacing w:after="0" w:line="20" w:lineRule="exact"/>
              <w:rPr>
                <w:sz w:val="1"/>
                <w:szCs w:val="1"/>
                <w:color w:val="auto"/>
              </w:rPr>
            </w:pPr>
          </w:p>
        </w:tc>
        <w:tc>
          <w:tcPr>
            <w:tcW w:w="380" w:type="dxa"/>
            <w:vAlign w:val="bottom"/>
            <w:tcBorders>
              <w:bottom w:val="single" w:sz="8" w:color="105BAB"/>
            </w:tcBorders>
          </w:tcPr>
          <w:p>
            <w:pPr>
              <w:spacing w:after="0" w:line="20" w:lineRule="exact"/>
              <w:rPr>
                <w:sz w:val="1"/>
                <w:szCs w:val="1"/>
                <w:color w:val="auto"/>
              </w:rPr>
            </w:pPr>
          </w:p>
        </w:tc>
        <w:tc>
          <w:tcPr>
            <w:tcW w:w="3560" w:type="dxa"/>
            <w:vAlign w:val="bottom"/>
            <w:tcBorders>
              <w:bottom w:val="single" w:sz="8" w:color="105BAB"/>
            </w:tcBorders>
          </w:tcPr>
          <w:p>
            <w:pPr>
              <w:spacing w:after="0" w:line="20" w:lineRule="exact"/>
              <w:rPr>
                <w:sz w:val="1"/>
                <w:szCs w:val="1"/>
                <w:color w:val="auto"/>
              </w:rPr>
            </w:pPr>
          </w:p>
        </w:tc>
        <w:tc>
          <w:tcPr>
            <w:tcW w:w="1160" w:type="dxa"/>
            <w:vAlign w:val="bottom"/>
            <w:tcBorders>
              <w:bottom w:val="single" w:sz="8" w:color="105BAB"/>
            </w:tcBorders>
          </w:tcPr>
          <w:p>
            <w:pPr>
              <w:spacing w:after="0" w:line="20" w:lineRule="exact"/>
              <w:rPr>
                <w:sz w:val="1"/>
                <w:szCs w:val="1"/>
                <w:color w:val="auto"/>
              </w:rPr>
            </w:pPr>
          </w:p>
        </w:tc>
        <w:tc>
          <w:tcPr>
            <w:tcW w:w="1160" w:type="dxa"/>
            <w:vAlign w:val="bottom"/>
            <w:tcBorders>
              <w:bottom w:val="single" w:sz="8" w:color="105BAB"/>
            </w:tcBorders>
          </w:tcPr>
          <w:p>
            <w:pPr>
              <w:spacing w:after="0" w:line="20" w:lineRule="exact"/>
              <w:rPr>
                <w:sz w:val="1"/>
                <w:szCs w:val="1"/>
                <w:color w:val="auto"/>
              </w:rPr>
            </w:pPr>
          </w:p>
        </w:tc>
        <w:tc>
          <w:tcPr>
            <w:tcW w:w="60" w:type="dxa"/>
            <w:vAlign w:val="bottom"/>
            <w:tcBorders>
              <w:top w:val="single" w:sz="8" w:color="105BAB"/>
              <w:bottom w:val="single" w:sz="8" w:color="105BAB"/>
            </w:tcBorders>
          </w:tcPr>
          <w:p>
            <w:pPr>
              <w:spacing w:after="0" w:line="20" w:lineRule="exact"/>
              <w:rPr>
                <w:sz w:val="1"/>
                <w:szCs w:val="1"/>
                <w:color w:val="auto"/>
              </w:rPr>
            </w:pPr>
          </w:p>
        </w:tc>
        <w:tc>
          <w:tcPr>
            <w:tcW w:w="1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bottom w:val="single" w:sz="8" w:color="105BA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105BAB"/>
            </w:tcBorders>
            <w:gridSpan w:val="7"/>
          </w:tcPr>
          <w:p>
            <w:pPr>
              <w:spacing w:after="0"/>
              <w:rPr>
                <w:rFonts w:ascii="Arial" w:cs="Arial" w:eastAsia="Arial" w:hAnsi="Arial"/>
                <w:sz w:val="12"/>
                <w:szCs w:val="12"/>
                <w:b w:val="1"/>
                <w:bCs w:val="1"/>
                <w:color w:val="105BAB"/>
                <w:w w:val="98"/>
              </w:rPr>
            </w:pPr>
            <w:hyperlink w:anchor="page42">
              <w:r>
                <w:rPr>
                  <w:rFonts w:ascii="Arial" w:cs="Arial" w:eastAsia="Arial" w:hAnsi="Arial"/>
                  <w:sz w:val="12"/>
                  <w:szCs w:val="12"/>
                  <w:b w:val="1"/>
                  <w:bCs w:val="1"/>
                  <w:color w:val="105BAB"/>
                  <w:w w:val="98"/>
                </w:rPr>
                <w:t>The Company</w:t>
              </w:r>
            </w:hyperlink>
          </w:p>
        </w:tc>
        <w:tc>
          <w:tcPr>
            <w:tcW w:w="7560" w:type="dxa"/>
            <w:vAlign w:val="bottom"/>
            <w:gridSpan w:val="20"/>
          </w:tcPr>
          <w:p>
            <w:pPr>
              <w:spacing w:after="0"/>
              <w:rPr>
                <w:sz w:val="20"/>
                <w:szCs w:val="20"/>
                <w:color w:val="auto"/>
              </w:rPr>
            </w:pPr>
          </w:p>
        </w:tc>
        <w:tc>
          <w:tcPr>
            <w:tcW w:w="1360" w:type="dxa"/>
            <w:vAlign w:val="bottom"/>
            <w:gridSpan w:val="4"/>
          </w:tcPr>
          <w:p>
            <w:pPr>
              <w:jc w:val="right"/>
              <w:ind w:right="20"/>
              <w:spacing w:after="0"/>
              <w:rPr>
                <w:rFonts w:ascii="Arial" w:cs="Arial" w:eastAsia="Arial" w:hAnsi="Arial"/>
                <w:sz w:val="10"/>
                <w:szCs w:val="10"/>
                <w:b w:val="1"/>
                <w:bCs w:val="1"/>
                <w:color w:val="105BAB"/>
              </w:rPr>
            </w:pPr>
            <w:hyperlink w:anchor="page42">
              <w:r>
                <w:rPr>
                  <w:rFonts w:ascii="Arial" w:cs="Arial" w:eastAsia="Arial" w:hAnsi="Arial"/>
                  <w:sz w:val="10"/>
                  <w:szCs w:val="10"/>
                  <w:b w:val="1"/>
                  <w:bCs w:val="1"/>
                  <w:color w:val="105BAB"/>
                </w:rPr>
                <w:t>31</w:t>
              </w:r>
            </w:hyperlink>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360" w:type="dxa"/>
            <w:vAlign w:val="bottom"/>
            <w:gridSpan w:val="27"/>
          </w:tcPr>
          <w:p>
            <w:pPr>
              <w:spacing w:after="0" w:line="78" w:lineRule="exact"/>
              <w:rPr>
                <w:rFonts w:ascii="Arial" w:cs="Arial" w:eastAsia="Arial" w:hAnsi="Arial"/>
                <w:sz w:val="8"/>
                <w:szCs w:val="8"/>
                <w:b w:val="1"/>
                <w:bCs w:val="1"/>
                <w:color w:val="0000EE"/>
              </w:rPr>
            </w:pPr>
            <w:hyperlink w:anchor="page42">
              <w:r>
                <w:rPr>
                  <w:rFonts w:ascii="Arial" w:cs="Arial" w:eastAsia="Arial" w:hAnsi="Arial"/>
                  <w:sz w:val="8"/>
                  <w:szCs w:val="8"/>
                  <w:b w:val="1"/>
                  <w:bCs w:val="1"/>
                  <w:color w:val="0000EE"/>
                </w:rPr>
                <w:t>Executive Officers of the Company</w:t>
              </w:r>
            </w:hyperlink>
          </w:p>
        </w:tc>
        <w:tc>
          <w:tcPr>
            <w:tcW w:w="1220" w:type="dxa"/>
            <w:vAlign w:val="bottom"/>
            <w:gridSpan w:val="2"/>
          </w:tcPr>
          <w:p>
            <w:pPr>
              <w:spacing w:after="0"/>
              <w:rPr>
                <w:sz w:val="6"/>
                <w:szCs w:val="6"/>
                <w:color w:val="auto"/>
              </w:rPr>
            </w:pPr>
          </w:p>
        </w:tc>
        <w:tc>
          <w:tcPr>
            <w:tcW w:w="120" w:type="dxa"/>
            <w:vAlign w:val="bottom"/>
            <w:tcBorders>
              <w:top w:val="single" w:sz="8" w:color="105BAB"/>
            </w:tcBorders>
          </w:tcPr>
          <w:p>
            <w:pPr>
              <w:jc w:val="right"/>
              <w:spacing w:after="0" w:line="78" w:lineRule="exact"/>
              <w:rPr>
                <w:rFonts w:ascii="Arial" w:cs="Arial" w:eastAsia="Arial" w:hAnsi="Arial"/>
                <w:sz w:val="8"/>
                <w:szCs w:val="8"/>
                <w:b w:val="1"/>
                <w:bCs w:val="1"/>
                <w:color w:val="0000EE"/>
              </w:rPr>
            </w:pPr>
            <w:hyperlink w:anchor="page42">
              <w:r>
                <w:rPr>
                  <w:rFonts w:ascii="Arial" w:cs="Arial" w:eastAsia="Arial" w:hAnsi="Arial"/>
                  <w:sz w:val="8"/>
                  <w:szCs w:val="8"/>
                  <w:b w:val="1"/>
                  <w:bCs w:val="1"/>
                  <w:color w:val="0000EE"/>
                </w:rPr>
                <w:t>31</w:t>
              </w:r>
            </w:hyperlink>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Borders>
              <w:top w:val="single" w:sz="8" w:color="0000EE"/>
              <w:bottom w:val="single" w:sz="8" w:color="0000EE"/>
            </w:tcBorders>
            <w:gridSpan w:val="11"/>
          </w:tcPr>
          <w:p>
            <w:pPr>
              <w:spacing w:after="0" w:line="88" w:lineRule="exact"/>
              <w:rPr>
                <w:rFonts w:ascii="Arial" w:cs="Arial" w:eastAsia="Arial" w:hAnsi="Arial"/>
                <w:sz w:val="10"/>
                <w:szCs w:val="10"/>
                <w:b w:val="1"/>
                <w:bCs w:val="1"/>
                <w:color w:val="0000EE"/>
                <w:w w:val="95"/>
              </w:rPr>
            </w:pPr>
            <w:hyperlink w:anchor="page44">
              <w:r>
                <w:rPr>
                  <w:rFonts w:ascii="Arial" w:cs="Arial" w:eastAsia="Arial" w:hAnsi="Arial"/>
                  <w:sz w:val="10"/>
                  <w:szCs w:val="10"/>
                  <w:b w:val="1"/>
                  <w:bCs w:val="1"/>
                  <w:color w:val="0000EE"/>
                  <w:w w:val="95"/>
                </w:rPr>
                <w:t>Corporate Governance</w:t>
              </w:r>
            </w:hyperlink>
          </w:p>
        </w:tc>
        <w:tc>
          <w:tcPr>
            <w:tcW w:w="540" w:type="dxa"/>
            <w:vAlign w:val="bottom"/>
            <w:tcBorders>
              <w:top w:val="single" w:sz="8" w:color="0000EE"/>
            </w:tcBorders>
            <w:gridSpan w:val="4"/>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44">
              <w:r>
                <w:rPr>
                  <w:rFonts w:ascii="Arial" w:cs="Arial" w:eastAsia="Arial" w:hAnsi="Arial"/>
                  <w:sz w:val="10"/>
                  <w:szCs w:val="10"/>
                  <w:b w:val="1"/>
                  <w:bCs w:val="1"/>
                  <w:color w:val="0000EE"/>
                  <w:w w:val="89"/>
                </w:rPr>
                <w:t>33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100" w:type="dxa"/>
            <w:vAlign w:val="bottom"/>
            <w:gridSpan w:val="25"/>
          </w:tcPr>
          <w:p>
            <w:pPr>
              <w:spacing w:after="0" w:line="88" w:lineRule="exact"/>
              <w:rPr>
                <w:rFonts w:ascii="Arial" w:cs="Arial" w:eastAsia="Arial" w:hAnsi="Arial"/>
                <w:sz w:val="10"/>
                <w:szCs w:val="10"/>
                <w:color w:val="0000EE"/>
              </w:rPr>
            </w:pPr>
            <w:hyperlink w:anchor="page44">
              <w:r>
                <w:rPr>
                  <w:rFonts w:ascii="Arial" w:cs="Arial" w:eastAsia="Arial" w:hAnsi="Arial"/>
                  <w:sz w:val="10"/>
                  <w:szCs w:val="10"/>
                  <w:color w:val="0000EE"/>
                </w:rPr>
                <w:t>Overview</w:t>
              </w:r>
            </w:hyperlink>
          </w:p>
        </w:tc>
        <w:tc>
          <w:tcPr>
            <w:tcW w:w="1360" w:type="dxa"/>
            <w:vAlign w:val="bottom"/>
            <w:gridSpan w:val="4"/>
          </w:tcPr>
          <w:p>
            <w:pPr>
              <w:jc w:val="right"/>
              <w:ind w:right="20"/>
              <w:spacing w:after="0" w:line="88" w:lineRule="exact"/>
              <w:rPr>
                <w:rFonts w:ascii="Arial" w:cs="Arial" w:eastAsia="Arial" w:hAnsi="Arial"/>
                <w:sz w:val="10"/>
                <w:szCs w:val="10"/>
                <w:color w:val="0000EE"/>
              </w:rPr>
            </w:pPr>
            <w:hyperlink w:anchor="page44">
              <w:r>
                <w:rPr>
                  <w:rFonts w:ascii="Arial" w:cs="Arial" w:eastAsia="Arial" w:hAnsi="Arial"/>
                  <w:sz w:val="10"/>
                  <w:szCs w:val="10"/>
                  <w:color w:val="0000EE"/>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0000EE"/>
            </w:tcBorders>
            <w:gridSpan w:val="6"/>
          </w:tcPr>
          <w:p>
            <w:pPr>
              <w:spacing w:after="0" w:line="88" w:lineRule="exact"/>
              <w:rPr>
                <w:rFonts w:ascii="Arial" w:cs="Arial" w:eastAsia="Arial" w:hAnsi="Arial"/>
                <w:sz w:val="10"/>
                <w:szCs w:val="10"/>
                <w:color w:val="0000EE"/>
                <w:w w:val="95"/>
              </w:rPr>
            </w:pPr>
            <w:hyperlink w:anchor="page44">
              <w:r>
                <w:rPr>
                  <w:rFonts w:ascii="Arial" w:cs="Arial" w:eastAsia="Arial" w:hAnsi="Arial"/>
                  <w:sz w:val="10"/>
                  <w:szCs w:val="10"/>
                  <w:color w:val="0000EE"/>
                  <w:w w:val="95"/>
                </w:rPr>
                <w:t>Code of Ethics</w:t>
              </w:r>
            </w:hyperlink>
          </w:p>
        </w:tc>
        <w:tc>
          <w:tcPr>
            <w:tcW w:w="7460" w:type="dxa"/>
            <w:vAlign w:val="bottom"/>
            <w:gridSpan w:val="19"/>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44">
              <w:r>
                <w:rPr>
                  <w:rFonts w:ascii="Arial" w:cs="Arial" w:eastAsia="Arial" w:hAnsi="Arial"/>
                  <w:sz w:val="10"/>
                  <w:szCs w:val="10"/>
                  <w:color w:val="0000EE"/>
                  <w:w w:val="89"/>
                </w:rPr>
                <w:t>33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tcBorders>
              <w:bottom w:val="single" w:sz="8" w:color="0000EE"/>
            </w:tcBorders>
            <w:gridSpan w:val="19"/>
          </w:tcPr>
          <w:p>
            <w:pPr>
              <w:spacing w:after="0" w:line="88" w:lineRule="exact"/>
              <w:rPr>
                <w:rFonts w:ascii="Arial" w:cs="Arial" w:eastAsia="Arial" w:hAnsi="Arial"/>
                <w:sz w:val="10"/>
                <w:szCs w:val="10"/>
                <w:color w:val="0000EE"/>
                <w:w w:val="95"/>
              </w:rPr>
            </w:pPr>
            <w:hyperlink w:anchor="page44">
              <w:r>
                <w:rPr>
                  <w:rFonts w:ascii="Arial" w:cs="Arial" w:eastAsia="Arial" w:hAnsi="Arial"/>
                  <w:sz w:val="10"/>
                  <w:szCs w:val="10"/>
                  <w:color w:val="0000EE"/>
                  <w:w w:val="95"/>
                </w:rPr>
                <w:t>Succession Planning and Talent Development Process</w:t>
              </w:r>
            </w:hyperlink>
          </w:p>
        </w:tc>
        <w:tc>
          <w:tcPr>
            <w:tcW w:w="5760" w:type="dxa"/>
            <w:vAlign w:val="bottom"/>
            <w:gridSpan w:val="6"/>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44">
              <w:r>
                <w:rPr>
                  <w:rFonts w:ascii="Arial" w:cs="Arial" w:eastAsia="Arial" w:hAnsi="Arial"/>
                  <w:sz w:val="10"/>
                  <w:szCs w:val="10"/>
                  <w:color w:val="0000EE"/>
                  <w:w w:val="89"/>
                </w:rPr>
                <w:t>33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0000EE"/>
            </w:tcBorders>
            <w:gridSpan w:val="11"/>
          </w:tcPr>
          <w:p>
            <w:pPr>
              <w:spacing w:after="0" w:line="88" w:lineRule="exact"/>
              <w:rPr>
                <w:rFonts w:ascii="Arial" w:cs="Arial" w:eastAsia="Arial" w:hAnsi="Arial"/>
                <w:sz w:val="10"/>
                <w:szCs w:val="10"/>
                <w:color w:val="0000EE"/>
                <w:w w:val="95"/>
              </w:rPr>
            </w:pPr>
            <w:hyperlink w:anchor="page45">
              <w:r>
                <w:rPr>
                  <w:rFonts w:ascii="Arial" w:cs="Arial" w:eastAsia="Arial" w:hAnsi="Arial"/>
                  <w:sz w:val="10"/>
                  <w:szCs w:val="10"/>
                  <w:color w:val="0000EE"/>
                  <w:w w:val="95"/>
                </w:rPr>
                <w:t>Corporate Responsibility</w:t>
              </w:r>
            </w:hyperlink>
          </w:p>
        </w:tc>
        <w:tc>
          <w:tcPr>
            <w:tcW w:w="7040" w:type="dxa"/>
            <w:vAlign w:val="bottom"/>
            <w:gridSpan w:val="14"/>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45">
              <w:r>
                <w:rPr>
                  <w:rFonts w:ascii="Arial" w:cs="Arial" w:eastAsia="Arial" w:hAnsi="Arial"/>
                  <w:sz w:val="10"/>
                  <w:szCs w:val="10"/>
                  <w:color w:val="0000EE"/>
                  <w:w w:val="89"/>
                </w:rPr>
                <w:t>34</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tcPr>
          <w:p>
            <w:pPr>
              <w:spacing w:after="0" w:line="88" w:lineRule="exact"/>
              <w:rPr>
                <w:rFonts w:ascii="Arial" w:cs="Arial" w:eastAsia="Arial" w:hAnsi="Arial"/>
                <w:sz w:val="8"/>
                <w:szCs w:val="8"/>
                <w:b w:val="1"/>
                <w:bCs w:val="1"/>
                <w:color w:val="0000EE"/>
                <w:w w:val="82"/>
              </w:rPr>
            </w:pPr>
            <w:hyperlink w:anchor="page47">
              <w:r>
                <w:rPr>
                  <w:rFonts w:ascii="Arial" w:cs="Arial" w:eastAsia="Arial" w:hAnsi="Arial"/>
                  <w:sz w:val="8"/>
                  <w:szCs w:val="8"/>
                  <w:b w:val="1"/>
                  <w:bCs w:val="1"/>
                  <w:color w:val="0000EE"/>
                  <w:w w:val="82"/>
                </w:rPr>
                <w:t>Section</w:t>
              </w:r>
            </w:hyperlink>
          </w:p>
        </w:tc>
        <w:tc>
          <w:tcPr>
            <w:tcW w:w="8100" w:type="dxa"/>
            <w:vAlign w:val="bottom"/>
            <w:gridSpan w:val="25"/>
          </w:tcPr>
          <w:p>
            <w:pPr>
              <w:ind w:left="120"/>
              <w:spacing w:after="0" w:line="88" w:lineRule="exact"/>
              <w:rPr>
                <w:rFonts w:ascii="Arial" w:cs="Arial" w:eastAsia="Arial" w:hAnsi="Arial"/>
                <w:sz w:val="10"/>
                <w:szCs w:val="10"/>
                <w:b w:val="1"/>
                <w:bCs w:val="1"/>
                <w:color w:val="0000EE"/>
              </w:rPr>
            </w:pPr>
            <w:hyperlink w:anchor="page47">
              <w:r>
                <w:rPr>
                  <w:rFonts w:ascii="Arial" w:cs="Arial" w:eastAsia="Arial" w:hAnsi="Arial"/>
                  <w:sz w:val="10"/>
                  <w:szCs w:val="10"/>
                  <w:b w:val="1"/>
                  <w:bCs w:val="1"/>
                  <w:color w:val="0000EE"/>
                </w:rPr>
                <w:t>16(a) Beneficial Ownership Reporting Compliance</w:t>
              </w:r>
            </w:hyperlink>
          </w:p>
        </w:tc>
        <w:tc>
          <w:tcPr>
            <w:tcW w:w="1220" w:type="dxa"/>
            <w:vAlign w:val="bottom"/>
            <w:gridSpan w:val="2"/>
          </w:tcPr>
          <w:p>
            <w:pPr>
              <w:spacing w:after="0"/>
              <w:rPr>
                <w:sz w:val="7"/>
                <w:szCs w:val="7"/>
                <w:color w:val="auto"/>
              </w:rPr>
            </w:pPr>
          </w:p>
        </w:tc>
        <w:tc>
          <w:tcPr>
            <w:tcW w:w="120" w:type="dxa"/>
            <w:vAlign w:val="bottom"/>
          </w:tcPr>
          <w:p>
            <w:pPr>
              <w:jc w:val="right"/>
              <w:spacing w:after="0" w:line="88" w:lineRule="exact"/>
              <w:rPr>
                <w:rFonts w:ascii="Arial" w:cs="Arial" w:eastAsia="Arial" w:hAnsi="Arial"/>
                <w:sz w:val="10"/>
                <w:szCs w:val="10"/>
                <w:b w:val="1"/>
                <w:bCs w:val="1"/>
                <w:color w:val="0000EE"/>
                <w:w w:val="89"/>
              </w:rPr>
            </w:pPr>
            <w:hyperlink w:anchor="page47">
              <w:r>
                <w:rPr>
                  <w:rFonts w:ascii="Arial" w:cs="Arial" w:eastAsia="Arial" w:hAnsi="Arial"/>
                  <w:sz w:val="10"/>
                  <w:szCs w:val="10"/>
                  <w:b w:val="1"/>
                  <w:bCs w:val="1"/>
                  <w:color w:val="0000EE"/>
                  <w:w w:val="89"/>
                </w:rPr>
                <w:t>36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tcBorders>
              <w:top w:val="single" w:sz="8" w:color="0000EE"/>
              <w:bottom w:val="single" w:sz="8" w:color="0000EE"/>
            </w:tcBorders>
            <w:gridSpan w:val="19"/>
          </w:tcPr>
          <w:p>
            <w:pPr>
              <w:spacing w:after="0" w:line="88" w:lineRule="exact"/>
              <w:rPr>
                <w:rFonts w:ascii="Arial" w:cs="Arial" w:eastAsia="Arial" w:hAnsi="Arial"/>
                <w:sz w:val="10"/>
                <w:szCs w:val="10"/>
                <w:b w:val="1"/>
                <w:bCs w:val="1"/>
                <w:color w:val="0000EE"/>
                <w:w w:val="95"/>
              </w:rPr>
            </w:pPr>
            <w:hyperlink w:anchor="page48">
              <w:r>
                <w:rPr>
                  <w:rFonts w:ascii="Arial" w:cs="Arial" w:eastAsia="Arial" w:hAnsi="Arial"/>
                  <w:sz w:val="10"/>
                  <w:szCs w:val="10"/>
                  <w:b w:val="1"/>
                  <w:bCs w:val="1"/>
                  <w:color w:val="0000EE"/>
                  <w:w w:val="95"/>
                </w:rPr>
                <w:t>Certain Relationships and Related Transactions</w:t>
              </w:r>
            </w:hyperlink>
          </w:p>
        </w:tc>
        <w:tc>
          <w:tcPr>
            <w:tcW w:w="480" w:type="dxa"/>
            <w:vAlign w:val="bottom"/>
            <w:tcBorders>
              <w:top w:val="single" w:sz="8" w:color="0000EE"/>
            </w:tcBorders>
            <w:gridSpan w:val="3"/>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48">
              <w:r>
                <w:rPr>
                  <w:rFonts w:ascii="Arial" w:cs="Arial" w:eastAsia="Arial" w:hAnsi="Arial"/>
                  <w:sz w:val="10"/>
                  <w:szCs w:val="10"/>
                  <w:b w:val="1"/>
                  <w:bCs w:val="1"/>
                  <w:color w:val="0000EE"/>
                  <w:w w:val="89"/>
                </w:rPr>
                <w:t>37</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100" w:type="dxa"/>
            <w:vAlign w:val="bottom"/>
            <w:gridSpan w:val="25"/>
          </w:tcPr>
          <w:p>
            <w:pPr>
              <w:spacing w:after="0" w:line="88" w:lineRule="exact"/>
              <w:rPr>
                <w:rFonts w:ascii="Arial" w:cs="Arial" w:eastAsia="Arial" w:hAnsi="Arial"/>
                <w:sz w:val="10"/>
                <w:szCs w:val="10"/>
                <w:color w:val="0000EE"/>
              </w:rPr>
            </w:pPr>
            <w:hyperlink w:anchor="page48">
              <w:r>
                <w:rPr>
                  <w:rFonts w:ascii="Arial" w:cs="Arial" w:eastAsia="Arial" w:hAnsi="Arial"/>
                  <w:sz w:val="10"/>
                  <w:szCs w:val="10"/>
                  <w:color w:val="0000EE"/>
                </w:rPr>
                <w:t>Review, Approval, or Ratification of Transactions with Related Persons</w:t>
              </w:r>
            </w:hyperlink>
          </w:p>
        </w:tc>
        <w:tc>
          <w:tcPr>
            <w:tcW w:w="1360" w:type="dxa"/>
            <w:vAlign w:val="bottom"/>
            <w:gridSpan w:val="4"/>
          </w:tcPr>
          <w:p>
            <w:pPr>
              <w:jc w:val="right"/>
              <w:ind w:right="20"/>
              <w:spacing w:after="0" w:line="88" w:lineRule="exact"/>
              <w:rPr>
                <w:rFonts w:ascii="Arial" w:cs="Arial" w:eastAsia="Arial" w:hAnsi="Arial"/>
                <w:sz w:val="10"/>
                <w:szCs w:val="10"/>
                <w:color w:val="0000EE"/>
              </w:rPr>
            </w:pPr>
            <w:hyperlink w:anchor="page48">
              <w:r>
                <w:rPr>
                  <w:rFonts w:ascii="Arial" w:cs="Arial" w:eastAsia="Arial" w:hAnsi="Arial"/>
                  <w:sz w:val="10"/>
                  <w:szCs w:val="10"/>
                  <w:color w:val="0000EE"/>
                </w:rPr>
                <w:t>37</w:t>
              </w:r>
            </w:hyperlink>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tcBorders>
              <w:top w:val="single" w:sz="8" w:color="0000EE"/>
            </w:tcBorders>
            <w:gridSpan w:val="22"/>
          </w:tcPr>
          <w:p>
            <w:pPr>
              <w:spacing w:after="0" w:line="88" w:lineRule="exact"/>
              <w:rPr>
                <w:rFonts w:ascii="Arial" w:cs="Arial" w:eastAsia="Arial" w:hAnsi="Arial"/>
                <w:sz w:val="10"/>
                <w:szCs w:val="10"/>
                <w:color w:val="0000EE"/>
              </w:rPr>
            </w:pPr>
            <w:hyperlink w:anchor="page48">
              <w:r>
                <w:rPr>
                  <w:rFonts w:ascii="Arial" w:cs="Arial" w:eastAsia="Arial" w:hAnsi="Arial"/>
                  <w:sz w:val="10"/>
                  <w:szCs w:val="10"/>
                  <w:color w:val="0000EE"/>
                </w:rPr>
                <w:t>Transactions with Related Persons</w:t>
              </w:r>
            </w:hyperlink>
          </w:p>
        </w:tc>
        <w:tc>
          <w:tcPr>
            <w:tcW w:w="5100" w:type="dxa"/>
            <w:vAlign w:val="bottom"/>
            <w:gridSpan w:val="3"/>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top w:val="single" w:sz="8" w:color="0000EE"/>
            </w:tcBorders>
          </w:tcPr>
          <w:p>
            <w:pPr>
              <w:jc w:val="right"/>
              <w:spacing w:after="0" w:line="88" w:lineRule="exact"/>
              <w:rPr>
                <w:rFonts w:ascii="Arial" w:cs="Arial" w:eastAsia="Arial" w:hAnsi="Arial"/>
                <w:sz w:val="10"/>
                <w:szCs w:val="10"/>
                <w:color w:val="0000EE"/>
                <w:w w:val="89"/>
              </w:rPr>
            </w:pPr>
            <w:hyperlink w:anchor="page48">
              <w:r>
                <w:rPr>
                  <w:rFonts w:ascii="Arial" w:cs="Arial" w:eastAsia="Arial" w:hAnsi="Arial"/>
                  <w:sz w:val="10"/>
                  <w:szCs w:val="10"/>
                  <w:color w:val="0000EE"/>
                  <w:w w:val="89"/>
                </w:rPr>
                <w:t>37</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Borders>
              <w:bottom w:val="single" w:sz="8" w:color="0000EE"/>
            </w:tcBorders>
            <w:gridSpan w:val="2"/>
          </w:tcPr>
          <w:p>
            <w:pPr>
              <w:spacing w:after="0" w:line="88" w:lineRule="exact"/>
              <w:rPr>
                <w:rFonts w:ascii="Arial" w:cs="Arial" w:eastAsia="Arial" w:hAnsi="Arial"/>
                <w:sz w:val="10"/>
                <w:szCs w:val="10"/>
                <w:b w:val="1"/>
                <w:bCs w:val="1"/>
                <w:color w:val="0000EE"/>
                <w:w w:val="93"/>
              </w:rPr>
            </w:pPr>
            <w:hyperlink w:anchor="page51">
              <w:r>
                <w:rPr>
                  <w:rFonts w:ascii="Arial" w:cs="Arial" w:eastAsia="Arial" w:hAnsi="Arial"/>
                  <w:sz w:val="10"/>
                  <w:szCs w:val="10"/>
                  <w:b w:val="1"/>
                  <w:bCs w:val="1"/>
                  <w:color w:val="0000EE"/>
                  <w:w w:val="93"/>
                </w:rPr>
                <w:t>Audit</w:t>
              </w:r>
            </w:hyperlink>
          </w:p>
        </w:tc>
        <w:tc>
          <w:tcPr>
            <w:tcW w:w="400" w:type="dxa"/>
            <w:vAlign w:val="bottom"/>
            <w:tcBorders>
              <w:top w:val="single" w:sz="8" w:color="0000EE"/>
              <w:bottom w:val="single" w:sz="8" w:color="0000EE"/>
            </w:tcBorders>
            <w:gridSpan w:val="2"/>
          </w:tcPr>
          <w:p>
            <w:pPr>
              <w:ind w:left="20"/>
              <w:spacing w:after="0" w:line="88" w:lineRule="exact"/>
              <w:rPr>
                <w:rFonts w:ascii="Arial" w:cs="Arial" w:eastAsia="Arial" w:hAnsi="Arial"/>
                <w:sz w:val="10"/>
                <w:szCs w:val="10"/>
                <w:b w:val="1"/>
                <w:bCs w:val="1"/>
                <w:color w:val="0000EE"/>
                <w:w w:val="95"/>
              </w:rPr>
            </w:pPr>
            <w:hyperlink w:anchor="page51">
              <w:r>
                <w:rPr>
                  <w:rFonts w:ascii="Arial" w:cs="Arial" w:eastAsia="Arial" w:hAnsi="Arial"/>
                  <w:sz w:val="10"/>
                  <w:szCs w:val="10"/>
                  <w:b w:val="1"/>
                  <w:bCs w:val="1"/>
                  <w:color w:val="0000EE"/>
                  <w:w w:val="95"/>
                </w:rPr>
                <w:t>Matters</w:t>
              </w:r>
            </w:hyperlink>
          </w:p>
        </w:tc>
        <w:tc>
          <w:tcPr>
            <w:tcW w:w="1080" w:type="dxa"/>
            <w:vAlign w:val="bottom"/>
            <w:tcBorders>
              <w:top w:val="single" w:sz="8" w:color="0000EE"/>
            </w:tcBorders>
            <w:gridSpan w:val="13"/>
          </w:tcPr>
          <w:p>
            <w:pPr>
              <w:spacing w:after="0"/>
              <w:rPr>
                <w:sz w:val="7"/>
                <w:szCs w:val="7"/>
                <w:color w:val="auto"/>
              </w:rPr>
            </w:pPr>
          </w:p>
        </w:tc>
        <w:tc>
          <w:tcPr>
            <w:tcW w:w="680" w:type="dxa"/>
            <w:vAlign w:val="bottom"/>
            <w:gridSpan w:val="3"/>
          </w:tcPr>
          <w:p>
            <w:pPr>
              <w:spacing w:after="0"/>
              <w:rPr>
                <w:sz w:val="7"/>
                <w:szCs w:val="7"/>
                <w:color w:val="auto"/>
              </w:rPr>
            </w:pPr>
          </w:p>
        </w:tc>
        <w:tc>
          <w:tcPr>
            <w:tcW w:w="700" w:type="dxa"/>
            <w:vAlign w:val="bottom"/>
            <w:gridSpan w:val="3"/>
          </w:tcPr>
          <w:p>
            <w:pPr>
              <w:spacing w:after="0"/>
              <w:rPr>
                <w:sz w:val="7"/>
                <w:szCs w:val="7"/>
                <w:color w:val="auto"/>
              </w:rPr>
            </w:pPr>
          </w:p>
        </w:tc>
        <w:tc>
          <w:tcPr>
            <w:tcW w:w="520" w:type="dxa"/>
            <w:vAlign w:val="bottom"/>
            <w:gridSpan w:val="2"/>
          </w:tcPr>
          <w:p>
            <w:pPr>
              <w:spacing w:after="0"/>
              <w:rPr>
                <w:sz w:val="7"/>
                <w:szCs w:val="7"/>
                <w:color w:val="auto"/>
              </w:rPr>
            </w:pPr>
          </w:p>
        </w:tc>
        <w:tc>
          <w:tcPr>
            <w:tcW w:w="3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51">
              <w:r>
                <w:rPr>
                  <w:rFonts w:ascii="Arial" w:cs="Arial" w:eastAsia="Arial" w:hAnsi="Arial"/>
                  <w:sz w:val="10"/>
                  <w:szCs w:val="10"/>
                  <w:b w:val="1"/>
                  <w:bCs w:val="1"/>
                  <w:color w:val="0000EE"/>
                  <w:w w:val="89"/>
                </w:rPr>
                <w:t>40</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0000EE"/>
            </w:tcBorders>
            <w:gridSpan w:val="4"/>
          </w:tcPr>
          <w:p>
            <w:pPr>
              <w:spacing w:after="0" w:line="88" w:lineRule="exact"/>
              <w:rPr>
                <w:rFonts w:ascii="Arial" w:cs="Arial" w:eastAsia="Arial" w:hAnsi="Arial"/>
                <w:sz w:val="10"/>
                <w:szCs w:val="10"/>
                <w:color w:val="0000EE"/>
                <w:w w:val="95"/>
              </w:rPr>
            </w:pPr>
            <w:hyperlink w:anchor="page51">
              <w:r>
                <w:rPr>
                  <w:rFonts w:ascii="Arial" w:cs="Arial" w:eastAsia="Arial" w:hAnsi="Arial"/>
                  <w:sz w:val="10"/>
                  <w:szCs w:val="10"/>
                  <w:color w:val="0000EE"/>
                  <w:w w:val="95"/>
                </w:rPr>
                <w:t>Introduction</w:t>
              </w:r>
            </w:hyperlink>
          </w:p>
        </w:tc>
        <w:tc>
          <w:tcPr>
            <w:tcW w:w="7580" w:type="dxa"/>
            <w:vAlign w:val="bottom"/>
            <w:gridSpan w:val="21"/>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51">
              <w:r>
                <w:rPr>
                  <w:rFonts w:ascii="Arial" w:cs="Arial" w:eastAsia="Arial" w:hAnsi="Arial"/>
                  <w:sz w:val="10"/>
                  <w:szCs w:val="10"/>
                  <w:color w:val="0000EE"/>
                  <w:w w:val="89"/>
                </w:rPr>
                <w:t>40</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tcBorders>
              <w:bottom w:val="single" w:sz="8" w:color="0000EE"/>
            </w:tcBorders>
            <w:gridSpan w:val="23"/>
          </w:tcPr>
          <w:p>
            <w:pPr>
              <w:spacing w:after="0" w:line="88" w:lineRule="exact"/>
              <w:rPr>
                <w:rFonts w:ascii="Arial" w:cs="Arial" w:eastAsia="Arial" w:hAnsi="Arial"/>
                <w:sz w:val="10"/>
                <w:szCs w:val="10"/>
                <w:color w:val="0000EE"/>
                <w:w w:val="95"/>
              </w:rPr>
            </w:pPr>
            <w:hyperlink w:anchor="page51">
              <w:r>
                <w:rPr>
                  <w:rFonts w:ascii="Arial" w:cs="Arial" w:eastAsia="Arial" w:hAnsi="Arial"/>
                  <w:sz w:val="10"/>
                  <w:szCs w:val="10"/>
                  <w:color w:val="0000EE"/>
                  <w:w w:val="95"/>
                </w:rPr>
                <w:t>Information about Fees Paid to Independent Registered Public Accounting Firm</w:t>
              </w:r>
            </w:hyperlink>
          </w:p>
        </w:tc>
        <w:tc>
          <w:tcPr>
            <w:tcW w:w="4720" w:type="dxa"/>
            <w:vAlign w:val="bottom"/>
            <w:gridSpan w:val="2"/>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51">
              <w:r>
                <w:rPr>
                  <w:rFonts w:ascii="Arial" w:cs="Arial" w:eastAsia="Arial" w:hAnsi="Arial"/>
                  <w:sz w:val="10"/>
                  <w:szCs w:val="10"/>
                  <w:color w:val="0000EE"/>
                  <w:w w:val="89"/>
                </w:rPr>
                <w:t>40</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100" w:type="dxa"/>
            <w:vAlign w:val="bottom"/>
            <w:gridSpan w:val="25"/>
          </w:tcPr>
          <w:p>
            <w:pPr>
              <w:spacing w:after="0" w:line="88" w:lineRule="exact"/>
              <w:rPr>
                <w:rFonts w:ascii="Arial" w:cs="Arial" w:eastAsia="Arial" w:hAnsi="Arial"/>
                <w:sz w:val="10"/>
                <w:szCs w:val="10"/>
                <w:color w:val="0000EE"/>
              </w:rPr>
            </w:pPr>
            <w:hyperlink w:anchor="page52">
              <w:r>
                <w:rPr>
                  <w:rFonts w:ascii="Arial" w:cs="Arial" w:eastAsia="Arial" w:hAnsi="Arial"/>
                  <w:sz w:val="10"/>
                  <w:szCs w:val="10"/>
                  <w:color w:val="0000EE"/>
                </w:rPr>
                <w:t>Audit Committee Report</w:t>
              </w:r>
            </w:hyperlink>
          </w:p>
        </w:tc>
        <w:tc>
          <w:tcPr>
            <w:tcW w:w="1360" w:type="dxa"/>
            <w:vAlign w:val="bottom"/>
            <w:gridSpan w:val="4"/>
          </w:tcPr>
          <w:p>
            <w:pPr>
              <w:jc w:val="right"/>
              <w:ind w:right="20"/>
              <w:spacing w:after="0" w:line="88" w:lineRule="exact"/>
              <w:rPr>
                <w:rFonts w:ascii="Arial" w:cs="Arial" w:eastAsia="Arial" w:hAnsi="Arial"/>
                <w:sz w:val="10"/>
                <w:szCs w:val="10"/>
                <w:color w:val="0000EE"/>
              </w:rPr>
            </w:pPr>
            <w:hyperlink w:anchor="page52">
              <w:r>
                <w:rPr>
                  <w:rFonts w:ascii="Arial" w:cs="Arial" w:eastAsia="Arial" w:hAnsi="Arial"/>
                  <w:sz w:val="10"/>
                  <w:szCs w:val="10"/>
                  <w:color w:val="0000EE"/>
                </w:rPr>
                <w:t>41</w:t>
              </w:r>
            </w:hyperlink>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60" w:type="dxa"/>
            <w:vAlign w:val="bottom"/>
            <w:tcBorders>
              <w:bottom w:val="single" w:sz="8" w:color="105BAB"/>
            </w:tcBorders>
          </w:tcPr>
          <w:p>
            <w:pPr>
              <w:spacing w:after="0"/>
              <w:rPr>
                <w:sz w:val="8"/>
                <w:szCs w:val="8"/>
                <w:color w:val="auto"/>
              </w:rPr>
            </w:pPr>
          </w:p>
        </w:tc>
        <w:tc>
          <w:tcPr>
            <w:tcW w:w="180" w:type="dxa"/>
            <w:vAlign w:val="bottom"/>
            <w:tcBorders>
              <w:bottom w:val="single" w:sz="8" w:color="105BAB"/>
            </w:tcBorders>
          </w:tcPr>
          <w:p>
            <w:pPr>
              <w:spacing w:after="0"/>
              <w:rPr>
                <w:sz w:val="8"/>
                <w:szCs w:val="8"/>
                <w:color w:val="auto"/>
              </w:rPr>
            </w:pPr>
          </w:p>
        </w:tc>
        <w:tc>
          <w:tcPr>
            <w:tcW w:w="80" w:type="dxa"/>
            <w:vAlign w:val="bottom"/>
            <w:tcBorders>
              <w:bottom w:val="single" w:sz="8" w:color="105BAB"/>
            </w:tcBorders>
          </w:tcPr>
          <w:p>
            <w:pPr>
              <w:spacing w:after="0"/>
              <w:rPr>
                <w:sz w:val="8"/>
                <w:szCs w:val="8"/>
                <w:color w:val="auto"/>
              </w:rPr>
            </w:pPr>
          </w:p>
        </w:tc>
        <w:tc>
          <w:tcPr>
            <w:tcW w:w="300" w:type="dxa"/>
            <w:vAlign w:val="bottom"/>
            <w:tcBorders>
              <w:top w:val="single" w:sz="8" w:color="0000EE"/>
              <w:bottom w:val="single" w:sz="8" w:color="105BAB"/>
            </w:tcBorders>
          </w:tcPr>
          <w:p>
            <w:pPr>
              <w:spacing w:after="0"/>
              <w:rPr>
                <w:sz w:val="8"/>
                <w:szCs w:val="8"/>
                <w:color w:val="auto"/>
              </w:rPr>
            </w:pPr>
          </w:p>
        </w:tc>
        <w:tc>
          <w:tcPr>
            <w:tcW w:w="100" w:type="dxa"/>
            <w:vAlign w:val="bottom"/>
            <w:tcBorders>
              <w:top w:val="single" w:sz="8" w:color="0000EE"/>
              <w:bottom w:val="single" w:sz="8" w:color="105BAB"/>
            </w:tcBorders>
          </w:tcPr>
          <w:p>
            <w:pPr>
              <w:spacing w:after="0"/>
              <w:rPr>
                <w:sz w:val="8"/>
                <w:szCs w:val="8"/>
                <w:color w:val="auto"/>
              </w:rPr>
            </w:pPr>
          </w:p>
        </w:tc>
        <w:tc>
          <w:tcPr>
            <w:tcW w:w="100" w:type="dxa"/>
            <w:vAlign w:val="bottom"/>
            <w:tcBorders>
              <w:top w:val="single" w:sz="8" w:color="0000EE"/>
              <w:bottom w:val="single" w:sz="8" w:color="105BAB"/>
            </w:tcBorders>
          </w:tcPr>
          <w:p>
            <w:pPr>
              <w:spacing w:after="0"/>
              <w:rPr>
                <w:sz w:val="8"/>
                <w:szCs w:val="8"/>
                <w:color w:val="auto"/>
              </w:rPr>
            </w:pPr>
          </w:p>
        </w:tc>
        <w:tc>
          <w:tcPr>
            <w:tcW w:w="20" w:type="dxa"/>
            <w:vAlign w:val="bottom"/>
            <w:tcBorders>
              <w:top w:val="single" w:sz="8" w:color="0000EE"/>
              <w:bottom w:val="single" w:sz="8" w:color="105BAB"/>
            </w:tcBorders>
          </w:tcPr>
          <w:p>
            <w:pPr>
              <w:spacing w:after="0"/>
              <w:rPr>
                <w:sz w:val="8"/>
                <w:szCs w:val="8"/>
                <w:color w:val="auto"/>
              </w:rPr>
            </w:pPr>
          </w:p>
        </w:tc>
        <w:tc>
          <w:tcPr>
            <w:tcW w:w="20" w:type="dxa"/>
            <w:vAlign w:val="bottom"/>
            <w:tcBorders>
              <w:top w:val="single" w:sz="8" w:color="0000EE"/>
              <w:bottom w:val="single" w:sz="8" w:color="105BAB"/>
            </w:tcBorders>
          </w:tcPr>
          <w:p>
            <w:pPr>
              <w:spacing w:after="0"/>
              <w:rPr>
                <w:sz w:val="8"/>
                <w:szCs w:val="8"/>
                <w:color w:val="auto"/>
              </w:rPr>
            </w:pPr>
          </w:p>
        </w:tc>
        <w:tc>
          <w:tcPr>
            <w:tcW w:w="100" w:type="dxa"/>
            <w:vAlign w:val="bottom"/>
            <w:tcBorders>
              <w:top w:val="single" w:sz="8" w:color="0000EE"/>
              <w:bottom w:val="single" w:sz="8" w:color="105BAB"/>
            </w:tcBorders>
          </w:tcPr>
          <w:p>
            <w:pPr>
              <w:spacing w:after="0"/>
              <w:rPr>
                <w:sz w:val="8"/>
                <w:szCs w:val="8"/>
                <w:color w:val="auto"/>
              </w:rPr>
            </w:pPr>
          </w:p>
        </w:tc>
        <w:tc>
          <w:tcPr>
            <w:tcW w:w="120" w:type="dxa"/>
            <w:vAlign w:val="bottom"/>
            <w:tcBorders>
              <w:top w:val="single" w:sz="8" w:color="0000EE"/>
              <w:bottom w:val="single" w:sz="8" w:color="105BAB"/>
            </w:tcBorders>
          </w:tcPr>
          <w:p>
            <w:pPr>
              <w:spacing w:after="0"/>
              <w:rPr>
                <w:sz w:val="8"/>
                <w:szCs w:val="8"/>
                <w:color w:val="auto"/>
              </w:rPr>
            </w:pPr>
          </w:p>
        </w:tc>
        <w:tc>
          <w:tcPr>
            <w:tcW w:w="20" w:type="dxa"/>
            <w:vAlign w:val="bottom"/>
            <w:tcBorders>
              <w:top w:val="single" w:sz="8" w:color="0000EE"/>
              <w:bottom w:val="single" w:sz="8" w:color="105BAB"/>
            </w:tcBorders>
          </w:tcPr>
          <w:p>
            <w:pPr>
              <w:spacing w:after="0"/>
              <w:rPr>
                <w:sz w:val="8"/>
                <w:szCs w:val="8"/>
                <w:color w:val="auto"/>
              </w:rPr>
            </w:pPr>
          </w:p>
        </w:tc>
        <w:tc>
          <w:tcPr>
            <w:tcW w:w="20" w:type="dxa"/>
            <w:vAlign w:val="bottom"/>
            <w:tcBorders>
              <w:top w:val="single" w:sz="8" w:color="0000EE"/>
              <w:bottom w:val="single" w:sz="8" w:color="105BAB"/>
            </w:tcBorders>
          </w:tcPr>
          <w:p>
            <w:pPr>
              <w:spacing w:after="0"/>
              <w:rPr>
                <w:sz w:val="8"/>
                <w:szCs w:val="8"/>
                <w:color w:val="auto"/>
              </w:rPr>
            </w:pPr>
          </w:p>
        </w:tc>
        <w:tc>
          <w:tcPr>
            <w:tcW w:w="240" w:type="dxa"/>
            <w:vAlign w:val="bottom"/>
            <w:tcBorders>
              <w:top w:val="single" w:sz="8" w:color="0000EE"/>
              <w:bottom w:val="single" w:sz="8" w:color="105BAB"/>
            </w:tcBorders>
          </w:tcPr>
          <w:p>
            <w:pPr>
              <w:spacing w:after="0"/>
              <w:rPr>
                <w:sz w:val="8"/>
                <w:szCs w:val="8"/>
                <w:color w:val="auto"/>
              </w:rPr>
            </w:pPr>
          </w:p>
        </w:tc>
        <w:tc>
          <w:tcPr>
            <w:tcW w:w="20" w:type="dxa"/>
            <w:vAlign w:val="bottom"/>
            <w:tcBorders>
              <w:bottom w:val="single" w:sz="8" w:color="105BAB"/>
            </w:tcBorders>
          </w:tcPr>
          <w:p>
            <w:pPr>
              <w:spacing w:after="0"/>
              <w:rPr>
                <w:sz w:val="8"/>
                <w:szCs w:val="8"/>
                <w:color w:val="auto"/>
              </w:rPr>
            </w:pPr>
          </w:p>
        </w:tc>
        <w:tc>
          <w:tcPr>
            <w:tcW w:w="220" w:type="dxa"/>
            <w:vAlign w:val="bottom"/>
            <w:tcBorders>
              <w:bottom w:val="single" w:sz="8" w:color="105BAB"/>
            </w:tcBorders>
          </w:tcPr>
          <w:p>
            <w:pPr>
              <w:spacing w:after="0"/>
              <w:rPr>
                <w:sz w:val="8"/>
                <w:szCs w:val="8"/>
                <w:color w:val="auto"/>
              </w:rPr>
            </w:pPr>
          </w:p>
        </w:tc>
        <w:tc>
          <w:tcPr>
            <w:tcW w:w="60" w:type="dxa"/>
            <w:vAlign w:val="bottom"/>
            <w:tcBorders>
              <w:bottom w:val="single" w:sz="8" w:color="105BAB"/>
            </w:tcBorders>
          </w:tcPr>
          <w:p>
            <w:pPr>
              <w:spacing w:after="0"/>
              <w:rPr>
                <w:sz w:val="8"/>
                <w:szCs w:val="8"/>
                <w:color w:val="auto"/>
              </w:rPr>
            </w:pPr>
          </w:p>
        </w:tc>
        <w:tc>
          <w:tcPr>
            <w:tcW w:w="120" w:type="dxa"/>
            <w:vAlign w:val="bottom"/>
            <w:tcBorders>
              <w:bottom w:val="single" w:sz="8" w:color="105BAB"/>
            </w:tcBorders>
          </w:tcPr>
          <w:p>
            <w:pPr>
              <w:spacing w:after="0"/>
              <w:rPr>
                <w:sz w:val="8"/>
                <w:szCs w:val="8"/>
                <w:color w:val="auto"/>
              </w:rPr>
            </w:pPr>
          </w:p>
        </w:tc>
        <w:tc>
          <w:tcPr>
            <w:tcW w:w="20" w:type="dxa"/>
            <w:vAlign w:val="bottom"/>
            <w:tcBorders>
              <w:bottom w:val="single" w:sz="8" w:color="105BAB"/>
            </w:tcBorders>
          </w:tcPr>
          <w:p>
            <w:pPr>
              <w:spacing w:after="0"/>
              <w:rPr>
                <w:sz w:val="8"/>
                <w:szCs w:val="8"/>
                <w:color w:val="auto"/>
              </w:rPr>
            </w:pPr>
          </w:p>
        </w:tc>
        <w:tc>
          <w:tcPr>
            <w:tcW w:w="160" w:type="dxa"/>
            <w:vAlign w:val="bottom"/>
            <w:tcBorders>
              <w:bottom w:val="single" w:sz="8" w:color="105BAB"/>
            </w:tcBorders>
          </w:tcPr>
          <w:p>
            <w:pPr>
              <w:spacing w:after="0"/>
              <w:rPr>
                <w:sz w:val="8"/>
                <w:szCs w:val="8"/>
                <w:color w:val="auto"/>
              </w:rPr>
            </w:pPr>
          </w:p>
        </w:tc>
        <w:tc>
          <w:tcPr>
            <w:tcW w:w="280" w:type="dxa"/>
            <w:vAlign w:val="bottom"/>
            <w:tcBorders>
              <w:bottom w:val="single" w:sz="8" w:color="105BAB"/>
            </w:tcBorders>
          </w:tcPr>
          <w:p>
            <w:pPr>
              <w:spacing w:after="0"/>
              <w:rPr>
                <w:sz w:val="8"/>
                <w:szCs w:val="8"/>
                <w:color w:val="auto"/>
              </w:rPr>
            </w:pPr>
          </w:p>
        </w:tc>
        <w:tc>
          <w:tcPr>
            <w:tcW w:w="240" w:type="dxa"/>
            <w:vAlign w:val="bottom"/>
            <w:tcBorders>
              <w:bottom w:val="single" w:sz="8" w:color="105BAB"/>
            </w:tcBorders>
          </w:tcPr>
          <w:p>
            <w:pPr>
              <w:spacing w:after="0"/>
              <w:rPr>
                <w:sz w:val="8"/>
                <w:szCs w:val="8"/>
                <w:color w:val="auto"/>
              </w:rPr>
            </w:pPr>
          </w:p>
        </w:tc>
        <w:tc>
          <w:tcPr>
            <w:tcW w:w="180" w:type="dxa"/>
            <w:vAlign w:val="bottom"/>
            <w:tcBorders>
              <w:bottom w:val="single" w:sz="8" w:color="105BAB"/>
            </w:tcBorders>
          </w:tcPr>
          <w:p>
            <w:pPr>
              <w:spacing w:after="0"/>
              <w:rPr>
                <w:sz w:val="8"/>
                <w:szCs w:val="8"/>
                <w:color w:val="auto"/>
              </w:rPr>
            </w:pPr>
          </w:p>
        </w:tc>
        <w:tc>
          <w:tcPr>
            <w:tcW w:w="60" w:type="dxa"/>
            <w:vAlign w:val="bottom"/>
            <w:tcBorders>
              <w:bottom w:val="single" w:sz="8" w:color="105BAB"/>
            </w:tcBorders>
          </w:tcPr>
          <w:p>
            <w:pPr>
              <w:spacing w:after="0"/>
              <w:rPr>
                <w:sz w:val="8"/>
                <w:szCs w:val="8"/>
                <w:color w:val="auto"/>
              </w:rPr>
            </w:pPr>
          </w:p>
        </w:tc>
        <w:tc>
          <w:tcPr>
            <w:tcW w:w="460" w:type="dxa"/>
            <w:vAlign w:val="bottom"/>
            <w:tcBorders>
              <w:bottom w:val="single" w:sz="8" w:color="105BAB"/>
            </w:tcBorders>
          </w:tcPr>
          <w:p>
            <w:pPr>
              <w:spacing w:after="0"/>
              <w:rPr>
                <w:sz w:val="8"/>
                <w:szCs w:val="8"/>
                <w:color w:val="auto"/>
              </w:rPr>
            </w:pPr>
          </w:p>
        </w:tc>
        <w:tc>
          <w:tcPr>
            <w:tcW w:w="140" w:type="dxa"/>
            <w:vAlign w:val="bottom"/>
            <w:tcBorders>
              <w:bottom w:val="single" w:sz="8" w:color="105BAB"/>
            </w:tcBorders>
          </w:tcPr>
          <w:p>
            <w:pPr>
              <w:spacing w:after="0"/>
              <w:rPr>
                <w:sz w:val="8"/>
                <w:szCs w:val="8"/>
                <w:color w:val="auto"/>
              </w:rPr>
            </w:pPr>
          </w:p>
        </w:tc>
        <w:tc>
          <w:tcPr>
            <w:tcW w:w="380" w:type="dxa"/>
            <w:vAlign w:val="bottom"/>
            <w:tcBorders>
              <w:bottom w:val="single" w:sz="8" w:color="105BAB"/>
            </w:tcBorders>
          </w:tcPr>
          <w:p>
            <w:pPr>
              <w:spacing w:after="0"/>
              <w:rPr>
                <w:sz w:val="8"/>
                <w:szCs w:val="8"/>
                <w:color w:val="auto"/>
              </w:rPr>
            </w:pPr>
          </w:p>
        </w:tc>
        <w:tc>
          <w:tcPr>
            <w:tcW w:w="3560" w:type="dxa"/>
            <w:vAlign w:val="bottom"/>
            <w:tcBorders>
              <w:bottom w:val="single" w:sz="8" w:color="105BAB"/>
            </w:tcBorders>
          </w:tcPr>
          <w:p>
            <w:pPr>
              <w:spacing w:after="0"/>
              <w:rPr>
                <w:sz w:val="8"/>
                <w:szCs w:val="8"/>
                <w:color w:val="auto"/>
              </w:rPr>
            </w:pPr>
          </w:p>
        </w:tc>
        <w:tc>
          <w:tcPr>
            <w:tcW w:w="1160" w:type="dxa"/>
            <w:vAlign w:val="bottom"/>
            <w:tcBorders>
              <w:bottom w:val="single" w:sz="8" w:color="105BAB"/>
            </w:tcBorders>
          </w:tcPr>
          <w:p>
            <w:pPr>
              <w:spacing w:after="0"/>
              <w:rPr>
                <w:sz w:val="8"/>
                <w:szCs w:val="8"/>
                <w:color w:val="auto"/>
              </w:rPr>
            </w:pPr>
          </w:p>
        </w:tc>
        <w:tc>
          <w:tcPr>
            <w:tcW w:w="1160" w:type="dxa"/>
            <w:vAlign w:val="bottom"/>
            <w:tcBorders>
              <w:bottom w:val="single" w:sz="8" w:color="105BAB"/>
            </w:tcBorders>
          </w:tcPr>
          <w:p>
            <w:pPr>
              <w:spacing w:after="0"/>
              <w:rPr>
                <w:sz w:val="8"/>
                <w:szCs w:val="8"/>
                <w:color w:val="auto"/>
              </w:rPr>
            </w:pPr>
          </w:p>
        </w:tc>
        <w:tc>
          <w:tcPr>
            <w:tcW w:w="60" w:type="dxa"/>
            <w:vAlign w:val="bottom"/>
            <w:tcBorders>
              <w:bottom w:val="single" w:sz="8" w:color="105BAB"/>
            </w:tcBorders>
          </w:tcPr>
          <w:p>
            <w:pPr>
              <w:spacing w:after="0"/>
              <w:rPr>
                <w:sz w:val="8"/>
                <w:szCs w:val="8"/>
                <w:color w:val="auto"/>
              </w:rPr>
            </w:pPr>
          </w:p>
        </w:tc>
        <w:tc>
          <w:tcPr>
            <w:tcW w:w="120" w:type="dxa"/>
            <w:vAlign w:val="bottom"/>
            <w:tcBorders>
              <w:top w:val="single" w:sz="8" w:color="0000EE"/>
              <w:bottom w:val="single" w:sz="8" w:color="105BAB"/>
            </w:tcBorders>
          </w:tcPr>
          <w:p>
            <w:pPr>
              <w:spacing w:after="0"/>
              <w:rPr>
                <w:sz w:val="8"/>
                <w:szCs w:val="8"/>
                <w:color w:val="auto"/>
              </w:rPr>
            </w:pPr>
          </w:p>
        </w:tc>
        <w:tc>
          <w:tcPr>
            <w:tcW w:w="20" w:type="dxa"/>
            <w:vAlign w:val="bottom"/>
            <w:tcBorders>
              <w:bottom w:val="single" w:sz="8" w:color="105BAB"/>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0000EE"/>
            </w:tcBorders>
          </w:tcPr>
          <w:p>
            <w:pPr>
              <w:spacing w:after="0"/>
              <w:rPr>
                <w:sz w:val="10"/>
                <w:szCs w:val="10"/>
                <w:color w:val="auto"/>
              </w:rPr>
            </w:pPr>
          </w:p>
        </w:tc>
        <w:tc>
          <w:tcPr>
            <w:tcW w:w="1200" w:type="dxa"/>
            <w:vAlign w:val="bottom"/>
            <w:tcBorders>
              <w:bottom w:val="single" w:sz="8" w:color="0000EE"/>
            </w:tcBorders>
            <w:gridSpan w:val="11"/>
          </w:tcPr>
          <w:p>
            <w:pPr>
              <w:spacing w:after="0" w:line="125" w:lineRule="exact"/>
              <w:rPr>
                <w:rFonts w:ascii="Arial" w:cs="Arial" w:eastAsia="Arial" w:hAnsi="Arial"/>
                <w:sz w:val="14"/>
                <w:szCs w:val="14"/>
                <w:color w:val="0000EE"/>
              </w:rPr>
            </w:pPr>
            <w:hyperlink w:anchor="page53">
              <w:r>
                <w:rPr>
                  <w:rFonts w:ascii="Arial" w:cs="Arial" w:eastAsia="Arial" w:hAnsi="Arial"/>
                  <w:sz w:val="14"/>
                  <w:szCs w:val="14"/>
                  <w:color w:val="0000EE"/>
                </w:rPr>
                <w:t>PROPOSAL NO. 2</w:t>
              </w:r>
            </w:hyperlink>
          </w:p>
        </w:tc>
        <w:tc>
          <w:tcPr>
            <w:tcW w:w="7320" w:type="dxa"/>
            <w:vAlign w:val="bottom"/>
            <w:gridSpan w:val="17"/>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540" w:type="dxa"/>
            <w:vAlign w:val="bottom"/>
            <w:gridSpan w:val="29"/>
          </w:tcPr>
          <w:p>
            <w:pPr>
              <w:spacing w:after="0" w:line="160" w:lineRule="exact"/>
              <w:rPr>
                <w:rFonts w:ascii="Arial" w:cs="Arial" w:eastAsia="Arial" w:hAnsi="Arial"/>
                <w:sz w:val="16"/>
                <w:szCs w:val="16"/>
                <w:color w:val="105BAB"/>
              </w:rPr>
            </w:pPr>
            <w:hyperlink w:anchor="page53">
              <w:r>
                <w:rPr>
                  <w:rFonts w:ascii="Arial" w:cs="Arial" w:eastAsia="Arial" w:hAnsi="Arial"/>
                  <w:sz w:val="16"/>
                  <w:szCs w:val="16"/>
                  <w:color w:val="105BAB"/>
                </w:rPr>
                <w:t>RATIFICATION OF APPOINTMENT OF INDEPENDENT REGISTERED PUBLIC ACCOUNTING FIRM</w:t>
              </w:r>
            </w:hyperlink>
          </w:p>
        </w:tc>
        <w:tc>
          <w:tcPr>
            <w:tcW w:w="1340" w:type="dxa"/>
            <w:vAlign w:val="bottom"/>
            <w:gridSpan w:val="3"/>
          </w:tcPr>
          <w:p>
            <w:pPr>
              <w:jc w:val="right"/>
              <w:spacing w:after="0" w:line="160" w:lineRule="exact"/>
              <w:rPr>
                <w:rFonts w:ascii="Arial" w:cs="Arial" w:eastAsia="Arial" w:hAnsi="Arial"/>
                <w:sz w:val="16"/>
                <w:szCs w:val="16"/>
                <w:color w:val="105BAB"/>
              </w:rPr>
            </w:pPr>
            <w:hyperlink w:anchor="page53">
              <w:r>
                <w:rPr>
                  <w:rFonts w:ascii="Arial" w:cs="Arial" w:eastAsia="Arial" w:hAnsi="Arial"/>
                  <w:sz w:val="16"/>
                  <w:szCs w:val="16"/>
                  <w:color w:val="105BAB"/>
                </w:rPr>
                <w:t>42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105BAB"/>
            </w:tcBorders>
          </w:tcPr>
          <w:p>
            <w:pPr>
              <w:spacing w:after="0" w:line="20" w:lineRule="exact"/>
              <w:rPr>
                <w:sz w:val="1"/>
                <w:szCs w:val="1"/>
                <w:color w:val="auto"/>
              </w:rPr>
            </w:pPr>
          </w:p>
        </w:tc>
        <w:tc>
          <w:tcPr>
            <w:tcW w:w="160" w:type="dxa"/>
            <w:vAlign w:val="bottom"/>
            <w:tcBorders>
              <w:top w:val="single" w:sz="8" w:color="105BAB"/>
              <w:bottom w:val="single" w:sz="8" w:color="105BAB"/>
            </w:tcBorders>
          </w:tcPr>
          <w:p>
            <w:pPr>
              <w:spacing w:after="0" w:line="20" w:lineRule="exact"/>
              <w:rPr>
                <w:sz w:val="1"/>
                <w:szCs w:val="1"/>
                <w:color w:val="auto"/>
              </w:rPr>
            </w:pPr>
          </w:p>
        </w:tc>
        <w:tc>
          <w:tcPr>
            <w:tcW w:w="180" w:type="dxa"/>
            <w:vAlign w:val="bottom"/>
            <w:tcBorders>
              <w:top w:val="single" w:sz="8" w:color="105BAB"/>
              <w:bottom w:val="single" w:sz="8" w:color="105BAB"/>
            </w:tcBorders>
          </w:tcPr>
          <w:p>
            <w:pPr>
              <w:spacing w:after="0" w:line="20" w:lineRule="exact"/>
              <w:rPr>
                <w:sz w:val="1"/>
                <w:szCs w:val="1"/>
                <w:color w:val="auto"/>
              </w:rPr>
            </w:pPr>
          </w:p>
        </w:tc>
        <w:tc>
          <w:tcPr>
            <w:tcW w:w="80" w:type="dxa"/>
            <w:vAlign w:val="bottom"/>
            <w:tcBorders>
              <w:top w:val="single" w:sz="8" w:color="105BAB"/>
              <w:bottom w:val="single" w:sz="8" w:color="105BAB"/>
            </w:tcBorders>
          </w:tcPr>
          <w:p>
            <w:pPr>
              <w:spacing w:after="0" w:line="20" w:lineRule="exact"/>
              <w:rPr>
                <w:sz w:val="1"/>
                <w:szCs w:val="1"/>
                <w:color w:val="auto"/>
              </w:rPr>
            </w:pPr>
          </w:p>
        </w:tc>
        <w:tc>
          <w:tcPr>
            <w:tcW w:w="300" w:type="dxa"/>
            <w:vAlign w:val="bottom"/>
            <w:tcBorders>
              <w:top w:val="single" w:sz="8" w:color="105BAB"/>
              <w:bottom w:val="single" w:sz="8" w:color="105BAB"/>
            </w:tcBorders>
          </w:tcPr>
          <w:p>
            <w:pPr>
              <w:spacing w:after="0" w:line="20" w:lineRule="exact"/>
              <w:rPr>
                <w:sz w:val="1"/>
                <w:szCs w:val="1"/>
                <w:color w:val="auto"/>
              </w:rPr>
            </w:pPr>
          </w:p>
        </w:tc>
        <w:tc>
          <w:tcPr>
            <w:tcW w:w="100" w:type="dxa"/>
            <w:vAlign w:val="bottom"/>
            <w:tcBorders>
              <w:top w:val="single" w:sz="8" w:color="105BAB"/>
              <w:bottom w:val="single" w:sz="8" w:color="105BAB"/>
            </w:tcBorders>
          </w:tcPr>
          <w:p>
            <w:pPr>
              <w:spacing w:after="0" w:line="20" w:lineRule="exact"/>
              <w:rPr>
                <w:sz w:val="1"/>
                <w:szCs w:val="1"/>
                <w:color w:val="auto"/>
              </w:rPr>
            </w:pPr>
          </w:p>
        </w:tc>
        <w:tc>
          <w:tcPr>
            <w:tcW w:w="10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100" w:type="dxa"/>
            <w:vAlign w:val="bottom"/>
            <w:tcBorders>
              <w:top w:val="single" w:sz="8" w:color="105BAB"/>
              <w:bottom w:val="single" w:sz="8" w:color="105BAB"/>
            </w:tcBorders>
          </w:tcPr>
          <w:p>
            <w:pPr>
              <w:spacing w:after="0" w:line="20" w:lineRule="exact"/>
              <w:rPr>
                <w:sz w:val="1"/>
                <w:szCs w:val="1"/>
                <w:color w:val="auto"/>
              </w:rPr>
            </w:pPr>
          </w:p>
        </w:tc>
        <w:tc>
          <w:tcPr>
            <w:tcW w:w="1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4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220" w:type="dxa"/>
            <w:vAlign w:val="bottom"/>
            <w:tcBorders>
              <w:top w:val="single" w:sz="8" w:color="105BAB"/>
              <w:bottom w:val="single" w:sz="8" w:color="105BAB"/>
            </w:tcBorders>
          </w:tcPr>
          <w:p>
            <w:pPr>
              <w:spacing w:after="0" w:line="20" w:lineRule="exact"/>
              <w:rPr>
                <w:sz w:val="1"/>
                <w:szCs w:val="1"/>
                <w:color w:val="auto"/>
              </w:rPr>
            </w:pPr>
          </w:p>
        </w:tc>
        <w:tc>
          <w:tcPr>
            <w:tcW w:w="60" w:type="dxa"/>
            <w:vAlign w:val="bottom"/>
            <w:tcBorders>
              <w:top w:val="single" w:sz="8" w:color="105BAB"/>
              <w:bottom w:val="single" w:sz="8" w:color="105BAB"/>
            </w:tcBorders>
          </w:tcPr>
          <w:p>
            <w:pPr>
              <w:spacing w:after="0" w:line="20" w:lineRule="exact"/>
              <w:rPr>
                <w:sz w:val="1"/>
                <w:szCs w:val="1"/>
                <w:color w:val="auto"/>
              </w:rPr>
            </w:pPr>
          </w:p>
        </w:tc>
        <w:tc>
          <w:tcPr>
            <w:tcW w:w="1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top w:val="single" w:sz="8" w:color="105BAB"/>
              <w:bottom w:val="single" w:sz="8" w:color="105BAB"/>
            </w:tcBorders>
          </w:tcPr>
          <w:p>
            <w:pPr>
              <w:spacing w:after="0" w:line="20" w:lineRule="exact"/>
              <w:rPr>
                <w:sz w:val="1"/>
                <w:szCs w:val="1"/>
                <w:color w:val="auto"/>
              </w:rPr>
            </w:pPr>
          </w:p>
        </w:tc>
        <w:tc>
          <w:tcPr>
            <w:tcW w:w="160" w:type="dxa"/>
            <w:vAlign w:val="bottom"/>
            <w:tcBorders>
              <w:top w:val="single" w:sz="8" w:color="105BAB"/>
              <w:bottom w:val="single" w:sz="8" w:color="105BAB"/>
            </w:tcBorders>
          </w:tcPr>
          <w:p>
            <w:pPr>
              <w:spacing w:after="0" w:line="20" w:lineRule="exact"/>
              <w:rPr>
                <w:sz w:val="1"/>
                <w:szCs w:val="1"/>
                <w:color w:val="auto"/>
              </w:rPr>
            </w:pPr>
          </w:p>
        </w:tc>
        <w:tc>
          <w:tcPr>
            <w:tcW w:w="280" w:type="dxa"/>
            <w:vAlign w:val="bottom"/>
            <w:tcBorders>
              <w:top w:val="single" w:sz="8" w:color="105BAB"/>
              <w:bottom w:val="single" w:sz="8" w:color="105BAB"/>
            </w:tcBorders>
          </w:tcPr>
          <w:p>
            <w:pPr>
              <w:spacing w:after="0" w:line="20" w:lineRule="exact"/>
              <w:rPr>
                <w:sz w:val="1"/>
                <w:szCs w:val="1"/>
                <w:color w:val="auto"/>
              </w:rPr>
            </w:pPr>
          </w:p>
        </w:tc>
        <w:tc>
          <w:tcPr>
            <w:tcW w:w="240" w:type="dxa"/>
            <w:vAlign w:val="bottom"/>
            <w:tcBorders>
              <w:top w:val="single" w:sz="8" w:color="105BAB"/>
              <w:bottom w:val="single" w:sz="8" w:color="105BAB"/>
            </w:tcBorders>
          </w:tcPr>
          <w:p>
            <w:pPr>
              <w:spacing w:after="0" w:line="20" w:lineRule="exact"/>
              <w:rPr>
                <w:sz w:val="1"/>
                <w:szCs w:val="1"/>
                <w:color w:val="auto"/>
              </w:rPr>
            </w:pPr>
          </w:p>
        </w:tc>
        <w:tc>
          <w:tcPr>
            <w:tcW w:w="180" w:type="dxa"/>
            <w:vAlign w:val="bottom"/>
            <w:tcBorders>
              <w:top w:val="single" w:sz="8" w:color="105BAB"/>
              <w:bottom w:val="single" w:sz="8" w:color="105BAB"/>
            </w:tcBorders>
          </w:tcPr>
          <w:p>
            <w:pPr>
              <w:spacing w:after="0" w:line="20" w:lineRule="exact"/>
              <w:rPr>
                <w:sz w:val="1"/>
                <w:szCs w:val="1"/>
                <w:color w:val="auto"/>
              </w:rPr>
            </w:pPr>
          </w:p>
        </w:tc>
        <w:tc>
          <w:tcPr>
            <w:tcW w:w="60" w:type="dxa"/>
            <w:vAlign w:val="bottom"/>
            <w:tcBorders>
              <w:top w:val="single" w:sz="8" w:color="105BAB"/>
              <w:bottom w:val="single" w:sz="8" w:color="105BAB"/>
            </w:tcBorders>
          </w:tcPr>
          <w:p>
            <w:pPr>
              <w:spacing w:after="0" w:line="20" w:lineRule="exact"/>
              <w:rPr>
                <w:sz w:val="1"/>
                <w:szCs w:val="1"/>
                <w:color w:val="auto"/>
              </w:rPr>
            </w:pPr>
          </w:p>
        </w:tc>
        <w:tc>
          <w:tcPr>
            <w:tcW w:w="460" w:type="dxa"/>
            <w:vAlign w:val="bottom"/>
            <w:tcBorders>
              <w:top w:val="single" w:sz="8" w:color="105BAB"/>
              <w:bottom w:val="single" w:sz="8" w:color="105BAB"/>
            </w:tcBorders>
          </w:tcPr>
          <w:p>
            <w:pPr>
              <w:spacing w:after="0" w:line="20" w:lineRule="exact"/>
              <w:rPr>
                <w:sz w:val="1"/>
                <w:szCs w:val="1"/>
                <w:color w:val="auto"/>
              </w:rPr>
            </w:pPr>
          </w:p>
        </w:tc>
        <w:tc>
          <w:tcPr>
            <w:tcW w:w="140" w:type="dxa"/>
            <w:vAlign w:val="bottom"/>
            <w:tcBorders>
              <w:top w:val="single" w:sz="8" w:color="105BAB"/>
              <w:bottom w:val="single" w:sz="8" w:color="105BAB"/>
            </w:tcBorders>
          </w:tcPr>
          <w:p>
            <w:pPr>
              <w:spacing w:after="0" w:line="20" w:lineRule="exact"/>
              <w:rPr>
                <w:sz w:val="1"/>
                <w:szCs w:val="1"/>
                <w:color w:val="auto"/>
              </w:rPr>
            </w:pPr>
          </w:p>
        </w:tc>
        <w:tc>
          <w:tcPr>
            <w:tcW w:w="380" w:type="dxa"/>
            <w:vAlign w:val="bottom"/>
            <w:tcBorders>
              <w:top w:val="single" w:sz="8" w:color="105BAB"/>
              <w:bottom w:val="single" w:sz="8" w:color="105BAB"/>
            </w:tcBorders>
          </w:tcPr>
          <w:p>
            <w:pPr>
              <w:spacing w:after="0" w:line="20" w:lineRule="exact"/>
              <w:rPr>
                <w:sz w:val="1"/>
                <w:szCs w:val="1"/>
                <w:color w:val="auto"/>
              </w:rPr>
            </w:pPr>
          </w:p>
        </w:tc>
        <w:tc>
          <w:tcPr>
            <w:tcW w:w="3560" w:type="dxa"/>
            <w:vAlign w:val="bottom"/>
            <w:tcBorders>
              <w:top w:val="single" w:sz="8" w:color="105BAB"/>
              <w:bottom w:val="single" w:sz="8" w:color="105BAB"/>
            </w:tcBorders>
          </w:tcPr>
          <w:p>
            <w:pPr>
              <w:spacing w:after="0" w:line="20" w:lineRule="exact"/>
              <w:rPr>
                <w:sz w:val="1"/>
                <w:szCs w:val="1"/>
                <w:color w:val="auto"/>
              </w:rPr>
            </w:pPr>
          </w:p>
        </w:tc>
        <w:tc>
          <w:tcPr>
            <w:tcW w:w="1160" w:type="dxa"/>
            <w:vAlign w:val="bottom"/>
            <w:tcBorders>
              <w:bottom w:val="single" w:sz="8" w:color="105BAB"/>
            </w:tcBorders>
          </w:tcPr>
          <w:p>
            <w:pPr>
              <w:spacing w:after="0" w:line="20" w:lineRule="exact"/>
              <w:rPr>
                <w:sz w:val="1"/>
                <w:szCs w:val="1"/>
                <w:color w:val="auto"/>
              </w:rPr>
            </w:pPr>
          </w:p>
        </w:tc>
        <w:tc>
          <w:tcPr>
            <w:tcW w:w="1160" w:type="dxa"/>
            <w:vAlign w:val="bottom"/>
            <w:tcBorders>
              <w:bottom w:val="single" w:sz="8" w:color="105BAB"/>
            </w:tcBorders>
          </w:tcPr>
          <w:p>
            <w:pPr>
              <w:spacing w:after="0" w:line="20" w:lineRule="exact"/>
              <w:rPr>
                <w:sz w:val="1"/>
                <w:szCs w:val="1"/>
                <w:color w:val="auto"/>
              </w:rPr>
            </w:pPr>
          </w:p>
        </w:tc>
        <w:tc>
          <w:tcPr>
            <w:tcW w:w="60" w:type="dxa"/>
            <w:vAlign w:val="bottom"/>
            <w:tcBorders>
              <w:top w:val="single" w:sz="8" w:color="105BAB"/>
              <w:bottom w:val="single" w:sz="8" w:color="105BAB"/>
            </w:tcBorders>
          </w:tcPr>
          <w:p>
            <w:pPr>
              <w:spacing w:after="0" w:line="20" w:lineRule="exact"/>
              <w:rPr>
                <w:sz w:val="1"/>
                <w:szCs w:val="1"/>
                <w:color w:val="auto"/>
              </w:rPr>
            </w:pPr>
          </w:p>
        </w:tc>
        <w:tc>
          <w:tcPr>
            <w:tcW w:w="120" w:type="dxa"/>
            <w:vAlign w:val="bottom"/>
            <w:tcBorders>
              <w:top w:val="single" w:sz="8" w:color="105BAB"/>
              <w:bottom w:val="single" w:sz="8" w:color="105BAB"/>
            </w:tcBorders>
          </w:tcPr>
          <w:p>
            <w:pPr>
              <w:spacing w:after="0" w:line="20" w:lineRule="exact"/>
              <w:rPr>
                <w:sz w:val="1"/>
                <w:szCs w:val="1"/>
                <w:color w:val="auto"/>
              </w:rPr>
            </w:pPr>
          </w:p>
        </w:tc>
        <w:tc>
          <w:tcPr>
            <w:tcW w:w="20" w:type="dxa"/>
            <w:vAlign w:val="bottom"/>
            <w:tcBorders>
              <w:bottom w:val="single" w:sz="8" w:color="105BA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105BAB"/>
            </w:tcBorders>
            <w:gridSpan w:val="5"/>
          </w:tcPr>
          <w:p>
            <w:pPr>
              <w:spacing w:after="0"/>
              <w:rPr>
                <w:rFonts w:ascii="Arial" w:cs="Arial" w:eastAsia="Arial" w:hAnsi="Arial"/>
                <w:sz w:val="12"/>
                <w:szCs w:val="12"/>
                <w:b w:val="1"/>
                <w:bCs w:val="1"/>
                <w:color w:val="105BAB"/>
                <w:w w:val="96"/>
              </w:rPr>
            </w:pPr>
            <w:hyperlink w:anchor="page54">
              <w:r>
                <w:rPr>
                  <w:rFonts w:ascii="Arial" w:cs="Arial" w:eastAsia="Arial" w:hAnsi="Arial"/>
                  <w:sz w:val="12"/>
                  <w:szCs w:val="12"/>
                  <w:b w:val="1"/>
                  <w:bCs w:val="1"/>
                  <w:color w:val="105BAB"/>
                  <w:w w:val="96"/>
                </w:rPr>
                <w:t>Shareholders</w:t>
              </w:r>
            </w:hyperlink>
          </w:p>
        </w:tc>
        <w:tc>
          <w:tcPr>
            <w:tcW w:w="7600" w:type="dxa"/>
            <w:vAlign w:val="bottom"/>
            <w:gridSpan w:val="22"/>
          </w:tcPr>
          <w:p>
            <w:pPr>
              <w:spacing w:after="0"/>
              <w:rPr>
                <w:sz w:val="20"/>
                <w:szCs w:val="20"/>
                <w:color w:val="auto"/>
              </w:rPr>
            </w:pPr>
          </w:p>
        </w:tc>
        <w:tc>
          <w:tcPr>
            <w:tcW w:w="1220" w:type="dxa"/>
            <w:vAlign w:val="bottom"/>
            <w:gridSpan w:val="2"/>
          </w:tcPr>
          <w:p>
            <w:pPr>
              <w:spacing w:after="0"/>
              <w:rPr>
                <w:sz w:val="20"/>
                <w:szCs w:val="20"/>
                <w:color w:val="auto"/>
              </w:rPr>
            </w:pPr>
          </w:p>
        </w:tc>
        <w:tc>
          <w:tcPr>
            <w:tcW w:w="120" w:type="dxa"/>
            <w:vAlign w:val="bottom"/>
            <w:tcBorders>
              <w:bottom w:val="single" w:sz="8" w:color="105BAB"/>
            </w:tcBorders>
          </w:tcPr>
          <w:p>
            <w:pPr>
              <w:jc w:val="right"/>
              <w:spacing w:after="0"/>
              <w:rPr>
                <w:rFonts w:ascii="Arial" w:cs="Arial" w:eastAsia="Arial" w:hAnsi="Arial"/>
                <w:sz w:val="10"/>
                <w:szCs w:val="10"/>
                <w:b w:val="1"/>
                <w:bCs w:val="1"/>
                <w:color w:val="105BAB"/>
                <w:w w:val="89"/>
              </w:rPr>
            </w:pPr>
            <w:hyperlink w:anchor="page54">
              <w:r>
                <w:rPr>
                  <w:rFonts w:ascii="Arial" w:cs="Arial" w:eastAsia="Arial" w:hAnsi="Arial"/>
                  <w:sz w:val="10"/>
                  <w:szCs w:val="10"/>
                  <w:b w:val="1"/>
                  <w:bCs w:val="1"/>
                  <w:color w:val="105BAB"/>
                  <w:w w:val="89"/>
                </w:rPr>
                <w:t>43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tcBorders>
              <w:bottom w:val="single" w:sz="8" w:color="0000EE"/>
            </w:tcBorders>
            <w:gridSpan w:val="21"/>
          </w:tcPr>
          <w:p>
            <w:pPr>
              <w:spacing w:after="0" w:line="78" w:lineRule="exact"/>
              <w:rPr>
                <w:rFonts w:ascii="Arial" w:cs="Arial" w:eastAsia="Arial" w:hAnsi="Arial"/>
                <w:sz w:val="8"/>
                <w:szCs w:val="8"/>
                <w:color w:val="0000EE"/>
              </w:rPr>
            </w:pPr>
            <w:hyperlink w:anchor="page54">
              <w:r>
                <w:rPr>
                  <w:rFonts w:ascii="Arial" w:cs="Arial" w:eastAsia="Arial" w:hAnsi="Arial"/>
                  <w:sz w:val="8"/>
                  <w:szCs w:val="8"/>
                  <w:color w:val="0000EE"/>
                </w:rPr>
                <w:t>Security Ownership of Certain Beneficial Owners and Management</w:t>
              </w:r>
            </w:hyperlink>
          </w:p>
        </w:tc>
        <w:tc>
          <w:tcPr>
            <w:tcW w:w="5240" w:type="dxa"/>
            <w:vAlign w:val="bottom"/>
            <w:gridSpan w:val="4"/>
          </w:tcPr>
          <w:p>
            <w:pPr>
              <w:spacing w:after="0"/>
              <w:rPr>
                <w:sz w:val="6"/>
                <w:szCs w:val="6"/>
                <w:color w:val="auto"/>
              </w:rPr>
            </w:pPr>
          </w:p>
        </w:tc>
        <w:tc>
          <w:tcPr>
            <w:tcW w:w="1220" w:type="dxa"/>
            <w:vAlign w:val="bottom"/>
            <w:gridSpan w:val="2"/>
          </w:tcPr>
          <w:p>
            <w:pPr>
              <w:spacing w:after="0"/>
              <w:rPr>
                <w:sz w:val="6"/>
                <w:szCs w:val="6"/>
                <w:color w:val="auto"/>
              </w:rPr>
            </w:pPr>
          </w:p>
        </w:tc>
        <w:tc>
          <w:tcPr>
            <w:tcW w:w="120" w:type="dxa"/>
            <w:vAlign w:val="bottom"/>
            <w:tcBorders>
              <w:bottom w:val="single" w:sz="8" w:color="0000EE"/>
            </w:tcBorders>
          </w:tcPr>
          <w:p>
            <w:pPr>
              <w:jc w:val="right"/>
              <w:spacing w:after="0" w:line="78" w:lineRule="exact"/>
              <w:rPr>
                <w:rFonts w:ascii="Arial" w:cs="Arial" w:eastAsia="Arial" w:hAnsi="Arial"/>
                <w:sz w:val="8"/>
                <w:szCs w:val="8"/>
                <w:color w:val="0000EE"/>
              </w:rPr>
            </w:pPr>
            <w:hyperlink w:anchor="page54">
              <w:r>
                <w:rPr>
                  <w:rFonts w:ascii="Arial" w:cs="Arial" w:eastAsia="Arial" w:hAnsi="Arial"/>
                  <w:sz w:val="8"/>
                  <w:szCs w:val="8"/>
                  <w:color w:val="0000EE"/>
                </w:rPr>
                <w:t>43</w:t>
              </w:r>
            </w:hyperlink>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Borders>
              <w:bottom w:val="single" w:sz="8" w:color="0000EE"/>
            </w:tcBorders>
            <w:gridSpan w:val="12"/>
          </w:tcPr>
          <w:p>
            <w:pPr>
              <w:spacing w:after="0" w:line="88" w:lineRule="exact"/>
              <w:rPr>
                <w:rFonts w:ascii="Arial" w:cs="Arial" w:eastAsia="Arial" w:hAnsi="Arial"/>
                <w:sz w:val="10"/>
                <w:szCs w:val="10"/>
                <w:color w:val="0000EE"/>
                <w:w w:val="95"/>
              </w:rPr>
            </w:pPr>
            <w:hyperlink w:anchor="page57">
              <w:r>
                <w:rPr>
                  <w:rFonts w:ascii="Arial" w:cs="Arial" w:eastAsia="Arial" w:hAnsi="Arial"/>
                  <w:sz w:val="10"/>
                  <w:szCs w:val="10"/>
                  <w:color w:val="0000EE"/>
                  <w:w w:val="95"/>
                </w:rPr>
                <w:t>Shareholder Communications</w:t>
              </w:r>
            </w:hyperlink>
          </w:p>
        </w:tc>
        <w:tc>
          <w:tcPr>
            <w:tcW w:w="6820" w:type="dxa"/>
            <w:vAlign w:val="bottom"/>
            <w:gridSpan w:val="13"/>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57">
              <w:r>
                <w:rPr>
                  <w:rFonts w:ascii="Arial" w:cs="Arial" w:eastAsia="Arial" w:hAnsi="Arial"/>
                  <w:sz w:val="10"/>
                  <w:szCs w:val="10"/>
                  <w:color w:val="0000EE"/>
                  <w:w w:val="89"/>
                </w:rPr>
                <w:t>46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60" w:type="dxa"/>
            <w:vAlign w:val="bottom"/>
            <w:gridSpan w:val="27"/>
          </w:tcPr>
          <w:p>
            <w:pPr>
              <w:spacing w:after="0"/>
              <w:rPr>
                <w:rFonts w:ascii="Arial" w:cs="Arial" w:eastAsia="Arial" w:hAnsi="Arial"/>
                <w:sz w:val="12"/>
                <w:szCs w:val="12"/>
                <w:b w:val="1"/>
                <w:bCs w:val="1"/>
                <w:color w:val="105BAB"/>
              </w:rPr>
            </w:pPr>
            <w:hyperlink w:anchor="page58">
              <w:r>
                <w:rPr>
                  <w:rFonts w:ascii="Arial" w:cs="Arial" w:eastAsia="Arial" w:hAnsi="Arial"/>
                  <w:sz w:val="12"/>
                  <w:szCs w:val="12"/>
                  <w:b w:val="1"/>
                  <w:bCs w:val="1"/>
                  <w:color w:val="105BAB"/>
                </w:rPr>
                <w:t>Compensation-Related Matters</w:t>
              </w:r>
            </w:hyperlink>
          </w:p>
        </w:tc>
        <w:tc>
          <w:tcPr>
            <w:tcW w:w="1360" w:type="dxa"/>
            <w:vAlign w:val="bottom"/>
            <w:gridSpan w:val="4"/>
          </w:tcPr>
          <w:p>
            <w:pPr>
              <w:jc w:val="right"/>
              <w:ind w:right="20"/>
              <w:spacing w:after="0"/>
              <w:rPr>
                <w:rFonts w:ascii="Arial" w:cs="Arial" w:eastAsia="Arial" w:hAnsi="Arial"/>
                <w:sz w:val="10"/>
                <w:szCs w:val="10"/>
                <w:b w:val="1"/>
                <w:bCs w:val="1"/>
                <w:color w:val="105BAB"/>
              </w:rPr>
            </w:pPr>
            <w:hyperlink w:anchor="page58">
              <w:r>
                <w:rPr>
                  <w:rFonts w:ascii="Arial" w:cs="Arial" w:eastAsia="Arial" w:hAnsi="Arial"/>
                  <w:sz w:val="10"/>
                  <w:szCs w:val="10"/>
                  <w:b w:val="1"/>
                  <w:bCs w:val="1"/>
                  <w:color w:val="105BAB"/>
                </w:rPr>
                <w:t>47</w:t>
              </w:r>
            </w:hyperlink>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top w:val="single" w:sz="8" w:color="105BAB"/>
            </w:tcBorders>
          </w:tcPr>
          <w:p>
            <w:pPr>
              <w:spacing w:after="0"/>
              <w:rPr>
                <w:sz w:val="6"/>
                <w:szCs w:val="6"/>
                <w:color w:val="auto"/>
              </w:rPr>
            </w:pPr>
          </w:p>
        </w:tc>
        <w:tc>
          <w:tcPr>
            <w:tcW w:w="80" w:type="dxa"/>
            <w:vAlign w:val="bottom"/>
            <w:tcBorders>
              <w:top w:val="single" w:sz="8" w:color="105BAB"/>
            </w:tcBorders>
          </w:tcPr>
          <w:p>
            <w:pPr>
              <w:spacing w:after="0"/>
              <w:rPr>
                <w:sz w:val="6"/>
                <w:szCs w:val="6"/>
                <w:color w:val="auto"/>
              </w:rPr>
            </w:pPr>
          </w:p>
        </w:tc>
        <w:tc>
          <w:tcPr>
            <w:tcW w:w="760" w:type="dxa"/>
            <w:vAlign w:val="bottom"/>
            <w:tcBorders>
              <w:top w:val="single" w:sz="8" w:color="105BAB"/>
              <w:bottom w:val="single" w:sz="8" w:color="0000EE"/>
            </w:tcBorders>
            <w:gridSpan w:val="7"/>
          </w:tcPr>
          <w:p>
            <w:pPr>
              <w:spacing w:after="0" w:line="78" w:lineRule="exact"/>
              <w:rPr>
                <w:rFonts w:ascii="Arial" w:cs="Arial" w:eastAsia="Arial" w:hAnsi="Arial"/>
                <w:sz w:val="8"/>
                <w:szCs w:val="8"/>
                <w:color w:val="0000EE"/>
              </w:rPr>
            </w:pPr>
            <w:hyperlink w:anchor="page58">
              <w:r>
                <w:rPr>
                  <w:rFonts w:ascii="Arial" w:cs="Arial" w:eastAsia="Arial" w:hAnsi="Arial"/>
                  <w:sz w:val="8"/>
                  <w:szCs w:val="8"/>
                  <w:color w:val="0000EE"/>
                </w:rPr>
                <w:t>Table of Contents</w:t>
              </w:r>
            </w:hyperlink>
          </w:p>
        </w:tc>
        <w:tc>
          <w:tcPr>
            <w:tcW w:w="700" w:type="dxa"/>
            <w:vAlign w:val="bottom"/>
            <w:tcBorders>
              <w:top w:val="single" w:sz="8" w:color="105BAB"/>
            </w:tcBorders>
            <w:gridSpan w:val="7"/>
          </w:tcPr>
          <w:p>
            <w:pPr>
              <w:spacing w:after="0"/>
              <w:rPr>
                <w:sz w:val="6"/>
                <w:szCs w:val="6"/>
                <w:color w:val="auto"/>
              </w:rPr>
            </w:pPr>
          </w:p>
        </w:tc>
        <w:tc>
          <w:tcPr>
            <w:tcW w:w="6640" w:type="dxa"/>
            <w:vAlign w:val="bottom"/>
            <w:gridSpan w:val="11"/>
          </w:tcPr>
          <w:p>
            <w:pPr>
              <w:spacing w:after="0"/>
              <w:rPr>
                <w:sz w:val="6"/>
                <w:szCs w:val="6"/>
                <w:color w:val="auto"/>
              </w:rPr>
            </w:pPr>
          </w:p>
        </w:tc>
        <w:tc>
          <w:tcPr>
            <w:tcW w:w="1220" w:type="dxa"/>
            <w:vAlign w:val="bottom"/>
            <w:gridSpan w:val="2"/>
          </w:tcPr>
          <w:p>
            <w:pPr>
              <w:spacing w:after="0"/>
              <w:rPr>
                <w:sz w:val="6"/>
                <w:szCs w:val="6"/>
                <w:color w:val="auto"/>
              </w:rPr>
            </w:pPr>
          </w:p>
        </w:tc>
        <w:tc>
          <w:tcPr>
            <w:tcW w:w="120" w:type="dxa"/>
            <w:vAlign w:val="bottom"/>
            <w:tcBorders>
              <w:top w:val="single" w:sz="8" w:color="105BAB"/>
              <w:bottom w:val="single" w:sz="8" w:color="0000EE"/>
            </w:tcBorders>
          </w:tcPr>
          <w:p>
            <w:pPr>
              <w:jc w:val="right"/>
              <w:spacing w:after="0" w:line="78" w:lineRule="exact"/>
              <w:rPr>
                <w:rFonts w:ascii="Arial" w:cs="Arial" w:eastAsia="Arial" w:hAnsi="Arial"/>
                <w:sz w:val="8"/>
                <w:szCs w:val="8"/>
                <w:color w:val="0000EE"/>
              </w:rPr>
            </w:pPr>
            <w:hyperlink w:anchor="page58">
              <w:r>
                <w:rPr>
                  <w:rFonts w:ascii="Arial" w:cs="Arial" w:eastAsia="Arial" w:hAnsi="Arial"/>
                  <w:sz w:val="8"/>
                  <w:szCs w:val="8"/>
                  <w:color w:val="0000EE"/>
                </w:rPr>
                <w:t>47</w:t>
              </w:r>
            </w:hyperlink>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9"/>
          </w:tcPr>
          <w:p>
            <w:pPr>
              <w:spacing w:after="0" w:line="88" w:lineRule="exact"/>
              <w:rPr>
                <w:rFonts w:ascii="Arial" w:cs="Arial" w:eastAsia="Arial" w:hAnsi="Arial"/>
                <w:sz w:val="10"/>
                <w:szCs w:val="10"/>
                <w:b w:val="1"/>
                <w:bCs w:val="1"/>
                <w:color w:val="0000EE"/>
              </w:rPr>
            </w:pPr>
            <w:hyperlink w:anchor="page59">
              <w:r>
                <w:rPr>
                  <w:rFonts w:ascii="Arial" w:cs="Arial" w:eastAsia="Arial" w:hAnsi="Arial"/>
                  <w:sz w:val="10"/>
                  <w:szCs w:val="10"/>
                  <w:b w:val="1"/>
                  <w:bCs w:val="1"/>
                  <w:color w:val="0000EE"/>
                </w:rPr>
                <w:t>Introduction</w:t>
              </w:r>
            </w:hyperlink>
          </w:p>
        </w:tc>
        <w:tc>
          <w:tcPr>
            <w:tcW w:w="1400" w:type="dxa"/>
            <w:vAlign w:val="bottom"/>
            <w:gridSpan w:val="11"/>
          </w:tcPr>
          <w:p>
            <w:pPr>
              <w:spacing w:after="0"/>
              <w:rPr>
                <w:sz w:val="7"/>
                <w:szCs w:val="7"/>
                <w:color w:val="auto"/>
              </w:rPr>
            </w:pPr>
          </w:p>
        </w:tc>
        <w:tc>
          <w:tcPr>
            <w:tcW w:w="5940" w:type="dxa"/>
            <w:vAlign w:val="bottom"/>
            <w:gridSpan w:val="7"/>
          </w:tcPr>
          <w:p>
            <w:pPr>
              <w:spacing w:after="0"/>
              <w:rPr>
                <w:sz w:val="7"/>
                <w:szCs w:val="7"/>
                <w:color w:val="auto"/>
              </w:rPr>
            </w:pPr>
          </w:p>
        </w:tc>
        <w:tc>
          <w:tcPr>
            <w:tcW w:w="1220" w:type="dxa"/>
            <w:vAlign w:val="bottom"/>
            <w:gridSpan w:val="2"/>
          </w:tcPr>
          <w:p>
            <w:pPr>
              <w:spacing w:after="0"/>
              <w:rPr>
                <w:sz w:val="7"/>
                <w:szCs w:val="7"/>
                <w:color w:val="auto"/>
              </w:rPr>
            </w:pPr>
          </w:p>
        </w:tc>
        <w:tc>
          <w:tcPr>
            <w:tcW w:w="120" w:type="dxa"/>
            <w:vAlign w:val="bottom"/>
          </w:tcPr>
          <w:p>
            <w:pPr>
              <w:jc w:val="right"/>
              <w:spacing w:after="0" w:line="88" w:lineRule="exact"/>
              <w:rPr>
                <w:rFonts w:ascii="Arial" w:cs="Arial" w:eastAsia="Arial" w:hAnsi="Arial"/>
                <w:sz w:val="10"/>
                <w:szCs w:val="10"/>
                <w:b w:val="1"/>
                <w:bCs w:val="1"/>
                <w:color w:val="0000EE"/>
                <w:w w:val="89"/>
              </w:rPr>
            </w:pPr>
            <w:hyperlink w:anchor="page59">
              <w:r>
                <w:rPr>
                  <w:rFonts w:ascii="Arial" w:cs="Arial" w:eastAsia="Arial" w:hAnsi="Arial"/>
                  <w:sz w:val="10"/>
                  <w:szCs w:val="10"/>
                  <w:b w:val="1"/>
                  <w:bCs w:val="1"/>
                  <w:color w:val="0000EE"/>
                  <w:w w:val="89"/>
                </w:rPr>
                <w:t>48</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60" w:type="dxa"/>
            <w:vAlign w:val="bottom"/>
            <w:gridSpan w:val="17"/>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220" w:type="dxa"/>
            <w:vAlign w:val="bottom"/>
            <w:gridSpan w:val="2"/>
            <w:vMerge w:val="restart"/>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180" w:type="dxa"/>
            <w:vAlign w:val="bottom"/>
            <w:gridSpan w:val="26"/>
          </w:tcPr>
          <w:p>
            <w:pPr>
              <w:spacing w:after="0" w:line="88" w:lineRule="exact"/>
              <w:rPr>
                <w:rFonts w:ascii="Arial" w:cs="Arial" w:eastAsia="Arial" w:hAnsi="Arial"/>
                <w:sz w:val="10"/>
                <w:szCs w:val="10"/>
                <w:b w:val="1"/>
                <w:bCs w:val="1"/>
                <w:color w:val="105BAB"/>
              </w:rPr>
            </w:pPr>
            <w:hyperlink w:anchor="page59">
              <w:r>
                <w:rPr>
                  <w:rFonts w:ascii="Arial" w:cs="Arial" w:eastAsia="Arial" w:hAnsi="Arial"/>
                  <w:sz w:val="10"/>
                  <w:szCs w:val="10"/>
                  <w:b w:val="1"/>
                  <w:bCs w:val="1"/>
                  <w:color w:val="105BAB"/>
                </w:rPr>
                <w:t>Regeneron's General Approach to Compensation</w:t>
              </w:r>
            </w:hyperlink>
          </w:p>
        </w:tc>
        <w:tc>
          <w:tcPr>
            <w:tcW w:w="1220" w:type="dxa"/>
            <w:vAlign w:val="bottom"/>
            <w:gridSpan w:val="2"/>
            <w:vMerge w:val="continue"/>
          </w:tcPr>
          <w:p>
            <w:pPr>
              <w:spacing w:after="0"/>
              <w:rPr>
                <w:sz w:val="7"/>
                <w:szCs w:val="7"/>
                <w:color w:val="auto"/>
              </w:rPr>
            </w:pPr>
          </w:p>
        </w:tc>
        <w:tc>
          <w:tcPr>
            <w:tcW w:w="120" w:type="dxa"/>
            <w:vAlign w:val="bottom"/>
          </w:tcPr>
          <w:p>
            <w:pPr>
              <w:jc w:val="right"/>
              <w:spacing w:after="0" w:line="88" w:lineRule="exact"/>
              <w:rPr>
                <w:rFonts w:ascii="Arial" w:cs="Arial" w:eastAsia="Arial" w:hAnsi="Arial"/>
                <w:sz w:val="10"/>
                <w:szCs w:val="10"/>
                <w:b w:val="1"/>
                <w:bCs w:val="1"/>
                <w:color w:val="105BAB"/>
                <w:w w:val="89"/>
              </w:rPr>
            </w:pPr>
            <w:hyperlink w:anchor="page59">
              <w:r>
                <w:rPr>
                  <w:rFonts w:ascii="Arial" w:cs="Arial" w:eastAsia="Arial" w:hAnsi="Arial"/>
                  <w:sz w:val="10"/>
                  <w:szCs w:val="10"/>
                  <w:b w:val="1"/>
                  <w:bCs w:val="1"/>
                  <w:color w:val="105BAB"/>
                  <w:w w:val="89"/>
                </w:rPr>
                <w:t>48</w:t>
              </w:r>
            </w:hyperlink>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105BAB"/>
          </w:tcPr>
          <w:p>
            <w:pPr>
              <w:spacing w:after="0" w:line="20" w:lineRule="exact"/>
              <w:rPr>
                <w:sz w:val="1"/>
                <w:szCs w:val="1"/>
                <w:color w:val="auto"/>
              </w:rPr>
            </w:pPr>
          </w:p>
        </w:tc>
        <w:tc>
          <w:tcPr>
            <w:tcW w:w="300" w:type="dxa"/>
            <w:vAlign w:val="bottom"/>
            <w:shd w:val="clear" w:color="auto" w:fill="105BAB"/>
          </w:tcPr>
          <w:p>
            <w:pPr>
              <w:spacing w:after="0" w:line="20" w:lineRule="exact"/>
              <w:rPr>
                <w:sz w:val="1"/>
                <w:szCs w:val="1"/>
                <w:color w:val="auto"/>
              </w:rPr>
            </w:pPr>
          </w:p>
        </w:tc>
        <w:tc>
          <w:tcPr>
            <w:tcW w:w="100" w:type="dxa"/>
            <w:vAlign w:val="bottom"/>
            <w:tcBorders>
              <w:right w:val="single" w:sz="8" w:color="105BAB"/>
            </w:tcBorders>
            <w:shd w:val="clear" w:color="auto" w:fill="105BAB"/>
          </w:tcPr>
          <w:p>
            <w:pPr>
              <w:spacing w:after="0" w:line="20" w:lineRule="exact"/>
              <w:rPr>
                <w:sz w:val="1"/>
                <w:szCs w:val="1"/>
                <w:color w:val="auto"/>
              </w:rPr>
            </w:pPr>
          </w:p>
        </w:tc>
        <w:tc>
          <w:tcPr>
            <w:tcW w:w="100" w:type="dxa"/>
            <w:vAlign w:val="bottom"/>
            <w:shd w:val="clear" w:color="auto" w:fill="105BAB"/>
          </w:tcPr>
          <w:p>
            <w:pPr>
              <w:spacing w:after="0" w:line="20" w:lineRule="exact"/>
              <w:rPr>
                <w:sz w:val="1"/>
                <w:szCs w:val="1"/>
                <w:color w:val="auto"/>
              </w:rPr>
            </w:pPr>
          </w:p>
        </w:tc>
        <w:tc>
          <w:tcPr>
            <w:tcW w:w="20" w:type="dxa"/>
            <w:vAlign w:val="bottom"/>
            <w:shd w:val="clear" w:color="auto" w:fill="105BAB"/>
          </w:tcPr>
          <w:p>
            <w:pPr>
              <w:spacing w:after="0" w:line="20" w:lineRule="exact"/>
              <w:rPr>
                <w:sz w:val="1"/>
                <w:szCs w:val="1"/>
                <w:color w:val="auto"/>
              </w:rPr>
            </w:pPr>
          </w:p>
        </w:tc>
        <w:tc>
          <w:tcPr>
            <w:tcW w:w="20" w:type="dxa"/>
            <w:vAlign w:val="bottom"/>
            <w:shd w:val="clear" w:color="auto" w:fill="105BAB"/>
          </w:tcPr>
          <w:p>
            <w:pPr>
              <w:spacing w:after="0" w:line="20" w:lineRule="exact"/>
              <w:rPr>
                <w:sz w:val="1"/>
                <w:szCs w:val="1"/>
                <w:color w:val="auto"/>
              </w:rPr>
            </w:pPr>
          </w:p>
        </w:tc>
        <w:tc>
          <w:tcPr>
            <w:tcW w:w="100" w:type="dxa"/>
            <w:vAlign w:val="bottom"/>
            <w:shd w:val="clear" w:color="auto" w:fill="105BAB"/>
          </w:tcPr>
          <w:p>
            <w:pPr>
              <w:spacing w:after="0" w:line="20" w:lineRule="exact"/>
              <w:rPr>
                <w:sz w:val="1"/>
                <w:szCs w:val="1"/>
                <w:color w:val="auto"/>
              </w:rPr>
            </w:pPr>
          </w:p>
        </w:tc>
        <w:tc>
          <w:tcPr>
            <w:tcW w:w="120" w:type="dxa"/>
            <w:vAlign w:val="bottom"/>
            <w:shd w:val="clear" w:color="auto" w:fill="105BAB"/>
          </w:tcPr>
          <w:p>
            <w:pPr>
              <w:spacing w:after="0" w:line="20" w:lineRule="exact"/>
              <w:rPr>
                <w:sz w:val="1"/>
                <w:szCs w:val="1"/>
                <w:color w:val="auto"/>
              </w:rPr>
            </w:pPr>
          </w:p>
        </w:tc>
        <w:tc>
          <w:tcPr>
            <w:tcW w:w="20" w:type="dxa"/>
            <w:vAlign w:val="bottom"/>
            <w:shd w:val="clear" w:color="auto" w:fill="105BAB"/>
          </w:tcPr>
          <w:p>
            <w:pPr>
              <w:spacing w:after="0" w:line="20" w:lineRule="exact"/>
              <w:rPr>
                <w:sz w:val="1"/>
                <w:szCs w:val="1"/>
                <w:color w:val="auto"/>
              </w:rPr>
            </w:pPr>
          </w:p>
        </w:tc>
        <w:tc>
          <w:tcPr>
            <w:tcW w:w="20" w:type="dxa"/>
            <w:vAlign w:val="bottom"/>
            <w:shd w:val="clear" w:color="auto" w:fill="105BAB"/>
          </w:tcPr>
          <w:p>
            <w:pPr>
              <w:spacing w:after="0" w:line="20" w:lineRule="exact"/>
              <w:rPr>
                <w:sz w:val="1"/>
                <w:szCs w:val="1"/>
                <w:color w:val="auto"/>
              </w:rPr>
            </w:pPr>
          </w:p>
        </w:tc>
        <w:tc>
          <w:tcPr>
            <w:tcW w:w="240" w:type="dxa"/>
            <w:vAlign w:val="bottom"/>
            <w:shd w:val="clear" w:color="auto" w:fill="105BAB"/>
          </w:tcPr>
          <w:p>
            <w:pPr>
              <w:spacing w:after="0" w:line="20" w:lineRule="exact"/>
              <w:rPr>
                <w:sz w:val="1"/>
                <w:szCs w:val="1"/>
                <w:color w:val="auto"/>
              </w:rPr>
            </w:pPr>
          </w:p>
        </w:tc>
        <w:tc>
          <w:tcPr>
            <w:tcW w:w="20" w:type="dxa"/>
            <w:vAlign w:val="bottom"/>
            <w:shd w:val="clear" w:color="auto" w:fill="105BAB"/>
          </w:tcPr>
          <w:p>
            <w:pPr>
              <w:spacing w:after="0" w:line="20" w:lineRule="exact"/>
              <w:rPr>
                <w:sz w:val="1"/>
                <w:szCs w:val="1"/>
                <w:color w:val="auto"/>
              </w:rPr>
            </w:pPr>
          </w:p>
        </w:tc>
        <w:tc>
          <w:tcPr>
            <w:tcW w:w="220" w:type="dxa"/>
            <w:vAlign w:val="bottom"/>
            <w:shd w:val="clear" w:color="auto" w:fill="105BAB"/>
          </w:tcPr>
          <w:p>
            <w:pPr>
              <w:spacing w:after="0" w:line="20" w:lineRule="exact"/>
              <w:rPr>
                <w:sz w:val="1"/>
                <w:szCs w:val="1"/>
                <w:color w:val="auto"/>
              </w:rPr>
            </w:pPr>
          </w:p>
        </w:tc>
        <w:tc>
          <w:tcPr>
            <w:tcW w:w="60" w:type="dxa"/>
            <w:vAlign w:val="bottom"/>
            <w:shd w:val="clear" w:color="auto" w:fill="105BAB"/>
          </w:tcPr>
          <w:p>
            <w:pPr>
              <w:spacing w:after="0" w:line="20" w:lineRule="exact"/>
              <w:rPr>
                <w:sz w:val="1"/>
                <w:szCs w:val="1"/>
                <w:color w:val="auto"/>
              </w:rPr>
            </w:pPr>
          </w:p>
        </w:tc>
        <w:tc>
          <w:tcPr>
            <w:tcW w:w="120" w:type="dxa"/>
            <w:vAlign w:val="bottom"/>
            <w:shd w:val="clear" w:color="auto" w:fill="105BAB"/>
          </w:tcPr>
          <w:p>
            <w:pPr>
              <w:spacing w:after="0" w:line="20" w:lineRule="exact"/>
              <w:rPr>
                <w:sz w:val="1"/>
                <w:szCs w:val="1"/>
                <w:color w:val="auto"/>
              </w:rPr>
            </w:pPr>
          </w:p>
        </w:tc>
        <w:tc>
          <w:tcPr>
            <w:tcW w:w="20" w:type="dxa"/>
            <w:vAlign w:val="bottom"/>
            <w:shd w:val="clear" w:color="auto" w:fill="105BAB"/>
          </w:tcPr>
          <w:p>
            <w:pPr>
              <w:spacing w:after="0" w:line="20" w:lineRule="exact"/>
              <w:rPr>
                <w:sz w:val="1"/>
                <w:szCs w:val="1"/>
                <w:color w:val="auto"/>
              </w:rPr>
            </w:pPr>
          </w:p>
        </w:tc>
        <w:tc>
          <w:tcPr>
            <w:tcW w:w="160" w:type="dxa"/>
            <w:vAlign w:val="bottom"/>
            <w:shd w:val="clear" w:color="auto" w:fill="105BAB"/>
          </w:tcPr>
          <w:p>
            <w:pPr>
              <w:spacing w:after="0" w:line="20" w:lineRule="exact"/>
              <w:rPr>
                <w:sz w:val="1"/>
                <w:szCs w:val="1"/>
                <w:color w:val="auto"/>
              </w:rPr>
            </w:pPr>
          </w:p>
        </w:tc>
        <w:tc>
          <w:tcPr>
            <w:tcW w:w="280" w:type="dxa"/>
            <w:vAlign w:val="bottom"/>
            <w:shd w:val="clear" w:color="auto" w:fill="105BAB"/>
          </w:tcPr>
          <w:p>
            <w:pPr>
              <w:spacing w:after="0" w:line="20" w:lineRule="exact"/>
              <w:rPr>
                <w:sz w:val="1"/>
                <w:szCs w:val="1"/>
                <w:color w:val="auto"/>
              </w:rPr>
            </w:pPr>
          </w:p>
        </w:tc>
        <w:tc>
          <w:tcPr>
            <w:tcW w:w="240" w:type="dxa"/>
            <w:vAlign w:val="bottom"/>
            <w:shd w:val="clear" w:color="auto" w:fill="105BA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105BA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10" w:name="page11"/>
    <w:bookmarkEnd w:id="10"/>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513080</wp:posOffset>
            </wp:positionV>
            <wp:extent cx="7550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5015" cy="5715"/>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490220</wp:posOffset>
            </wp:positionV>
            <wp:extent cx="626872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6872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21"/>
          <w:szCs w:val="21"/>
          <w:color w:val="D21C5A"/>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580" w:type="dxa"/>
            <w:vAlign w:val="bottom"/>
            <w:gridSpan w:val="34"/>
          </w:tcPr>
          <w:p>
            <w:pPr>
              <w:spacing w:after="0"/>
              <w:rPr>
                <w:rFonts w:ascii="Arial" w:cs="Arial" w:eastAsia="Arial" w:hAnsi="Arial"/>
                <w:sz w:val="10"/>
                <w:szCs w:val="10"/>
                <w:b w:val="1"/>
                <w:bCs w:val="1"/>
                <w:color w:val="0000EE"/>
              </w:rPr>
            </w:pPr>
            <w:hyperlink w:anchor="page65">
              <w:r>
                <w:rPr>
                  <w:rFonts w:ascii="Arial" w:cs="Arial" w:eastAsia="Arial" w:hAnsi="Arial"/>
                  <w:sz w:val="10"/>
                  <w:szCs w:val="10"/>
                  <w:b w:val="1"/>
                  <w:bCs w:val="1"/>
                  <w:color w:val="0000EE"/>
                </w:rPr>
                <w:t>Compensation Discussion and Analysis</w:t>
              </w:r>
            </w:hyperlink>
          </w:p>
        </w:tc>
        <w:tc>
          <w:tcPr>
            <w:tcW w:w="3120" w:type="dxa"/>
            <w:vAlign w:val="bottom"/>
            <w:gridSpan w:val="3"/>
          </w:tcPr>
          <w:p>
            <w:pPr>
              <w:jc w:val="right"/>
              <w:ind w:right="20"/>
              <w:spacing w:after="0"/>
              <w:rPr>
                <w:rFonts w:ascii="Arial" w:cs="Arial" w:eastAsia="Arial" w:hAnsi="Arial"/>
                <w:sz w:val="10"/>
                <w:szCs w:val="10"/>
                <w:b w:val="1"/>
                <w:bCs w:val="1"/>
                <w:color w:val="0000EE"/>
              </w:rPr>
            </w:pPr>
            <w:hyperlink w:anchor="page65">
              <w:r>
                <w:rPr>
                  <w:rFonts w:ascii="Arial" w:cs="Arial" w:eastAsia="Arial" w:hAnsi="Arial"/>
                  <w:sz w:val="10"/>
                  <w:szCs w:val="10"/>
                  <w:b w:val="1"/>
                  <w:bCs w:val="1"/>
                  <w:color w:val="0000EE"/>
                </w:rPr>
                <w:t>54</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680" w:type="dxa"/>
            <w:vAlign w:val="bottom"/>
            <w:tcBorders>
              <w:top w:val="single" w:sz="8" w:color="0000EE"/>
              <w:bottom w:val="single" w:sz="8" w:color="105BAB"/>
            </w:tcBorders>
            <w:gridSpan w:val="23"/>
          </w:tcPr>
          <w:p>
            <w:pPr>
              <w:spacing w:after="0" w:line="88" w:lineRule="exact"/>
              <w:rPr>
                <w:rFonts w:ascii="Arial" w:cs="Arial" w:eastAsia="Arial" w:hAnsi="Arial"/>
                <w:sz w:val="10"/>
                <w:szCs w:val="10"/>
                <w:b w:val="1"/>
                <w:bCs w:val="1"/>
                <w:color w:val="105BAB"/>
                <w:w w:val="99"/>
              </w:rPr>
            </w:pPr>
            <w:hyperlink w:anchor="page65">
              <w:r>
                <w:rPr>
                  <w:rFonts w:ascii="Arial" w:cs="Arial" w:eastAsia="Arial" w:hAnsi="Arial"/>
                  <w:sz w:val="10"/>
                  <w:szCs w:val="10"/>
                  <w:b w:val="1"/>
                  <w:bCs w:val="1"/>
                  <w:color w:val="105BAB"/>
                  <w:w w:val="99"/>
                </w:rPr>
                <w:t>Our Compensation Philosophy and</w:t>
              </w:r>
            </w:hyperlink>
          </w:p>
        </w:tc>
        <w:tc>
          <w:tcPr>
            <w:tcW w:w="440" w:type="dxa"/>
            <w:vAlign w:val="bottom"/>
            <w:tcBorders>
              <w:bottom w:val="single" w:sz="8" w:color="105BAB"/>
            </w:tcBorders>
            <w:gridSpan w:val="4"/>
          </w:tcPr>
          <w:p>
            <w:pPr>
              <w:spacing w:after="0" w:line="88" w:lineRule="exact"/>
              <w:rPr>
                <w:rFonts w:ascii="Arial" w:cs="Arial" w:eastAsia="Arial" w:hAnsi="Arial"/>
                <w:sz w:val="10"/>
                <w:szCs w:val="10"/>
                <w:b w:val="1"/>
                <w:bCs w:val="1"/>
                <w:color w:val="105BAB"/>
                <w:w w:val="82"/>
              </w:rPr>
            </w:pPr>
            <w:hyperlink w:anchor="page65">
              <w:r>
                <w:rPr>
                  <w:rFonts w:ascii="Arial" w:cs="Arial" w:eastAsia="Arial" w:hAnsi="Arial"/>
                  <w:sz w:val="10"/>
                  <w:szCs w:val="10"/>
                  <w:b w:val="1"/>
                  <w:bCs w:val="1"/>
                  <w:color w:val="105BAB"/>
                  <w:w w:val="82"/>
                </w:rPr>
                <w:t>Objectives</w:t>
              </w:r>
            </w:hyperlink>
          </w:p>
        </w:tc>
        <w:tc>
          <w:tcPr>
            <w:tcW w:w="4300" w:type="dxa"/>
            <w:vAlign w:val="bottom"/>
            <w:gridSpan w:val="6"/>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bottom w:val="single" w:sz="8" w:color="105BAB"/>
            </w:tcBorders>
          </w:tcPr>
          <w:p>
            <w:pPr>
              <w:jc w:val="right"/>
              <w:spacing w:after="0" w:line="88" w:lineRule="exact"/>
              <w:rPr>
                <w:rFonts w:ascii="Arial" w:cs="Arial" w:eastAsia="Arial" w:hAnsi="Arial"/>
                <w:sz w:val="10"/>
                <w:szCs w:val="10"/>
                <w:b w:val="1"/>
                <w:bCs w:val="1"/>
                <w:color w:val="105BAB"/>
                <w:w w:val="89"/>
              </w:rPr>
            </w:pPr>
            <w:hyperlink w:anchor="page65">
              <w:r>
                <w:rPr>
                  <w:rFonts w:ascii="Arial" w:cs="Arial" w:eastAsia="Arial" w:hAnsi="Arial"/>
                  <w:sz w:val="10"/>
                  <w:szCs w:val="10"/>
                  <w:b w:val="1"/>
                  <w:bCs w:val="1"/>
                  <w:color w:val="105BAB"/>
                  <w:w w:val="89"/>
                </w:rPr>
                <w:t>54</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tcBorders>
              <w:bottom w:val="single" w:sz="8" w:color="0000EE"/>
            </w:tcBorders>
            <w:gridSpan w:val="25"/>
          </w:tcPr>
          <w:p>
            <w:pPr>
              <w:spacing w:after="0" w:line="88" w:lineRule="exact"/>
              <w:rPr>
                <w:rFonts w:ascii="Arial" w:cs="Arial" w:eastAsia="Arial" w:hAnsi="Arial"/>
                <w:sz w:val="10"/>
                <w:szCs w:val="10"/>
                <w:color w:val="0000EE"/>
                <w:w w:val="95"/>
              </w:rPr>
            </w:pPr>
            <w:hyperlink w:anchor="page65">
              <w:r>
                <w:rPr>
                  <w:rFonts w:ascii="Arial" w:cs="Arial" w:eastAsia="Arial" w:hAnsi="Arial"/>
                  <w:sz w:val="10"/>
                  <w:szCs w:val="10"/>
                  <w:color w:val="0000EE"/>
                  <w:w w:val="95"/>
                </w:rPr>
                <w:t>Driving Innovation and Balancing Dilution</w:t>
              </w:r>
            </w:hyperlink>
          </w:p>
        </w:tc>
        <w:tc>
          <w:tcPr>
            <w:tcW w:w="4580" w:type="dxa"/>
            <w:vAlign w:val="bottom"/>
            <w:gridSpan w:val="7"/>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65">
              <w:r>
                <w:rPr>
                  <w:rFonts w:ascii="Arial" w:cs="Arial" w:eastAsia="Arial" w:hAnsi="Arial"/>
                  <w:sz w:val="10"/>
                  <w:szCs w:val="10"/>
                  <w:color w:val="0000EE"/>
                  <w:w w:val="89"/>
                </w:rPr>
                <w:t>54</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Borders>
              <w:bottom w:val="single" w:sz="8" w:color="0000EE"/>
            </w:tcBorders>
            <w:gridSpan w:val="20"/>
          </w:tcPr>
          <w:p>
            <w:pPr>
              <w:spacing w:after="0" w:line="88" w:lineRule="exact"/>
              <w:rPr>
                <w:rFonts w:ascii="Arial" w:cs="Arial" w:eastAsia="Arial" w:hAnsi="Arial"/>
                <w:sz w:val="10"/>
                <w:szCs w:val="10"/>
                <w:color w:val="0000EE"/>
                <w:w w:val="96"/>
              </w:rPr>
            </w:pPr>
            <w:hyperlink w:anchor="page66">
              <w:r>
                <w:rPr>
                  <w:rFonts w:ascii="Arial" w:cs="Arial" w:eastAsia="Arial" w:hAnsi="Arial"/>
                  <w:sz w:val="10"/>
                  <w:szCs w:val="10"/>
                  <w:color w:val="0000EE"/>
                  <w:w w:val="96"/>
                </w:rPr>
                <w:t>Compensation Program Simplicity</w:t>
              </w:r>
            </w:hyperlink>
          </w:p>
        </w:tc>
        <w:tc>
          <w:tcPr>
            <w:tcW w:w="4840" w:type="dxa"/>
            <w:vAlign w:val="bottom"/>
            <w:gridSpan w:val="12"/>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66">
              <w:r>
                <w:rPr>
                  <w:rFonts w:ascii="Arial" w:cs="Arial" w:eastAsia="Arial" w:hAnsi="Arial"/>
                  <w:sz w:val="10"/>
                  <w:szCs w:val="10"/>
                  <w:color w:val="0000EE"/>
                  <w:w w:val="89"/>
                </w:rPr>
                <w:t>55</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0000EE"/>
            </w:tcBorders>
            <w:gridSpan w:val="18"/>
          </w:tcPr>
          <w:p>
            <w:pPr>
              <w:spacing w:after="0" w:line="88" w:lineRule="exact"/>
              <w:rPr>
                <w:rFonts w:ascii="Arial" w:cs="Arial" w:eastAsia="Arial" w:hAnsi="Arial"/>
                <w:sz w:val="10"/>
                <w:szCs w:val="10"/>
                <w:color w:val="0000EE"/>
                <w:w w:val="95"/>
              </w:rPr>
            </w:pPr>
            <w:hyperlink w:anchor="page67">
              <w:r>
                <w:rPr>
                  <w:rFonts w:ascii="Arial" w:cs="Arial" w:eastAsia="Arial" w:hAnsi="Arial"/>
                  <w:sz w:val="10"/>
                  <w:szCs w:val="10"/>
                  <w:color w:val="0000EE"/>
                  <w:w w:val="95"/>
                </w:rPr>
                <w:t>At-Risk, Performance-Based Pay</w:t>
              </w:r>
            </w:hyperlink>
          </w:p>
        </w:tc>
        <w:tc>
          <w:tcPr>
            <w:tcW w:w="4920" w:type="dxa"/>
            <w:vAlign w:val="bottom"/>
            <w:gridSpan w:val="14"/>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67">
              <w:r>
                <w:rPr>
                  <w:rFonts w:ascii="Arial" w:cs="Arial" w:eastAsia="Arial" w:hAnsi="Arial"/>
                  <w:sz w:val="10"/>
                  <w:szCs w:val="10"/>
                  <w:color w:val="0000EE"/>
                  <w:w w:val="89"/>
                </w:rPr>
                <w:t>56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Borders>
              <w:bottom w:val="single" w:sz="8" w:color="0000EE"/>
            </w:tcBorders>
            <w:gridSpan w:val="11"/>
          </w:tcPr>
          <w:p>
            <w:pPr>
              <w:spacing w:after="0" w:line="88" w:lineRule="exact"/>
              <w:rPr>
                <w:rFonts w:ascii="Arial" w:cs="Arial" w:eastAsia="Arial" w:hAnsi="Arial"/>
                <w:sz w:val="10"/>
                <w:szCs w:val="10"/>
                <w:color w:val="0000EE"/>
                <w:w w:val="93"/>
              </w:rPr>
            </w:pPr>
            <w:hyperlink w:anchor="page67">
              <w:r>
                <w:rPr>
                  <w:rFonts w:ascii="Arial" w:cs="Arial" w:eastAsia="Arial" w:hAnsi="Arial"/>
                  <w:sz w:val="10"/>
                  <w:szCs w:val="10"/>
                  <w:color w:val="0000EE"/>
                  <w:w w:val="93"/>
                </w:rPr>
                <w:t>Year-over-Year Consistency</w:t>
              </w:r>
            </w:hyperlink>
          </w:p>
        </w:tc>
        <w:tc>
          <w:tcPr>
            <w:tcW w:w="5140" w:type="dxa"/>
            <w:vAlign w:val="bottom"/>
            <w:gridSpan w:val="21"/>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67">
              <w:r>
                <w:rPr>
                  <w:rFonts w:ascii="Arial" w:cs="Arial" w:eastAsia="Arial" w:hAnsi="Arial"/>
                  <w:sz w:val="10"/>
                  <w:szCs w:val="10"/>
                  <w:color w:val="0000EE"/>
                  <w:w w:val="89"/>
                </w:rPr>
                <w:t>56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67">
              <w:r>
                <w:rPr>
                  <w:rFonts w:ascii="Arial" w:cs="Arial" w:eastAsia="Arial" w:hAnsi="Arial"/>
                  <w:sz w:val="10"/>
                  <w:szCs w:val="10"/>
                  <w:color w:val="0000EE"/>
                </w:rPr>
                <w:t>Linking Compensation to Long-Term Performance</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67">
              <w:r>
                <w:rPr>
                  <w:rFonts w:ascii="Arial" w:cs="Arial" w:eastAsia="Arial" w:hAnsi="Arial"/>
                  <w:sz w:val="10"/>
                  <w:szCs w:val="10"/>
                  <w:color w:val="0000EE"/>
                </w:rPr>
                <w:t>56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tcBorders>
              <w:bottom w:val="single" w:sz="8" w:color="0000EE"/>
            </w:tcBorders>
            <w:gridSpan w:val="29"/>
          </w:tcPr>
          <w:p>
            <w:pPr>
              <w:spacing w:after="0" w:line="88" w:lineRule="exact"/>
              <w:rPr>
                <w:rFonts w:ascii="Arial" w:cs="Arial" w:eastAsia="Arial" w:hAnsi="Arial"/>
                <w:sz w:val="10"/>
                <w:szCs w:val="10"/>
                <w:color w:val="0000EE"/>
                <w:w w:val="95"/>
              </w:rPr>
            </w:pPr>
            <w:hyperlink w:anchor="page68">
              <w:r>
                <w:rPr>
                  <w:rFonts w:ascii="Arial" w:cs="Arial" w:eastAsia="Arial" w:hAnsi="Arial"/>
                  <w:sz w:val="10"/>
                  <w:szCs w:val="10"/>
                  <w:color w:val="0000EE"/>
                  <w:w w:val="95"/>
                </w:rPr>
                <w:t>Use of Independent Expertise and Comparative Data</w:t>
              </w:r>
            </w:hyperlink>
          </w:p>
        </w:tc>
        <w:tc>
          <w:tcPr>
            <w:tcW w:w="4080" w:type="dxa"/>
            <w:vAlign w:val="bottom"/>
            <w:gridSpan w:val="3"/>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68">
              <w:r>
                <w:rPr>
                  <w:rFonts w:ascii="Arial" w:cs="Arial" w:eastAsia="Arial" w:hAnsi="Arial"/>
                  <w:sz w:val="10"/>
                  <w:szCs w:val="10"/>
                  <w:color w:val="0000EE"/>
                  <w:w w:val="89"/>
                </w:rPr>
                <w:t>57</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bottom w:val="single" w:sz="8" w:color="0000EE"/>
            </w:tcBorders>
            <w:gridSpan w:val="7"/>
          </w:tcPr>
          <w:p>
            <w:pPr>
              <w:spacing w:after="0" w:line="88" w:lineRule="exact"/>
              <w:rPr>
                <w:rFonts w:ascii="Arial" w:cs="Arial" w:eastAsia="Arial" w:hAnsi="Arial"/>
                <w:sz w:val="10"/>
                <w:szCs w:val="10"/>
                <w:color w:val="0000EE"/>
                <w:w w:val="95"/>
              </w:rPr>
            </w:pPr>
            <w:hyperlink w:anchor="page68">
              <w:r>
                <w:rPr>
                  <w:rFonts w:ascii="Arial" w:cs="Arial" w:eastAsia="Arial" w:hAnsi="Arial"/>
                  <w:sz w:val="10"/>
                  <w:szCs w:val="10"/>
                  <w:color w:val="0000EE"/>
                  <w:w w:val="95"/>
                </w:rPr>
                <w:t>Measurable Results</w:t>
              </w:r>
            </w:hyperlink>
          </w:p>
        </w:tc>
        <w:tc>
          <w:tcPr>
            <w:tcW w:w="5480" w:type="dxa"/>
            <w:vAlign w:val="bottom"/>
            <w:gridSpan w:val="25"/>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68">
              <w:r>
                <w:rPr>
                  <w:rFonts w:ascii="Arial" w:cs="Arial" w:eastAsia="Arial" w:hAnsi="Arial"/>
                  <w:sz w:val="10"/>
                  <w:szCs w:val="10"/>
                  <w:color w:val="0000EE"/>
                  <w:w w:val="89"/>
                </w:rPr>
                <w:t>57</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b w:val="1"/>
                <w:bCs w:val="1"/>
                <w:color w:val="105BAB"/>
              </w:rPr>
            </w:pPr>
            <w:hyperlink w:anchor="page69">
              <w:r>
                <w:rPr>
                  <w:rFonts w:ascii="Arial" w:cs="Arial" w:eastAsia="Arial" w:hAnsi="Arial"/>
                  <w:sz w:val="10"/>
                  <w:szCs w:val="10"/>
                  <w:b w:val="1"/>
                  <w:bCs w:val="1"/>
                  <w:color w:val="105BAB"/>
                </w:rPr>
                <w:t>Components of Named Executive Officer Pay and Reasons for Using Them:</w:t>
              </w:r>
            </w:hyperlink>
          </w:p>
        </w:tc>
        <w:tc>
          <w:tcPr>
            <w:tcW w:w="3120" w:type="dxa"/>
            <w:vAlign w:val="bottom"/>
            <w:gridSpan w:val="3"/>
            <w:vMerge w:val="restart"/>
          </w:tcPr>
          <w:p>
            <w:pPr>
              <w:jc w:val="right"/>
              <w:ind w:right="20"/>
              <w:spacing w:after="0"/>
              <w:rPr>
                <w:rFonts w:ascii="Arial" w:cs="Arial" w:eastAsia="Arial" w:hAnsi="Arial"/>
                <w:sz w:val="10"/>
                <w:szCs w:val="10"/>
                <w:b w:val="1"/>
                <w:bCs w:val="1"/>
                <w:color w:val="105BAB"/>
              </w:rPr>
            </w:pPr>
            <w:hyperlink w:anchor="page69">
              <w:r>
                <w:rPr>
                  <w:rFonts w:ascii="Arial" w:cs="Arial" w:eastAsia="Arial" w:hAnsi="Arial"/>
                  <w:sz w:val="10"/>
                  <w:szCs w:val="10"/>
                  <w:b w:val="1"/>
                  <w:bCs w:val="1"/>
                  <w:color w:val="105BAB"/>
                </w:rPr>
                <w:t>58</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40" w:type="dxa"/>
            <w:vAlign w:val="bottom"/>
            <w:tcBorders>
              <w:top w:val="single" w:sz="8" w:color="105BAB"/>
            </w:tcBorders>
            <w:gridSpan w:val="32"/>
          </w:tcPr>
          <w:p>
            <w:pPr>
              <w:spacing w:after="0" w:line="88" w:lineRule="exact"/>
              <w:rPr>
                <w:rFonts w:ascii="Arial" w:cs="Arial" w:eastAsia="Arial" w:hAnsi="Arial"/>
                <w:sz w:val="10"/>
                <w:szCs w:val="10"/>
                <w:b w:val="1"/>
                <w:bCs w:val="1"/>
                <w:color w:val="105BAB"/>
              </w:rPr>
            </w:pPr>
            <w:hyperlink w:anchor="page69">
              <w:r>
                <w:rPr>
                  <w:rFonts w:ascii="Arial" w:cs="Arial" w:eastAsia="Arial" w:hAnsi="Arial"/>
                  <w:sz w:val="10"/>
                  <w:szCs w:val="10"/>
                  <w:b w:val="1"/>
                  <w:bCs w:val="1"/>
                  <w:color w:val="105BAB"/>
                </w:rPr>
                <w:t>What We Pay and Why We Pay It</w:t>
              </w:r>
            </w:hyperlink>
          </w:p>
        </w:tc>
        <w:tc>
          <w:tcPr>
            <w:tcW w:w="2980" w:type="dxa"/>
            <w:vAlign w:val="bottom"/>
          </w:tcPr>
          <w:p>
            <w:pPr>
              <w:spacing w:after="0"/>
              <w:rPr>
                <w:sz w:val="7"/>
                <w:szCs w:val="7"/>
                <w:color w:val="auto"/>
              </w:rPr>
            </w:pPr>
          </w:p>
        </w:tc>
        <w:tc>
          <w:tcPr>
            <w:tcW w:w="3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105BAB"/>
            </w:tcBorders>
          </w:tcPr>
          <w:p>
            <w:pPr>
              <w:spacing w:after="0"/>
              <w:rPr>
                <w:sz w:val="7"/>
                <w:szCs w:val="7"/>
                <w:color w:val="auto"/>
              </w:rPr>
            </w:pPr>
          </w:p>
        </w:tc>
        <w:tc>
          <w:tcPr>
            <w:tcW w:w="1400" w:type="dxa"/>
            <w:vAlign w:val="bottom"/>
            <w:tcBorders>
              <w:top w:val="single" w:sz="8" w:color="105BAB"/>
            </w:tcBorders>
            <w:gridSpan w:val="17"/>
          </w:tcPr>
          <w:p>
            <w:pPr>
              <w:spacing w:after="0" w:line="88" w:lineRule="exact"/>
              <w:rPr>
                <w:rFonts w:ascii="Arial" w:cs="Arial" w:eastAsia="Arial" w:hAnsi="Arial"/>
                <w:sz w:val="10"/>
                <w:szCs w:val="10"/>
                <w:color w:val="0000EE"/>
              </w:rPr>
            </w:pPr>
            <w:hyperlink w:anchor="page70">
              <w:r>
                <w:rPr>
                  <w:rFonts w:ascii="Arial" w:cs="Arial" w:eastAsia="Arial" w:hAnsi="Arial"/>
                  <w:sz w:val="10"/>
                  <w:szCs w:val="10"/>
                  <w:color w:val="0000EE"/>
                </w:rPr>
                <w:t>Base Salary</w:t>
              </w:r>
            </w:hyperlink>
          </w:p>
        </w:tc>
        <w:tc>
          <w:tcPr>
            <w:tcW w:w="4940" w:type="dxa"/>
            <w:vAlign w:val="bottom"/>
            <w:gridSpan w:val="15"/>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105BAB"/>
            </w:tcBorders>
          </w:tcPr>
          <w:p>
            <w:pPr>
              <w:jc w:val="right"/>
              <w:spacing w:after="0" w:line="88" w:lineRule="exact"/>
              <w:rPr>
                <w:rFonts w:ascii="Arial" w:cs="Arial" w:eastAsia="Arial" w:hAnsi="Arial"/>
                <w:sz w:val="10"/>
                <w:szCs w:val="10"/>
                <w:color w:val="0000EE"/>
                <w:w w:val="89"/>
              </w:rPr>
            </w:pPr>
            <w:hyperlink w:anchor="page70">
              <w:r>
                <w:rPr>
                  <w:rFonts w:ascii="Arial" w:cs="Arial" w:eastAsia="Arial" w:hAnsi="Arial"/>
                  <w:sz w:val="10"/>
                  <w:szCs w:val="10"/>
                  <w:color w:val="0000EE"/>
                  <w:w w:val="89"/>
                </w:rPr>
                <w:t>59</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70">
              <w:r>
                <w:rPr>
                  <w:rFonts w:ascii="Arial" w:cs="Arial" w:eastAsia="Arial" w:hAnsi="Arial"/>
                  <w:sz w:val="10"/>
                  <w:szCs w:val="10"/>
                  <w:color w:val="0000EE"/>
                </w:rPr>
                <w:t>Annual Cash Incentive</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70">
              <w:r>
                <w:rPr>
                  <w:rFonts w:ascii="Arial" w:cs="Arial" w:eastAsia="Arial" w:hAnsi="Arial"/>
                  <w:sz w:val="10"/>
                  <w:szCs w:val="10"/>
                  <w:color w:val="0000EE"/>
                </w:rPr>
                <w:t>59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Borders>
              <w:bottom w:val="single" w:sz="8" w:color="0000EE"/>
            </w:tcBorders>
            <w:gridSpan w:val="12"/>
          </w:tcPr>
          <w:p>
            <w:pPr>
              <w:spacing w:after="0" w:line="88" w:lineRule="exact"/>
              <w:rPr>
                <w:rFonts w:ascii="Arial" w:cs="Arial" w:eastAsia="Arial" w:hAnsi="Arial"/>
                <w:sz w:val="10"/>
                <w:szCs w:val="10"/>
                <w:color w:val="0000EE"/>
                <w:w w:val="94"/>
              </w:rPr>
            </w:pPr>
            <w:hyperlink w:anchor="page73">
              <w:r>
                <w:rPr>
                  <w:rFonts w:ascii="Arial" w:cs="Arial" w:eastAsia="Arial" w:hAnsi="Arial"/>
                  <w:sz w:val="10"/>
                  <w:szCs w:val="10"/>
                  <w:color w:val="0000EE"/>
                  <w:w w:val="94"/>
                </w:rPr>
                <w:t>Annual Equity-Based Awards</w:t>
              </w:r>
            </w:hyperlink>
          </w:p>
        </w:tc>
        <w:tc>
          <w:tcPr>
            <w:tcW w:w="5080" w:type="dxa"/>
            <w:vAlign w:val="bottom"/>
            <w:gridSpan w:val="20"/>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73">
              <w:r>
                <w:rPr>
                  <w:rFonts w:ascii="Arial" w:cs="Arial" w:eastAsia="Arial" w:hAnsi="Arial"/>
                  <w:sz w:val="10"/>
                  <w:szCs w:val="10"/>
                  <w:color w:val="0000EE"/>
                  <w:w w:val="89"/>
                </w:rPr>
                <w:t>62</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74">
              <w:r>
                <w:rPr>
                  <w:rFonts w:ascii="Arial" w:cs="Arial" w:eastAsia="Arial" w:hAnsi="Arial"/>
                  <w:sz w:val="10"/>
                  <w:szCs w:val="10"/>
                  <w:color w:val="0000EE"/>
                </w:rPr>
                <w:t>Perquisites and Personal Benefits</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74">
              <w:r>
                <w:rPr>
                  <w:rFonts w:ascii="Arial" w:cs="Arial" w:eastAsia="Arial" w:hAnsi="Arial"/>
                  <w:sz w:val="10"/>
                  <w:szCs w:val="10"/>
                  <w:color w:val="0000EE"/>
                </w:rPr>
                <w:t>63</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0000EE"/>
              <w:bottom w:val="single" w:sz="8" w:color="0000EE"/>
            </w:tcBorders>
            <w:gridSpan w:val="14"/>
          </w:tcPr>
          <w:p>
            <w:pPr>
              <w:spacing w:after="0" w:line="88" w:lineRule="exact"/>
              <w:rPr>
                <w:rFonts w:ascii="Arial" w:cs="Arial" w:eastAsia="Arial" w:hAnsi="Arial"/>
                <w:sz w:val="10"/>
                <w:szCs w:val="10"/>
                <w:color w:val="0000EE"/>
                <w:w w:val="95"/>
              </w:rPr>
            </w:pPr>
            <w:hyperlink w:anchor="page75">
              <w:r>
                <w:rPr>
                  <w:rFonts w:ascii="Arial" w:cs="Arial" w:eastAsia="Arial" w:hAnsi="Arial"/>
                  <w:sz w:val="10"/>
                  <w:szCs w:val="10"/>
                  <w:color w:val="0000EE"/>
                  <w:w w:val="95"/>
                </w:rPr>
                <w:t>Potential Severance Payments</w:t>
              </w:r>
            </w:hyperlink>
          </w:p>
        </w:tc>
        <w:tc>
          <w:tcPr>
            <w:tcW w:w="120" w:type="dxa"/>
            <w:vAlign w:val="bottom"/>
            <w:tcBorders>
              <w:top w:val="single" w:sz="8" w:color="0000EE"/>
            </w:tcBorders>
            <w:gridSpan w:val="5"/>
          </w:tcPr>
          <w:p>
            <w:pPr>
              <w:spacing w:after="0"/>
              <w:rPr>
                <w:sz w:val="7"/>
                <w:szCs w:val="7"/>
                <w:color w:val="auto"/>
              </w:rPr>
            </w:pPr>
          </w:p>
        </w:tc>
        <w:tc>
          <w:tcPr>
            <w:tcW w:w="4900" w:type="dxa"/>
            <w:vAlign w:val="bottom"/>
            <w:gridSpan w:val="13"/>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color w:val="0000EE"/>
                <w:w w:val="89"/>
              </w:rPr>
            </w:pPr>
            <w:hyperlink w:anchor="page75">
              <w:r>
                <w:rPr>
                  <w:rFonts w:ascii="Arial" w:cs="Arial" w:eastAsia="Arial" w:hAnsi="Arial"/>
                  <w:sz w:val="10"/>
                  <w:szCs w:val="10"/>
                  <w:color w:val="0000EE"/>
                  <w:w w:val="89"/>
                </w:rPr>
                <w:t>64</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Borders>
              <w:bottom w:val="single" w:sz="8" w:color="105BAB"/>
            </w:tcBorders>
            <w:gridSpan w:val="14"/>
          </w:tcPr>
          <w:p>
            <w:pPr>
              <w:spacing w:after="0" w:line="88" w:lineRule="exact"/>
              <w:rPr>
                <w:rFonts w:ascii="Arial" w:cs="Arial" w:eastAsia="Arial" w:hAnsi="Arial"/>
                <w:sz w:val="10"/>
                <w:szCs w:val="10"/>
                <w:b w:val="1"/>
                <w:bCs w:val="1"/>
                <w:color w:val="105BAB"/>
                <w:w w:val="95"/>
              </w:rPr>
            </w:pPr>
            <w:hyperlink w:anchor="page76">
              <w:r>
                <w:rPr>
                  <w:rFonts w:ascii="Arial" w:cs="Arial" w:eastAsia="Arial" w:hAnsi="Arial"/>
                  <w:sz w:val="10"/>
                  <w:szCs w:val="10"/>
                  <w:b w:val="1"/>
                  <w:bCs w:val="1"/>
                  <w:color w:val="105BAB"/>
                  <w:w w:val="95"/>
                </w:rPr>
                <w:t>Our Compensation Processes</w:t>
              </w:r>
            </w:hyperlink>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3"/>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4"/>
          </w:tcPr>
          <w:p>
            <w:pPr>
              <w:spacing w:after="0"/>
              <w:rPr>
                <w:sz w:val="7"/>
                <w:szCs w:val="7"/>
                <w:color w:val="auto"/>
              </w:rPr>
            </w:pPr>
          </w:p>
        </w:tc>
        <w:tc>
          <w:tcPr>
            <w:tcW w:w="360" w:type="dxa"/>
            <w:vAlign w:val="bottom"/>
            <w:gridSpan w:val="2"/>
          </w:tcPr>
          <w:p>
            <w:pPr>
              <w:spacing w:after="0"/>
              <w:rPr>
                <w:sz w:val="7"/>
                <w:szCs w:val="7"/>
                <w:color w:val="auto"/>
              </w:rPr>
            </w:pPr>
          </w:p>
        </w:tc>
        <w:tc>
          <w:tcPr>
            <w:tcW w:w="3780" w:type="dxa"/>
            <w:vAlign w:val="bottom"/>
            <w:gridSpan w:val="2"/>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105BAB"/>
            </w:tcBorders>
          </w:tcPr>
          <w:p>
            <w:pPr>
              <w:jc w:val="right"/>
              <w:spacing w:after="0" w:line="88" w:lineRule="exact"/>
              <w:rPr>
                <w:rFonts w:ascii="Arial" w:cs="Arial" w:eastAsia="Arial" w:hAnsi="Arial"/>
                <w:sz w:val="10"/>
                <w:szCs w:val="10"/>
                <w:b w:val="1"/>
                <w:bCs w:val="1"/>
                <w:color w:val="105BAB"/>
                <w:w w:val="89"/>
              </w:rPr>
            </w:pPr>
            <w:hyperlink w:anchor="page76">
              <w:r>
                <w:rPr>
                  <w:rFonts w:ascii="Arial" w:cs="Arial" w:eastAsia="Arial" w:hAnsi="Arial"/>
                  <w:sz w:val="10"/>
                  <w:szCs w:val="10"/>
                  <w:b w:val="1"/>
                  <w:bCs w:val="1"/>
                  <w:color w:val="105BAB"/>
                  <w:w w:val="89"/>
                </w:rPr>
                <w:t>65</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76">
              <w:r>
                <w:rPr>
                  <w:rFonts w:ascii="Arial" w:cs="Arial" w:eastAsia="Arial" w:hAnsi="Arial"/>
                  <w:sz w:val="10"/>
                  <w:szCs w:val="10"/>
                  <w:color w:val="0000EE"/>
                </w:rPr>
                <w:t>Our Compensation Committee</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76">
              <w:r>
                <w:rPr>
                  <w:rFonts w:ascii="Arial" w:cs="Arial" w:eastAsia="Arial" w:hAnsi="Arial"/>
                  <w:sz w:val="10"/>
                  <w:szCs w:val="10"/>
                  <w:color w:val="0000EE"/>
                </w:rPr>
                <w:t>65</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Borders>
              <w:top w:val="single" w:sz="8" w:color="0000EE"/>
            </w:tcBorders>
            <w:gridSpan w:val="13"/>
          </w:tcPr>
          <w:p>
            <w:pPr>
              <w:spacing w:after="0" w:line="88" w:lineRule="exact"/>
              <w:rPr>
                <w:rFonts w:ascii="Arial" w:cs="Arial" w:eastAsia="Arial" w:hAnsi="Arial"/>
                <w:sz w:val="10"/>
                <w:szCs w:val="10"/>
                <w:color w:val="0000EE"/>
              </w:rPr>
            </w:pPr>
            <w:hyperlink w:anchor="page76">
              <w:r>
                <w:rPr>
                  <w:rFonts w:ascii="Arial" w:cs="Arial" w:eastAsia="Arial" w:hAnsi="Arial"/>
                  <w:sz w:val="10"/>
                  <w:szCs w:val="10"/>
                  <w:color w:val="0000EE"/>
                </w:rPr>
                <w:t>Management</w:t>
              </w:r>
            </w:hyperlink>
          </w:p>
        </w:tc>
        <w:tc>
          <w:tcPr>
            <w:tcW w:w="5040" w:type="dxa"/>
            <w:vAlign w:val="bottom"/>
            <w:gridSpan w:val="19"/>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tcBorders>
          </w:tcPr>
          <w:p>
            <w:pPr>
              <w:jc w:val="right"/>
              <w:spacing w:after="0" w:line="88" w:lineRule="exact"/>
              <w:rPr>
                <w:rFonts w:ascii="Arial" w:cs="Arial" w:eastAsia="Arial" w:hAnsi="Arial"/>
                <w:sz w:val="10"/>
                <w:szCs w:val="10"/>
                <w:color w:val="0000EE"/>
                <w:w w:val="89"/>
              </w:rPr>
            </w:pPr>
            <w:hyperlink w:anchor="page76">
              <w:r>
                <w:rPr>
                  <w:rFonts w:ascii="Arial" w:cs="Arial" w:eastAsia="Arial" w:hAnsi="Arial"/>
                  <w:sz w:val="10"/>
                  <w:szCs w:val="10"/>
                  <w:color w:val="0000EE"/>
                  <w:w w:val="89"/>
                </w:rPr>
                <w:t>65</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Borders>
              <w:bottom w:val="single" w:sz="8" w:color="0000EE"/>
            </w:tcBorders>
            <w:gridSpan w:val="16"/>
          </w:tcPr>
          <w:p>
            <w:pPr>
              <w:spacing w:after="0" w:line="88" w:lineRule="exact"/>
              <w:rPr>
                <w:rFonts w:ascii="Arial" w:cs="Arial" w:eastAsia="Arial" w:hAnsi="Arial"/>
                <w:sz w:val="10"/>
                <w:szCs w:val="10"/>
                <w:color w:val="0000EE"/>
                <w:w w:val="95"/>
              </w:rPr>
            </w:pPr>
            <w:hyperlink w:anchor="page77">
              <w:r>
                <w:rPr>
                  <w:rFonts w:ascii="Arial" w:cs="Arial" w:eastAsia="Arial" w:hAnsi="Arial"/>
                  <w:sz w:val="10"/>
                  <w:szCs w:val="10"/>
                  <w:color w:val="0000EE"/>
                  <w:w w:val="95"/>
                </w:rPr>
                <w:t>Shareholder Input and Outreach</w:t>
              </w:r>
            </w:hyperlink>
          </w:p>
        </w:tc>
        <w:tc>
          <w:tcPr>
            <w:tcW w:w="4960" w:type="dxa"/>
            <w:vAlign w:val="bottom"/>
            <w:gridSpan w:val="16"/>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77">
              <w:r>
                <w:rPr>
                  <w:rFonts w:ascii="Arial" w:cs="Arial" w:eastAsia="Arial" w:hAnsi="Arial"/>
                  <w:sz w:val="10"/>
                  <w:szCs w:val="10"/>
                  <w:color w:val="0000EE"/>
                  <w:w w:val="89"/>
                </w:rPr>
                <w:t>66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Borders>
              <w:bottom w:val="single" w:sz="8" w:color="0000EE"/>
            </w:tcBorders>
            <w:gridSpan w:val="23"/>
          </w:tcPr>
          <w:p>
            <w:pPr>
              <w:spacing w:after="0" w:line="88" w:lineRule="exact"/>
              <w:rPr>
                <w:rFonts w:ascii="Arial" w:cs="Arial" w:eastAsia="Arial" w:hAnsi="Arial"/>
                <w:sz w:val="10"/>
                <w:szCs w:val="10"/>
                <w:color w:val="0000EE"/>
                <w:w w:val="95"/>
              </w:rPr>
            </w:pPr>
            <w:hyperlink w:anchor="page79">
              <w:r>
                <w:rPr>
                  <w:rFonts w:ascii="Arial" w:cs="Arial" w:eastAsia="Arial" w:hAnsi="Arial"/>
                  <w:sz w:val="10"/>
                  <w:szCs w:val="10"/>
                  <w:color w:val="0000EE"/>
                  <w:w w:val="95"/>
                </w:rPr>
                <w:t>Independent Compensation Consultant</w:t>
              </w:r>
            </w:hyperlink>
          </w:p>
        </w:tc>
        <w:tc>
          <w:tcPr>
            <w:tcW w:w="4660" w:type="dxa"/>
            <w:vAlign w:val="bottom"/>
            <w:gridSpan w:val="9"/>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79">
              <w:r>
                <w:rPr>
                  <w:rFonts w:ascii="Arial" w:cs="Arial" w:eastAsia="Arial" w:hAnsi="Arial"/>
                  <w:sz w:val="10"/>
                  <w:szCs w:val="10"/>
                  <w:color w:val="0000EE"/>
                  <w:w w:val="89"/>
                </w:rPr>
                <w:t>68</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0000EE"/>
            </w:tcBorders>
            <w:gridSpan w:val="2"/>
          </w:tcPr>
          <w:p>
            <w:pPr>
              <w:spacing w:after="0" w:line="88" w:lineRule="exact"/>
              <w:rPr>
                <w:rFonts w:ascii="Arial" w:cs="Arial" w:eastAsia="Arial" w:hAnsi="Arial"/>
                <w:sz w:val="10"/>
                <w:szCs w:val="10"/>
                <w:color w:val="0000EE"/>
                <w:w w:val="93"/>
              </w:rPr>
            </w:pPr>
            <w:hyperlink w:anchor="page79">
              <w:r>
                <w:rPr>
                  <w:rFonts w:ascii="Arial" w:cs="Arial" w:eastAsia="Arial" w:hAnsi="Arial"/>
                  <w:sz w:val="10"/>
                  <w:szCs w:val="10"/>
                  <w:color w:val="0000EE"/>
                  <w:w w:val="93"/>
                </w:rPr>
                <w:t>Peer Data</w:t>
              </w:r>
            </w:hyperlink>
          </w:p>
        </w:tc>
        <w:tc>
          <w:tcPr>
            <w:tcW w:w="5900" w:type="dxa"/>
            <w:vAlign w:val="bottom"/>
            <w:gridSpan w:val="30"/>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79">
              <w:r>
                <w:rPr>
                  <w:rFonts w:ascii="Arial" w:cs="Arial" w:eastAsia="Arial" w:hAnsi="Arial"/>
                  <w:sz w:val="10"/>
                  <w:szCs w:val="10"/>
                  <w:color w:val="0000EE"/>
                  <w:w w:val="89"/>
                </w:rPr>
                <w:t>68</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81">
              <w:r>
                <w:rPr>
                  <w:rFonts w:ascii="Arial" w:cs="Arial" w:eastAsia="Arial" w:hAnsi="Arial"/>
                  <w:sz w:val="10"/>
                  <w:szCs w:val="10"/>
                  <w:color w:val="0000EE"/>
                </w:rPr>
                <w:t>Risk Assessment</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81">
              <w:r>
                <w:rPr>
                  <w:rFonts w:ascii="Arial" w:cs="Arial" w:eastAsia="Arial" w:hAnsi="Arial"/>
                  <w:sz w:val="10"/>
                  <w:szCs w:val="10"/>
                  <w:color w:val="0000EE"/>
                </w:rPr>
                <w:t>70</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0000EE"/>
            </w:tcBorders>
            <w:gridSpan w:val="6"/>
          </w:tcPr>
          <w:p>
            <w:pPr>
              <w:spacing w:after="0" w:line="88" w:lineRule="exact"/>
              <w:rPr>
                <w:rFonts w:ascii="Arial" w:cs="Arial" w:eastAsia="Arial" w:hAnsi="Arial"/>
                <w:sz w:val="10"/>
                <w:szCs w:val="10"/>
                <w:color w:val="0000EE"/>
                <w:w w:val="99"/>
              </w:rPr>
            </w:pPr>
            <w:hyperlink w:anchor="page81">
              <w:r>
                <w:rPr>
                  <w:rFonts w:ascii="Arial" w:cs="Arial" w:eastAsia="Arial" w:hAnsi="Arial"/>
                  <w:sz w:val="10"/>
                  <w:szCs w:val="10"/>
                  <w:color w:val="0000EE"/>
                  <w:w w:val="99"/>
                </w:rPr>
                <w:t>Tax Implications</w:t>
              </w:r>
            </w:hyperlink>
          </w:p>
        </w:tc>
        <w:tc>
          <w:tcPr>
            <w:tcW w:w="5600" w:type="dxa"/>
            <w:vAlign w:val="bottom"/>
            <w:gridSpan w:val="26"/>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tcBorders>
          </w:tcPr>
          <w:p>
            <w:pPr>
              <w:jc w:val="right"/>
              <w:spacing w:after="0" w:line="88" w:lineRule="exact"/>
              <w:rPr>
                <w:rFonts w:ascii="Arial" w:cs="Arial" w:eastAsia="Arial" w:hAnsi="Arial"/>
                <w:sz w:val="10"/>
                <w:szCs w:val="10"/>
                <w:color w:val="0000EE"/>
                <w:w w:val="89"/>
              </w:rPr>
            </w:pPr>
            <w:hyperlink w:anchor="page81">
              <w:r>
                <w:rPr>
                  <w:rFonts w:ascii="Arial" w:cs="Arial" w:eastAsia="Arial" w:hAnsi="Arial"/>
                  <w:sz w:val="10"/>
                  <w:szCs w:val="10"/>
                  <w:color w:val="0000EE"/>
                  <w:w w:val="89"/>
                </w:rPr>
                <w:t>70</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980" w:type="dxa"/>
            <w:vAlign w:val="bottom"/>
            <w:vMerge w:val="restart"/>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6600" w:type="dxa"/>
            <w:vAlign w:val="bottom"/>
            <w:gridSpan w:val="35"/>
          </w:tcPr>
          <w:p>
            <w:pPr>
              <w:spacing w:after="0" w:line="88" w:lineRule="exact"/>
              <w:rPr>
                <w:rFonts w:ascii="Arial" w:cs="Arial" w:eastAsia="Arial" w:hAnsi="Arial"/>
                <w:sz w:val="10"/>
                <w:szCs w:val="10"/>
                <w:b w:val="1"/>
                <w:bCs w:val="1"/>
                <w:color w:val="0000EE"/>
              </w:rPr>
            </w:pPr>
            <w:hyperlink w:anchor="page83">
              <w:r>
                <w:rPr>
                  <w:rFonts w:ascii="Arial" w:cs="Arial" w:eastAsia="Arial" w:hAnsi="Arial"/>
                  <w:sz w:val="10"/>
                  <w:szCs w:val="10"/>
                  <w:b w:val="1"/>
                  <w:bCs w:val="1"/>
                  <w:color w:val="0000EE"/>
                </w:rPr>
                <w:t>Compensation Committee Report</w:t>
              </w:r>
            </w:hyperlink>
          </w:p>
        </w:tc>
        <w:tc>
          <w:tcPr>
            <w:tcW w:w="2980" w:type="dxa"/>
            <w:vAlign w:val="bottom"/>
            <w:vMerge w:val="continue"/>
          </w:tcPr>
          <w:p>
            <w:pPr>
              <w:spacing w:after="0"/>
              <w:rPr>
                <w:sz w:val="7"/>
                <w:szCs w:val="7"/>
                <w:color w:val="auto"/>
              </w:rPr>
            </w:pPr>
          </w:p>
        </w:tc>
        <w:tc>
          <w:tcPr>
            <w:tcW w:w="120" w:type="dxa"/>
            <w:vAlign w:val="bottom"/>
          </w:tcPr>
          <w:p>
            <w:pPr>
              <w:jc w:val="right"/>
              <w:spacing w:after="0" w:line="88" w:lineRule="exact"/>
              <w:rPr>
                <w:rFonts w:ascii="Arial" w:cs="Arial" w:eastAsia="Arial" w:hAnsi="Arial"/>
                <w:sz w:val="10"/>
                <w:szCs w:val="10"/>
                <w:b w:val="1"/>
                <w:bCs w:val="1"/>
                <w:color w:val="0000EE"/>
                <w:w w:val="89"/>
              </w:rPr>
            </w:pPr>
            <w:hyperlink w:anchor="page83">
              <w:r>
                <w:rPr>
                  <w:rFonts w:ascii="Arial" w:cs="Arial" w:eastAsia="Arial" w:hAnsi="Arial"/>
                  <w:sz w:val="10"/>
                  <w:szCs w:val="10"/>
                  <w:b w:val="1"/>
                  <w:bCs w:val="1"/>
                  <w:color w:val="0000EE"/>
                  <w:w w:val="89"/>
                </w:rPr>
                <w:t>72</w:t>
              </w:r>
            </w:hyperlink>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980" w:type="dxa"/>
            <w:vAlign w:val="bottom"/>
            <w:vMerge w:val="restart"/>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6600" w:type="dxa"/>
            <w:vAlign w:val="bottom"/>
            <w:gridSpan w:val="35"/>
          </w:tcPr>
          <w:p>
            <w:pPr>
              <w:spacing w:after="0" w:line="88" w:lineRule="exact"/>
              <w:rPr>
                <w:rFonts w:ascii="Arial" w:cs="Arial" w:eastAsia="Arial" w:hAnsi="Arial"/>
                <w:sz w:val="10"/>
                <w:szCs w:val="10"/>
                <w:b w:val="1"/>
                <w:bCs w:val="1"/>
                <w:color w:val="0000EE"/>
              </w:rPr>
            </w:pPr>
            <w:hyperlink w:anchor="page83">
              <w:r>
                <w:rPr>
                  <w:rFonts w:ascii="Arial" w:cs="Arial" w:eastAsia="Arial" w:hAnsi="Arial"/>
                  <w:sz w:val="10"/>
                  <w:szCs w:val="10"/>
                  <w:b w:val="1"/>
                  <w:bCs w:val="1"/>
                  <w:color w:val="0000EE"/>
                </w:rPr>
                <w:t>Compensation Committee Interlocks and Insider Participation</w:t>
              </w:r>
            </w:hyperlink>
          </w:p>
        </w:tc>
        <w:tc>
          <w:tcPr>
            <w:tcW w:w="2980" w:type="dxa"/>
            <w:vAlign w:val="bottom"/>
            <w:vMerge w:val="continue"/>
          </w:tcPr>
          <w:p>
            <w:pPr>
              <w:spacing w:after="0"/>
              <w:rPr>
                <w:sz w:val="7"/>
                <w:szCs w:val="7"/>
                <w:color w:val="auto"/>
              </w:rPr>
            </w:pPr>
          </w:p>
        </w:tc>
        <w:tc>
          <w:tcPr>
            <w:tcW w:w="120" w:type="dxa"/>
            <w:vAlign w:val="bottom"/>
          </w:tcPr>
          <w:p>
            <w:pPr>
              <w:jc w:val="right"/>
              <w:spacing w:after="0" w:line="88" w:lineRule="exact"/>
              <w:rPr>
                <w:rFonts w:ascii="Arial" w:cs="Arial" w:eastAsia="Arial" w:hAnsi="Arial"/>
                <w:sz w:val="10"/>
                <w:szCs w:val="10"/>
                <w:b w:val="1"/>
                <w:bCs w:val="1"/>
                <w:color w:val="0000EE"/>
                <w:w w:val="89"/>
              </w:rPr>
            </w:pPr>
            <w:hyperlink w:anchor="page83">
              <w:r>
                <w:rPr>
                  <w:rFonts w:ascii="Arial" w:cs="Arial" w:eastAsia="Arial" w:hAnsi="Arial"/>
                  <w:sz w:val="10"/>
                  <w:szCs w:val="10"/>
                  <w:b w:val="1"/>
                  <w:bCs w:val="1"/>
                  <w:color w:val="0000EE"/>
                  <w:w w:val="89"/>
                </w:rPr>
                <w:t>72</w:t>
              </w:r>
            </w:hyperlink>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220" w:type="dxa"/>
            <w:vAlign w:val="bottom"/>
            <w:tcBorders>
              <w:top w:val="single" w:sz="8" w:color="0000EE"/>
              <w:bottom w:val="single" w:sz="8" w:color="0000EE"/>
            </w:tcBorders>
            <w:gridSpan w:val="12"/>
          </w:tcPr>
          <w:p>
            <w:pPr>
              <w:spacing w:after="0" w:line="88" w:lineRule="exact"/>
              <w:rPr>
                <w:rFonts w:ascii="Arial" w:cs="Arial" w:eastAsia="Arial" w:hAnsi="Arial"/>
                <w:sz w:val="10"/>
                <w:szCs w:val="10"/>
                <w:b w:val="1"/>
                <w:bCs w:val="1"/>
                <w:color w:val="0000EE"/>
                <w:w w:val="94"/>
              </w:rPr>
            </w:pPr>
            <w:hyperlink w:anchor="page84">
              <w:r>
                <w:rPr>
                  <w:rFonts w:ascii="Arial" w:cs="Arial" w:eastAsia="Arial" w:hAnsi="Arial"/>
                  <w:sz w:val="10"/>
                  <w:szCs w:val="10"/>
                  <w:b w:val="1"/>
                  <w:bCs w:val="1"/>
                  <w:color w:val="0000EE"/>
                  <w:w w:val="94"/>
                </w:rPr>
                <w:t>Compensation Dashboard</w:t>
              </w:r>
            </w:hyperlink>
          </w:p>
        </w:tc>
        <w:tc>
          <w:tcPr>
            <w:tcW w:w="1600" w:type="dxa"/>
            <w:vAlign w:val="bottom"/>
            <w:tcBorders>
              <w:top w:val="single" w:sz="8" w:color="0000EE"/>
            </w:tcBorders>
            <w:gridSpan w:val="21"/>
          </w:tcPr>
          <w:p>
            <w:pPr>
              <w:spacing w:after="0"/>
              <w:rPr>
                <w:sz w:val="7"/>
                <w:szCs w:val="7"/>
                <w:color w:val="auto"/>
              </w:rPr>
            </w:pPr>
          </w:p>
        </w:tc>
        <w:tc>
          <w:tcPr>
            <w:tcW w:w="3780" w:type="dxa"/>
            <w:vAlign w:val="bottom"/>
            <w:gridSpan w:val="2"/>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84">
              <w:r>
                <w:rPr>
                  <w:rFonts w:ascii="Arial" w:cs="Arial" w:eastAsia="Arial" w:hAnsi="Arial"/>
                  <w:sz w:val="10"/>
                  <w:szCs w:val="10"/>
                  <w:b w:val="1"/>
                  <w:bCs w:val="1"/>
                  <w:color w:val="0000EE"/>
                  <w:w w:val="89"/>
                </w:rPr>
                <w:t>73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Borders>
              <w:bottom w:val="single" w:sz="8" w:color="105BAB"/>
            </w:tcBorders>
            <w:gridSpan w:val="11"/>
          </w:tcPr>
          <w:p>
            <w:pPr>
              <w:spacing w:after="0" w:line="88" w:lineRule="exact"/>
              <w:rPr>
                <w:rFonts w:ascii="Arial" w:cs="Arial" w:eastAsia="Arial" w:hAnsi="Arial"/>
                <w:sz w:val="10"/>
                <w:szCs w:val="10"/>
                <w:b w:val="1"/>
                <w:bCs w:val="1"/>
                <w:color w:val="105BAB"/>
                <w:w w:val="94"/>
              </w:rPr>
            </w:pPr>
            <w:hyperlink w:anchor="page84">
              <w:r>
                <w:rPr>
                  <w:rFonts w:ascii="Arial" w:cs="Arial" w:eastAsia="Arial" w:hAnsi="Arial"/>
                  <w:sz w:val="10"/>
                  <w:szCs w:val="10"/>
                  <w:b w:val="1"/>
                  <w:bCs w:val="1"/>
                  <w:color w:val="105BAB"/>
                  <w:w w:val="94"/>
                </w:rPr>
                <w:t>2017 Compensation Tables</w:t>
              </w:r>
            </w:hyperlink>
          </w:p>
        </w:tc>
        <w:tc>
          <w:tcPr>
            <w:tcW w:w="5180" w:type="dxa"/>
            <w:vAlign w:val="bottom"/>
            <w:gridSpan w:val="22"/>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105BAB"/>
            </w:tcBorders>
          </w:tcPr>
          <w:p>
            <w:pPr>
              <w:jc w:val="right"/>
              <w:spacing w:after="0" w:line="88" w:lineRule="exact"/>
              <w:rPr>
                <w:rFonts w:ascii="Arial" w:cs="Arial" w:eastAsia="Arial" w:hAnsi="Arial"/>
                <w:sz w:val="10"/>
                <w:szCs w:val="10"/>
                <w:b w:val="1"/>
                <w:bCs w:val="1"/>
                <w:color w:val="105BAB"/>
                <w:w w:val="89"/>
              </w:rPr>
            </w:pPr>
            <w:hyperlink w:anchor="page84">
              <w:r>
                <w:rPr>
                  <w:rFonts w:ascii="Arial" w:cs="Arial" w:eastAsia="Arial" w:hAnsi="Arial"/>
                  <w:sz w:val="10"/>
                  <w:szCs w:val="10"/>
                  <w:b w:val="1"/>
                  <w:bCs w:val="1"/>
                  <w:color w:val="105BAB"/>
                  <w:w w:val="89"/>
                </w:rPr>
                <w:t>73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tcBorders>
              <w:bottom w:val="single" w:sz="8" w:color="0000EE"/>
            </w:tcBorders>
            <w:gridSpan w:val="21"/>
          </w:tcPr>
          <w:p>
            <w:pPr>
              <w:spacing w:after="0" w:line="88" w:lineRule="exact"/>
              <w:rPr>
                <w:rFonts w:ascii="Arial" w:cs="Arial" w:eastAsia="Arial" w:hAnsi="Arial"/>
                <w:sz w:val="10"/>
                <w:szCs w:val="10"/>
                <w:color w:val="0000EE"/>
                <w:w w:val="94"/>
              </w:rPr>
            </w:pPr>
            <w:hyperlink w:anchor="page84">
              <w:r>
                <w:rPr>
                  <w:rFonts w:ascii="Arial" w:cs="Arial" w:eastAsia="Arial" w:hAnsi="Arial"/>
                  <w:sz w:val="10"/>
                  <w:szCs w:val="10"/>
                  <w:color w:val="0000EE"/>
                  <w:w w:val="94"/>
                </w:rPr>
                <w:t>2017 Summary Compensation Table</w:t>
              </w:r>
            </w:hyperlink>
          </w:p>
        </w:tc>
        <w:tc>
          <w:tcPr>
            <w:tcW w:w="4780" w:type="dxa"/>
            <w:vAlign w:val="bottom"/>
            <w:gridSpan w:val="11"/>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84">
              <w:r>
                <w:rPr>
                  <w:rFonts w:ascii="Arial" w:cs="Arial" w:eastAsia="Arial" w:hAnsi="Arial"/>
                  <w:sz w:val="10"/>
                  <w:szCs w:val="10"/>
                  <w:color w:val="0000EE"/>
                  <w:w w:val="89"/>
                </w:rPr>
                <w:t>73</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85">
              <w:r>
                <w:rPr>
                  <w:rFonts w:ascii="Arial" w:cs="Arial" w:eastAsia="Arial" w:hAnsi="Arial"/>
                  <w:sz w:val="10"/>
                  <w:szCs w:val="10"/>
                  <w:color w:val="0000EE"/>
                </w:rPr>
                <w:t>2017 Grants of Plan-Based Awards</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85">
              <w:r>
                <w:rPr>
                  <w:rFonts w:ascii="Arial" w:cs="Arial" w:eastAsia="Arial" w:hAnsi="Arial"/>
                  <w:sz w:val="10"/>
                  <w:szCs w:val="10"/>
                  <w:color w:val="0000EE"/>
                </w:rPr>
                <w:t>74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340" w:type="dxa"/>
            <w:vAlign w:val="bottom"/>
            <w:gridSpan w:val="32"/>
          </w:tcPr>
          <w:p>
            <w:pPr>
              <w:spacing w:after="0" w:line="88" w:lineRule="exact"/>
              <w:rPr>
                <w:rFonts w:ascii="Arial" w:cs="Arial" w:eastAsia="Arial" w:hAnsi="Arial"/>
                <w:sz w:val="10"/>
                <w:szCs w:val="10"/>
                <w:color w:val="0000EE"/>
              </w:rPr>
            </w:pPr>
            <w:hyperlink w:anchor="page86">
              <w:r>
                <w:rPr>
                  <w:rFonts w:ascii="Arial" w:cs="Arial" w:eastAsia="Arial" w:hAnsi="Arial"/>
                  <w:sz w:val="10"/>
                  <w:szCs w:val="10"/>
                  <w:color w:val="0000EE"/>
                </w:rPr>
                <w:t>Outstanding Equity Awards at 2017 Fiscal Year-End</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86">
              <w:r>
                <w:rPr>
                  <w:rFonts w:ascii="Arial" w:cs="Arial" w:eastAsia="Arial" w:hAnsi="Arial"/>
                  <w:sz w:val="10"/>
                  <w:szCs w:val="10"/>
                  <w:color w:val="0000EE"/>
                </w:rPr>
                <w:t>75</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0" w:type="dxa"/>
            <w:vAlign w:val="bottom"/>
            <w:tcBorders>
              <w:top w:val="single" w:sz="8" w:color="0000EE"/>
            </w:tcBorders>
            <w:gridSpan w:val="28"/>
          </w:tcPr>
          <w:p>
            <w:pPr>
              <w:spacing w:after="0" w:line="88" w:lineRule="exact"/>
              <w:rPr>
                <w:rFonts w:ascii="Arial" w:cs="Arial" w:eastAsia="Arial" w:hAnsi="Arial"/>
                <w:sz w:val="10"/>
                <w:szCs w:val="10"/>
                <w:color w:val="0000EE"/>
              </w:rPr>
            </w:pPr>
            <w:hyperlink w:anchor="page87">
              <w:r>
                <w:rPr>
                  <w:rFonts w:ascii="Arial" w:cs="Arial" w:eastAsia="Arial" w:hAnsi="Arial"/>
                  <w:sz w:val="10"/>
                  <w:szCs w:val="10"/>
                  <w:color w:val="0000EE"/>
                </w:rPr>
                <w:t>2017 Option Exercises and Stock Vested</w:t>
              </w:r>
            </w:hyperlink>
          </w:p>
        </w:tc>
        <w:tc>
          <w:tcPr>
            <w:tcW w:w="4140" w:type="dxa"/>
            <w:vAlign w:val="bottom"/>
            <w:gridSpan w:val="4"/>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tcBorders>
          </w:tcPr>
          <w:p>
            <w:pPr>
              <w:jc w:val="right"/>
              <w:spacing w:after="0" w:line="88" w:lineRule="exact"/>
              <w:rPr>
                <w:rFonts w:ascii="Arial" w:cs="Arial" w:eastAsia="Arial" w:hAnsi="Arial"/>
                <w:sz w:val="10"/>
                <w:szCs w:val="10"/>
                <w:color w:val="0000EE"/>
                <w:w w:val="89"/>
              </w:rPr>
            </w:pPr>
            <w:hyperlink w:anchor="page87">
              <w:r>
                <w:rPr>
                  <w:rFonts w:ascii="Arial" w:cs="Arial" w:eastAsia="Arial" w:hAnsi="Arial"/>
                  <w:sz w:val="10"/>
                  <w:szCs w:val="10"/>
                  <w:color w:val="0000EE"/>
                  <w:w w:val="89"/>
                </w:rPr>
                <w:t>76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tcBorders>
              <w:top w:val="single" w:sz="8" w:color="0000EE"/>
            </w:tcBorders>
            <w:gridSpan w:val="24"/>
          </w:tcPr>
          <w:p>
            <w:pPr>
              <w:spacing w:after="0" w:line="88" w:lineRule="exact"/>
              <w:rPr>
                <w:rFonts w:ascii="Arial" w:cs="Arial" w:eastAsia="Arial" w:hAnsi="Arial"/>
                <w:sz w:val="10"/>
                <w:szCs w:val="10"/>
                <w:color w:val="0000EE"/>
              </w:rPr>
            </w:pPr>
            <w:hyperlink w:anchor="page87">
              <w:r>
                <w:rPr>
                  <w:rFonts w:ascii="Arial" w:cs="Arial" w:eastAsia="Arial" w:hAnsi="Arial"/>
                  <w:sz w:val="10"/>
                  <w:szCs w:val="10"/>
                  <w:color w:val="0000EE"/>
                </w:rPr>
                <w:t>Post-Employment Compensation</w:t>
              </w:r>
            </w:hyperlink>
          </w:p>
        </w:tc>
        <w:tc>
          <w:tcPr>
            <w:tcW w:w="4600" w:type="dxa"/>
            <w:vAlign w:val="bottom"/>
            <w:gridSpan w:val="8"/>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tcBorders>
          </w:tcPr>
          <w:p>
            <w:pPr>
              <w:jc w:val="right"/>
              <w:spacing w:after="0" w:line="88" w:lineRule="exact"/>
              <w:rPr>
                <w:rFonts w:ascii="Arial" w:cs="Arial" w:eastAsia="Arial" w:hAnsi="Arial"/>
                <w:sz w:val="10"/>
                <w:szCs w:val="10"/>
                <w:color w:val="0000EE"/>
                <w:w w:val="89"/>
              </w:rPr>
            </w:pPr>
            <w:hyperlink w:anchor="page87">
              <w:r>
                <w:rPr>
                  <w:rFonts w:ascii="Arial" w:cs="Arial" w:eastAsia="Arial" w:hAnsi="Arial"/>
                  <w:sz w:val="10"/>
                  <w:szCs w:val="10"/>
                  <w:color w:val="0000EE"/>
                  <w:w w:val="89"/>
                </w:rPr>
                <w:t>76</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4840" w:type="dxa"/>
            <w:vAlign w:val="bottom"/>
            <w:gridSpan w:val="12"/>
            <w:vMerge w:val="restart"/>
          </w:tcPr>
          <w:p>
            <w:pPr>
              <w:spacing w:after="0" w:line="20" w:lineRule="exact"/>
              <w:rPr>
                <w:sz w:val="1"/>
                <w:szCs w:val="1"/>
                <w:color w:val="auto"/>
              </w:rPr>
            </w:pPr>
          </w:p>
        </w:tc>
        <w:tc>
          <w:tcPr>
            <w:tcW w:w="2980" w:type="dxa"/>
            <w:vAlign w:val="bottom"/>
            <w:vMerge w:val="restart"/>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660" w:type="dxa"/>
            <w:vAlign w:val="bottom"/>
            <w:tcBorders>
              <w:bottom w:val="single" w:sz="8" w:color="0000EE"/>
            </w:tcBorders>
            <w:gridSpan w:val="20"/>
          </w:tcPr>
          <w:p>
            <w:pPr>
              <w:spacing w:after="0" w:line="88" w:lineRule="exact"/>
              <w:rPr>
                <w:rFonts w:ascii="Arial" w:cs="Arial" w:eastAsia="Arial" w:hAnsi="Arial"/>
                <w:sz w:val="10"/>
                <w:szCs w:val="10"/>
                <w:b w:val="1"/>
                <w:bCs w:val="1"/>
                <w:color w:val="0000EE"/>
                <w:w w:val="91"/>
              </w:rPr>
            </w:pPr>
            <w:hyperlink w:anchor="page91">
              <w:r>
                <w:rPr>
                  <w:rFonts w:ascii="Arial" w:cs="Arial" w:eastAsia="Arial" w:hAnsi="Arial"/>
                  <w:sz w:val="10"/>
                  <w:szCs w:val="10"/>
                  <w:b w:val="1"/>
                  <w:bCs w:val="1"/>
                  <w:color w:val="0000EE"/>
                  <w:w w:val="91"/>
                </w:rPr>
                <w:t>Additional Compensation Information</w:t>
              </w:r>
            </w:hyperlink>
          </w:p>
        </w:tc>
        <w:tc>
          <w:tcPr>
            <w:tcW w:w="100" w:type="dxa"/>
            <w:vAlign w:val="bottom"/>
            <w:tcBorders>
              <w:bottom w:val="single" w:sz="8" w:color="0000EE"/>
            </w:tcBorders>
            <w:gridSpan w:val="3"/>
            <w:vMerge w:val="continue"/>
          </w:tcPr>
          <w:p>
            <w:pPr>
              <w:spacing w:after="0"/>
              <w:rPr>
                <w:sz w:val="7"/>
                <w:szCs w:val="7"/>
                <w:color w:val="auto"/>
              </w:rPr>
            </w:pPr>
          </w:p>
        </w:tc>
        <w:tc>
          <w:tcPr>
            <w:tcW w:w="4840" w:type="dxa"/>
            <w:vAlign w:val="bottom"/>
            <w:gridSpan w:val="1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b w:val="1"/>
                <w:bCs w:val="1"/>
                <w:color w:val="0000EE"/>
                <w:w w:val="89"/>
              </w:rPr>
            </w:pPr>
            <w:hyperlink w:anchor="page91">
              <w:r>
                <w:rPr>
                  <w:rFonts w:ascii="Arial" w:cs="Arial" w:eastAsia="Arial" w:hAnsi="Arial"/>
                  <w:sz w:val="10"/>
                  <w:szCs w:val="10"/>
                  <w:b w:val="1"/>
                  <w:bCs w:val="1"/>
                  <w:color w:val="0000EE"/>
                  <w:w w:val="89"/>
                </w:rPr>
                <w:t>80</w:t>
              </w:r>
            </w:hyperlink>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20" w:type="dxa"/>
            <w:vAlign w:val="bottom"/>
            <w:gridSpan w:val="33"/>
          </w:tcPr>
          <w:p>
            <w:pPr>
              <w:spacing w:after="0" w:line="88" w:lineRule="exact"/>
              <w:rPr>
                <w:rFonts w:ascii="Arial" w:cs="Arial" w:eastAsia="Arial" w:hAnsi="Arial"/>
                <w:sz w:val="10"/>
                <w:szCs w:val="10"/>
                <w:color w:val="0000EE"/>
              </w:rPr>
            </w:pPr>
            <w:hyperlink w:anchor="page91">
              <w:r>
                <w:rPr>
                  <w:rFonts w:ascii="Arial" w:cs="Arial" w:eastAsia="Arial" w:hAnsi="Arial"/>
                  <w:sz w:val="10"/>
                  <w:szCs w:val="10"/>
                  <w:color w:val="0000EE"/>
                </w:rPr>
                <w:t>Annual Cash Incentive</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91">
              <w:r>
                <w:rPr>
                  <w:rFonts w:ascii="Arial" w:cs="Arial" w:eastAsia="Arial" w:hAnsi="Arial"/>
                  <w:sz w:val="10"/>
                  <w:szCs w:val="10"/>
                  <w:color w:val="0000EE"/>
                </w:rPr>
                <w:t>80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17"/>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20" w:type="dxa"/>
            <w:vAlign w:val="bottom"/>
            <w:gridSpan w:val="33"/>
          </w:tcPr>
          <w:p>
            <w:pPr>
              <w:spacing w:after="0" w:line="88" w:lineRule="exact"/>
              <w:rPr>
                <w:rFonts w:ascii="Arial" w:cs="Arial" w:eastAsia="Arial" w:hAnsi="Arial"/>
                <w:sz w:val="10"/>
                <w:szCs w:val="10"/>
                <w:color w:val="0000EE"/>
              </w:rPr>
            </w:pPr>
            <w:hyperlink w:anchor="page92">
              <w:r>
                <w:rPr>
                  <w:rFonts w:ascii="Arial" w:cs="Arial" w:eastAsia="Arial" w:hAnsi="Arial"/>
                  <w:sz w:val="10"/>
                  <w:szCs w:val="10"/>
                  <w:color w:val="0000EE"/>
                </w:rPr>
                <w:t>Perquisites and Personal Benefits</w:t>
              </w:r>
            </w:hyperlink>
          </w:p>
        </w:tc>
        <w:tc>
          <w:tcPr>
            <w:tcW w:w="3120" w:type="dxa"/>
            <w:vAlign w:val="bottom"/>
            <w:gridSpan w:val="3"/>
          </w:tcPr>
          <w:p>
            <w:pPr>
              <w:jc w:val="right"/>
              <w:ind w:right="20"/>
              <w:spacing w:after="0" w:line="88" w:lineRule="exact"/>
              <w:rPr>
                <w:rFonts w:ascii="Arial" w:cs="Arial" w:eastAsia="Arial" w:hAnsi="Arial"/>
                <w:sz w:val="10"/>
                <w:szCs w:val="10"/>
                <w:color w:val="0000EE"/>
              </w:rPr>
            </w:pPr>
            <w:hyperlink w:anchor="page92">
              <w:r>
                <w:rPr>
                  <w:rFonts w:ascii="Arial" w:cs="Arial" w:eastAsia="Arial" w:hAnsi="Arial"/>
                  <w:sz w:val="10"/>
                  <w:szCs w:val="10"/>
                  <w:color w:val="0000EE"/>
                </w:rPr>
                <w:t>81</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Borders>
              <w:top w:val="single" w:sz="8" w:color="0000EE"/>
              <w:bottom w:val="single" w:sz="8" w:color="0000EE"/>
            </w:tcBorders>
            <w:gridSpan w:val="13"/>
          </w:tcPr>
          <w:p>
            <w:pPr>
              <w:spacing w:after="0" w:line="88" w:lineRule="exact"/>
              <w:rPr>
                <w:rFonts w:ascii="Arial" w:cs="Arial" w:eastAsia="Arial" w:hAnsi="Arial"/>
                <w:sz w:val="10"/>
                <w:szCs w:val="10"/>
                <w:color w:val="0000EE"/>
                <w:w w:val="95"/>
              </w:rPr>
            </w:pPr>
            <w:hyperlink w:anchor="page95">
              <w:r>
                <w:rPr>
                  <w:rFonts w:ascii="Arial" w:cs="Arial" w:eastAsia="Arial" w:hAnsi="Arial"/>
                  <w:sz w:val="10"/>
                  <w:szCs w:val="10"/>
                  <w:color w:val="0000EE"/>
                  <w:w w:val="95"/>
                </w:rPr>
                <w:t>Potential Severance Payments</w:t>
              </w:r>
            </w:hyperlink>
          </w:p>
        </w:tc>
        <w:tc>
          <w:tcPr>
            <w:tcW w:w="100" w:type="dxa"/>
            <w:vAlign w:val="bottom"/>
            <w:tcBorders>
              <w:top w:val="single" w:sz="8" w:color="0000EE"/>
            </w:tcBorders>
            <w:gridSpan w:val="3"/>
          </w:tcPr>
          <w:p>
            <w:pPr>
              <w:spacing w:after="0"/>
              <w:rPr>
                <w:sz w:val="7"/>
                <w:szCs w:val="7"/>
                <w:color w:val="auto"/>
              </w:rPr>
            </w:pPr>
          </w:p>
        </w:tc>
        <w:tc>
          <w:tcPr>
            <w:tcW w:w="4980" w:type="dxa"/>
            <w:vAlign w:val="bottom"/>
            <w:gridSpan w:val="17"/>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top w:val="single" w:sz="8" w:color="0000EE"/>
              <w:bottom w:val="single" w:sz="8" w:color="0000EE"/>
            </w:tcBorders>
          </w:tcPr>
          <w:p>
            <w:pPr>
              <w:jc w:val="right"/>
              <w:spacing w:after="0" w:line="88" w:lineRule="exact"/>
              <w:rPr>
                <w:rFonts w:ascii="Arial" w:cs="Arial" w:eastAsia="Arial" w:hAnsi="Arial"/>
                <w:sz w:val="10"/>
                <w:szCs w:val="10"/>
                <w:color w:val="0000EE"/>
                <w:w w:val="89"/>
              </w:rPr>
            </w:pPr>
            <w:hyperlink w:anchor="page95">
              <w:r>
                <w:rPr>
                  <w:rFonts w:ascii="Arial" w:cs="Arial" w:eastAsia="Arial" w:hAnsi="Arial"/>
                  <w:sz w:val="10"/>
                  <w:szCs w:val="10"/>
                  <w:color w:val="0000EE"/>
                  <w:w w:val="89"/>
                </w:rPr>
                <w:t>84</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Borders>
              <w:bottom w:val="single" w:sz="8" w:color="0000EE"/>
            </w:tcBorders>
            <w:gridSpan w:val="2"/>
          </w:tcPr>
          <w:p>
            <w:pPr>
              <w:spacing w:after="0" w:line="88" w:lineRule="exact"/>
              <w:rPr>
                <w:rFonts w:ascii="Arial" w:cs="Arial" w:eastAsia="Arial" w:hAnsi="Arial"/>
                <w:sz w:val="10"/>
                <w:szCs w:val="10"/>
                <w:color w:val="0000EE"/>
                <w:w w:val="92"/>
              </w:rPr>
            </w:pPr>
            <w:hyperlink w:anchor="page96">
              <w:r>
                <w:rPr>
                  <w:rFonts w:ascii="Arial" w:cs="Arial" w:eastAsia="Arial" w:hAnsi="Arial"/>
                  <w:sz w:val="10"/>
                  <w:szCs w:val="10"/>
                  <w:color w:val="0000EE"/>
                  <w:w w:val="92"/>
                </w:rPr>
                <w:t>Pay Ratio</w:t>
              </w:r>
            </w:hyperlink>
          </w:p>
        </w:tc>
        <w:tc>
          <w:tcPr>
            <w:tcW w:w="6000" w:type="dxa"/>
            <w:vAlign w:val="bottom"/>
            <w:gridSpan w:val="31"/>
          </w:tcPr>
          <w:p>
            <w:pPr>
              <w:spacing w:after="0"/>
              <w:rPr>
                <w:sz w:val="7"/>
                <w:szCs w:val="7"/>
                <w:color w:val="auto"/>
              </w:rPr>
            </w:pPr>
          </w:p>
        </w:tc>
        <w:tc>
          <w:tcPr>
            <w:tcW w:w="2980" w:type="dxa"/>
            <w:vAlign w:val="bottom"/>
          </w:tcPr>
          <w:p>
            <w:pPr>
              <w:spacing w:after="0"/>
              <w:rPr>
                <w:sz w:val="7"/>
                <w:szCs w:val="7"/>
                <w:color w:val="auto"/>
              </w:rPr>
            </w:pPr>
          </w:p>
        </w:tc>
        <w:tc>
          <w:tcPr>
            <w:tcW w:w="120" w:type="dxa"/>
            <w:vAlign w:val="bottom"/>
            <w:tcBorders>
              <w:bottom w:val="single" w:sz="8" w:color="0000EE"/>
            </w:tcBorders>
          </w:tcPr>
          <w:p>
            <w:pPr>
              <w:jc w:val="right"/>
              <w:spacing w:after="0" w:line="88" w:lineRule="exact"/>
              <w:rPr>
                <w:rFonts w:ascii="Arial" w:cs="Arial" w:eastAsia="Arial" w:hAnsi="Arial"/>
                <w:sz w:val="10"/>
                <w:szCs w:val="10"/>
                <w:color w:val="0000EE"/>
                <w:w w:val="89"/>
              </w:rPr>
            </w:pPr>
            <w:hyperlink w:anchor="page96">
              <w:r>
                <w:rPr>
                  <w:rFonts w:ascii="Arial" w:cs="Arial" w:eastAsia="Arial" w:hAnsi="Arial"/>
                  <w:sz w:val="10"/>
                  <w:szCs w:val="10"/>
                  <w:color w:val="0000EE"/>
                  <w:w w:val="89"/>
                </w:rPr>
                <w:t>85</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Borders>
              <w:bottom w:val="single" w:sz="8" w:color="105BAB"/>
            </w:tcBorders>
          </w:tcPr>
          <w:p>
            <w:pPr>
              <w:spacing w:after="0"/>
              <w:rPr>
                <w:sz w:val="7"/>
                <w:szCs w:val="7"/>
                <w:color w:val="auto"/>
              </w:rPr>
            </w:pPr>
          </w:p>
        </w:tc>
        <w:tc>
          <w:tcPr>
            <w:tcW w:w="20" w:type="dxa"/>
            <w:vAlign w:val="bottom"/>
            <w:tcBorders>
              <w:bottom w:val="single" w:sz="8" w:color="105BAB"/>
            </w:tcBorders>
          </w:tcPr>
          <w:p>
            <w:pPr>
              <w:spacing w:after="0"/>
              <w:rPr>
                <w:sz w:val="7"/>
                <w:szCs w:val="7"/>
                <w:color w:val="auto"/>
              </w:rPr>
            </w:pPr>
          </w:p>
        </w:tc>
        <w:tc>
          <w:tcPr>
            <w:tcW w:w="160" w:type="dxa"/>
            <w:vAlign w:val="bottom"/>
            <w:tcBorders>
              <w:bottom w:val="single" w:sz="8" w:color="105BAB"/>
            </w:tcBorders>
          </w:tcPr>
          <w:p>
            <w:pPr>
              <w:spacing w:after="0"/>
              <w:rPr>
                <w:sz w:val="7"/>
                <w:szCs w:val="7"/>
                <w:color w:val="auto"/>
              </w:rPr>
            </w:pPr>
          </w:p>
        </w:tc>
        <w:tc>
          <w:tcPr>
            <w:tcW w:w="6420" w:type="dxa"/>
            <w:vAlign w:val="bottom"/>
            <w:tcBorders>
              <w:bottom w:val="single" w:sz="8" w:color="105BAB"/>
            </w:tcBorders>
            <w:gridSpan w:val="33"/>
          </w:tcPr>
          <w:p>
            <w:pPr>
              <w:spacing w:after="0" w:line="88" w:lineRule="exact"/>
              <w:rPr>
                <w:rFonts w:ascii="Arial" w:cs="Arial" w:eastAsia="Arial" w:hAnsi="Arial"/>
                <w:sz w:val="10"/>
                <w:szCs w:val="10"/>
                <w:color w:val="0000EE"/>
              </w:rPr>
            </w:pPr>
            <w:hyperlink w:anchor="page97">
              <w:r>
                <w:rPr>
                  <w:rFonts w:ascii="Arial" w:cs="Arial" w:eastAsia="Arial" w:hAnsi="Arial"/>
                  <w:sz w:val="10"/>
                  <w:szCs w:val="10"/>
                  <w:color w:val="0000EE"/>
                </w:rPr>
                <w:t>Equity Compensation Information</w:t>
              </w:r>
            </w:hyperlink>
          </w:p>
        </w:tc>
        <w:tc>
          <w:tcPr>
            <w:tcW w:w="3120" w:type="dxa"/>
            <w:vAlign w:val="bottom"/>
            <w:tcBorders>
              <w:bottom w:val="single" w:sz="8" w:color="105BAB"/>
            </w:tcBorders>
            <w:gridSpan w:val="3"/>
          </w:tcPr>
          <w:p>
            <w:pPr>
              <w:jc w:val="right"/>
              <w:ind w:right="20"/>
              <w:spacing w:after="0" w:line="88" w:lineRule="exact"/>
              <w:rPr>
                <w:rFonts w:ascii="Arial" w:cs="Arial" w:eastAsia="Arial" w:hAnsi="Arial"/>
                <w:sz w:val="10"/>
                <w:szCs w:val="10"/>
                <w:color w:val="0000EE"/>
              </w:rPr>
            </w:pPr>
            <w:hyperlink w:anchor="page97">
              <w:r>
                <w:rPr>
                  <w:rFonts w:ascii="Arial" w:cs="Arial" w:eastAsia="Arial" w:hAnsi="Arial"/>
                  <w:sz w:val="10"/>
                  <w:szCs w:val="10"/>
                  <w:color w:val="0000EE"/>
                </w:rPr>
                <w:t>86</w:t>
              </w:r>
            </w:hyperlink>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2">
            <w:col w:w="1180" w:space="420"/>
            <w:col w:w="9880"/>
          </w:cols>
          <w:pgMar w:left="220" w:top="142" w:right="19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600" w:type="dxa"/>
            <w:vAlign w:val="bottom"/>
          </w:tcPr>
          <w:p>
            <w:pPr>
              <w:spacing w:after="0"/>
              <w:rPr>
                <w:sz w:val="16"/>
                <w:szCs w:val="16"/>
                <w:color w:val="auto"/>
              </w:rPr>
            </w:pPr>
          </w:p>
        </w:tc>
        <w:tc>
          <w:tcPr>
            <w:tcW w:w="1380" w:type="dxa"/>
            <w:vAlign w:val="bottom"/>
          </w:tcPr>
          <w:p>
            <w:pPr>
              <w:spacing w:after="0"/>
              <w:rPr>
                <w:rFonts w:ascii="Arial" w:cs="Arial" w:eastAsia="Arial" w:hAnsi="Arial"/>
                <w:sz w:val="16"/>
                <w:szCs w:val="16"/>
                <w:color w:val="105BAB"/>
                <w:w w:val="99"/>
              </w:rPr>
            </w:pPr>
            <w:hyperlink w:anchor="page99">
              <w:r>
                <w:rPr>
                  <w:rFonts w:ascii="Arial" w:cs="Arial" w:eastAsia="Arial" w:hAnsi="Arial"/>
                  <w:sz w:val="16"/>
                  <w:szCs w:val="16"/>
                  <w:color w:val="105BAB"/>
                  <w:w w:val="99"/>
                </w:rPr>
                <w:t>OTHER MATTERS</w:t>
              </w:r>
            </w:hyperlink>
          </w:p>
        </w:tc>
        <w:tc>
          <w:tcPr>
            <w:tcW w:w="3580" w:type="dxa"/>
            <w:vAlign w:val="bottom"/>
          </w:tcPr>
          <w:p>
            <w:pPr>
              <w:spacing w:after="0"/>
              <w:rPr>
                <w:sz w:val="16"/>
                <w:szCs w:val="16"/>
                <w:color w:val="auto"/>
              </w:rPr>
            </w:pPr>
          </w:p>
        </w:tc>
        <w:tc>
          <w:tcPr>
            <w:tcW w:w="4920" w:type="dxa"/>
            <w:vAlign w:val="bottom"/>
            <w:gridSpan w:val="2"/>
          </w:tcPr>
          <w:p>
            <w:pPr>
              <w:jc w:val="right"/>
              <w:spacing w:after="0"/>
              <w:rPr>
                <w:rFonts w:ascii="Arial" w:cs="Arial" w:eastAsia="Arial" w:hAnsi="Arial"/>
                <w:sz w:val="16"/>
                <w:szCs w:val="16"/>
                <w:color w:val="105BAB"/>
              </w:rPr>
            </w:pPr>
            <w:hyperlink w:anchor="page99">
              <w:r>
                <w:rPr>
                  <w:rFonts w:ascii="Arial" w:cs="Arial" w:eastAsia="Arial" w:hAnsi="Arial"/>
                  <w:sz w:val="16"/>
                  <w:szCs w:val="16"/>
                  <w:color w:val="105BAB"/>
                </w:rPr>
                <w:t>88</w:t>
              </w:r>
            </w:hyperlink>
          </w:p>
        </w:tc>
      </w:tr>
      <w:tr>
        <w:trPr>
          <w:trHeight w:val="20"/>
        </w:trPr>
        <w:tc>
          <w:tcPr>
            <w:tcW w:w="1600" w:type="dxa"/>
            <w:vAlign w:val="bottom"/>
          </w:tcPr>
          <w:p>
            <w:pPr>
              <w:spacing w:after="0" w:line="20" w:lineRule="exact"/>
              <w:rPr>
                <w:sz w:val="1"/>
                <w:szCs w:val="1"/>
                <w:color w:val="auto"/>
              </w:rPr>
            </w:pPr>
          </w:p>
        </w:tc>
        <w:tc>
          <w:tcPr>
            <w:tcW w:w="1380" w:type="dxa"/>
            <w:vAlign w:val="bottom"/>
            <w:shd w:val="clear" w:color="auto" w:fill="105BAB"/>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shd w:val="clear" w:color="auto" w:fill="105BAB"/>
          </w:tcPr>
          <w:p>
            <w:pPr>
              <w:spacing w:after="0" w:line="20" w:lineRule="exact"/>
              <w:rPr>
                <w:sz w:val="1"/>
                <w:szCs w:val="1"/>
                <w:color w:val="auto"/>
              </w:rPr>
            </w:pPr>
          </w:p>
        </w:tc>
      </w:tr>
      <w:tr>
        <w:trPr>
          <w:trHeight w:val="302"/>
        </w:trPr>
        <w:tc>
          <w:tcPr>
            <w:tcW w:w="1600" w:type="dxa"/>
            <w:vAlign w:val="bottom"/>
            <w:tcBorders>
              <w:bottom w:val="single" w:sz="8" w:color="105BAB"/>
            </w:tcBorders>
          </w:tcPr>
          <w:p>
            <w:pPr>
              <w:spacing w:after="0"/>
              <w:rPr>
                <w:sz w:val="24"/>
                <w:szCs w:val="24"/>
                <w:color w:val="auto"/>
              </w:rPr>
            </w:pPr>
          </w:p>
        </w:tc>
        <w:tc>
          <w:tcPr>
            <w:tcW w:w="4960" w:type="dxa"/>
            <w:vAlign w:val="bottom"/>
            <w:tcBorders>
              <w:bottom w:val="single" w:sz="8" w:color="105BAB"/>
            </w:tcBorders>
            <w:gridSpan w:val="2"/>
          </w:tcPr>
          <w:p>
            <w:pPr>
              <w:spacing w:after="0"/>
              <w:rPr>
                <w:rFonts w:ascii="Arial" w:cs="Arial" w:eastAsia="Arial" w:hAnsi="Arial"/>
                <w:sz w:val="12"/>
                <w:szCs w:val="12"/>
                <w:b w:val="1"/>
                <w:bCs w:val="1"/>
                <w:color w:val="0000EE"/>
                <w:w w:val="97"/>
              </w:rPr>
            </w:pPr>
            <w:hyperlink w:anchor="page101">
              <w:r>
                <w:rPr>
                  <w:rFonts w:ascii="Arial" w:cs="Arial" w:eastAsia="Arial" w:hAnsi="Arial"/>
                  <w:sz w:val="12"/>
                  <w:szCs w:val="12"/>
                  <w:b w:val="1"/>
                  <w:bCs w:val="1"/>
                  <w:color w:val="0000EE"/>
                  <w:w w:val="97"/>
                </w:rPr>
                <w:t>Appendix A</w:t>
              </w:r>
              <w:r>
                <w:rPr>
                  <w:rFonts w:ascii="Arial" w:cs="Arial" w:eastAsia="Arial" w:hAnsi="Arial"/>
                  <w:sz w:val="12"/>
                  <w:szCs w:val="12"/>
                  <w:color w:val="0000EE"/>
                  <w:w w:val="97"/>
                </w:rPr>
                <w:t>: Note Regarding Forward-Looking Statements and Non-GAAP Financial Measures</w:t>
              </w:r>
            </w:hyperlink>
          </w:p>
        </w:tc>
        <w:tc>
          <w:tcPr>
            <w:tcW w:w="4920" w:type="dxa"/>
            <w:vAlign w:val="bottom"/>
            <w:tcBorders>
              <w:bottom w:val="single" w:sz="8" w:color="105BAB"/>
            </w:tcBorders>
            <w:gridSpan w:val="2"/>
          </w:tcPr>
          <w:p>
            <w:pPr>
              <w:jc w:val="right"/>
              <w:spacing w:after="0"/>
              <w:rPr>
                <w:rFonts w:ascii="Arial" w:cs="Arial" w:eastAsia="Arial" w:hAnsi="Arial"/>
                <w:sz w:val="12"/>
                <w:szCs w:val="12"/>
                <w:color w:val="0000EE"/>
              </w:rPr>
            </w:pPr>
            <w:hyperlink w:anchor="page101">
              <w:r>
                <w:rPr>
                  <w:rFonts w:ascii="Arial" w:cs="Arial" w:eastAsia="Arial" w:hAnsi="Arial"/>
                  <w:sz w:val="12"/>
                  <w:szCs w:val="12"/>
                  <w:color w:val="0000EE"/>
                </w:rPr>
                <w:t>90</w:t>
              </w:r>
            </w:hyperlink>
          </w:p>
        </w:tc>
      </w:tr>
    </w:tbl>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Note Regarding Forward-Looking Statements and Non-GAAP Financial Measures: See Appendix A for important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information regarding forward-looking statements and financial measures not calculated in accordance</w:t>
      </w:r>
    </w:p>
    <w:p>
      <w:pPr>
        <w:jc w:val="center"/>
        <w:ind w:right="20"/>
        <w:spacing w:after="0"/>
        <w:rPr>
          <w:sz w:val="20"/>
          <w:szCs w:val="20"/>
          <w:color w:val="auto"/>
        </w:rPr>
      </w:pPr>
      <w:r>
        <w:rPr>
          <w:rFonts w:ascii="Arial" w:cs="Arial" w:eastAsia="Arial" w:hAnsi="Arial"/>
          <w:sz w:val="12"/>
          <w:szCs w:val="12"/>
          <w:b w:val="1"/>
          <w:bCs w:val="1"/>
          <w:color w:val="auto"/>
        </w:rPr>
        <w:t>with U.S. Generally Accepted Accounting Principles contained in this proxy statement.</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FFFFFE"/>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11" w:name="page12"/>
    <w:bookmarkEnd w:id="1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88265</wp:posOffset>
            </wp:positionV>
            <wp:extent cx="4787265" cy="1235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87265" cy="123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PROXY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2923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D21C5A"/>
        </w:rPr>
        <w:t>GENERAL INFORMATION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20"/>
                <w:szCs w:val="20"/>
                <w:color w:val="auto"/>
              </w:rPr>
            </w:pPr>
            <w:r>
              <w:rPr>
                <w:rFonts w:ascii="Arial" w:cs="Arial" w:eastAsia="Arial" w:hAnsi="Arial"/>
                <w:sz w:val="12"/>
                <w:szCs w:val="12"/>
                <w:b w:val="1"/>
                <w:bCs w:val="1"/>
                <w:color w:val="auto"/>
              </w:rPr>
              <w:t>Meeting Date:</w:t>
            </w:r>
          </w:p>
        </w:tc>
        <w:tc>
          <w:tcPr>
            <w:tcW w:w="2100" w:type="dxa"/>
            <w:vAlign w:val="bottom"/>
          </w:tcPr>
          <w:p>
            <w:pPr>
              <w:ind w:left="500"/>
              <w:spacing w:after="0"/>
              <w:rPr>
                <w:sz w:val="20"/>
                <w:szCs w:val="20"/>
                <w:color w:val="auto"/>
              </w:rPr>
            </w:pPr>
            <w:r>
              <w:rPr>
                <w:rFonts w:ascii="Arial" w:cs="Arial" w:eastAsia="Arial" w:hAnsi="Arial"/>
                <w:sz w:val="12"/>
                <w:szCs w:val="12"/>
                <w:b w:val="1"/>
                <w:bCs w:val="1"/>
                <w:color w:val="auto"/>
              </w:rPr>
              <w:t>Time:</w:t>
            </w:r>
          </w:p>
        </w:tc>
        <w:tc>
          <w:tcPr>
            <w:tcW w:w="4480" w:type="dxa"/>
            <w:vAlign w:val="bottom"/>
          </w:tcPr>
          <w:p>
            <w:pPr>
              <w:ind w:left="520"/>
              <w:spacing w:after="0"/>
              <w:rPr>
                <w:sz w:val="20"/>
                <w:szCs w:val="20"/>
                <w:color w:val="auto"/>
              </w:rPr>
            </w:pPr>
            <w:r>
              <w:rPr>
                <w:rFonts w:ascii="Arial" w:cs="Arial" w:eastAsia="Arial" w:hAnsi="Arial"/>
                <w:sz w:val="12"/>
                <w:szCs w:val="12"/>
                <w:b w:val="1"/>
                <w:bCs w:val="1"/>
                <w:color w:val="auto"/>
              </w:rPr>
              <w:t>Location:</w:t>
            </w:r>
          </w:p>
        </w:tc>
        <w:tc>
          <w:tcPr>
            <w:tcW w:w="2400" w:type="dxa"/>
            <w:vAlign w:val="bottom"/>
          </w:tcPr>
          <w:p>
            <w:pPr>
              <w:ind w:left="1260"/>
              <w:spacing w:after="0"/>
              <w:rPr>
                <w:sz w:val="20"/>
                <w:szCs w:val="20"/>
                <w:color w:val="auto"/>
              </w:rPr>
            </w:pPr>
            <w:r>
              <w:rPr>
                <w:rFonts w:ascii="Arial" w:cs="Arial" w:eastAsia="Arial" w:hAnsi="Arial"/>
                <w:sz w:val="12"/>
                <w:szCs w:val="12"/>
                <w:b w:val="1"/>
                <w:bCs w:val="1"/>
                <w:color w:val="auto"/>
              </w:rPr>
              <w:t>Record Date:</w:t>
            </w:r>
          </w:p>
        </w:tc>
      </w:tr>
      <w:tr>
        <w:trPr>
          <w:trHeight w:val="195"/>
        </w:trPr>
        <w:tc>
          <w:tcPr>
            <w:tcW w:w="1500" w:type="dxa"/>
            <w:vAlign w:val="bottom"/>
          </w:tcPr>
          <w:p>
            <w:pPr>
              <w:spacing w:after="0"/>
              <w:rPr>
                <w:sz w:val="20"/>
                <w:szCs w:val="20"/>
                <w:color w:val="auto"/>
              </w:rPr>
            </w:pPr>
            <w:r>
              <w:rPr>
                <w:rFonts w:ascii="Arial" w:cs="Arial" w:eastAsia="Arial" w:hAnsi="Arial"/>
                <w:sz w:val="16"/>
                <w:szCs w:val="16"/>
                <w:color w:val="105BAB"/>
              </w:rPr>
              <w:t>JUNE 8, 2018</w:t>
            </w:r>
          </w:p>
        </w:tc>
        <w:tc>
          <w:tcPr>
            <w:tcW w:w="2100" w:type="dxa"/>
            <w:vAlign w:val="bottom"/>
          </w:tcPr>
          <w:p>
            <w:pPr>
              <w:ind w:left="500"/>
              <w:spacing w:after="0"/>
              <w:rPr>
                <w:sz w:val="20"/>
                <w:szCs w:val="20"/>
                <w:color w:val="auto"/>
              </w:rPr>
            </w:pPr>
            <w:r>
              <w:rPr>
                <w:rFonts w:ascii="Arial" w:cs="Arial" w:eastAsia="Arial" w:hAnsi="Arial"/>
                <w:sz w:val="16"/>
                <w:szCs w:val="16"/>
                <w:color w:val="105BAB"/>
              </w:rPr>
              <w:t>10:30 A.M., ET</w:t>
            </w:r>
          </w:p>
        </w:tc>
        <w:tc>
          <w:tcPr>
            <w:tcW w:w="4480" w:type="dxa"/>
            <w:vAlign w:val="bottom"/>
          </w:tcPr>
          <w:p>
            <w:pPr>
              <w:ind w:left="520"/>
              <w:spacing w:after="0"/>
              <w:rPr>
                <w:sz w:val="20"/>
                <w:szCs w:val="20"/>
                <w:color w:val="auto"/>
              </w:rPr>
            </w:pPr>
            <w:r>
              <w:rPr>
                <w:rFonts w:ascii="Arial" w:cs="Arial" w:eastAsia="Arial" w:hAnsi="Arial"/>
                <w:sz w:val="16"/>
                <w:szCs w:val="16"/>
                <w:color w:val="105BAB"/>
              </w:rPr>
              <w:t>WESTCHESTER MARRIOTT HOTEL</w:t>
            </w:r>
          </w:p>
        </w:tc>
        <w:tc>
          <w:tcPr>
            <w:tcW w:w="2400" w:type="dxa"/>
            <w:vAlign w:val="bottom"/>
          </w:tcPr>
          <w:p>
            <w:pPr>
              <w:ind w:left="1260"/>
              <w:spacing w:after="0"/>
              <w:rPr>
                <w:sz w:val="20"/>
                <w:szCs w:val="20"/>
                <w:color w:val="auto"/>
              </w:rPr>
            </w:pPr>
            <w:r>
              <w:rPr>
                <w:rFonts w:ascii="Arial" w:cs="Arial" w:eastAsia="Arial" w:hAnsi="Arial"/>
                <w:sz w:val="16"/>
                <w:szCs w:val="16"/>
                <w:color w:val="105BAB"/>
                <w:w w:val="99"/>
              </w:rPr>
              <w:t>APRIL 12, 2018</w:t>
            </w:r>
          </w:p>
        </w:tc>
      </w:tr>
      <w:tr>
        <w:trPr>
          <w:trHeight w:val="108"/>
        </w:trPr>
        <w:tc>
          <w:tcPr>
            <w:tcW w:w="15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480" w:type="dxa"/>
            <w:vAlign w:val="bottom"/>
          </w:tcPr>
          <w:p>
            <w:pPr>
              <w:ind w:left="520"/>
              <w:spacing w:after="0" w:line="109" w:lineRule="exact"/>
              <w:rPr>
                <w:sz w:val="20"/>
                <w:szCs w:val="20"/>
                <w:color w:val="auto"/>
              </w:rPr>
            </w:pPr>
            <w:r>
              <w:rPr>
                <w:rFonts w:ascii="Arial" w:cs="Arial" w:eastAsia="Arial" w:hAnsi="Arial"/>
                <w:sz w:val="10"/>
                <w:szCs w:val="10"/>
                <w:color w:val="105BAB"/>
              </w:rPr>
              <w:t>670 White Plains Road,</w:t>
            </w:r>
          </w:p>
        </w:tc>
        <w:tc>
          <w:tcPr>
            <w:tcW w:w="2400" w:type="dxa"/>
            <w:vAlign w:val="bottom"/>
          </w:tcPr>
          <w:p>
            <w:pPr>
              <w:spacing w:after="0"/>
              <w:rPr>
                <w:sz w:val="9"/>
                <w:szCs w:val="9"/>
                <w:color w:val="auto"/>
              </w:rPr>
            </w:pPr>
          </w:p>
        </w:tc>
      </w:tr>
      <w:tr>
        <w:trPr>
          <w:trHeight w:val="115"/>
        </w:trPr>
        <w:tc>
          <w:tcPr>
            <w:tcW w:w="15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480" w:type="dxa"/>
            <w:vAlign w:val="bottom"/>
          </w:tcPr>
          <w:p>
            <w:pPr>
              <w:ind w:left="520"/>
              <w:spacing w:after="0"/>
              <w:rPr>
                <w:sz w:val="20"/>
                <w:szCs w:val="20"/>
                <w:color w:val="auto"/>
              </w:rPr>
            </w:pPr>
            <w:r>
              <w:rPr>
                <w:rFonts w:ascii="Arial" w:cs="Arial" w:eastAsia="Arial" w:hAnsi="Arial"/>
                <w:sz w:val="10"/>
                <w:szCs w:val="10"/>
                <w:color w:val="105BAB"/>
              </w:rPr>
              <w:t>Tarrytown, New York 10591</w:t>
            </w:r>
          </w:p>
        </w:tc>
        <w:tc>
          <w:tcPr>
            <w:tcW w:w="24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2923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D21C5A"/>
        </w:rPr>
        <w:t>MEETING AGENDA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760" w:type="dxa"/>
            <w:vAlign w:val="bottom"/>
          </w:tcPr>
          <w:p>
            <w:pPr>
              <w:ind w:left="4380"/>
              <w:spacing w:after="0"/>
              <w:rPr>
                <w:sz w:val="20"/>
                <w:szCs w:val="20"/>
                <w:color w:val="auto"/>
              </w:rPr>
            </w:pPr>
            <w:r>
              <w:rPr>
                <w:rFonts w:ascii="Arial" w:cs="Arial" w:eastAsia="Arial" w:hAnsi="Arial"/>
                <w:sz w:val="12"/>
                <w:szCs w:val="12"/>
                <w:b w:val="1"/>
                <w:bCs w:val="1"/>
                <w:color w:val="105BAB"/>
              </w:rPr>
              <w:t>Board Vote</w:t>
            </w:r>
          </w:p>
        </w:tc>
      </w:tr>
      <w:tr>
        <w:trPr>
          <w:trHeight w:val="147"/>
        </w:trPr>
        <w:tc>
          <w:tcPr>
            <w:tcW w:w="820" w:type="dxa"/>
            <w:vAlign w:val="bottom"/>
            <w:tcBorders>
              <w:bottom w:val="single" w:sz="8" w:color="105BAB"/>
            </w:tcBorders>
          </w:tcPr>
          <w:p>
            <w:pPr>
              <w:ind w:left="180"/>
              <w:spacing w:after="0"/>
              <w:rPr>
                <w:sz w:val="20"/>
                <w:szCs w:val="20"/>
                <w:color w:val="auto"/>
              </w:rPr>
            </w:pPr>
            <w:r>
              <w:rPr>
                <w:rFonts w:ascii="Arial" w:cs="Arial" w:eastAsia="Arial" w:hAnsi="Arial"/>
                <w:sz w:val="12"/>
                <w:szCs w:val="12"/>
                <w:b w:val="1"/>
                <w:bCs w:val="1"/>
                <w:color w:val="105BAB"/>
              </w:rPr>
              <w:t>Proposal</w:t>
            </w:r>
          </w:p>
        </w:tc>
        <w:tc>
          <w:tcPr>
            <w:tcW w:w="4900" w:type="dxa"/>
            <w:vAlign w:val="bottom"/>
            <w:tcBorders>
              <w:bottom w:val="single" w:sz="8" w:color="105BAB"/>
            </w:tcBorders>
          </w:tcPr>
          <w:p>
            <w:pPr>
              <w:ind w:left="140"/>
              <w:spacing w:after="0"/>
              <w:rPr>
                <w:sz w:val="20"/>
                <w:szCs w:val="20"/>
                <w:color w:val="auto"/>
              </w:rPr>
            </w:pPr>
            <w:r>
              <w:rPr>
                <w:rFonts w:ascii="Arial" w:cs="Arial" w:eastAsia="Arial" w:hAnsi="Arial"/>
                <w:sz w:val="12"/>
                <w:szCs w:val="12"/>
                <w:b w:val="1"/>
                <w:bCs w:val="1"/>
                <w:color w:val="105BAB"/>
              </w:rPr>
              <w:t>Matter</w:t>
            </w:r>
          </w:p>
        </w:tc>
        <w:tc>
          <w:tcPr>
            <w:tcW w:w="5760" w:type="dxa"/>
            <w:vAlign w:val="bottom"/>
            <w:tcBorders>
              <w:bottom w:val="single" w:sz="8" w:color="105BAB"/>
            </w:tcBorders>
          </w:tcPr>
          <w:p>
            <w:pPr>
              <w:ind w:left="4380"/>
              <w:spacing w:after="0"/>
              <w:rPr>
                <w:sz w:val="20"/>
                <w:szCs w:val="20"/>
                <w:color w:val="auto"/>
              </w:rPr>
            </w:pPr>
            <w:r>
              <w:rPr>
                <w:rFonts w:ascii="Arial" w:cs="Arial" w:eastAsia="Arial" w:hAnsi="Arial"/>
                <w:sz w:val="12"/>
                <w:szCs w:val="12"/>
                <w:b w:val="1"/>
                <w:bCs w:val="1"/>
                <w:color w:val="105BAB"/>
              </w:rPr>
              <w:t>Recommendation</w:t>
            </w:r>
          </w:p>
        </w:tc>
      </w:tr>
      <w:tr>
        <w:trPr>
          <w:trHeight w:val="124"/>
        </w:trPr>
        <w:tc>
          <w:tcPr>
            <w:tcW w:w="820" w:type="dxa"/>
            <w:vAlign w:val="bottom"/>
            <w:shd w:val="clear" w:color="auto" w:fill="F1F3F9"/>
          </w:tcPr>
          <w:p>
            <w:pPr>
              <w:spacing w:after="0"/>
              <w:rPr>
                <w:sz w:val="10"/>
                <w:szCs w:val="10"/>
                <w:color w:val="auto"/>
              </w:rPr>
            </w:pPr>
          </w:p>
        </w:tc>
        <w:tc>
          <w:tcPr>
            <w:tcW w:w="4900" w:type="dxa"/>
            <w:vAlign w:val="bottom"/>
            <w:shd w:val="clear" w:color="auto" w:fill="F1F3F9"/>
          </w:tcPr>
          <w:p>
            <w:pPr>
              <w:spacing w:after="0"/>
              <w:rPr>
                <w:sz w:val="10"/>
                <w:szCs w:val="10"/>
                <w:color w:val="auto"/>
              </w:rPr>
            </w:pPr>
          </w:p>
        </w:tc>
        <w:tc>
          <w:tcPr>
            <w:tcW w:w="5760" w:type="dxa"/>
            <w:vAlign w:val="bottom"/>
            <w:shd w:val="clear" w:color="auto" w:fill="F1F3F9"/>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549275" cy="382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275" cy="382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0" w:type="dxa"/>
            <w:vAlign w:val="bottom"/>
          </w:tcPr>
          <w:p>
            <w:pPr>
              <w:jc w:val="right"/>
              <w:ind w:right="229"/>
              <w:spacing w:after="0" w:line="207" w:lineRule="exact"/>
              <w:rPr>
                <w:sz w:val="20"/>
                <w:szCs w:val="20"/>
                <w:color w:val="auto"/>
              </w:rPr>
            </w:pPr>
            <w:r>
              <w:rPr>
                <w:rFonts w:ascii="Arial" w:cs="Arial" w:eastAsia="Arial" w:hAnsi="Arial"/>
                <w:sz w:val="24"/>
                <w:szCs w:val="24"/>
                <w:color w:val="105BAB"/>
              </w:rPr>
              <w:t>1</w:t>
            </w:r>
          </w:p>
        </w:tc>
        <w:tc>
          <w:tcPr>
            <w:tcW w:w="100" w:type="dxa"/>
            <w:vAlign w:val="bottom"/>
            <w:shd w:val="clear" w:color="auto" w:fill="F1F3F9"/>
          </w:tcPr>
          <w:p>
            <w:pPr>
              <w:spacing w:after="0"/>
              <w:rPr>
                <w:sz w:val="18"/>
                <w:szCs w:val="18"/>
                <w:color w:val="auto"/>
              </w:rPr>
            </w:pPr>
          </w:p>
        </w:tc>
        <w:tc>
          <w:tcPr>
            <w:tcW w:w="9100" w:type="dxa"/>
            <w:vAlign w:val="bottom"/>
            <w:vMerge w:val="restart"/>
            <w:shd w:val="clear" w:color="auto" w:fill="F1F3F9"/>
          </w:tcPr>
          <w:p>
            <w:pPr>
              <w:spacing w:after="0"/>
              <w:rPr>
                <w:sz w:val="20"/>
                <w:szCs w:val="20"/>
                <w:color w:val="auto"/>
              </w:rPr>
            </w:pPr>
            <w:r>
              <w:rPr>
                <w:rFonts w:ascii="Arial" w:cs="Arial" w:eastAsia="Arial" w:hAnsi="Arial"/>
                <w:sz w:val="12"/>
                <w:szCs w:val="12"/>
                <w:color w:val="auto"/>
              </w:rPr>
              <w:t>Election of three Class III directors for a term of three years</w:t>
            </w:r>
          </w:p>
        </w:tc>
        <w:tc>
          <w:tcPr>
            <w:tcW w:w="1420" w:type="dxa"/>
            <w:vAlign w:val="bottom"/>
            <w:vMerge w:val="restart"/>
            <w:shd w:val="clear" w:color="auto" w:fill="F1F3F9"/>
          </w:tcPr>
          <w:p>
            <w:pPr>
              <w:ind w:left="40"/>
              <w:spacing w:after="0"/>
              <w:rPr>
                <w:sz w:val="20"/>
                <w:szCs w:val="20"/>
                <w:color w:val="auto"/>
              </w:rPr>
            </w:pPr>
            <w:r>
              <w:rPr>
                <w:rFonts w:ascii="Arial" w:cs="Arial" w:eastAsia="Arial" w:hAnsi="Arial"/>
                <w:sz w:val="12"/>
                <w:szCs w:val="12"/>
                <w:color w:val="auto"/>
                <w:w w:val="97"/>
              </w:rPr>
              <w:t>For each director nominee</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100" w:type="dxa"/>
            <w:vAlign w:val="bottom"/>
            <w:shd w:val="clear" w:color="auto" w:fill="F1F3F9"/>
          </w:tcPr>
          <w:p>
            <w:pPr>
              <w:spacing w:after="0"/>
              <w:rPr>
                <w:sz w:val="2"/>
                <w:szCs w:val="2"/>
                <w:color w:val="auto"/>
              </w:rPr>
            </w:pPr>
          </w:p>
        </w:tc>
        <w:tc>
          <w:tcPr>
            <w:tcW w:w="9100" w:type="dxa"/>
            <w:vAlign w:val="bottom"/>
            <w:vMerge w:val="continue"/>
            <w:shd w:val="clear" w:color="auto" w:fill="F1F3F9"/>
          </w:tcPr>
          <w:p>
            <w:pPr>
              <w:spacing w:after="0"/>
              <w:rPr>
                <w:sz w:val="2"/>
                <w:szCs w:val="2"/>
                <w:color w:val="auto"/>
              </w:rPr>
            </w:pPr>
          </w:p>
        </w:tc>
        <w:tc>
          <w:tcPr>
            <w:tcW w:w="1420" w:type="dxa"/>
            <w:vAlign w:val="bottom"/>
            <w:vMerge w:val="continue"/>
            <w:shd w:val="clear" w:color="auto" w:fill="F1F3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Borders>
              <w:bottom w:val="single" w:sz="8" w:color="105BAB"/>
            </w:tcBorders>
          </w:tcPr>
          <w:p>
            <w:pPr>
              <w:spacing w:after="0"/>
              <w:rPr>
                <w:sz w:val="19"/>
                <w:szCs w:val="19"/>
                <w:color w:val="auto"/>
              </w:rPr>
            </w:pPr>
          </w:p>
        </w:tc>
        <w:tc>
          <w:tcPr>
            <w:tcW w:w="100" w:type="dxa"/>
            <w:vAlign w:val="bottom"/>
            <w:tcBorders>
              <w:bottom w:val="single" w:sz="8" w:color="105BAB"/>
            </w:tcBorders>
            <w:shd w:val="clear" w:color="auto" w:fill="F1F3F9"/>
          </w:tcPr>
          <w:p>
            <w:pPr>
              <w:spacing w:after="0"/>
              <w:rPr>
                <w:sz w:val="19"/>
                <w:szCs w:val="19"/>
                <w:color w:val="auto"/>
              </w:rPr>
            </w:pPr>
          </w:p>
        </w:tc>
        <w:tc>
          <w:tcPr>
            <w:tcW w:w="9100" w:type="dxa"/>
            <w:vAlign w:val="bottom"/>
            <w:tcBorders>
              <w:bottom w:val="single" w:sz="8" w:color="105BAB"/>
            </w:tcBorders>
            <w:shd w:val="clear" w:color="auto" w:fill="F1F3F9"/>
          </w:tcPr>
          <w:p>
            <w:pPr>
              <w:spacing w:after="0"/>
              <w:rPr>
                <w:sz w:val="19"/>
                <w:szCs w:val="19"/>
                <w:color w:val="auto"/>
              </w:rPr>
            </w:pPr>
          </w:p>
        </w:tc>
        <w:tc>
          <w:tcPr>
            <w:tcW w:w="1420" w:type="dxa"/>
            <w:vAlign w:val="bottom"/>
            <w:tcBorders>
              <w:bottom w:val="single" w:sz="8" w:color="105BAB"/>
            </w:tcBorders>
            <w:shd w:val="clear" w:color="auto" w:fill="F1F3F9"/>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60" w:type="dxa"/>
            <w:vAlign w:val="bottom"/>
            <w:shd w:val="clear" w:color="auto" w:fill="D6DAEE"/>
          </w:tcPr>
          <w:p>
            <w:pPr>
              <w:jc w:val="right"/>
              <w:ind w:right="229"/>
              <w:spacing w:after="0" w:line="331" w:lineRule="exact"/>
              <w:rPr>
                <w:sz w:val="20"/>
                <w:szCs w:val="20"/>
                <w:color w:val="auto"/>
              </w:rPr>
            </w:pPr>
            <w:r>
              <w:rPr>
                <w:rFonts w:ascii="Arial" w:cs="Arial" w:eastAsia="Arial" w:hAnsi="Arial"/>
                <w:sz w:val="29"/>
                <w:szCs w:val="29"/>
                <w:color w:val="105BAB"/>
              </w:rPr>
              <w:t>2</w:t>
            </w:r>
          </w:p>
        </w:tc>
        <w:tc>
          <w:tcPr>
            <w:tcW w:w="100" w:type="dxa"/>
            <w:vAlign w:val="bottom"/>
            <w:shd w:val="clear" w:color="auto" w:fill="D6DAEE"/>
          </w:tcPr>
          <w:p>
            <w:pPr>
              <w:spacing w:after="0"/>
              <w:rPr>
                <w:sz w:val="24"/>
                <w:szCs w:val="24"/>
                <w:color w:val="auto"/>
              </w:rPr>
            </w:pPr>
          </w:p>
        </w:tc>
        <w:tc>
          <w:tcPr>
            <w:tcW w:w="9100" w:type="dxa"/>
            <w:vAlign w:val="bottom"/>
            <w:vMerge w:val="restart"/>
            <w:shd w:val="clear" w:color="auto" w:fill="D6DAEE"/>
          </w:tcPr>
          <w:p>
            <w:pPr>
              <w:spacing w:after="0"/>
              <w:rPr>
                <w:sz w:val="20"/>
                <w:szCs w:val="20"/>
                <w:color w:val="auto"/>
              </w:rPr>
            </w:pPr>
            <w:r>
              <w:rPr>
                <w:rFonts w:ascii="Arial" w:cs="Arial" w:eastAsia="Arial" w:hAnsi="Arial"/>
                <w:sz w:val="12"/>
                <w:szCs w:val="12"/>
                <w:color w:val="auto"/>
                <w:w w:val="98"/>
              </w:rPr>
              <w:t>Ratification of the appointment of PricewaterhouseCoopers LLP as the Company's independent registered public accounting firm for the fiscal year ending December 31, 2018</w:t>
            </w:r>
          </w:p>
        </w:tc>
        <w:tc>
          <w:tcPr>
            <w:tcW w:w="1420" w:type="dxa"/>
            <w:vAlign w:val="bottom"/>
            <w:vMerge w:val="restart"/>
            <w:shd w:val="clear" w:color="auto" w:fill="D6DAEE"/>
          </w:tcPr>
          <w:p>
            <w:pPr>
              <w:ind w:left="40"/>
              <w:spacing w:after="0"/>
              <w:rPr>
                <w:sz w:val="20"/>
                <w:szCs w:val="20"/>
                <w:color w:val="auto"/>
              </w:rPr>
            </w:pPr>
            <w:r>
              <w:rPr>
                <w:rFonts w:ascii="Arial" w:cs="Arial" w:eastAsia="Arial" w:hAnsi="Arial"/>
                <w:sz w:val="12"/>
                <w:szCs w:val="12"/>
                <w:color w:val="auto"/>
              </w:rPr>
              <w:t>For</w:t>
            </w:r>
          </w:p>
        </w:tc>
        <w:tc>
          <w:tcPr>
            <w:tcW w:w="0" w:type="dxa"/>
            <w:vAlign w:val="bottom"/>
          </w:tcPr>
          <w:p>
            <w:pPr>
              <w:spacing w:after="0"/>
              <w:rPr>
                <w:sz w:val="1"/>
                <w:szCs w:val="1"/>
                <w:color w:val="auto"/>
              </w:rPr>
            </w:pPr>
          </w:p>
        </w:tc>
      </w:tr>
      <w:tr>
        <w:trPr>
          <w:trHeight w:val="34"/>
        </w:trPr>
        <w:tc>
          <w:tcPr>
            <w:tcW w:w="860" w:type="dxa"/>
            <w:vAlign w:val="bottom"/>
            <w:shd w:val="clear" w:color="auto" w:fill="D6DAEE"/>
          </w:tcPr>
          <w:p>
            <w:pPr>
              <w:spacing w:after="0"/>
              <w:rPr>
                <w:sz w:val="2"/>
                <w:szCs w:val="2"/>
                <w:color w:val="auto"/>
              </w:rPr>
            </w:pPr>
          </w:p>
        </w:tc>
        <w:tc>
          <w:tcPr>
            <w:tcW w:w="100" w:type="dxa"/>
            <w:vAlign w:val="bottom"/>
            <w:shd w:val="clear" w:color="auto" w:fill="D6DAEE"/>
          </w:tcPr>
          <w:p>
            <w:pPr>
              <w:spacing w:after="0"/>
              <w:rPr>
                <w:sz w:val="2"/>
                <w:szCs w:val="2"/>
                <w:color w:val="auto"/>
              </w:rPr>
            </w:pPr>
          </w:p>
        </w:tc>
        <w:tc>
          <w:tcPr>
            <w:tcW w:w="9100" w:type="dxa"/>
            <w:vAlign w:val="bottom"/>
            <w:vMerge w:val="continue"/>
            <w:shd w:val="clear" w:color="auto" w:fill="D6DAEE"/>
          </w:tcPr>
          <w:p>
            <w:pPr>
              <w:spacing w:after="0"/>
              <w:rPr>
                <w:sz w:val="2"/>
                <w:szCs w:val="2"/>
                <w:color w:val="auto"/>
              </w:rPr>
            </w:pPr>
          </w:p>
        </w:tc>
        <w:tc>
          <w:tcPr>
            <w:tcW w:w="1420" w:type="dxa"/>
            <w:vAlign w:val="bottom"/>
            <w:vMerge w:val="continue"/>
            <w:shd w:val="clear" w:color="auto" w:fill="D6DA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60" w:type="dxa"/>
            <w:vAlign w:val="bottom"/>
            <w:tcBorders>
              <w:bottom w:val="single" w:sz="8" w:color="105BAB"/>
            </w:tcBorders>
            <w:shd w:val="clear" w:color="auto" w:fill="D6DAEE"/>
          </w:tcPr>
          <w:p>
            <w:pPr>
              <w:spacing w:after="0"/>
              <w:rPr>
                <w:sz w:val="19"/>
                <w:szCs w:val="19"/>
                <w:color w:val="auto"/>
              </w:rPr>
            </w:pPr>
          </w:p>
        </w:tc>
        <w:tc>
          <w:tcPr>
            <w:tcW w:w="100" w:type="dxa"/>
            <w:vAlign w:val="bottom"/>
            <w:tcBorders>
              <w:bottom w:val="single" w:sz="8" w:color="105BAB"/>
            </w:tcBorders>
            <w:shd w:val="clear" w:color="auto" w:fill="D6DAEE"/>
          </w:tcPr>
          <w:p>
            <w:pPr>
              <w:spacing w:after="0"/>
              <w:rPr>
                <w:sz w:val="19"/>
                <w:szCs w:val="19"/>
                <w:color w:val="auto"/>
              </w:rPr>
            </w:pPr>
          </w:p>
        </w:tc>
        <w:tc>
          <w:tcPr>
            <w:tcW w:w="9100" w:type="dxa"/>
            <w:vAlign w:val="bottom"/>
            <w:tcBorders>
              <w:bottom w:val="single" w:sz="8" w:color="105BAB"/>
            </w:tcBorders>
            <w:shd w:val="clear" w:color="auto" w:fill="D6DAEE"/>
          </w:tcPr>
          <w:p>
            <w:pPr>
              <w:spacing w:after="0"/>
              <w:rPr>
                <w:sz w:val="19"/>
                <w:szCs w:val="19"/>
                <w:color w:val="auto"/>
              </w:rPr>
            </w:pPr>
          </w:p>
        </w:tc>
        <w:tc>
          <w:tcPr>
            <w:tcW w:w="1420" w:type="dxa"/>
            <w:vAlign w:val="bottom"/>
            <w:tcBorders>
              <w:bottom w:val="single" w:sz="8" w:color="105BAB"/>
            </w:tcBorders>
            <w:shd w:val="clear" w:color="auto" w:fill="D6DAEE"/>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480"/>
          </w:cols>
          <w:pgMar w:left="220" w:top="142" w:right="199" w:bottom="1440" w:gutter="0" w:footer="0" w:header="0"/>
        </w:sectPr>
      </w:pPr>
    </w:p>
    <w:p>
      <w:pPr>
        <w:spacing w:after="0"/>
        <w:rPr>
          <w:sz w:val="20"/>
          <w:szCs w:val="20"/>
          <w:color w:val="auto"/>
        </w:rPr>
      </w:pPr>
      <w:r>
        <w:rPr>
          <w:rFonts w:ascii="Arial" w:cs="Arial" w:eastAsia="Arial" w:hAnsi="Arial"/>
          <w:sz w:val="22"/>
          <w:szCs w:val="22"/>
          <w:color w:val="auto"/>
        </w:rPr>
        <w:t>PROXY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34258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5825" cy="571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105BAB"/>
        </w:rPr>
        <w:t>WE SEEK YOUR INPUT ON OUR BOARD</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The composition of our board of directors reflects our core principle of "science first": over half of our directors are members of the National Academy of Sciences, and our board members include two Nobel laureates and holders of many scientific awards. By having our board of directors heavily populated with top-science talent, we signal to our shareholders and employees our seriousness about the Company's core competencies and primary value driver. Our board also includes individuals with experience building shareholder value through all stages of corporate development, as well as governance, financial, and policy expertise. Five of our board's current 13 members are diverse by gender, race, or national origin.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Please refer to "Proposal No. 1: Election of Directors" for additional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105BAB"/>
        </w:rPr>
        <w:t>WE SEEK RATIFICATION OF OUR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34258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5825" cy="5715"/>
                    </a:xfrm>
                    <a:prstGeom prst="rect">
                      <a:avLst/>
                    </a:prstGeom>
                    <a:noFill/>
                  </pic:spPr>
                </pic:pic>
              </a:graphicData>
            </a:graphic>
          </wp:anchor>
        </w:drawing>
      </w:r>
    </w:p>
    <w:p>
      <w:pPr>
        <w:spacing w:after="0" w:line="123" w:lineRule="exact"/>
        <w:rPr>
          <w:sz w:val="20"/>
          <w:szCs w:val="20"/>
          <w:color w:val="auto"/>
        </w:rPr>
      </w:pPr>
    </w:p>
    <w:p>
      <w:pPr>
        <w:ind w:right="120"/>
        <w:spacing w:after="0" w:line="236" w:lineRule="auto"/>
        <w:rPr>
          <w:sz w:val="20"/>
          <w:szCs w:val="20"/>
          <w:color w:val="auto"/>
        </w:rPr>
      </w:pPr>
      <w:r>
        <w:rPr>
          <w:rFonts w:ascii="Arial" w:cs="Arial" w:eastAsia="Arial" w:hAnsi="Arial"/>
          <w:sz w:val="12"/>
          <w:szCs w:val="12"/>
          <w:color w:val="auto"/>
        </w:rPr>
        <w:t>We pay close attention to the requirements applicable to us as a publicly traded company, including those relating to the audit of Regeneron's financial statements by our independent registered public accounting firm, PricewaterhouseCoopers LLP. In this proxy statement, we are asking you to ratify the appointment of PricewaterhouseCoopers LLP as our independent registered public accounting firm for the fiscal year ending December 31, 2018.</w:t>
      </w:r>
    </w:p>
    <w:p>
      <w:pPr>
        <w:spacing w:after="0" w:line="141" w:lineRule="exact"/>
        <w:rPr>
          <w:sz w:val="20"/>
          <w:szCs w:val="20"/>
          <w:color w:val="auto"/>
        </w:rPr>
      </w:pPr>
    </w:p>
    <w:p>
      <w:pPr>
        <w:ind w:right="560"/>
        <w:spacing w:after="0" w:line="239" w:lineRule="auto"/>
        <w:rPr>
          <w:sz w:val="20"/>
          <w:szCs w:val="20"/>
          <w:color w:val="auto"/>
        </w:rPr>
      </w:pPr>
      <w:r>
        <w:rPr>
          <w:rFonts w:ascii="Arial" w:cs="Arial" w:eastAsia="Arial" w:hAnsi="Arial"/>
          <w:sz w:val="12"/>
          <w:szCs w:val="12"/>
          <w:color w:val="auto"/>
        </w:rPr>
        <w:t>Please refer to "Proposal No. 2: Ratification of Appointment of Independent Registered Public Accounting Firm" for additional information.</w:t>
      </w:r>
    </w:p>
    <w:p>
      <w:pPr>
        <w:spacing w:after="0" w:line="468" w:lineRule="exact"/>
        <w:rPr>
          <w:sz w:val="20"/>
          <w:szCs w:val="20"/>
          <w:color w:val="auto"/>
        </w:rPr>
      </w:pPr>
    </w:p>
    <w:p>
      <w:pPr>
        <w:sectPr>
          <w:pgSz w:w="11900" w:h="16838" w:orient="portrait"/>
          <w:cols w:equalWidth="0" w:num="2">
            <w:col w:w="5380" w:space="700"/>
            <w:col w:w="5400"/>
          </w:cols>
          <w:pgMar w:left="220" w:top="142" w:right="199" w:bottom="1440" w:gutter="0" w:footer="0" w:header="0"/>
          <w:type w:val="continuous"/>
        </w:sectPr>
      </w:pPr>
    </w:p>
    <w:p>
      <w:pPr>
        <w:spacing w:after="0" w:line="74"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12" w:name="page13"/>
    <w:bookmarkEnd w:id="12"/>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3329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2980" cy="571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260" w:type="dxa"/>
            <w:vAlign w:val="bottom"/>
            <w:vMerge w:val="restart"/>
          </w:tcPr>
          <w:p>
            <w:pPr>
              <w:spacing w:after="0"/>
              <w:rPr>
                <w:sz w:val="20"/>
                <w:szCs w:val="20"/>
                <w:color w:val="auto"/>
              </w:rPr>
            </w:pPr>
            <w:r>
              <w:rPr>
                <w:rFonts w:ascii="Arial" w:cs="Arial" w:eastAsia="Arial" w:hAnsi="Arial"/>
                <w:sz w:val="22"/>
                <w:szCs w:val="22"/>
                <w:color w:val="D21C5A"/>
              </w:rPr>
              <w:t>ANNUAL</w:t>
            </w:r>
          </w:p>
        </w:tc>
        <w:tc>
          <w:tcPr>
            <w:tcW w:w="6180" w:type="dxa"/>
            <w:vAlign w:val="bottom"/>
          </w:tcPr>
          <w:p>
            <w:pPr>
              <w:ind w:left="300"/>
              <w:spacing w:after="0"/>
              <w:rPr>
                <w:sz w:val="20"/>
                <w:szCs w:val="20"/>
                <w:color w:val="auto"/>
              </w:rPr>
            </w:pPr>
            <w:r>
              <w:rPr>
                <w:rFonts w:ascii="Arial" w:cs="Arial" w:eastAsia="Arial" w:hAnsi="Arial"/>
                <w:sz w:val="12"/>
                <w:szCs w:val="12"/>
                <w:b w:val="1"/>
                <w:bCs w:val="1"/>
                <w:color w:val="105BAB"/>
              </w:rPr>
              <w:t>When is the Annual Meeting?</w:t>
            </w:r>
          </w:p>
        </w:tc>
        <w:tc>
          <w:tcPr>
            <w:tcW w:w="4100" w:type="dxa"/>
            <w:vAlign w:val="bottom"/>
          </w:tcPr>
          <w:p>
            <w:pPr>
              <w:ind w:left="20"/>
              <w:spacing w:after="0"/>
              <w:rPr>
                <w:sz w:val="20"/>
                <w:szCs w:val="20"/>
                <w:color w:val="auto"/>
              </w:rPr>
            </w:pPr>
            <w:r>
              <w:rPr>
                <w:rFonts w:ascii="Arial" w:cs="Arial" w:eastAsia="Arial" w:hAnsi="Arial"/>
                <w:sz w:val="12"/>
                <w:szCs w:val="12"/>
                <w:b w:val="1"/>
                <w:bCs w:val="1"/>
                <w:color w:val="105BAB"/>
              </w:rPr>
              <w:t>Can I listen to the meeting live if I cannot attend in person?</w:t>
            </w:r>
          </w:p>
        </w:tc>
        <w:tc>
          <w:tcPr>
            <w:tcW w:w="0" w:type="dxa"/>
            <w:vAlign w:val="bottom"/>
          </w:tcPr>
          <w:p>
            <w:pPr>
              <w:spacing w:after="0"/>
              <w:rPr>
                <w:sz w:val="1"/>
                <w:szCs w:val="1"/>
                <w:color w:val="auto"/>
              </w:rPr>
            </w:pPr>
          </w:p>
        </w:tc>
      </w:tr>
      <w:tr>
        <w:trPr>
          <w:trHeight w:val="113"/>
        </w:trPr>
        <w:tc>
          <w:tcPr>
            <w:tcW w:w="1260" w:type="dxa"/>
            <w:vAlign w:val="bottom"/>
            <w:vMerge w:val="continue"/>
          </w:tcPr>
          <w:p>
            <w:pPr>
              <w:spacing w:after="0"/>
              <w:rPr>
                <w:sz w:val="9"/>
                <w:szCs w:val="9"/>
                <w:color w:val="auto"/>
              </w:rPr>
            </w:pPr>
          </w:p>
        </w:tc>
        <w:tc>
          <w:tcPr>
            <w:tcW w:w="61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33" w:lineRule="exact"/>
              <w:rPr>
                <w:sz w:val="20"/>
                <w:szCs w:val="20"/>
                <w:color w:val="auto"/>
              </w:rPr>
            </w:pPr>
            <w:r>
              <w:rPr>
                <w:rFonts w:ascii="Arial" w:cs="Arial" w:eastAsia="Arial" w:hAnsi="Arial"/>
                <w:sz w:val="15"/>
                <w:szCs w:val="15"/>
                <w:color w:val="D21C5A"/>
              </w:rPr>
              <w:t>MEETING</w:t>
            </w:r>
          </w:p>
        </w:tc>
        <w:tc>
          <w:tcPr>
            <w:tcW w:w="6180" w:type="dxa"/>
            <w:vAlign w:val="bottom"/>
          </w:tcPr>
          <w:p>
            <w:pPr>
              <w:ind w:left="300"/>
              <w:spacing w:after="0"/>
              <w:rPr>
                <w:sz w:val="20"/>
                <w:szCs w:val="20"/>
                <w:color w:val="auto"/>
              </w:rPr>
            </w:pPr>
            <w:r>
              <w:rPr>
                <w:rFonts w:ascii="Arial" w:cs="Arial" w:eastAsia="Arial" w:hAnsi="Arial"/>
                <w:sz w:val="12"/>
                <w:szCs w:val="12"/>
                <w:color w:val="auto"/>
              </w:rPr>
              <w:t>June 8, 2018</w:t>
            </w:r>
          </w:p>
        </w:tc>
        <w:tc>
          <w:tcPr>
            <w:tcW w:w="4100" w:type="dxa"/>
            <w:vAlign w:val="bottom"/>
          </w:tcPr>
          <w:p>
            <w:pPr>
              <w:ind w:left="20"/>
              <w:spacing w:after="0"/>
              <w:rPr>
                <w:sz w:val="20"/>
                <w:szCs w:val="20"/>
                <w:color w:val="auto"/>
              </w:rPr>
            </w:pPr>
            <w:r>
              <w:rPr>
                <w:rFonts w:ascii="Arial" w:cs="Arial" w:eastAsia="Arial" w:hAnsi="Arial"/>
                <w:sz w:val="12"/>
                <w:szCs w:val="12"/>
                <w:color w:val="auto"/>
                <w:w w:val="97"/>
              </w:rPr>
              <w:t>The Annual Meeting will be webcast. Information about the webcast will be ava</w:t>
            </w:r>
          </w:p>
        </w:tc>
        <w:tc>
          <w:tcPr>
            <w:tcW w:w="0" w:type="dxa"/>
            <w:vAlign w:val="bottom"/>
          </w:tcPr>
          <w:p>
            <w:pPr>
              <w:spacing w:after="0"/>
              <w:rPr>
                <w:sz w:val="1"/>
                <w:szCs w:val="1"/>
                <w:color w:val="auto"/>
              </w:rPr>
            </w:pPr>
          </w:p>
        </w:tc>
      </w:tr>
      <w:tr>
        <w:trPr>
          <w:trHeight w:val="154"/>
        </w:trPr>
        <w:tc>
          <w:tcPr>
            <w:tcW w:w="7440" w:type="dxa"/>
            <w:vAlign w:val="bottom"/>
            <w:gridSpan w:val="2"/>
            <w:vMerge w:val="restart"/>
          </w:tcPr>
          <w:p>
            <w:pPr>
              <w:spacing w:after="0" w:line="402" w:lineRule="exact"/>
              <w:rPr>
                <w:sz w:val="20"/>
                <w:szCs w:val="20"/>
                <w:color w:val="auto"/>
              </w:rPr>
            </w:pPr>
            <w:r>
              <w:rPr>
                <w:rFonts w:ascii="Arial" w:cs="Arial" w:eastAsia="Arial" w:hAnsi="Arial"/>
                <w:sz w:val="43"/>
                <w:szCs w:val="43"/>
                <w:color w:val="D21C5A"/>
                <w:w w:val="91"/>
                <w:vertAlign w:val="superscript"/>
              </w:rPr>
              <w:t>INFORMATION</w:t>
            </w:r>
            <w:r>
              <w:rPr>
                <w:rFonts w:ascii="Arial" w:cs="Arial" w:eastAsia="Arial" w:hAnsi="Arial"/>
                <w:sz w:val="10"/>
                <w:szCs w:val="10"/>
                <w:color w:val="105BAB"/>
                <w:w w:val="91"/>
              </w:rPr>
              <w:t xml:space="preserve"> ______________________________________________________________________________________________________________</w:t>
            </w:r>
          </w:p>
        </w:tc>
        <w:tc>
          <w:tcPr>
            <w:tcW w:w="4100" w:type="dxa"/>
            <w:vAlign w:val="bottom"/>
          </w:tcPr>
          <w:p>
            <w:pPr>
              <w:ind w:left="20"/>
              <w:spacing w:after="0"/>
              <w:rPr>
                <w:sz w:val="20"/>
                <w:szCs w:val="20"/>
                <w:color w:val="auto"/>
              </w:rPr>
            </w:pPr>
            <w:r>
              <w:rPr>
                <w:rFonts w:ascii="Arial" w:cs="Arial" w:eastAsia="Arial" w:hAnsi="Arial"/>
                <w:sz w:val="12"/>
                <w:szCs w:val="12"/>
                <w:b w:val="1"/>
                <w:bCs w:val="1"/>
                <w:color w:val="auto"/>
              </w:rPr>
              <w:t>http://newsroom.regeneron.com.</w:t>
            </w:r>
          </w:p>
        </w:tc>
        <w:tc>
          <w:tcPr>
            <w:tcW w:w="0" w:type="dxa"/>
            <w:vAlign w:val="bottom"/>
          </w:tcPr>
          <w:p>
            <w:pPr>
              <w:spacing w:after="0"/>
              <w:rPr>
                <w:sz w:val="1"/>
                <w:szCs w:val="1"/>
                <w:color w:val="auto"/>
              </w:rPr>
            </w:pPr>
          </w:p>
        </w:tc>
      </w:tr>
      <w:tr>
        <w:trPr>
          <w:trHeight w:val="248"/>
        </w:trPr>
        <w:tc>
          <w:tcPr>
            <w:tcW w:w="7440" w:type="dxa"/>
            <w:vAlign w:val="bottom"/>
            <w:gridSpan w:val="2"/>
            <w:vMerge w:val="continue"/>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4100" w:type="dxa"/>
            <w:vAlign w:val="bottom"/>
          </w:tcPr>
          <w:p>
            <w:pPr>
              <w:ind w:left="20"/>
              <w:spacing w:after="0"/>
              <w:rPr>
                <w:sz w:val="20"/>
                <w:szCs w:val="20"/>
                <w:color w:val="auto"/>
              </w:rPr>
            </w:pPr>
            <w:r>
              <w:rPr>
                <w:rFonts w:ascii="Arial" w:cs="Arial" w:eastAsia="Arial" w:hAnsi="Arial"/>
                <w:sz w:val="10"/>
                <w:szCs w:val="10"/>
                <w:color w:val="105BAB"/>
                <w:w w:val="96"/>
              </w:rPr>
              <w:t>____________________________________________________________________________</w:t>
            </w:r>
          </w:p>
        </w:tc>
        <w:tc>
          <w:tcPr>
            <w:tcW w:w="0" w:type="dxa"/>
            <w:vAlign w:val="bottom"/>
          </w:tcPr>
          <w:p>
            <w:pPr>
              <w:spacing w:after="0"/>
              <w:rPr>
                <w:sz w:val="1"/>
                <w:szCs w:val="1"/>
                <w:color w:val="auto"/>
              </w:rPr>
            </w:pPr>
          </w:p>
        </w:tc>
      </w:tr>
      <w:tr>
        <w:trPr>
          <w:trHeight w:val="357"/>
        </w:trPr>
        <w:tc>
          <w:tcPr>
            <w:tcW w:w="1260" w:type="dxa"/>
            <w:vAlign w:val="bottom"/>
          </w:tcPr>
          <w:p>
            <w:pPr>
              <w:spacing w:after="0"/>
              <w:rPr>
                <w:sz w:val="24"/>
                <w:szCs w:val="24"/>
                <w:color w:val="auto"/>
              </w:rPr>
            </w:pPr>
          </w:p>
        </w:tc>
        <w:tc>
          <w:tcPr>
            <w:tcW w:w="6180" w:type="dxa"/>
            <w:vAlign w:val="bottom"/>
          </w:tcPr>
          <w:p>
            <w:pPr>
              <w:ind w:left="300"/>
              <w:spacing w:after="0"/>
              <w:rPr>
                <w:sz w:val="20"/>
                <w:szCs w:val="20"/>
                <w:color w:val="auto"/>
              </w:rPr>
            </w:pPr>
            <w:r>
              <w:rPr>
                <w:rFonts w:ascii="Arial" w:cs="Arial" w:eastAsia="Arial" w:hAnsi="Arial"/>
                <w:sz w:val="12"/>
                <w:szCs w:val="12"/>
                <w:b w:val="1"/>
                <w:bCs w:val="1"/>
                <w:color w:val="105BAB"/>
              </w:rPr>
              <w:t>What time is the Annual Meeting?</w:t>
            </w:r>
          </w:p>
        </w:tc>
        <w:tc>
          <w:tcPr>
            <w:tcW w:w="4100" w:type="dxa"/>
            <w:vAlign w:val="bottom"/>
            <w:vMerge w:val="restart"/>
          </w:tcPr>
          <w:p>
            <w:pPr>
              <w:ind w:left="20"/>
              <w:spacing w:after="0"/>
              <w:rPr>
                <w:sz w:val="20"/>
                <w:szCs w:val="20"/>
                <w:color w:val="auto"/>
              </w:rPr>
            </w:pPr>
            <w:r>
              <w:rPr>
                <w:rFonts w:ascii="Arial" w:cs="Arial" w:eastAsia="Arial" w:hAnsi="Arial"/>
                <w:sz w:val="12"/>
                <w:szCs w:val="12"/>
                <w:b w:val="1"/>
                <w:bCs w:val="1"/>
                <w:color w:val="105BAB"/>
              </w:rPr>
              <w:t>What is on the agenda at the meeting?</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6180" w:type="dxa"/>
            <w:vAlign w:val="bottom"/>
          </w:tcPr>
          <w:p>
            <w:pPr>
              <w:ind w:left="300"/>
              <w:spacing w:after="0"/>
              <w:rPr>
                <w:sz w:val="20"/>
                <w:szCs w:val="20"/>
                <w:color w:val="auto"/>
              </w:rPr>
            </w:pPr>
            <w:r>
              <w:rPr>
                <w:rFonts w:ascii="Arial" w:cs="Arial" w:eastAsia="Arial" w:hAnsi="Arial"/>
                <w:sz w:val="12"/>
                <w:szCs w:val="12"/>
                <w:color w:val="auto"/>
              </w:rPr>
              <w:t>10:30 a.m., ET</w:t>
            </w:r>
          </w:p>
        </w:tc>
        <w:tc>
          <w:tcPr>
            <w:tcW w:w="4100" w:type="dxa"/>
            <w:vAlign w:val="bottom"/>
            <w:vMerge w:val="restart"/>
          </w:tcPr>
          <w:p>
            <w:pPr>
              <w:ind w:left="20"/>
              <w:spacing w:after="0"/>
              <w:rPr>
                <w:sz w:val="20"/>
                <w:szCs w:val="20"/>
                <w:color w:val="auto"/>
              </w:rPr>
            </w:pPr>
            <w:r>
              <w:rPr>
                <w:rFonts w:ascii="Arial" w:cs="Arial" w:eastAsia="Arial" w:hAnsi="Arial"/>
                <w:sz w:val="10"/>
                <w:szCs w:val="10"/>
                <w:color w:val="105BAB"/>
              </w:rPr>
              <w:t xml:space="preserve">1  </w:t>
            </w:r>
            <w:r>
              <w:rPr>
                <w:rFonts w:ascii="Arial" w:cs="Arial" w:eastAsia="Arial" w:hAnsi="Arial"/>
                <w:sz w:val="11"/>
                <w:szCs w:val="11"/>
                <w:color w:val="000000"/>
              </w:rPr>
              <w:t>Election of three Class III directors for a term of three years</w:t>
            </w: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180" w:type="dxa"/>
            <w:vAlign w:val="bottom"/>
          </w:tcPr>
          <w:p>
            <w:pPr>
              <w:ind w:left="300"/>
              <w:spacing w:after="0"/>
              <w:rPr>
                <w:sz w:val="20"/>
                <w:szCs w:val="20"/>
                <w:color w:val="auto"/>
              </w:rPr>
            </w:pPr>
            <w:r>
              <w:rPr>
                <w:rFonts w:ascii="Arial" w:cs="Arial" w:eastAsia="Arial" w:hAnsi="Arial"/>
                <w:sz w:val="10"/>
                <w:szCs w:val="10"/>
                <w:color w:val="105BAB"/>
                <w:w w:val="95"/>
              </w:rPr>
              <w:t>______________________________________________________________________________________________________________</w:t>
            </w:r>
          </w:p>
        </w:tc>
        <w:tc>
          <w:tcPr>
            <w:tcW w:w="4100" w:type="dxa"/>
            <w:vAlign w:val="bottom"/>
          </w:tcPr>
          <w:p>
            <w:pPr>
              <w:ind w:left="20"/>
              <w:spacing w:after="0"/>
              <w:rPr>
                <w:sz w:val="20"/>
                <w:szCs w:val="20"/>
                <w:color w:val="auto"/>
              </w:rPr>
            </w:pPr>
            <w:r>
              <w:rPr>
                <w:rFonts w:ascii="Arial" w:cs="Arial" w:eastAsia="Arial" w:hAnsi="Arial"/>
                <w:sz w:val="10"/>
                <w:szCs w:val="10"/>
                <w:color w:val="105BAB"/>
              </w:rPr>
              <w:t xml:space="preserve">2  </w:t>
            </w:r>
            <w:r>
              <w:rPr>
                <w:rFonts w:ascii="Arial" w:cs="Arial" w:eastAsia="Arial" w:hAnsi="Arial"/>
                <w:sz w:val="11"/>
                <w:szCs w:val="11"/>
                <w:color w:val="000000"/>
              </w:rPr>
              <w:t>Ratification of the appointment of PricewaterhouseCoopers LLP as the Com</w:t>
            </w:r>
          </w:p>
        </w:tc>
        <w:tc>
          <w:tcPr>
            <w:tcW w:w="0" w:type="dxa"/>
            <w:vAlign w:val="bottom"/>
          </w:tcPr>
          <w:p>
            <w:pPr>
              <w:spacing w:after="0"/>
              <w:rPr>
                <w:sz w:val="1"/>
                <w:szCs w:val="1"/>
                <w:color w:val="auto"/>
              </w:rPr>
            </w:pPr>
          </w:p>
        </w:tc>
      </w:tr>
    </w:tbl>
    <w:p>
      <w:pPr>
        <w:ind w:left="7620"/>
        <w:spacing w:after="0"/>
        <w:rPr>
          <w:sz w:val="20"/>
          <w:szCs w:val="20"/>
          <w:color w:val="auto"/>
        </w:rPr>
      </w:pPr>
      <w:r>
        <w:rPr>
          <w:rFonts w:ascii="Arial" w:cs="Arial" w:eastAsia="Arial" w:hAnsi="Arial"/>
          <w:sz w:val="12"/>
          <w:szCs w:val="12"/>
          <w:color w:val="auto"/>
        </w:rPr>
        <w:t>public accounting firm for the fiscal year ending December 31, 2018</w:t>
      </w:r>
    </w:p>
    <w:p>
      <w:pPr>
        <w:spacing w:after="0" w:line="181" w:lineRule="exact"/>
        <w:rPr>
          <w:sz w:val="20"/>
          <w:szCs w:val="20"/>
          <w:color w:val="auto"/>
        </w:rPr>
      </w:pPr>
    </w:p>
    <w:tbl>
      <w:tblPr>
        <w:tblLayout w:type="fixed"/>
        <w:tblInd w:w="1560" w:type="dxa"/>
        <w:tblCellMar>
          <w:top w:w="0" w:type="dxa"/>
          <w:left w:w="0" w:type="dxa"/>
          <w:bottom w:w="0" w:type="dxa"/>
          <w:right w:w="0" w:type="dxa"/>
        </w:tblCellMar>
      </w:tblPr>
      <w:tr>
        <w:trPr>
          <w:trHeight w:val="154"/>
        </w:trPr>
        <w:tc>
          <w:tcPr>
            <w:tcW w:w="5880" w:type="dxa"/>
            <w:vAlign w:val="bottom"/>
          </w:tcPr>
          <w:p>
            <w:pPr>
              <w:spacing w:after="0"/>
              <w:rPr>
                <w:sz w:val="20"/>
                <w:szCs w:val="20"/>
                <w:color w:val="auto"/>
              </w:rPr>
            </w:pPr>
            <w:r>
              <w:rPr>
                <w:rFonts w:ascii="Arial" w:cs="Arial" w:eastAsia="Arial" w:hAnsi="Arial"/>
                <w:sz w:val="12"/>
                <w:szCs w:val="12"/>
                <w:b w:val="1"/>
                <w:bCs w:val="1"/>
                <w:color w:val="105BAB"/>
              </w:rPr>
              <w:t>Where is the Annual Meeting?</w:t>
            </w:r>
          </w:p>
        </w:tc>
        <w:tc>
          <w:tcPr>
            <w:tcW w:w="4100" w:type="dxa"/>
            <w:vAlign w:val="bottom"/>
            <w:vMerge w:val="restart"/>
          </w:tcPr>
          <w:p>
            <w:pPr>
              <w:ind w:left="20"/>
              <w:spacing w:after="0"/>
              <w:rPr>
                <w:sz w:val="20"/>
                <w:szCs w:val="20"/>
                <w:color w:val="auto"/>
              </w:rPr>
            </w:pPr>
            <w:r>
              <w:rPr>
                <w:rFonts w:ascii="Arial" w:cs="Arial" w:eastAsia="Arial" w:hAnsi="Arial"/>
                <w:sz w:val="10"/>
                <w:szCs w:val="10"/>
                <w:color w:val="105BAB"/>
                <w:w w:val="96"/>
              </w:rPr>
              <w:t>____________________________________________________________________________</w:t>
            </w:r>
          </w:p>
        </w:tc>
        <w:tc>
          <w:tcPr>
            <w:tcW w:w="0" w:type="dxa"/>
            <w:vAlign w:val="bottom"/>
          </w:tcPr>
          <w:p>
            <w:pPr>
              <w:spacing w:after="0"/>
              <w:rPr>
                <w:sz w:val="1"/>
                <w:szCs w:val="1"/>
                <w:color w:val="auto"/>
              </w:rPr>
            </w:pPr>
          </w:p>
        </w:tc>
      </w:tr>
      <w:tr>
        <w:trPr>
          <w:trHeight w:val="30"/>
        </w:trPr>
        <w:tc>
          <w:tcPr>
            <w:tcW w:w="5880" w:type="dxa"/>
            <w:vAlign w:val="bottom"/>
          </w:tcPr>
          <w:p>
            <w:pPr>
              <w:spacing w:after="0"/>
              <w:rPr>
                <w:sz w:val="2"/>
                <w:szCs w:val="2"/>
                <w:color w:val="auto"/>
              </w:rPr>
            </w:pPr>
          </w:p>
        </w:tc>
        <w:tc>
          <w:tcPr>
            <w:tcW w:w="4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880" w:type="dxa"/>
            <w:vAlign w:val="bottom"/>
          </w:tcPr>
          <w:p>
            <w:pPr>
              <w:spacing w:after="0"/>
              <w:rPr>
                <w:sz w:val="20"/>
                <w:szCs w:val="20"/>
                <w:color w:val="auto"/>
              </w:rPr>
            </w:pPr>
            <w:r>
              <w:rPr>
                <w:rFonts w:ascii="Arial" w:cs="Arial" w:eastAsia="Arial" w:hAnsi="Arial"/>
                <w:sz w:val="12"/>
                <w:szCs w:val="12"/>
                <w:color w:val="auto"/>
              </w:rPr>
              <w:t>Westchester Marriott Hotel, 670 White Plains Road, Tarrytown, New York 10591</w:t>
            </w: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2"/>
                <w:szCs w:val="12"/>
                <w:b w:val="1"/>
                <w:bCs w:val="1"/>
                <w:color w:val="105BAB"/>
              </w:rPr>
              <w:t>Can I ask a question at the Annual Meeting?</w:t>
            </w:r>
          </w:p>
        </w:tc>
        <w:tc>
          <w:tcPr>
            <w:tcW w:w="0" w:type="dxa"/>
            <w:vAlign w:val="bottom"/>
          </w:tcPr>
          <w:p>
            <w:pPr>
              <w:spacing w:after="0"/>
              <w:rPr>
                <w:sz w:val="1"/>
                <w:szCs w:val="1"/>
                <w:color w:val="auto"/>
              </w:rPr>
            </w:pPr>
          </w:p>
        </w:tc>
      </w:tr>
      <w:tr>
        <w:trPr>
          <w:trHeight w:val="120"/>
        </w:trPr>
        <w:tc>
          <w:tcPr>
            <w:tcW w:w="5880" w:type="dxa"/>
            <w:vAlign w:val="bottom"/>
          </w:tcPr>
          <w:p>
            <w:pPr>
              <w:spacing w:after="0"/>
              <w:rPr>
                <w:sz w:val="20"/>
                <w:szCs w:val="20"/>
                <w:color w:val="auto"/>
              </w:rPr>
            </w:pPr>
            <w:r>
              <w:rPr>
                <w:rFonts w:ascii="Arial" w:cs="Arial" w:eastAsia="Arial" w:hAnsi="Arial"/>
                <w:sz w:val="10"/>
                <w:szCs w:val="10"/>
                <w:color w:val="105BAB"/>
                <w:w w:val="95"/>
              </w:rPr>
              <w:t>______________________________________________________________________________________________________________</w:t>
            </w:r>
          </w:p>
        </w:tc>
        <w:tc>
          <w:tcPr>
            <w:tcW w:w="4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5880" w:type="dxa"/>
            <w:vAlign w:val="bottom"/>
          </w:tcPr>
          <w:p>
            <w:pPr>
              <w:spacing w:after="0"/>
              <w:rPr>
                <w:sz w:val="13"/>
                <w:szCs w:val="13"/>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w w:val="96"/>
              </w:rPr>
              <w:t>In-person attendees of the Annual Meeting will be given an opportunity to ask q</w:t>
            </w: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rPr>
              <w:t>question-and-answer period.</w:t>
            </w:r>
          </w:p>
        </w:tc>
        <w:tc>
          <w:tcPr>
            <w:tcW w:w="0" w:type="dxa"/>
            <w:vAlign w:val="bottom"/>
          </w:tcPr>
          <w:p>
            <w:pPr>
              <w:spacing w:after="0"/>
              <w:rPr>
                <w:sz w:val="1"/>
                <w:szCs w:val="1"/>
                <w:color w:val="auto"/>
              </w:rPr>
            </w:pPr>
          </w:p>
        </w:tc>
      </w:tr>
      <w:tr>
        <w:trPr>
          <w:trHeight w:val="198"/>
        </w:trPr>
        <w:tc>
          <w:tcPr>
            <w:tcW w:w="5880" w:type="dxa"/>
            <w:vAlign w:val="bottom"/>
          </w:tcPr>
          <w:p>
            <w:pPr>
              <w:spacing w:after="0"/>
              <w:rPr>
                <w:sz w:val="20"/>
                <w:szCs w:val="20"/>
                <w:color w:val="auto"/>
              </w:rPr>
            </w:pPr>
            <w:r>
              <w:rPr>
                <w:rFonts w:ascii="Arial" w:cs="Arial" w:eastAsia="Arial" w:hAnsi="Arial"/>
                <w:sz w:val="12"/>
                <w:szCs w:val="12"/>
                <w:b w:val="1"/>
                <w:bCs w:val="1"/>
                <w:color w:val="105BAB"/>
              </w:rPr>
              <w:t>What form of identification do I need to be admitted to the meeting?</w:t>
            </w: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80" w:type="dxa"/>
            <w:vAlign w:val="bottom"/>
          </w:tcPr>
          <w:p>
            <w:pPr>
              <w:spacing w:after="0"/>
              <w:rPr>
                <w:sz w:val="20"/>
                <w:szCs w:val="20"/>
                <w:color w:val="auto"/>
              </w:rPr>
            </w:pPr>
            <w:r>
              <w:rPr>
                <w:rFonts w:ascii="Arial" w:cs="Arial" w:eastAsia="Arial" w:hAnsi="Arial"/>
                <w:sz w:val="12"/>
                <w:szCs w:val="12"/>
                <w:color w:val="auto"/>
              </w:rPr>
              <w:t>If you attend the Annual Meeting in person, you will be asked to present valid, government-issued photo</w:t>
            </w: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5880" w:type="dxa"/>
            <w:vAlign w:val="bottom"/>
          </w:tcPr>
          <w:p>
            <w:pPr>
              <w:spacing w:after="0"/>
              <w:rPr>
                <w:sz w:val="20"/>
                <w:szCs w:val="20"/>
                <w:color w:val="auto"/>
              </w:rPr>
            </w:pPr>
            <w:r>
              <w:rPr>
                <w:rFonts w:ascii="Arial" w:cs="Arial" w:eastAsia="Arial" w:hAnsi="Arial"/>
                <w:sz w:val="12"/>
                <w:szCs w:val="12"/>
                <w:color w:val="auto"/>
              </w:rPr>
              <w:t>identification, such as a driver's license.</w:t>
            </w: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5880" w:type="dxa"/>
            <w:vAlign w:val="bottom"/>
          </w:tcPr>
          <w:p>
            <w:pPr>
              <w:spacing w:after="0"/>
              <w:rPr>
                <w:sz w:val="20"/>
                <w:szCs w:val="20"/>
                <w:color w:val="auto"/>
              </w:rPr>
            </w:pPr>
            <w:r>
              <w:rPr>
                <w:rFonts w:ascii="Arial" w:cs="Arial" w:eastAsia="Arial" w:hAnsi="Arial"/>
                <w:sz w:val="10"/>
                <w:szCs w:val="10"/>
                <w:color w:val="105BAB"/>
                <w:w w:val="95"/>
              </w:rPr>
              <w:t>______________________________________________________________________________________________________________</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5880" w:type="dxa"/>
            <w:vAlign w:val="bottom"/>
          </w:tcPr>
          <w:p>
            <w:pPr>
              <w:spacing w:after="0"/>
              <w:rPr>
                <w:sz w:val="20"/>
                <w:szCs w:val="20"/>
                <w:color w:val="auto"/>
              </w:rPr>
            </w:pPr>
            <w:r>
              <w:rPr>
                <w:rFonts w:ascii="Arial" w:cs="Arial" w:eastAsia="Arial" w:hAnsi="Arial"/>
                <w:sz w:val="12"/>
                <w:szCs w:val="12"/>
                <w:b w:val="1"/>
                <w:bCs w:val="1"/>
                <w:color w:val="105BAB"/>
              </w:rPr>
              <w:t>Where can I find directions to the Annual Meeting?</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880" w:type="dxa"/>
            <w:vAlign w:val="bottom"/>
          </w:tcPr>
          <w:p>
            <w:pPr>
              <w:spacing w:after="0"/>
              <w:rPr>
                <w:sz w:val="20"/>
                <w:szCs w:val="20"/>
                <w:color w:val="auto"/>
              </w:rPr>
            </w:pPr>
            <w:r>
              <w:rPr>
                <w:rFonts w:ascii="Arial" w:cs="Arial" w:eastAsia="Arial" w:hAnsi="Arial"/>
                <w:sz w:val="12"/>
                <w:szCs w:val="12"/>
                <w:color w:val="auto"/>
              </w:rPr>
              <w:t xml:space="preserve">Directions to this location are available on our website at </w:t>
            </w:r>
            <w:r>
              <w:rPr>
                <w:rFonts w:ascii="Arial" w:cs="Arial" w:eastAsia="Arial" w:hAnsi="Arial"/>
                <w:sz w:val="12"/>
                <w:szCs w:val="12"/>
                <w:b w:val="1"/>
                <w:bCs w:val="1"/>
                <w:color w:val="auto"/>
              </w:rPr>
              <w:t>http://newsroom.regeneron.com.</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80" w:type="dxa"/>
            <w:vAlign w:val="bottom"/>
          </w:tcPr>
          <w:p>
            <w:pPr>
              <w:spacing w:after="0"/>
              <w:rPr>
                <w:sz w:val="20"/>
                <w:szCs w:val="20"/>
                <w:color w:val="auto"/>
              </w:rPr>
            </w:pPr>
            <w:r>
              <w:rPr>
                <w:rFonts w:ascii="Arial" w:cs="Arial" w:eastAsia="Arial" w:hAnsi="Arial"/>
                <w:sz w:val="10"/>
                <w:szCs w:val="10"/>
                <w:color w:val="105BAB"/>
                <w:w w:val="95"/>
              </w:rPr>
              <w:t>______________________________________________________________________________________________________________</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5880" w:type="dxa"/>
            <w:vAlign w:val="bottom"/>
          </w:tcPr>
          <w:p>
            <w:pPr>
              <w:spacing w:after="0"/>
              <w:rPr>
                <w:sz w:val="20"/>
                <w:szCs w:val="20"/>
                <w:color w:val="auto"/>
              </w:rPr>
            </w:pPr>
            <w:r>
              <w:rPr>
                <w:rFonts w:ascii="Arial" w:cs="Arial" w:eastAsia="Arial" w:hAnsi="Arial"/>
                <w:sz w:val="12"/>
                <w:szCs w:val="12"/>
                <w:b w:val="1"/>
                <w:bCs w:val="1"/>
                <w:color w:val="105BAB"/>
              </w:rPr>
              <w:t>Can I vote at the Annual Meeting?</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880" w:type="dxa"/>
            <w:vAlign w:val="bottom"/>
          </w:tcPr>
          <w:p>
            <w:pPr>
              <w:spacing w:after="0"/>
              <w:rPr>
                <w:sz w:val="20"/>
                <w:szCs w:val="20"/>
                <w:color w:val="auto"/>
              </w:rPr>
            </w:pPr>
            <w:r>
              <w:rPr>
                <w:rFonts w:ascii="Arial" w:cs="Arial" w:eastAsia="Arial" w:hAnsi="Arial"/>
                <w:sz w:val="12"/>
                <w:szCs w:val="12"/>
                <w:color w:val="auto"/>
                <w:w w:val="98"/>
              </w:rPr>
              <w:t>Only shareholders of record at the close of business on the record date, April 12, 2018, are entitled to vote at the</w:t>
            </w: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line="135" w:lineRule="exact"/>
              <w:rPr>
                <w:sz w:val="20"/>
                <w:szCs w:val="20"/>
                <w:color w:val="auto"/>
              </w:rPr>
            </w:pPr>
            <w:r>
              <w:rPr>
                <w:rFonts w:ascii="Arial" w:cs="Arial" w:eastAsia="Arial" w:hAnsi="Arial"/>
                <w:sz w:val="12"/>
                <w:szCs w:val="12"/>
                <w:color w:val="auto"/>
                <w:w w:val="97"/>
              </w:rPr>
              <w:t>Annual Meeting. As of April 12, 2018, 105,949,824 shares of the Company's common stock, par value $0.001 per</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line="135" w:lineRule="exact"/>
              <w:rPr>
                <w:sz w:val="20"/>
                <w:szCs w:val="20"/>
                <w:color w:val="auto"/>
              </w:rPr>
            </w:pPr>
            <w:r>
              <w:rPr>
                <w:rFonts w:ascii="Arial" w:cs="Arial" w:eastAsia="Arial" w:hAnsi="Arial"/>
                <w:sz w:val="12"/>
                <w:szCs w:val="12"/>
                <w:color w:val="auto"/>
              </w:rPr>
              <w:t>share ("common stock"), and 1,911,354 shares of Class A stock, par value $0.001 per share ("Class A stock"),</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line="135" w:lineRule="exact"/>
              <w:rPr>
                <w:sz w:val="20"/>
                <w:szCs w:val="20"/>
                <w:color w:val="auto"/>
              </w:rPr>
            </w:pPr>
            <w:r>
              <w:rPr>
                <w:rFonts w:ascii="Arial" w:cs="Arial" w:eastAsia="Arial" w:hAnsi="Arial"/>
                <w:sz w:val="12"/>
                <w:szCs w:val="12"/>
                <w:color w:val="auto"/>
                <w:w w:val="99"/>
              </w:rPr>
              <w:t>were issued and outstanding. The common stock and the Class A stock vote together on all matters as a single</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line="135" w:lineRule="exact"/>
              <w:rPr>
                <w:sz w:val="20"/>
                <w:szCs w:val="20"/>
                <w:color w:val="auto"/>
              </w:rPr>
            </w:pPr>
            <w:r>
              <w:rPr>
                <w:rFonts w:ascii="Arial" w:cs="Arial" w:eastAsia="Arial" w:hAnsi="Arial"/>
                <w:sz w:val="12"/>
                <w:szCs w:val="12"/>
                <w:color w:val="auto"/>
              </w:rPr>
              <w:t>class, with the common stock being entitled to one vote per share and the Class A stock being entitled to ten</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880" w:type="dxa"/>
            <w:vAlign w:val="bottom"/>
          </w:tcPr>
          <w:p>
            <w:pPr>
              <w:spacing w:after="0"/>
              <w:rPr>
                <w:sz w:val="20"/>
                <w:szCs w:val="20"/>
                <w:color w:val="auto"/>
              </w:rPr>
            </w:pPr>
            <w:r>
              <w:rPr>
                <w:rFonts w:ascii="Arial" w:cs="Arial" w:eastAsia="Arial" w:hAnsi="Arial"/>
                <w:sz w:val="12"/>
                <w:szCs w:val="12"/>
                <w:color w:val="auto"/>
              </w:rPr>
              <w:t>votes per share.</w:t>
            </w: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80"/>
        <w:spacing w:after="0"/>
        <w:rPr>
          <w:sz w:val="20"/>
          <w:szCs w:val="20"/>
          <w:color w:val="auto"/>
        </w:rPr>
      </w:pPr>
      <w:r>
        <w:rPr>
          <w:rFonts w:ascii="Arial" w:cs="Arial" w:eastAsia="Arial" w:hAnsi="Arial"/>
          <w:sz w:val="10"/>
          <w:szCs w:val="10"/>
          <w:b w:val="1"/>
          <w:bCs w:val="1"/>
          <w:color w:val="FFFFF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42" w:right="13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483235</wp:posOffset>
            </wp:positionV>
            <wp:extent cx="73329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00" w:type="dxa"/>
            <w:vAlign w:val="bottom"/>
            <w:vMerge w:val="restart"/>
          </w:tcPr>
          <w:p>
            <w:pPr>
              <w:spacing w:after="0"/>
              <w:rPr>
                <w:sz w:val="20"/>
                <w:szCs w:val="20"/>
                <w:color w:val="auto"/>
              </w:rPr>
            </w:pPr>
            <w:r>
              <w:rPr>
                <w:rFonts w:ascii="Arial" w:cs="Arial" w:eastAsia="Arial" w:hAnsi="Arial"/>
                <w:sz w:val="22"/>
                <w:szCs w:val="22"/>
                <w:color w:val="D21C5A"/>
              </w:rPr>
              <w:t>VOTING</w:t>
            </w:r>
          </w:p>
        </w:tc>
        <w:tc>
          <w:tcPr>
            <w:tcW w:w="6240" w:type="dxa"/>
            <w:vAlign w:val="bottom"/>
          </w:tcPr>
          <w:p>
            <w:pPr>
              <w:ind w:left="360"/>
              <w:spacing w:after="0"/>
              <w:rPr>
                <w:sz w:val="20"/>
                <w:szCs w:val="20"/>
                <w:color w:val="auto"/>
              </w:rPr>
            </w:pPr>
            <w:r>
              <w:rPr>
                <w:rFonts w:ascii="Arial" w:cs="Arial" w:eastAsia="Arial" w:hAnsi="Arial"/>
                <w:sz w:val="12"/>
                <w:szCs w:val="12"/>
                <w:b w:val="1"/>
                <w:bCs w:val="1"/>
                <w:color w:val="105BAB"/>
              </w:rPr>
              <w:t>Why did I receive a notice in the mail regarding the Internet availability of proxy materials instead of a</w:t>
            </w:r>
          </w:p>
        </w:tc>
        <w:tc>
          <w:tcPr>
            <w:tcW w:w="4100" w:type="dxa"/>
            <w:vAlign w:val="bottom"/>
          </w:tcPr>
          <w:p>
            <w:pPr>
              <w:ind w:left="20"/>
              <w:spacing w:after="0"/>
              <w:rPr>
                <w:sz w:val="20"/>
                <w:szCs w:val="20"/>
                <w:color w:val="auto"/>
              </w:rPr>
            </w:pPr>
            <w:r>
              <w:rPr>
                <w:rFonts w:ascii="Arial" w:cs="Arial" w:eastAsia="Arial" w:hAnsi="Arial"/>
                <w:sz w:val="12"/>
                <w:szCs w:val="12"/>
                <w:b w:val="1"/>
                <w:bCs w:val="1"/>
                <w:color w:val="105BAB"/>
              </w:rPr>
              <w:t>How are proxies voted?</w:t>
            </w:r>
          </w:p>
        </w:tc>
        <w:tc>
          <w:tcPr>
            <w:tcW w:w="0" w:type="dxa"/>
            <w:vAlign w:val="bottom"/>
          </w:tcPr>
          <w:p>
            <w:pPr>
              <w:spacing w:after="0"/>
              <w:rPr>
                <w:sz w:val="1"/>
                <w:szCs w:val="1"/>
                <w:color w:val="auto"/>
              </w:rPr>
            </w:pPr>
          </w:p>
        </w:tc>
      </w:tr>
      <w:tr>
        <w:trPr>
          <w:trHeight w:val="131"/>
        </w:trPr>
        <w:tc>
          <w:tcPr>
            <w:tcW w:w="1200" w:type="dxa"/>
            <w:vAlign w:val="bottom"/>
            <w:vMerge w:val="continue"/>
          </w:tcPr>
          <w:p>
            <w:pPr>
              <w:spacing w:after="0"/>
              <w:rPr>
                <w:sz w:val="11"/>
                <w:szCs w:val="11"/>
                <w:color w:val="auto"/>
              </w:rPr>
            </w:pPr>
          </w:p>
        </w:tc>
        <w:tc>
          <w:tcPr>
            <w:tcW w:w="6240" w:type="dxa"/>
            <w:vAlign w:val="bottom"/>
          </w:tcPr>
          <w:p>
            <w:pPr>
              <w:ind w:left="360"/>
              <w:spacing w:after="0" w:line="132" w:lineRule="exact"/>
              <w:rPr>
                <w:sz w:val="20"/>
                <w:szCs w:val="20"/>
                <w:color w:val="auto"/>
              </w:rPr>
            </w:pPr>
            <w:r>
              <w:rPr>
                <w:rFonts w:ascii="Arial" w:cs="Arial" w:eastAsia="Arial" w:hAnsi="Arial"/>
                <w:sz w:val="12"/>
                <w:szCs w:val="12"/>
                <w:b w:val="1"/>
                <w:bCs w:val="1"/>
                <w:color w:val="105BAB"/>
              </w:rPr>
              <w:t>paper copy of the proxy materials?</w:t>
            </w:r>
          </w:p>
        </w:tc>
        <w:tc>
          <w:tcPr>
            <w:tcW w:w="4100" w:type="dxa"/>
            <w:vAlign w:val="bottom"/>
            <w:vMerge w:val="restart"/>
          </w:tcPr>
          <w:p>
            <w:pPr>
              <w:ind w:left="20"/>
              <w:spacing w:after="0"/>
              <w:rPr>
                <w:sz w:val="20"/>
                <w:szCs w:val="20"/>
                <w:color w:val="auto"/>
              </w:rPr>
            </w:pPr>
            <w:r>
              <w:rPr>
                <w:rFonts w:ascii="Arial" w:cs="Arial" w:eastAsia="Arial" w:hAnsi="Arial"/>
                <w:sz w:val="12"/>
                <w:szCs w:val="12"/>
                <w:color w:val="auto"/>
                <w:w w:val="97"/>
              </w:rPr>
              <w:t>will vote your shares as you have directed. If you submit a proxy, but no indicat</w:t>
            </w: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line="27" w:lineRule="exact"/>
              <w:rPr>
                <w:sz w:val="20"/>
                <w:szCs w:val="20"/>
                <w:color w:val="auto"/>
              </w:rPr>
            </w:pPr>
            <w:r>
              <w:rPr>
                <w:rFonts w:ascii="Arial" w:cs="Arial" w:eastAsia="Arial" w:hAnsi="Arial"/>
                <w:sz w:val="3"/>
                <w:szCs w:val="3"/>
                <w:color w:val="D21C5A"/>
                <w:vertAlign w:val="superscript"/>
              </w:rPr>
              <w:t>INFORMATION</w:t>
            </w:r>
            <w:r>
              <w:rPr>
                <w:rFonts w:ascii="Arial" w:cs="Arial" w:eastAsia="Arial" w:hAnsi="Arial"/>
                <w:sz w:val="1"/>
                <w:szCs w:val="1"/>
                <w:color w:val="auto"/>
              </w:rPr>
              <w:t xml:space="preserve"> The "Notice and Access" rules of the United States Securities and Exchange Commission (the "SEC") permit us</w:t>
            </w:r>
          </w:p>
        </w:tc>
        <w:tc>
          <w:tcPr>
            <w:tcW w:w="4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2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4100" w:type="dxa"/>
            <w:vAlign w:val="bottom"/>
          </w:tcPr>
          <w:p>
            <w:pPr>
              <w:ind w:left="20"/>
              <w:spacing w:after="0"/>
              <w:rPr>
                <w:sz w:val="20"/>
                <w:szCs w:val="20"/>
                <w:color w:val="auto"/>
              </w:rPr>
            </w:pPr>
            <w:r>
              <w:rPr>
                <w:rFonts w:ascii="Arial" w:cs="Arial" w:eastAsia="Arial" w:hAnsi="Arial"/>
                <w:sz w:val="12"/>
                <w:szCs w:val="12"/>
                <w:color w:val="auto"/>
                <w:w w:val="97"/>
              </w:rPr>
              <w:t>If you vote by proxy in time for it to be voted at the Annual Meeting, one of the i</w:t>
            </w:r>
          </w:p>
        </w:tc>
        <w:tc>
          <w:tcPr>
            <w:tcW w:w="0" w:type="dxa"/>
            <w:vAlign w:val="bottom"/>
          </w:tcPr>
          <w:p>
            <w:pPr>
              <w:spacing w:after="0"/>
              <w:rPr>
                <w:sz w:val="1"/>
                <w:szCs w:val="1"/>
                <w:color w:val="auto"/>
              </w:rPr>
            </w:pPr>
          </w:p>
        </w:tc>
      </w:tr>
      <w:tr>
        <w:trPr>
          <w:trHeight w:val="265"/>
        </w:trPr>
        <w:tc>
          <w:tcPr>
            <w:tcW w:w="1200" w:type="dxa"/>
            <w:vAlign w:val="bottom"/>
          </w:tcPr>
          <w:p>
            <w:pPr>
              <w:spacing w:after="0"/>
              <w:rPr>
                <w:sz w:val="23"/>
                <w:szCs w:val="23"/>
                <w:color w:val="auto"/>
              </w:rPr>
            </w:pPr>
          </w:p>
        </w:tc>
        <w:tc>
          <w:tcPr>
            <w:tcW w:w="6240" w:type="dxa"/>
            <w:vAlign w:val="bottom"/>
          </w:tcPr>
          <w:p>
            <w:pPr>
              <w:ind w:left="360"/>
              <w:spacing w:after="0"/>
              <w:rPr>
                <w:sz w:val="20"/>
                <w:szCs w:val="20"/>
                <w:color w:val="auto"/>
              </w:rPr>
            </w:pPr>
            <w:r>
              <w:rPr>
                <w:rFonts w:ascii="Arial" w:cs="Arial" w:eastAsia="Arial" w:hAnsi="Arial"/>
                <w:sz w:val="12"/>
                <w:szCs w:val="12"/>
                <w:color w:val="auto"/>
                <w:w w:val="98"/>
              </w:rPr>
              <w:t>to furnish proxy materials, including this proxy statement and our Annual Report on Form 10-K for the fiscal year</w:t>
            </w:r>
          </w:p>
        </w:tc>
        <w:tc>
          <w:tcPr>
            <w:tcW w:w="4100" w:type="dxa"/>
            <w:vAlign w:val="bottom"/>
          </w:tcPr>
          <w:p>
            <w:pPr>
              <w:ind w:left="20"/>
              <w:spacing w:after="0"/>
              <w:rPr>
                <w:sz w:val="20"/>
                <w:szCs w:val="20"/>
                <w:color w:val="auto"/>
              </w:rPr>
            </w:pPr>
            <w:r>
              <w:rPr>
                <w:rFonts w:ascii="Arial" w:cs="Arial" w:eastAsia="Arial" w:hAnsi="Arial"/>
                <w:sz w:val="12"/>
                <w:szCs w:val="12"/>
                <w:color w:val="auto"/>
                <w:w w:val="96"/>
              </w:rPr>
              <w:t>shares as to a proposal, your shares will be voted in the manner recommended</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rPr>
              <w:t>ended December 31, 2017 filed with the SEC on February 8, 2018 (the "2017 Annual Report"), to our</w:t>
            </w: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w w:val="98"/>
              </w:rPr>
              <w:t>board of directors knows of no matter, other than those indicated above under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rPr>
              <w:t>shareholders by providing access to such documents on the Internet instead of mailing printed copies. Most</w:t>
            </w: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w w:val="97"/>
              </w:rPr>
              <w:t>meeting?", to be presented at the Annual Meeting. If any other matter properly</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340" w:type="dxa"/>
            <w:vAlign w:val="bottom"/>
            <w:gridSpan w:val="2"/>
          </w:tcPr>
          <w:p>
            <w:pPr>
              <w:ind w:left="360"/>
              <w:spacing w:after="0" w:line="135" w:lineRule="exact"/>
              <w:rPr>
                <w:sz w:val="20"/>
                <w:szCs w:val="20"/>
                <w:color w:val="auto"/>
              </w:rPr>
            </w:pPr>
            <w:r>
              <w:rPr>
                <w:rFonts w:ascii="Arial" w:cs="Arial" w:eastAsia="Arial" w:hAnsi="Arial"/>
                <w:sz w:val="12"/>
                <w:szCs w:val="12"/>
                <w:color w:val="auto"/>
                <w:w w:val="97"/>
              </w:rPr>
              <w:t>shareholders received a Notice of Internet Availability of Proxy Materials (the "Notice") and will not receive printed the persons named and designated as proxies will vote your shares in their dis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w w:val="98"/>
              </w:rPr>
              <w:t>copies of the proxy materials unless they request them. The Notice will be mailed beginning on or about April 23,</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rPr>
              <w:t>2018. The Notice includes instructions on how you may access and review all of our proxy materials via the</w:t>
            </w:r>
          </w:p>
        </w:tc>
        <w:tc>
          <w:tcPr>
            <w:tcW w:w="4100" w:type="dxa"/>
            <w:vAlign w:val="bottom"/>
            <w:vMerge w:val="restart"/>
          </w:tcPr>
          <w:p>
            <w:pPr>
              <w:ind w:left="20"/>
              <w:spacing w:after="0"/>
              <w:rPr>
                <w:sz w:val="20"/>
                <w:szCs w:val="20"/>
                <w:color w:val="auto"/>
              </w:rPr>
            </w:pPr>
            <w:r>
              <w:rPr>
                <w:rFonts w:ascii="Arial" w:cs="Arial" w:eastAsia="Arial" w:hAnsi="Arial"/>
                <w:sz w:val="10"/>
                <w:szCs w:val="10"/>
                <w:color w:val="105BAB"/>
                <w:w w:val="96"/>
              </w:rPr>
              <w:t>____________________________________________________________________________</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rPr>
              <w:t>Internet. The Notice also includes instructions on how you may vote your shares. If you would like to receive a</w:t>
            </w:r>
          </w:p>
        </w:tc>
        <w:tc>
          <w:tcPr>
            <w:tcW w:w="4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rPr>
              <w:t>paper or electronic copy of our proxy materials, you should follow the instructions in the Notice for requesting</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6240" w:type="dxa"/>
            <w:vAlign w:val="bottom"/>
          </w:tcPr>
          <w:p>
            <w:pPr>
              <w:ind w:left="360"/>
              <w:spacing w:after="0"/>
              <w:rPr>
                <w:sz w:val="20"/>
                <w:szCs w:val="20"/>
                <w:color w:val="auto"/>
              </w:rPr>
            </w:pPr>
            <w:r>
              <w:rPr>
                <w:rFonts w:ascii="Arial" w:cs="Arial" w:eastAsia="Arial" w:hAnsi="Arial"/>
                <w:sz w:val="12"/>
                <w:szCs w:val="12"/>
                <w:color w:val="auto"/>
              </w:rPr>
              <w:t>such materials. Any request to receive proxy materials by mail or e-mail will remain in effect until you revoke it.</w:t>
            </w: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2"/>
                <w:szCs w:val="12"/>
                <w:b w:val="1"/>
                <w:bCs w:val="1"/>
                <w:color w:val="105BAB"/>
                <w:w w:val="97"/>
              </w:rPr>
              <w:t>Why didn't I receive a notice in the mail about the Internet availability of t</w:t>
            </w: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3"/>
                <w:szCs w:val="23"/>
                <w:color w:val="auto"/>
              </w:rPr>
            </w:pPr>
          </w:p>
        </w:tc>
        <w:tc>
          <w:tcPr>
            <w:tcW w:w="10340" w:type="dxa"/>
            <w:vAlign w:val="bottom"/>
            <w:gridSpan w:val="2"/>
          </w:tcPr>
          <w:p>
            <w:pPr>
              <w:ind w:left="360"/>
              <w:spacing w:after="0"/>
              <w:rPr>
                <w:sz w:val="20"/>
                <w:szCs w:val="20"/>
                <w:color w:val="auto"/>
              </w:rPr>
            </w:pPr>
            <w:r>
              <w:rPr>
                <w:rFonts w:ascii="Arial" w:cs="Arial" w:eastAsia="Arial" w:hAnsi="Arial"/>
                <w:sz w:val="10"/>
                <w:szCs w:val="10"/>
                <w:color w:val="105BAB"/>
                <w:w w:val="86"/>
              </w:rPr>
              <w:t xml:space="preserve">______________________________________________________________________________________________________________ </w:t>
            </w:r>
            <w:r>
              <w:rPr>
                <w:rFonts w:ascii="Arial" w:cs="Arial" w:eastAsia="Arial" w:hAnsi="Arial"/>
                <w:sz w:val="23"/>
                <w:szCs w:val="23"/>
                <w:color w:val="000000"/>
                <w:w w:val="86"/>
                <w:vertAlign w:val="subscript"/>
              </w:rPr>
              <w:t>Shareholders who previously elected to receive proxy materials by e-mail will n</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w w:val="97"/>
              </w:rPr>
              <w:t>about the Internet availability of the proxy materials. Instead, these shareholde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vMerge w:val="restart"/>
          </w:tcPr>
          <w:p>
            <w:pPr>
              <w:ind w:left="360"/>
              <w:spacing w:after="0"/>
              <w:rPr>
                <w:sz w:val="20"/>
                <w:szCs w:val="20"/>
                <w:color w:val="auto"/>
              </w:rPr>
            </w:pPr>
            <w:r>
              <w:rPr>
                <w:rFonts w:ascii="Arial" w:cs="Arial" w:eastAsia="Arial" w:hAnsi="Arial"/>
                <w:sz w:val="12"/>
                <w:szCs w:val="12"/>
                <w:b w:val="1"/>
                <w:bCs w:val="1"/>
                <w:color w:val="105BAB"/>
              </w:rPr>
              <w:t>Can I vote my shares by filling out and returning the Notice?</w:t>
            </w: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w w:val="98"/>
              </w:rPr>
              <w:t>with links to the proxy materials and the proxy voting website. In addition, shar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vMerge w:val="continue"/>
          </w:tcPr>
          <w:p>
            <w:pPr>
              <w:spacing w:after="0"/>
              <w:rPr>
                <w:sz w:val="11"/>
                <w:szCs w:val="11"/>
                <w:color w:val="auto"/>
              </w:rPr>
            </w:pP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w w:val="97"/>
              </w:rPr>
              <w:t>asked to receive paper copies of the proxy materials and shareholders who pa</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w w:val="97"/>
              </w:rPr>
              <w:t>common stock in the Regeneron Pharmaceuticals, Inc. 401(k) Savings Plan wi</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rPr>
              <w:t>No. The Notice identifies the items to be voted on at the Annual Meeting, but you cannot vote by marking the</w:t>
            </w:r>
          </w:p>
        </w:tc>
        <w:tc>
          <w:tcPr>
            <w:tcW w:w="4100" w:type="dxa"/>
            <w:vAlign w:val="bottom"/>
          </w:tcPr>
          <w:p>
            <w:pPr>
              <w:ind w:left="20"/>
              <w:spacing w:after="0" w:line="135" w:lineRule="exact"/>
              <w:rPr>
                <w:sz w:val="20"/>
                <w:szCs w:val="20"/>
                <w:color w:val="auto"/>
              </w:rPr>
            </w:pPr>
            <w:r>
              <w:rPr>
                <w:rFonts w:ascii="Arial" w:cs="Arial" w:eastAsia="Arial" w:hAnsi="Arial"/>
                <w:sz w:val="12"/>
                <w:szCs w:val="12"/>
                <w:color w:val="auto"/>
              </w:rPr>
              <w:t>materials.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6240" w:type="dxa"/>
            <w:vAlign w:val="bottom"/>
          </w:tcPr>
          <w:p>
            <w:pPr>
              <w:ind w:left="360"/>
              <w:spacing w:after="0" w:line="135" w:lineRule="exact"/>
              <w:rPr>
                <w:sz w:val="20"/>
                <w:szCs w:val="20"/>
                <w:color w:val="auto"/>
              </w:rPr>
            </w:pPr>
            <w:r>
              <w:rPr>
                <w:rFonts w:ascii="Arial" w:cs="Arial" w:eastAsia="Arial" w:hAnsi="Arial"/>
                <w:sz w:val="12"/>
                <w:szCs w:val="12"/>
                <w:color w:val="auto"/>
                <w:w w:val="97"/>
              </w:rPr>
              <w:t>Notice and returning it. The Notice provides instructions on how to vote by Internet, by requesting and returning a</w:t>
            </w:r>
          </w:p>
        </w:tc>
        <w:tc>
          <w:tcPr>
            <w:tcW w:w="4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560"/>
        <w:spacing w:after="0" w:line="205" w:lineRule="auto"/>
        <w:rPr>
          <w:sz w:val="20"/>
          <w:szCs w:val="20"/>
          <w:color w:val="auto"/>
        </w:rPr>
      </w:pPr>
      <w:r>
        <w:rPr>
          <w:rFonts w:ascii="Arial" w:cs="Arial" w:eastAsia="Arial" w:hAnsi="Arial"/>
          <w:sz w:val="12"/>
          <w:szCs w:val="12"/>
          <w:color w:val="auto"/>
        </w:rPr>
        <w:t>paper proxy card, or by submitting a ballot in person at the meeting.</w:t>
      </w:r>
    </w:p>
    <w:p>
      <w:pPr>
        <w:ind w:left="7460"/>
        <w:spacing w:after="0"/>
        <w:rPr>
          <w:sz w:val="20"/>
          <w:szCs w:val="20"/>
          <w:color w:val="auto"/>
        </w:rPr>
      </w:pPr>
      <w:r>
        <w:rPr>
          <w:rFonts w:ascii="Arial" w:cs="Arial" w:eastAsia="Arial" w:hAnsi="Arial"/>
          <w:sz w:val="8"/>
          <w:szCs w:val="8"/>
          <w:color w:val="105BAB"/>
        </w:rPr>
        <w:t>____________________________________________________________________________</w:t>
      </w:r>
    </w:p>
    <w:p>
      <w:pPr>
        <w:spacing w:after="0" w:line="178" w:lineRule="exact"/>
        <w:rPr>
          <w:sz w:val="20"/>
          <w:szCs w:val="20"/>
          <w:color w:val="auto"/>
        </w:rPr>
      </w:pPr>
    </w:p>
    <w:p>
      <w:pPr>
        <w:ind w:left="1560"/>
        <w:spacing w:after="0"/>
        <w:rPr>
          <w:sz w:val="20"/>
          <w:szCs w:val="20"/>
          <w:color w:val="auto"/>
        </w:rPr>
      </w:pPr>
      <w:r>
        <w:rPr>
          <w:rFonts w:ascii="Arial" w:cs="Arial" w:eastAsia="Arial" w:hAnsi="Arial"/>
          <w:sz w:val="10"/>
          <w:szCs w:val="10"/>
          <w:color w:val="105BAB"/>
        </w:rPr>
        <w:t>______________________________________________________________________________________________________________</w:t>
      </w:r>
    </w:p>
    <w:p>
      <w:pPr>
        <w:sectPr>
          <w:pgSz w:w="11900" w:h="16838" w:orient="portrait"/>
          <w:cols w:equalWidth="0" w:num="1">
            <w:col w:w="11540"/>
          </w:cols>
          <w:pgMar w:left="220" w:top="142" w:right="139" w:bottom="1440" w:gutter="0" w:footer="0" w:header="0"/>
        </w:sectPr>
      </w:pPr>
    </w:p>
    <w:p>
      <w:pPr>
        <w:spacing w:after="0" w:line="338"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105BAB"/>
        </w:rPr>
        <w:t>Why did I receive the Notice?</w:t>
      </w:r>
    </w:p>
    <w:p>
      <w:pPr>
        <w:spacing w:after="0" w:line="155" w:lineRule="exact"/>
        <w:rPr>
          <w:sz w:val="20"/>
          <w:szCs w:val="20"/>
          <w:color w:val="auto"/>
        </w:rPr>
      </w:pPr>
    </w:p>
    <w:p>
      <w:pPr>
        <w:ind w:left="1560"/>
        <w:spacing w:after="0" w:line="237" w:lineRule="auto"/>
        <w:rPr>
          <w:sz w:val="20"/>
          <w:szCs w:val="20"/>
          <w:color w:val="auto"/>
        </w:rPr>
      </w:pPr>
      <w:r>
        <w:rPr>
          <w:rFonts w:ascii="Arial" w:cs="Arial" w:eastAsia="Arial" w:hAnsi="Arial"/>
          <w:sz w:val="12"/>
          <w:szCs w:val="12"/>
          <w:color w:val="auto"/>
        </w:rPr>
        <w:t>We sent you the Notice regarding this proxy statement because Regeneron's board of directors is asking (technically called soliciting) holders of common stock and Class A stock to provide proxies to be voted at our 2018 Annual Meeting of Shareholders or at any adjournment(s) or postponement(s) of the meeting.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What constitutes a quorum?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presence at the Annual Meeting, in person or by proxy, of the holders as o common stock and Class A stock having a majority of the voting power of all sh Class A stock outstanding on the record date will constitute a quorum for the tr Annual Meeting. Shares held as of the record date by holders who are present Annual Meeting but who have abstained from voting or have not voted with res on any proposal to be voted on at the Annual Meeting will be counted as prese quorum.</w:t>
      </w:r>
    </w:p>
    <w:p>
      <w:pPr>
        <w:spacing w:after="0" w:line="129" w:lineRule="exact"/>
        <w:rPr>
          <w:sz w:val="20"/>
          <w:szCs w:val="20"/>
          <w:color w:val="auto"/>
        </w:rPr>
      </w:pPr>
    </w:p>
    <w:p>
      <w:pPr>
        <w:sectPr>
          <w:pgSz w:w="11900" w:h="16838" w:orient="portrait"/>
          <w:cols w:equalWidth="0" w:num="2">
            <w:col w:w="7200" w:space="260"/>
            <w:col w:w="4080"/>
          </w:cols>
          <w:pgMar w:left="220" w:top="142" w:right="139" w:bottom="1440" w:gutter="0" w:footer="0" w:header="0"/>
          <w:type w:val="continuous"/>
        </w:sectPr>
      </w:pPr>
    </w:p>
    <w:p>
      <w:pPr>
        <w:ind w:left="11020"/>
        <w:spacing w:after="0"/>
        <w:rPr>
          <w:sz w:val="20"/>
          <w:szCs w:val="20"/>
          <w:color w:val="auto"/>
        </w:rPr>
      </w:pPr>
      <w:r>
        <w:rPr>
          <w:rFonts w:ascii="Arial" w:cs="Arial" w:eastAsia="Arial" w:hAnsi="Arial"/>
          <w:sz w:val="10"/>
          <w:szCs w:val="10"/>
          <w:b w:val="1"/>
          <w:bCs w:val="1"/>
          <w:color w:val="FFFFF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42" w:right="139" w:bottom="1440" w:gutter="0" w:footer="0" w:header="0"/>
          <w:type w:val="continuous"/>
        </w:sectPr>
      </w:pPr>
    </w:p>
    <w:bookmarkStart w:id="14" w:name="page15"/>
    <w:bookmarkEnd w:id="14"/>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3329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32980" cy="5715"/>
                    </a:xfrm>
                    <a:prstGeom prst="rect">
                      <a:avLst/>
                    </a:prstGeom>
                    <a:noFill/>
                  </pic:spPr>
                </pic:pic>
              </a:graphicData>
            </a:graphic>
          </wp:anchor>
        </w:drawing>
      </w:r>
    </w:p>
    <w:p>
      <w:pPr>
        <w:sectPr>
          <w:pgSz w:w="11900" w:h="16838" w:orient="portrait"/>
          <w:cols w:equalWidth="0" w:num="1">
            <w:col w:w="11540"/>
          </w:cols>
          <w:pgMar w:left="220" w:top="14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How can I vote?</w:t>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2"/>
          <w:szCs w:val="12"/>
          <w:b w:val="1"/>
          <w:bCs w:val="1"/>
          <w:color w:val="auto"/>
        </w:rPr>
        <w:t xml:space="preserve">In person. </w:t>
      </w:r>
      <w:r>
        <w:rPr>
          <w:rFonts w:ascii="Arial" w:cs="Arial" w:eastAsia="Arial" w:hAnsi="Arial"/>
          <w:sz w:val="12"/>
          <w:szCs w:val="12"/>
          <w:color w:val="auto"/>
        </w:rPr>
        <w:t>If you are a shareholder of record, you may vote in person at the Annual Meeting. The Company will</w:t>
      </w:r>
      <w:r>
        <w:rPr>
          <w:rFonts w:ascii="Arial" w:cs="Arial" w:eastAsia="Arial" w:hAnsi="Arial"/>
          <w:sz w:val="12"/>
          <w:szCs w:val="12"/>
          <w:b w:val="1"/>
          <w:bCs w:val="1"/>
          <w:color w:val="auto"/>
        </w:rPr>
        <w:t xml:space="preserve"> </w:t>
      </w:r>
      <w:r>
        <w:rPr>
          <w:rFonts w:ascii="Arial" w:cs="Arial" w:eastAsia="Arial" w:hAnsi="Arial"/>
          <w:sz w:val="12"/>
          <w:szCs w:val="12"/>
          <w:color w:val="auto"/>
        </w:rPr>
        <w:t>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w:t>
      </w:r>
    </w:p>
    <w:p>
      <w:pPr>
        <w:spacing w:after="0" w:line="128" w:lineRule="exact"/>
        <w:rPr>
          <w:sz w:val="20"/>
          <w:szCs w:val="20"/>
          <w:color w:val="auto"/>
        </w:rPr>
      </w:pPr>
    </w:p>
    <w:p>
      <w:pPr>
        <w:ind w:right="40"/>
        <w:spacing w:after="0" w:line="244" w:lineRule="auto"/>
        <w:rPr>
          <w:sz w:val="20"/>
          <w:szCs w:val="20"/>
          <w:color w:val="auto"/>
        </w:rPr>
      </w:pPr>
      <w:r>
        <w:rPr>
          <w:rFonts w:ascii="Arial" w:cs="Arial" w:eastAsia="Arial" w:hAnsi="Arial"/>
          <w:sz w:val="12"/>
          <w:szCs w:val="12"/>
          <w:b w:val="1"/>
          <w:bCs w:val="1"/>
          <w:color w:val="auto"/>
        </w:rPr>
        <w:t xml:space="preserve">Via the Internet. </w:t>
      </w:r>
      <w:r>
        <w:rPr>
          <w:rFonts w:ascii="Arial" w:cs="Arial" w:eastAsia="Arial" w:hAnsi="Arial"/>
          <w:sz w:val="12"/>
          <w:szCs w:val="12"/>
          <w:color w:val="auto"/>
        </w:rPr>
        <w:t>You may vote by proxy via the Internet by visiting</w:t>
      </w:r>
      <w:r>
        <w:rPr>
          <w:rFonts w:ascii="Arial" w:cs="Arial" w:eastAsia="Arial" w:hAnsi="Arial"/>
          <w:sz w:val="12"/>
          <w:szCs w:val="12"/>
          <w:b w:val="1"/>
          <w:bCs w:val="1"/>
          <w:color w:val="auto"/>
        </w:rPr>
        <w:t xml:space="preserve"> www.proxyvote.com</w:t>
      </w:r>
      <w:r>
        <w:rPr>
          <w:rFonts w:ascii="Arial" w:cs="Arial" w:eastAsia="Arial" w:hAnsi="Arial"/>
          <w:sz w:val="12"/>
          <w:szCs w:val="12"/>
          <w:color w:val="auto"/>
        </w:rPr>
        <w:t>. You will need the 12-digit control number included on the Notice or, if you received a paper copy of the proxy materials, the proxy card or voting instruction form you received. You may vote via the Internet through 11:59 p.m., Eastern Time, on June 7,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Can I change my vote or revoke my proxy?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Yes. You may change your vote or revoke your proxy at any time before the proxy is exercised by voting aga electronically through the Internet or by telephone, by mailing a new proxy card or voting instruction form, or attending the Annual Meeting and voting in person. If you are a record holder, you may also revoke your pro filing with the Secretary of the Company, at or before the taking of the vote at the Annual Meeting, a written of revocation bearing a later date than the proxy you previously submitted. Attendance at the Annual Meetin not have the effect of revoking a proxy unless you are a record holder and give written notice of revocation t Secretary of the Company before the proxy is exercised or you vote by written ballot at the Annual Meeting. hold your shares through a broker, bank, or other nominee in "street name," you will need to contact them or the instructions in the voting instruction form used by the firm that holds your shares to revoke your proxy. O your latest dated proxy we receive at or prior to the Annual Meeting will be counted.</w:t>
      </w:r>
    </w:p>
    <w:p>
      <w:pPr>
        <w:spacing w:after="0" w:line="239" w:lineRule="exact"/>
        <w:rPr>
          <w:sz w:val="20"/>
          <w:szCs w:val="20"/>
          <w:color w:val="auto"/>
        </w:rPr>
      </w:pPr>
    </w:p>
    <w:p>
      <w:pPr>
        <w:spacing w:after="0"/>
        <w:rPr>
          <w:sz w:val="20"/>
          <w:szCs w:val="20"/>
          <w:color w:val="auto"/>
        </w:rPr>
      </w:pPr>
      <w:r>
        <w:rPr>
          <w:rFonts w:ascii="Arial" w:cs="Arial" w:eastAsia="Arial" w:hAnsi="Arial"/>
          <w:sz w:val="8"/>
          <w:szCs w:val="8"/>
          <w:color w:val="105BAB"/>
        </w:rPr>
        <w:t>_________________________________________________________________________________________________________</w:t>
      </w:r>
    </w:p>
    <w:p>
      <w:pPr>
        <w:spacing w:after="0" w:line="64" w:lineRule="exact"/>
        <w:rPr>
          <w:sz w:val="20"/>
          <w:szCs w:val="20"/>
          <w:color w:val="auto"/>
        </w:rPr>
      </w:pPr>
    </w:p>
    <w:p>
      <w:pPr>
        <w:sectPr>
          <w:pgSz w:w="11900" w:h="16838" w:orient="portrait"/>
          <w:cols w:equalWidth="0" w:num="2">
            <w:col w:w="5880" w:space="80"/>
            <w:col w:w="5580"/>
          </w:cols>
          <w:pgMar w:left="220" w:top="142" w:right="139" w:bottom="1440" w:gutter="0" w:footer="0" w:header="0"/>
          <w:type w:val="continuous"/>
        </w:sectPr>
      </w:pPr>
    </w:p>
    <w:p>
      <w:pPr>
        <w:ind w:right="40"/>
        <w:spacing w:after="0" w:line="248" w:lineRule="auto"/>
        <w:rPr>
          <w:sz w:val="20"/>
          <w:szCs w:val="20"/>
          <w:color w:val="auto"/>
        </w:rPr>
      </w:pPr>
      <w:r>
        <w:rPr>
          <w:rFonts w:ascii="Arial" w:cs="Arial" w:eastAsia="Arial" w:hAnsi="Arial"/>
          <w:sz w:val="12"/>
          <w:szCs w:val="12"/>
          <w:b w:val="1"/>
          <w:bCs w:val="1"/>
          <w:color w:val="auto"/>
        </w:rPr>
        <w:t xml:space="preserve">Via telephone. </w:t>
      </w:r>
      <w:r>
        <w:rPr>
          <w:rFonts w:ascii="Arial" w:cs="Arial" w:eastAsia="Arial" w:hAnsi="Arial"/>
          <w:sz w:val="12"/>
          <w:szCs w:val="12"/>
          <w:color w:val="auto"/>
        </w:rPr>
        <w:t>You may vote by proxy via telephone by calling the toll-free number found on the proxy card or the</w:t>
      </w:r>
      <w:r>
        <w:rPr>
          <w:rFonts w:ascii="Arial" w:cs="Arial" w:eastAsia="Arial" w:hAnsi="Arial"/>
          <w:sz w:val="12"/>
          <w:szCs w:val="12"/>
          <w:b w:val="1"/>
          <w:bCs w:val="1"/>
          <w:color w:val="auto"/>
        </w:rPr>
        <w:t xml:space="preserve"> </w:t>
      </w:r>
      <w:r>
        <w:rPr>
          <w:rFonts w:ascii="Arial" w:cs="Arial" w:eastAsia="Arial" w:hAnsi="Arial"/>
          <w:sz w:val="12"/>
          <w:szCs w:val="12"/>
          <w:color w:val="auto"/>
        </w:rPr>
        <w:t>voting instruction form. You will need the 12-digit control number included on the proxy card or voting instruction form. You may vote via telephone through 11:59 p.m., Eastern Time, on June 7, 2018.</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2"/>
          <w:szCs w:val="12"/>
          <w:b w:val="1"/>
          <w:bCs w:val="1"/>
          <w:color w:val="auto"/>
        </w:rPr>
        <w:t xml:space="preserve">By mail. </w:t>
      </w:r>
      <w:r>
        <w:rPr>
          <w:rFonts w:ascii="Arial" w:cs="Arial" w:eastAsia="Arial" w:hAnsi="Arial"/>
          <w:sz w:val="12"/>
          <w:szCs w:val="12"/>
          <w:color w:val="auto"/>
        </w:rPr>
        <w:t>If you received printed copies of the proxy materials, you may vote by proxy by completing the proxy card</w:t>
      </w:r>
      <w:r>
        <w:rPr>
          <w:rFonts w:ascii="Arial" w:cs="Arial" w:eastAsia="Arial" w:hAnsi="Arial"/>
          <w:sz w:val="12"/>
          <w:szCs w:val="12"/>
          <w:b w:val="1"/>
          <w:bCs w:val="1"/>
          <w:color w:val="auto"/>
        </w:rPr>
        <w:t xml:space="preserve"> </w:t>
      </w:r>
      <w:r>
        <w:rPr>
          <w:rFonts w:ascii="Arial" w:cs="Arial" w:eastAsia="Arial" w:hAnsi="Arial"/>
          <w:sz w:val="12"/>
          <w:szCs w:val="12"/>
          <w:color w:val="auto"/>
        </w:rPr>
        <w:t>or voting instruction form and returning it in the envelope provided.</w:t>
      </w:r>
    </w:p>
    <w:p>
      <w:pPr>
        <w:spacing w:after="0" w:line="236" w:lineRule="exact"/>
        <w:rPr>
          <w:sz w:val="20"/>
          <w:szCs w:val="20"/>
          <w:color w:val="auto"/>
        </w:rPr>
      </w:pPr>
    </w:p>
    <w:p>
      <w:pPr>
        <w:spacing w:after="0"/>
        <w:rPr>
          <w:sz w:val="20"/>
          <w:szCs w:val="20"/>
          <w:color w:val="auto"/>
        </w:rPr>
      </w:pPr>
      <w:r>
        <w:rPr>
          <w:rFonts w:ascii="Arial" w:cs="Arial" w:eastAsia="Arial" w:hAnsi="Arial"/>
          <w:sz w:val="8"/>
          <w:szCs w:val="8"/>
          <w:color w:val="105BAB"/>
        </w:rPr>
        <w:t>_______________________________________________________________________________________________________________</w:t>
      </w:r>
    </w:p>
    <w:p>
      <w:pPr>
        <w:spacing w:after="0" w:line="361" w:lineRule="exact"/>
        <w:rPr>
          <w:sz w:val="20"/>
          <w:szCs w:val="20"/>
          <w:color w:val="auto"/>
        </w:rPr>
      </w:pPr>
    </w:p>
    <w:p>
      <w:pPr>
        <w:spacing w:after="0" w:line="262" w:lineRule="auto"/>
        <w:rPr>
          <w:sz w:val="20"/>
          <w:szCs w:val="20"/>
          <w:color w:val="auto"/>
        </w:rPr>
      </w:pPr>
      <w:r>
        <w:rPr>
          <w:rFonts w:ascii="Arial" w:cs="Arial" w:eastAsia="Arial" w:hAnsi="Arial"/>
          <w:sz w:val="12"/>
          <w:szCs w:val="12"/>
          <w:b w:val="1"/>
          <w:bCs w:val="1"/>
          <w:color w:val="105BAB"/>
        </w:rPr>
        <w:t>If I am a Regeneron employee or former employee, how do I vote shares in the Company Stock Fund in my 401(k) account?</w:t>
      </w:r>
    </w:p>
    <w:p>
      <w:pPr>
        <w:spacing w:after="0" w:line="127" w:lineRule="exact"/>
        <w:rPr>
          <w:sz w:val="20"/>
          <w:szCs w:val="20"/>
          <w:color w:val="auto"/>
        </w:rPr>
      </w:pPr>
    </w:p>
    <w:p>
      <w:pPr>
        <w:ind w:right="20"/>
        <w:spacing w:after="0" w:line="236" w:lineRule="auto"/>
        <w:rPr>
          <w:sz w:val="20"/>
          <w:szCs w:val="20"/>
          <w:color w:val="auto"/>
        </w:rPr>
      </w:pPr>
      <w:r>
        <w:rPr>
          <w:rFonts w:ascii="Arial" w:cs="Arial" w:eastAsia="Arial" w:hAnsi="Arial"/>
          <w:sz w:val="12"/>
          <w:szCs w:val="12"/>
          <w:color w:val="auto"/>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 w:cs="Arial" w:eastAsia="Arial" w:hAnsi="Arial"/>
          <w:sz w:val="12"/>
          <w:szCs w:val="12"/>
          <w:b w:val="1"/>
          <w:bCs w:val="1"/>
          <w:color w:val="auto"/>
        </w:rPr>
        <w:t>www.proxyvote.com</w:t>
      </w:r>
      <w:r>
        <w:rPr>
          <w:rFonts w:ascii="Arial" w:cs="Arial" w:eastAsia="Arial" w:hAnsi="Arial"/>
          <w:sz w:val="12"/>
          <w:szCs w:val="12"/>
          <w:color w:val="auto"/>
        </w:rPr>
        <w:t xml:space="preserve"> by 11:59 p.m., Eastern Time, on June 5, 2018, (2) by calling 1-800-690-6903 by 11:59 p.m., Eastern Time, on June 5, 2018,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Who solicits proxies and bears the cost of solicitation?</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Solicitation of proxies may be made by mail, in person, or by telephone by officers, directors, and other empl of the Company and by employees of the Company's transfer agent, American Stock Transfer &amp; Trust Company, LLC ("AST"), and employees of Broadridge Financial Solutions, Inc. ("Broadridge"). We will reimb AST, Broadridge, and our banks, brokers, and other custodians, nominees, and fiduciaries for their respectiv reasonable costs in the preparation and mailing of proxy materials to shareholders. In addition, we have eng Innisfree M&amp;A Incorporated to assist in the solicitation of proxies and provide related advice and information support for a service fee of $25,000 and the reimbursement of customary disbursements and expenses. We bear all costs of the solicitation of proxies.</w:t>
      </w:r>
    </w:p>
    <w:p>
      <w:pPr>
        <w:spacing w:after="0" w:line="1371" w:lineRule="exact"/>
        <w:rPr>
          <w:sz w:val="20"/>
          <w:szCs w:val="20"/>
          <w:color w:val="auto"/>
        </w:rPr>
      </w:pPr>
    </w:p>
    <w:p>
      <w:pPr>
        <w:sectPr>
          <w:pgSz w:w="11900" w:h="16838" w:orient="portrait"/>
          <w:cols w:equalWidth="0" w:num="2">
            <w:col w:w="5920" w:space="40"/>
            <w:col w:w="5580"/>
          </w:cols>
          <w:pgMar w:left="220" w:top="142" w:right="139" w:bottom="1440" w:gutter="0" w:footer="0" w:header="0"/>
          <w:type w:val="continuous"/>
        </w:sectPr>
      </w:pPr>
    </w:p>
    <w:p>
      <w:pPr>
        <w:ind w:left="380"/>
        <w:spacing w:after="0"/>
        <w:rPr>
          <w:sz w:val="20"/>
          <w:szCs w:val="20"/>
          <w:color w:val="auto"/>
        </w:rPr>
      </w:pPr>
      <w:r>
        <w:rPr>
          <w:rFonts w:ascii="Arial" w:cs="Arial" w:eastAsia="Arial" w:hAnsi="Arial"/>
          <w:sz w:val="10"/>
          <w:szCs w:val="10"/>
          <w:b w:val="1"/>
          <w:bCs w:val="1"/>
          <w:color w:val="FFFFF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42" w:right="139" w:bottom="1440" w:gutter="0" w:footer="0" w:header="0"/>
          <w:type w:val="continuous"/>
        </w:sectPr>
      </w:pPr>
    </w:p>
    <w:bookmarkStart w:id="15" w:name="page16"/>
    <w:bookmarkEnd w:id="15"/>
    <w:p>
      <w:pPr>
        <w:ind w:left="8"/>
        <w:spacing w:after="0"/>
        <w:rPr>
          <w:rFonts w:ascii="Arial" w:cs="Arial" w:eastAsia="Arial" w:hAnsi="Arial"/>
          <w:sz w:val="12"/>
          <w:szCs w:val="12"/>
          <w:u w:val="single" w:color="auto"/>
          <w:color w:val="0000EE"/>
        </w:rPr>
      </w:pPr>
      <w:r>
        <w:rPr>
          <w:rFonts w:ascii="Arial" w:cs="Arial" w:eastAsia="Arial" w:hAnsi="Arial"/>
          <w:sz w:val="12"/>
          <w:szCs w:val="12"/>
          <w:u w:val="single" w:color="auto"/>
          <w:color w:val="0000EE"/>
        </w:rPr>
        <w:drawing>
          <wp:anchor simplePos="0" relativeHeight="251657728" behindDoc="1" locked="0" layoutInCell="0" allowOverlap="1">
            <wp:simplePos x="0" y="0"/>
            <wp:positionH relativeFrom="page">
              <wp:posOffset>134620</wp:posOffset>
            </wp:positionH>
            <wp:positionV relativeFrom="page">
              <wp:posOffset>277495</wp:posOffset>
            </wp:positionV>
            <wp:extent cx="7292340" cy="45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923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What are the board's recommendations?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365760" cy="365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5760" cy="365760"/>
                    </a:xfrm>
                    <a:prstGeom prst="rect">
                      <a:avLst/>
                    </a:prstGeom>
                    <a:noFill/>
                  </pic:spPr>
                </pic:pic>
              </a:graphicData>
            </a:graphic>
          </wp:anchor>
        </w:drawing>
      </w:r>
    </w:p>
    <w:p>
      <w:pPr>
        <w:spacing w:after="0" w:line="356" w:lineRule="exact"/>
        <w:rPr>
          <w:sz w:val="20"/>
          <w:szCs w:val="20"/>
          <w:color w:val="auto"/>
        </w:rPr>
      </w:pPr>
    </w:p>
    <w:p>
      <w:pPr>
        <w:ind w:left="688"/>
        <w:spacing w:after="0"/>
        <w:rPr>
          <w:sz w:val="20"/>
          <w:szCs w:val="20"/>
          <w:color w:val="auto"/>
        </w:rPr>
      </w:pPr>
      <w:r>
        <w:rPr>
          <w:rFonts w:ascii="Arial" w:cs="Arial" w:eastAsia="Arial" w:hAnsi="Arial"/>
          <w:sz w:val="10"/>
          <w:szCs w:val="10"/>
          <w:color w:val="auto"/>
        </w:rPr>
        <w:t>election of each of the three nominated Class III directors (Proposal No. 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2923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319405</wp:posOffset>
            </wp:positionV>
            <wp:extent cx="365760" cy="365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5760"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8"/>
        <w:spacing w:after="0"/>
        <w:rPr>
          <w:sz w:val="20"/>
          <w:szCs w:val="20"/>
          <w:color w:val="auto"/>
        </w:rPr>
      </w:pPr>
      <w:r>
        <w:rPr>
          <w:rFonts w:ascii="Arial" w:cs="Arial" w:eastAsia="Arial" w:hAnsi="Arial"/>
          <w:sz w:val="10"/>
          <w:szCs w:val="10"/>
          <w:color w:val="auto"/>
        </w:rPr>
        <w:t>ratification of the appointment of PricewaterhouseCoopers LLP as the Company's independent registered public accounting firm for 2018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923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What vote is required to approve each proposal?</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voting requirements applicable to the proposals to be voted on at the Annual Meeting:</w:t>
      </w:r>
    </w:p>
    <w:p>
      <w:pPr>
        <w:spacing w:after="0" w:line="254" w:lineRule="exact"/>
        <w:rPr>
          <w:sz w:val="20"/>
          <w:szCs w:val="20"/>
          <w:color w:val="auto"/>
        </w:rPr>
      </w:pPr>
    </w:p>
    <w:tbl>
      <w:tblPr>
        <w:tblLayout w:type="fixed"/>
        <w:tblInd w:w="8" w:type="dxa"/>
        <w:tblCellMar>
          <w:top w:w="0" w:type="dxa"/>
          <w:left w:w="0" w:type="dxa"/>
          <w:bottom w:w="0" w:type="dxa"/>
          <w:right w:w="0" w:type="dxa"/>
        </w:tblCellMar>
      </w:tblPr>
      <w:tr>
        <w:trPr>
          <w:trHeight w:val="107"/>
        </w:trPr>
        <w:tc>
          <w:tcPr>
            <w:tcW w:w="1340" w:type="dxa"/>
            <w:vAlign w:val="bottom"/>
            <w:tcBorders>
              <w:top w:val="single" w:sz="8" w:color="105BAB"/>
            </w:tcBorders>
          </w:tcPr>
          <w:p>
            <w:pPr>
              <w:spacing w:after="0"/>
              <w:rPr>
                <w:sz w:val="9"/>
                <w:szCs w:val="9"/>
                <w:color w:val="auto"/>
              </w:rPr>
            </w:pPr>
          </w:p>
        </w:tc>
        <w:tc>
          <w:tcPr>
            <w:tcW w:w="7320" w:type="dxa"/>
            <w:vAlign w:val="bottom"/>
            <w:tcBorders>
              <w:top w:val="single" w:sz="8" w:color="105BAB"/>
            </w:tcBorders>
          </w:tcPr>
          <w:p>
            <w:pPr>
              <w:spacing w:after="0"/>
              <w:rPr>
                <w:sz w:val="9"/>
                <w:szCs w:val="9"/>
                <w:color w:val="auto"/>
              </w:rPr>
            </w:pPr>
          </w:p>
        </w:tc>
        <w:tc>
          <w:tcPr>
            <w:tcW w:w="1360" w:type="dxa"/>
            <w:vAlign w:val="bottom"/>
            <w:tcBorders>
              <w:top w:val="single" w:sz="8" w:color="105BAB"/>
            </w:tcBorders>
          </w:tcPr>
          <w:p>
            <w:pPr>
              <w:spacing w:after="0"/>
              <w:rPr>
                <w:sz w:val="9"/>
                <w:szCs w:val="9"/>
                <w:color w:val="auto"/>
              </w:rPr>
            </w:pPr>
          </w:p>
        </w:tc>
        <w:tc>
          <w:tcPr>
            <w:tcW w:w="1460" w:type="dxa"/>
            <w:vAlign w:val="bottom"/>
            <w:tcBorders>
              <w:top w:val="single" w:sz="8" w:color="105BAB"/>
            </w:tcBorders>
          </w:tcPr>
          <w:p>
            <w:pPr>
              <w:ind w:left="80"/>
              <w:spacing w:after="0" w:line="107" w:lineRule="exact"/>
              <w:rPr>
                <w:sz w:val="20"/>
                <w:szCs w:val="20"/>
                <w:color w:val="auto"/>
              </w:rPr>
            </w:pPr>
            <w:r>
              <w:rPr>
                <w:rFonts w:ascii="Arial" w:cs="Arial" w:eastAsia="Arial" w:hAnsi="Arial"/>
                <w:sz w:val="10"/>
                <w:szCs w:val="10"/>
                <w:b w:val="1"/>
                <w:bCs w:val="1"/>
                <w:color w:val="105BAB"/>
              </w:rPr>
              <w:t>Broker Discretionary Voting</w:t>
            </w:r>
          </w:p>
        </w:tc>
        <w:tc>
          <w:tcPr>
            <w:tcW w:w="0" w:type="dxa"/>
            <w:vAlign w:val="bottom"/>
          </w:tcPr>
          <w:p>
            <w:pPr>
              <w:spacing w:after="0"/>
              <w:rPr>
                <w:sz w:val="1"/>
                <w:szCs w:val="1"/>
                <w:color w:val="auto"/>
              </w:rPr>
            </w:pPr>
          </w:p>
        </w:tc>
      </w:tr>
      <w:tr>
        <w:trPr>
          <w:trHeight w:val="136"/>
        </w:trPr>
        <w:tc>
          <w:tcPr>
            <w:tcW w:w="1340" w:type="dxa"/>
            <w:vAlign w:val="bottom"/>
            <w:tcBorders>
              <w:bottom w:val="single" w:sz="8" w:color="105BAB"/>
            </w:tcBorders>
          </w:tcPr>
          <w:p>
            <w:pPr>
              <w:ind w:left="20"/>
              <w:spacing w:after="0"/>
              <w:rPr>
                <w:sz w:val="20"/>
                <w:szCs w:val="20"/>
                <w:color w:val="auto"/>
              </w:rPr>
            </w:pPr>
            <w:r>
              <w:rPr>
                <w:rFonts w:ascii="Arial" w:cs="Arial" w:eastAsia="Arial" w:hAnsi="Arial"/>
                <w:sz w:val="10"/>
                <w:szCs w:val="10"/>
                <w:b w:val="1"/>
                <w:bCs w:val="1"/>
                <w:color w:val="105BAB"/>
              </w:rPr>
              <w:t>Proposal</w:t>
            </w:r>
          </w:p>
        </w:tc>
        <w:tc>
          <w:tcPr>
            <w:tcW w:w="732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Vote Required</w:t>
            </w:r>
          </w:p>
        </w:tc>
        <w:tc>
          <w:tcPr>
            <w:tcW w:w="1360" w:type="dxa"/>
            <w:vAlign w:val="bottom"/>
            <w:tcBorders>
              <w:bottom w:val="single" w:sz="8" w:color="105BAB"/>
            </w:tcBorders>
          </w:tcPr>
          <w:p>
            <w:pPr>
              <w:ind w:left="280"/>
              <w:spacing w:after="0" w:line="137" w:lineRule="exact"/>
              <w:rPr>
                <w:sz w:val="20"/>
                <w:szCs w:val="20"/>
                <w:color w:val="auto"/>
              </w:rPr>
            </w:pPr>
            <w:r>
              <w:rPr>
                <w:rFonts w:ascii="Arial" w:cs="Arial" w:eastAsia="Arial" w:hAnsi="Arial"/>
                <w:sz w:val="10"/>
                <w:szCs w:val="10"/>
                <w:b w:val="1"/>
                <w:bCs w:val="1"/>
                <w:color w:val="105BAB"/>
              </w:rPr>
              <w:t>Effect of Abstentions</w:t>
            </w:r>
            <w:r>
              <w:rPr>
                <w:rFonts w:ascii="Arial" w:cs="Arial" w:eastAsia="Arial" w:hAnsi="Arial"/>
                <w:sz w:val="14"/>
                <w:szCs w:val="14"/>
                <w:b w:val="1"/>
                <w:bCs w:val="1"/>
                <w:color w:val="105BAB"/>
                <w:vertAlign w:val="superscript"/>
              </w:rPr>
              <w:t>1</w:t>
            </w:r>
          </w:p>
        </w:tc>
        <w:tc>
          <w:tcPr>
            <w:tcW w:w="1460" w:type="dxa"/>
            <w:vAlign w:val="bottom"/>
            <w:tcBorders>
              <w:bottom w:val="single" w:sz="8" w:color="105BAB"/>
            </w:tcBorders>
          </w:tcPr>
          <w:p>
            <w:pPr>
              <w:ind w:left="80"/>
              <w:spacing w:after="0" w:line="137" w:lineRule="exact"/>
              <w:rPr>
                <w:sz w:val="20"/>
                <w:szCs w:val="20"/>
                <w:color w:val="auto"/>
              </w:rPr>
            </w:pPr>
            <w:r>
              <w:rPr>
                <w:rFonts w:ascii="Arial" w:cs="Arial" w:eastAsia="Arial" w:hAnsi="Arial"/>
                <w:sz w:val="10"/>
                <w:szCs w:val="10"/>
                <w:b w:val="1"/>
                <w:bCs w:val="1"/>
                <w:color w:val="105BAB"/>
              </w:rPr>
              <w:t>Allowed?</w:t>
            </w:r>
            <w:r>
              <w:rPr>
                <w:rFonts w:ascii="Arial" w:cs="Arial" w:eastAsia="Arial" w:hAnsi="Arial"/>
                <w:sz w:val="14"/>
                <w:szCs w:val="14"/>
                <w:b w:val="1"/>
                <w:bCs w:val="1"/>
                <w:color w:val="105BAB"/>
                <w:vertAlign w:val="superscript"/>
              </w:rPr>
              <w:t>2</w:t>
            </w:r>
          </w:p>
        </w:tc>
        <w:tc>
          <w:tcPr>
            <w:tcW w:w="0" w:type="dxa"/>
            <w:vAlign w:val="bottom"/>
          </w:tcPr>
          <w:p>
            <w:pPr>
              <w:spacing w:after="0"/>
              <w:rPr>
                <w:sz w:val="1"/>
                <w:szCs w:val="1"/>
                <w:color w:val="auto"/>
              </w:rPr>
            </w:pPr>
          </w:p>
        </w:tc>
      </w:tr>
      <w:tr>
        <w:trPr>
          <w:trHeight w:val="205"/>
        </w:trPr>
        <w:tc>
          <w:tcPr>
            <w:tcW w:w="1340" w:type="dxa"/>
            <w:vAlign w:val="bottom"/>
            <w:shd w:val="clear" w:color="auto" w:fill="F1F3F9"/>
          </w:tcPr>
          <w:p>
            <w:pPr>
              <w:ind w:left="340"/>
              <w:spacing w:after="0"/>
              <w:rPr>
                <w:sz w:val="20"/>
                <w:szCs w:val="20"/>
                <w:color w:val="auto"/>
              </w:rPr>
            </w:pPr>
            <w:r>
              <w:rPr>
                <w:rFonts w:ascii="Arial" w:cs="Arial" w:eastAsia="Arial" w:hAnsi="Arial"/>
                <w:sz w:val="12"/>
                <w:szCs w:val="12"/>
                <w:b w:val="1"/>
                <w:bCs w:val="1"/>
                <w:color w:val="105BAB"/>
              </w:rPr>
              <w:t>Election of</w:t>
            </w:r>
          </w:p>
        </w:tc>
        <w:tc>
          <w:tcPr>
            <w:tcW w:w="7320" w:type="dxa"/>
            <w:vAlign w:val="bottom"/>
            <w:shd w:val="clear" w:color="auto" w:fill="F1F3F9"/>
          </w:tcPr>
          <w:p>
            <w:pPr>
              <w:ind w:left="60"/>
              <w:spacing w:after="0"/>
              <w:rPr>
                <w:sz w:val="20"/>
                <w:szCs w:val="20"/>
                <w:color w:val="auto"/>
              </w:rPr>
            </w:pPr>
            <w:r>
              <w:rPr>
                <w:rFonts w:ascii="Arial" w:cs="Arial" w:eastAsia="Arial" w:hAnsi="Arial"/>
                <w:sz w:val="10"/>
                <w:szCs w:val="10"/>
                <w:color w:val="auto"/>
              </w:rPr>
              <w:t>Majority of the votes cast. In accordance with our director resignation policy, an incumbent director who fails to receive the required number of votes in</w:t>
            </w:r>
          </w:p>
        </w:tc>
        <w:tc>
          <w:tcPr>
            <w:tcW w:w="1360" w:type="dxa"/>
            <w:vAlign w:val="bottom"/>
            <w:shd w:val="clear" w:color="auto" w:fill="F1F3F9"/>
          </w:tcPr>
          <w:p>
            <w:pPr>
              <w:ind w:left="280"/>
              <w:spacing w:after="0"/>
              <w:rPr>
                <w:sz w:val="20"/>
                <w:szCs w:val="20"/>
                <w:color w:val="auto"/>
              </w:rPr>
            </w:pPr>
            <w:r>
              <w:rPr>
                <w:rFonts w:ascii="Arial" w:cs="Arial" w:eastAsia="Arial" w:hAnsi="Arial"/>
                <w:sz w:val="10"/>
                <w:szCs w:val="10"/>
                <w:color w:val="auto"/>
              </w:rPr>
              <w:t>No effect</w:t>
            </w:r>
          </w:p>
        </w:tc>
        <w:tc>
          <w:tcPr>
            <w:tcW w:w="1460" w:type="dxa"/>
            <w:vAlign w:val="bottom"/>
            <w:shd w:val="clear" w:color="auto" w:fill="F1F3F9"/>
          </w:tcPr>
          <w:p>
            <w:pPr>
              <w:ind w:left="80"/>
              <w:spacing w:after="0"/>
              <w:rPr>
                <w:sz w:val="20"/>
                <w:szCs w:val="20"/>
                <w:color w:val="auto"/>
              </w:rPr>
            </w:pPr>
            <w:r>
              <w:rPr>
                <w:rFonts w:ascii="Arial" w:cs="Arial" w:eastAsia="Arial" w:hAnsi="Arial"/>
                <w:sz w:val="10"/>
                <w:szCs w:val="10"/>
                <w:color w:val="auto"/>
              </w:rPr>
              <w:t>No</w:t>
            </w:r>
          </w:p>
        </w:tc>
        <w:tc>
          <w:tcPr>
            <w:tcW w:w="0" w:type="dxa"/>
            <w:vAlign w:val="bottom"/>
          </w:tcPr>
          <w:p>
            <w:pPr>
              <w:spacing w:after="0"/>
              <w:rPr>
                <w:sz w:val="1"/>
                <w:szCs w:val="1"/>
                <w:color w:val="auto"/>
              </w:rPr>
            </w:pPr>
          </w:p>
        </w:tc>
      </w:tr>
      <w:tr>
        <w:trPr>
          <w:trHeight w:val="111"/>
        </w:trPr>
        <w:tc>
          <w:tcPr>
            <w:tcW w:w="1340" w:type="dxa"/>
            <w:vAlign w:val="bottom"/>
            <w:vMerge w:val="restart"/>
            <w:shd w:val="clear" w:color="auto" w:fill="F1F3F9"/>
          </w:tcPr>
          <w:p>
            <w:pPr>
              <w:ind w:left="40"/>
              <w:spacing w:after="0" w:line="220" w:lineRule="exact"/>
              <w:rPr>
                <w:sz w:val="20"/>
                <w:szCs w:val="20"/>
                <w:color w:val="auto"/>
              </w:rPr>
            </w:pPr>
            <w:r>
              <w:rPr>
                <w:rFonts w:ascii="Arial" w:cs="Arial" w:eastAsia="Arial" w:hAnsi="Arial"/>
                <w:sz w:val="25"/>
                <w:szCs w:val="25"/>
                <w:color w:val="105BAB"/>
              </w:rPr>
              <w:t xml:space="preserve">1 </w:t>
            </w:r>
            <w:r>
              <w:rPr>
                <w:rFonts w:ascii="Arial" w:cs="Arial" w:eastAsia="Arial" w:hAnsi="Arial"/>
                <w:sz w:val="10"/>
                <w:szCs w:val="10"/>
                <w:b w:val="1"/>
                <w:bCs w:val="1"/>
                <w:color w:val="105BAB"/>
              </w:rPr>
              <w:t>Directors</w:t>
            </w:r>
          </w:p>
        </w:tc>
        <w:tc>
          <w:tcPr>
            <w:tcW w:w="7320" w:type="dxa"/>
            <w:vAlign w:val="bottom"/>
            <w:shd w:val="clear" w:color="auto" w:fill="F1F3F9"/>
          </w:tcPr>
          <w:p>
            <w:pPr>
              <w:ind w:left="60"/>
              <w:spacing w:after="0" w:line="112" w:lineRule="exact"/>
              <w:rPr>
                <w:sz w:val="20"/>
                <w:szCs w:val="20"/>
                <w:color w:val="auto"/>
              </w:rPr>
            </w:pPr>
            <w:r>
              <w:rPr>
                <w:rFonts w:ascii="Arial" w:cs="Arial" w:eastAsia="Arial" w:hAnsi="Arial"/>
                <w:sz w:val="10"/>
                <w:szCs w:val="10"/>
                <w:color w:val="auto"/>
                <w:w w:val="99"/>
              </w:rPr>
              <w:t>an uncontested election will be required to tender his or her resignation to the Chairman of the board of directors for consideration by the Corporate Governance and</w:t>
            </w:r>
          </w:p>
        </w:tc>
        <w:tc>
          <w:tcPr>
            <w:tcW w:w="1360" w:type="dxa"/>
            <w:vAlign w:val="bottom"/>
            <w:shd w:val="clear" w:color="auto" w:fill="F1F3F9"/>
          </w:tcPr>
          <w:p>
            <w:pPr>
              <w:ind w:left="280"/>
              <w:spacing w:after="0" w:line="112" w:lineRule="exact"/>
              <w:rPr>
                <w:sz w:val="20"/>
                <w:szCs w:val="20"/>
                <w:color w:val="auto"/>
              </w:rPr>
            </w:pPr>
            <w:r>
              <w:rPr>
                <w:rFonts w:ascii="Arial" w:cs="Arial" w:eastAsia="Arial" w:hAnsi="Arial"/>
                <w:sz w:val="10"/>
                <w:szCs w:val="10"/>
                <w:color w:val="auto"/>
              </w:rPr>
              <w:t>Not considered</w:t>
            </w:r>
          </w:p>
        </w:tc>
        <w:tc>
          <w:tcPr>
            <w:tcW w:w="1460" w:type="dxa"/>
            <w:vAlign w:val="bottom"/>
            <w:shd w:val="clear" w:color="auto" w:fill="F1F3F9"/>
          </w:tcPr>
          <w:p>
            <w:pPr>
              <w:ind w:left="80"/>
              <w:spacing w:after="0" w:line="112" w:lineRule="exact"/>
              <w:rPr>
                <w:sz w:val="20"/>
                <w:szCs w:val="20"/>
                <w:color w:val="auto"/>
              </w:rPr>
            </w:pPr>
            <w:r>
              <w:rPr>
                <w:rFonts w:ascii="Arial" w:cs="Arial" w:eastAsia="Arial" w:hAnsi="Arial"/>
                <w:sz w:val="10"/>
                <w:szCs w:val="10"/>
                <w:color w:val="auto"/>
              </w:rPr>
              <w:t>Brokers without voting</w:t>
            </w:r>
          </w:p>
        </w:tc>
        <w:tc>
          <w:tcPr>
            <w:tcW w:w="0" w:type="dxa"/>
            <w:vAlign w:val="bottom"/>
          </w:tcPr>
          <w:p>
            <w:pPr>
              <w:spacing w:after="0"/>
              <w:rPr>
                <w:sz w:val="1"/>
                <w:szCs w:val="1"/>
                <w:color w:val="auto"/>
              </w:rPr>
            </w:pPr>
          </w:p>
        </w:tc>
      </w:tr>
      <w:tr>
        <w:trPr>
          <w:trHeight w:val="108"/>
        </w:trPr>
        <w:tc>
          <w:tcPr>
            <w:tcW w:w="1340" w:type="dxa"/>
            <w:vAlign w:val="bottom"/>
            <w:vMerge w:val="continue"/>
            <w:shd w:val="clear" w:color="auto" w:fill="F1F3F9"/>
          </w:tcPr>
          <w:p>
            <w:pPr>
              <w:spacing w:after="0"/>
              <w:rPr>
                <w:sz w:val="9"/>
                <w:szCs w:val="9"/>
                <w:color w:val="auto"/>
              </w:rPr>
            </w:pPr>
          </w:p>
        </w:tc>
        <w:tc>
          <w:tcPr>
            <w:tcW w:w="7320" w:type="dxa"/>
            <w:vAlign w:val="bottom"/>
            <w:shd w:val="clear" w:color="auto" w:fill="F1F3F9"/>
          </w:tcPr>
          <w:p>
            <w:pPr>
              <w:ind w:left="60"/>
              <w:spacing w:after="0" w:line="108" w:lineRule="exact"/>
              <w:rPr>
                <w:sz w:val="20"/>
                <w:szCs w:val="20"/>
                <w:color w:val="auto"/>
              </w:rPr>
            </w:pPr>
            <w:r>
              <w:rPr>
                <w:rFonts w:ascii="Arial" w:cs="Arial" w:eastAsia="Arial" w:hAnsi="Arial"/>
                <w:sz w:val="10"/>
                <w:szCs w:val="10"/>
                <w:color w:val="auto"/>
              </w:rPr>
              <w:t>Compliance Committee.</w:t>
            </w:r>
          </w:p>
        </w:tc>
        <w:tc>
          <w:tcPr>
            <w:tcW w:w="1360" w:type="dxa"/>
            <w:vAlign w:val="bottom"/>
            <w:shd w:val="clear" w:color="auto" w:fill="F1F3F9"/>
          </w:tcPr>
          <w:p>
            <w:pPr>
              <w:ind w:left="280"/>
              <w:spacing w:after="0" w:line="108" w:lineRule="exact"/>
              <w:rPr>
                <w:sz w:val="20"/>
                <w:szCs w:val="20"/>
                <w:color w:val="auto"/>
              </w:rPr>
            </w:pPr>
            <w:r>
              <w:rPr>
                <w:rFonts w:ascii="Arial" w:cs="Arial" w:eastAsia="Arial" w:hAnsi="Arial"/>
                <w:sz w:val="10"/>
                <w:szCs w:val="10"/>
                <w:color w:val="auto"/>
              </w:rPr>
              <w:t>votes cast on this</w:t>
            </w:r>
          </w:p>
        </w:tc>
        <w:tc>
          <w:tcPr>
            <w:tcW w:w="1460" w:type="dxa"/>
            <w:vAlign w:val="bottom"/>
            <w:shd w:val="clear" w:color="auto" w:fill="F1F3F9"/>
          </w:tcPr>
          <w:p>
            <w:pPr>
              <w:ind w:left="80"/>
              <w:spacing w:after="0" w:line="108" w:lineRule="exact"/>
              <w:rPr>
                <w:sz w:val="20"/>
                <w:szCs w:val="20"/>
                <w:color w:val="auto"/>
              </w:rPr>
            </w:pPr>
            <w:r>
              <w:rPr>
                <w:rFonts w:ascii="Arial" w:cs="Arial" w:eastAsia="Arial" w:hAnsi="Arial"/>
                <w:sz w:val="10"/>
                <w:szCs w:val="10"/>
                <w:color w:val="auto"/>
              </w:rPr>
              <w:t>instructions will not be able</w:t>
            </w:r>
          </w:p>
        </w:tc>
        <w:tc>
          <w:tcPr>
            <w:tcW w:w="0" w:type="dxa"/>
            <w:vAlign w:val="bottom"/>
          </w:tcPr>
          <w:p>
            <w:pPr>
              <w:spacing w:after="0"/>
              <w:rPr>
                <w:sz w:val="1"/>
                <w:szCs w:val="1"/>
                <w:color w:val="auto"/>
              </w:rPr>
            </w:pPr>
          </w:p>
        </w:tc>
      </w:tr>
      <w:tr>
        <w:trPr>
          <w:trHeight w:val="115"/>
        </w:trPr>
        <w:tc>
          <w:tcPr>
            <w:tcW w:w="1340" w:type="dxa"/>
            <w:vAlign w:val="bottom"/>
            <w:shd w:val="clear" w:color="auto" w:fill="F1F3F9"/>
          </w:tcPr>
          <w:p>
            <w:pPr>
              <w:spacing w:after="0"/>
              <w:rPr>
                <w:sz w:val="9"/>
                <w:szCs w:val="9"/>
                <w:color w:val="auto"/>
              </w:rPr>
            </w:pPr>
          </w:p>
        </w:tc>
        <w:tc>
          <w:tcPr>
            <w:tcW w:w="7320" w:type="dxa"/>
            <w:vAlign w:val="bottom"/>
            <w:shd w:val="clear" w:color="auto" w:fill="F1F3F9"/>
          </w:tcPr>
          <w:p>
            <w:pPr>
              <w:spacing w:after="0"/>
              <w:rPr>
                <w:sz w:val="9"/>
                <w:szCs w:val="9"/>
                <w:color w:val="auto"/>
              </w:rPr>
            </w:pPr>
          </w:p>
        </w:tc>
        <w:tc>
          <w:tcPr>
            <w:tcW w:w="1360" w:type="dxa"/>
            <w:vAlign w:val="bottom"/>
            <w:shd w:val="clear" w:color="auto" w:fill="F1F3F9"/>
          </w:tcPr>
          <w:p>
            <w:pPr>
              <w:ind w:left="280"/>
              <w:spacing w:after="0"/>
              <w:rPr>
                <w:sz w:val="20"/>
                <w:szCs w:val="20"/>
                <w:color w:val="auto"/>
              </w:rPr>
            </w:pPr>
            <w:r>
              <w:rPr>
                <w:rFonts w:ascii="Arial" w:cs="Arial" w:eastAsia="Arial" w:hAnsi="Arial"/>
                <w:sz w:val="10"/>
                <w:szCs w:val="10"/>
                <w:color w:val="auto"/>
              </w:rPr>
              <w:t>proposal</w:t>
            </w:r>
          </w:p>
        </w:tc>
        <w:tc>
          <w:tcPr>
            <w:tcW w:w="1460" w:type="dxa"/>
            <w:vAlign w:val="bottom"/>
            <w:shd w:val="clear" w:color="auto" w:fill="F1F3F9"/>
          </w:tcPr>
          <w:p>
            <w:pPr>
              <w:ind w:left="80"/>
              <w:spacing w:after="0"/>
              <w:rPr>
                <w:sz w:val="20"/>
                <w:szCs w:val="20"/>
                <w:color w:val="auto"/>
              </w:rPr>
            </w:pPr>
            <w:r>
              <w:rPr>
                <w:rFonts w:ascii="Arial" w:cs="Arial" w:eastAsia="Arial" w:hAnsi="Arial"/>
                <w:sz w:val="10"/>
                <w:szCs w:val="10"/>
                <w:color w:val="auto"/>
              </w:rPr>
              <w:t>to vote on this proposal</w:t>
            </w:r>
          </w:p>
        </w:tc>
        <w:tc>
          <w:tcPr>
            <w:tcW w:w="0" w:type="dxa"/>
            <w:vAlign w:val="bottom"/>
          </w:tcPr>
          <w:p>
            <w:pPr>
              <w:spacing w:after="0"/>
              <w:rPr>
                <w:sz w:val="1"/>
                <w:szCs w:val="1"/>
                <w:color w:val="auto"/>
              </w:rPr>
            </w:pPr>
          </w:p>
        </w:tc>
      </w:tr>
      <w:tr>
        <w:trPr>
          <w:trHeight w:val="98"/>
        </w:trPr>
        <w:tc>
          <w:tcPr>
            <w:tcW w:w="1340" w:type="dxa"/>
            <w:vAlign w:val="bottom"/>
            <w:tcBorders>
              <w:bottom w:val="single" w:sz="8" w:color="105BAB"/>
            </w:tcBorders>
            <w:shd w:val="clear" w:color="auto" w:fill="F1F3F9"/>
          </w:tcPr>
          <w:p>
            <w:pPr>
              <w:spacing w:after="0"/>
              <w:rPr>
                <w:sz w:val="8"/>
                <w:szCs w:val="8"/>
                <w:color w:val="auto"/>
              </w:rPr>
            </w:pPr>
          </w:p>
        </w:tc>
        <w:tc>
          <w:tcPr>
            <w:tcW w:w="7320" w:type="dxa"/>
            <w:vAlign w:val="bottom"/>
            <w:tcBorders>
              <w:bottom w:val="single" w:sz="8" w:color="105BAB"/>
            </w:tcBorders>
            <w:shd w:val="clear" w:color="auto" w:fill="F1F3F9"/>
          </w:tcPr>
          <w:p>
            <w:pPr>
              <w:spacing w:after="0"/>
              <w:rPr>
                <w:sz w:val="8"/>
                <w:szCs w:val="8"/>
                <w:color w:val="auto"/>
              </w:rPr>
            </w:pPr>
          </w:p>
        </w:tc>
        <w:tc>
          <w:tcPr>
            <w:tcW w:w="1360" w:type="dxa"/>
            <w:vAlign w:val="bottom"/>
            <w:tcBorders>
              <w:bottom w:val="single" w:sz="8" w:color="105BAB"/>
            </w:tcBorders>
            <w:shd w:val="clear" w:color="auto" w:fill="F1F3F9"/>
          </w:tcPr>
          <w:p>
            <w:pPr>
              <w:spacing w:after="0"/>
              <w:rPr>
                <w:sz w:val="8"/>
                <w:szCs w:val="8"/>
                <w:color w:val="auto"/>
              </w:rPr>
            </w:pPr>
          </w:p>
        </w:tc>
        <w:tc>
          <w:tcPr>
            <w:tcW w:w="1460" w:type="dxa"/>
            <w:vAlign w:val="bottom"/>
            <w:tcBorders>
              <w:bottom w:val="single" w:sz="8" w:color="105BAB"/>
            </w:tcBorders>
            <w:shd w:val="clear" w:color="auto" w:fill="F1F3F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40" w:type="dxa"/>
            <w:vAlign w:val="bottom"/>
            <w:shd w:val="clear" w:color="auto" w:fill="D6DAEE"/>
          </w:tcPr>
          <w:p>
            <w:pPr>
              <w:ind w:left="340"/>
              <w:spacing w:after="0"/>
              <w:rPr>
                <w:sz w:val="20"/>
                <w:szCs w:val="20"/>
                <w:color w:val="auto"/>
              </w:rPr>
            </w:pPr>
            <w:r>
              <w:rPr>
                <w:rFonts w:ascii="Arial" w:cs="Arial" w:eastAsia="Arial" w:hAnsi="Arial"/>
                <w:sz w:val="12"/>
                <w:szCs w:val="12"/>
                <w:b w:val="1"/>
                <w:bCs w:val="1"/>
                <w:color w:val="105BAB"/>
              </w:rPr>
              <w:t>Ratification of</w:t>
            </w:r>
          </w:p>
        </w:tc>
        <w:tc>
          <w:tcPr>
            <w:tcW w:w="7320" w:type="dxa"/>
            <w:vAlign w:val="bottom"/>
            <w:shd w:val="clear" w:color="auto" w:fill="D6DAEE"/>
          </w:tcPr>
          <w:p>
            <w:pPr>
              <w:ind w:left="60"/>
              <w:spacing w:after="0"/>
              <w:rPr>
                <w:sz w:val="20"/>
                <w:szCs w:val="20"/>
                <w:color w:val="auto"/>
              </w:rPr>
            </w:pPr>
            <w:r>
              <w:rPr>
                <w:rFonts w:ascii="Arial" w:cs="Arial" w:eastAsia="Arial" w:hAnsi="Arial"/>
                <w:sz w:val="10"/>
                <w:szCs w:val="10"/>
                <w:color w:val="auto"/>
              </w:rPr>
              <w:t>Majority of the votes cast</w:t>
            </w:r>
          </w:p>
        </w:tc>
        <w:tc>
          <w:tcPr>
            <w:tcW w:w="1360" w:type="dxa"/>
            <w:vAlign w:val="bottom"/>
            <w:shd w:val="clear" w:color="auto" w:fill="D6DAEE"/>
          </w:tcPr>
          <w:p>
            <w:pPr>
              <w:ind w:left="280"/>
              <w:spacing w:after="0"/>
              <w:rPr>
                <w:sz w:val="20"/>
                <w:szCs w:val="20"/>
                <w:color w:val="auto"/>
              </w:rPr>
            </w:pPr>
            <w:r>
              <w:rPr>
                <w:rFonts w:ascii="Arial" w:cs="Arial" w:eastAsia="Arial" w:hAnsi="Arial"/>
                <w:sz w:val="10"/>
                <w:szCs w:val="10"/>
                <w:color w:val="auto"/>
              </w:rPr>
              <w:t>No effect</w:t>
            </w:r>
          </w:p>
        </w:tc>
        <w:tc>
          <w:tcPr>
            <w:tcW w:w="1460" w:type="dxa"/>
            <w:vAlign w:val="bottom"/>
            <w:shd w:val="clear" w:color="auto" w:fill="D6DAEE"/>
          </w:tcPr>
          <w:p>
            <w:pPr>
              <w:ind w:left="80"/>
              <w:spacing w:after="0"/>
              <w:rPr>
                <w:sz w:val="20"/>
                <w:szCs w:val="20"/>
                <w:color w:val="auto"/>
              </w:rPr>
            </w:pPr>
            <w:r>
              <w:rPr>
                <w:rFonts w:ascii="Arial" w:cs="Arial" w:eastAsia="Arial" w:hAnsi="Arial"/>
                <w:sz w:val="10"/>
                <w:szCs w:val="10"/>
                <w:color w:val="auto"/>
              </w:rPr>
              <w:t>Yes</w:t>
            </w:r>
          </w:p>
        </w:tc>
        <w:tc>
          <w:tcPr>
            <w:tcW w:w="0" w:type="dxa"/>
            <w:vAlign w:val="bottom"/>
          </w:tcPr>
          <w:p>
            <w:pPr>
              <w:spacing w:after="0"/>
              <w:rPr>
                <w:sz w:val="1"/>
                <w:szCs w:val="1"/>
                <w:color w:val="auto"/>
              </w:rPr>
            </w:pPr>
          </w:p>
        </w:tc>
      </w:tr>
      <w:tr>
        <w:trPr>
          <w:trHeight w:val="111"/>
        </w:trPr>
        <w:tc>
          <w:tcPr>
            <w:tcW w:w="1340" w:type="dxa"/>
            <w:vAlign w:val="bottom"/>
            <w:vMerge w:val="restart"/>
            <w:shd w:val="clear" w:color="auto" w:fill="D6DAEE"/>
          </w:tcPr>
          <w:p>
            <w:pPr>
              <w:ind w:left="40"/>
              <w:spacing w:after="0" w:line="198" w:lineRule="exact"/>
              <w:rPr>
                <w:sz w:val="20"/>
                <w:szCs w:val="20"/>
                <w:color w:val="auto"/>
              </w:rPr>
            </w:pPr>
            <w:r>
              <w:rPr>
                <w:rFonts w:ascii="Arial" w:cs="Arial" w:eastAsia="Arial" w:hAnsi="Arial"/>
                <w:sz w:val="22"/>
                <w:szCs w:val="22"/>
                <w:color w:val="105BAB"/>
              </w:rPr>
              <w:t xml:space="preserve">2 </w:t>
            </w:r>
            <w:r>
              <w:rPr>
                <w:rFonts w:ascii="Arial" w:cs="Arial" w:eastAsia="Arial" w:hAnsi="Arial"/>
                <w:sz w:val="9"/>
                <w:szCs w:val="9"/>
                <w:b w:val="1"/>
                <w:bCs w:val="1"/>
                <w:color w:val="105BAB"/>
              </w:rPr>
              <w:t>the</w:t>
            </w:r>
          </w:p>
        </w:tc>
        <w:tc>
          <w:tcPr>
            <w:tcW w:w="7320" w:type="dxa"/>
            <w:vAlign w:val="bottom"/>
            <w:shd w:val="clear" w:color="auto" w:fill="D6DAEE"/>
          </w:tcPr>
          <w:p>
            <w:pPr>
              <w:spacing w:after="0"/>
              <w:rPr>
                <w:sz w:val="9"/>
                <w:szCs w:val="9"/>
                <w:color w:val="auto"/>
              </w:rPr>
            </w:pPr>
          </w:p>
        </w:tc>
        <w:tc>
          <w:tcPr>
            <w:tcW w:w="1360" w:type="dxa"/>
            <w:vAlign w:val="bottom"/>
            <w:shd w:val="clear" w:color="auto" w:fill="D6DAEE"/>
          </w:tcPr>
          <w:p>
            <w:pPr>
              <w:ind w:left="280"/>
              <w:spacing w:after="0" w:line="112" w:lineRule="exact"/>
              <w:rPr>
                <w:sz w:val="20"/>
                <w:szCs w:val="20"/>
                <w:color w:val="auto"/>
              </w:rPr>
            </w:pPr>
            <w:r>
              <w:rPr>
                <w:rFonts w:ascii="Arial" w:cs="Arial" w:eastAsia="Arial" w:hAnsi="Arial"/>
                <w:sz w:val="10"/>
                <w:szCs w:val="10"/>
                <w:color w:val="auto"/>
              </w:rPr>
              <w:t>Not considered</w:t>
            </w:r>
          </w:p>
        </w:tc>
        <w:tc>
          <w:tcPr>
            <w:tcW w:w="1460" w:type="dxa"/>
            <w:vAlign w:val="bottom"/>
            <w:shd w:val="clear" w:color="auto" w:fill="D6DAEE"/>
          </w:tcPr>
          <w:p>
            <w:pPr>
              <w:ind w:left="80"/>
              <w:spacing w:after="0" w:line="112" w:lineRule="exact"/>
              <w:rPr>
                <w:sz w:val="20"/>
                <w:szCs w:val="20"/>
                <w:color w:val="auto"/>
              </w:rPr>
            </w:pPr>
            <w:r>
              <w:rPr>
                <w:rFonts w:ascii="Arial" w:cs="Arial" w:eastAsia="Arial" w:hAnsi="Arial"/>
                <w:sz w:val="10"/>
                <w:szCs w:val="10"/>
                <w:color w:val="auto"/>
              </w:rPr>
              <w:t>Brokers without voting</w:t>
            </w:r>
          </w:p>
        </w:tc>
        <w:tc>
          <w:tcPr>
            <w:tcW w:w="0" w:type="dxa"/>
            <w:vAlign w:val="bottom"/>
          </w:tcPr>
          <w:p>
            <w:pPr>
              <w:spacing w:after="0"/>
              <w:rPr>
                <w:sz w:val="1"/>
                <w:szCs w:val="1"/>
                <w:color w:val="auto"/>
              </w:rPr>
            </w:pPr>
          </w:p>
        </w:tc>
      </w:tr>
      <w:tr>
        <w:trPr>
          <w:trHeight w:val="87"/>
        </w:trPr>
        <w:tc>
          <w:tcPr>
            <w:tcW w:w="1340" w:type="dxa"/>
            <w:vAlign w:val="bottom"/>
            <w:vMerge w:val="continue"/>
            <w:shd w:val="clear" w:color="auto" w:fill="D6DAEE"/>
          </w:tcPr>
          <w:p>
            <w:pPr>
              <w:spacing w:after="0"/>
              <w:rPr>
                <w:sz w:val="7"/>
                <w:szCs w:val="7"/>
                <w:color w:val="auto"/>
              </w:rPr>
            </w:pPr>
          </w:p>
        </w:tc>
        <w:tc>
          <w:tcPr>
            <w:tcW w:w="7320" w:type="dxa"/>
            <w:vAlign w:val="bottom"/>
            <w:shd w:val="clear" w:color="auto" w:fill="D6DAEE"/>
          </w:tcPr>
          <w:p>
            <w:pPr>
              <w:spacing w:after="0"/>
              <w:rPr>
                <w:sz w:val="7"/>
                <w:szCs w:val="7"/>
                <w:color w:val="auto"/>
              </w:rPr>
            </w:pPr>
          </w:p>
        </w:tc>
        <w:tc>
          <w:tcPr>
            <w:tcW w:w="1360" w:type="dxa"/>
            <w:vAlign w:val="bottom"/>
            <w:shd w:val="clear" w:color="auto" w:fill="D6DAEE"/>
          </w:tcPr>
          <w:p>
            <w:pPr>
              <w:ind w:left="280"/>
              <w:spacing w:after="0" w:line="87" w:lineRule="exact"/>
              <w:rPr>
                <w:sz w:val="20"/>
                <w:szCs w:val="20"/>
                <w:color w:val="auto"/>
              </w:rPr>
            </w:pPr>
            <w:r>
              <w:rPr>
                <w:rFonts w:ascii="Arial" w:cs="Arial" w:eastAsia="Arial" w:hAnsi="Arial"/>
                <w:sz w:val="10"/>
                <w:szCs w:val="10"/>
                <w:color w:val="auto"/>
              </w:rPr>
              <w:t>votes cast on this</w:t>
            </w:r>
          </w:p>
        </w:tc>
        <w:tc>
          <w:tcPr>
            <w:tcW w:w="1460" w:type="dxa"/>
            <w:vAlign w:val="bottom"/>
            <w:shd w:val="clear" w:color="auto" w:fill="D6DAEE"/>
          </w:tcPr>
          <w:p>
            <w:pPr>
              <w:ind w:left="80"/>
              <w:spacing w:after="0" w:line="87" w:lineRule="exact"/>
              <w:rPr>
                <w:sz w:val="20"/>
                <w:szCs w:val="20"/>
                <w:color w:val="auto"/>
              </w:rPr>
            </w:pPr>
            <w:r>
              <w:rPr>
                <w:rFonts w:ascii="Arial" w:cs="Arial" w:eastAsia="Arial" w:hAnsi="Arial"/>
                <w:sz w:val="10"/>
                <w:szCs w:val="10"/>
                <w:color w:val="auto"/>
              </w:rPr>
              <w:t>instructions will have</w:t>
            </w:r>
          </w:p>
        </w:tc>
        <w:tc>
          <w:tcPr>
            <w:tcW w:w="0" w:type="dxa"/>
            <w:vAlign w:val="bottom"/>
          </w:tcPr>
          <w:p>
            <w:pPr>
              <w:spacing w:after="0"/>
              <w:rPr>
                <w:sz w:val="1"/>
                <w:szCs w:val="1"/>
                <w:color w:val="auto"/>
              </w:rPr>
            </w:pPr>
          </w:p>
        </w:tc>
      </w:tr>
      <w:tr>
        <w:trPr>
          <w:trHeight w:val="87"/>
        </w:trPr>
        <w:tc>
          <w:tcPr>
            <w:tcW w:w="1340" w:type="dxa"/>
            <w:vAlign w:val="bottom"/>
            <w:shd w:val="clear" w:color="auto" w:fill="D6DAEE"/>
          </w:tcPr>
          <w:p>
            <w:pPr>
              <w:ind w:left="340"/>
              <w:spacing w:after="0" w:line="88" w:lineRule="exact"/>
              <w:rPr>
                <w:sz w:val="20"/>
                <w:szCs w:val="20"/>
                <w:color w:val="auto"/>
              </w:rPr>
            </w:pPr>
            <w:r>
              <w:rPr>
                <w:rFonts w:ascii="Arial" w:cs="Arial" w:eastAsia="Arial" w:hAnsi="Arial"/>
                <w:sz w:val="9"/>
                <w:szCs w:val="9"/>
                <w:b w:val="1"/>
                <w:bCs w:val="1"/>
                <w:color w:val="105BAB"/>
              </w:rPr>
              <w:t>Appointment of</w:t>
            </w:r>
          </w:p>
        </w:tc>
        <w:tc>
          <w:tcPr>
            <w:tcW w:w="7320" w:type="dxa"/>
            <w:vAlign w:val="bottom"/>
            <w:shd w:val="clear" w:color="auto" w:fill="D6DAEE"/>
          </w:tcPr>
          <w:p>
            <w:pPr>
              <w:spacing w:after="0"/>
              <w:rPr>
                <w:sz w:val="7"/>
                <w:szCs w:val="7"/>
                <w:color w:val="auto"/>
              </w:rPr>
            </w:pPr>
          </w:p>
        </w:tc>
        <w:tc>
          <w:tcPr>
            <w:tcW w:w="1360" w:type="dxa"/>
            <w:vAlign w:val="bottom"/>
            <w:vMerge w:val="restart"/>
            <w:shd w:val="clear" w:color="auto" w:fill="D6DAEE"/>
          </w:tcPr>
          <w:p>
            <w:pPr>
              <w:ind w:left="280"/>
              <w:spacing w:after="0"/>
              <w:rPr>
                <w:sz w:val="20"/>
                <w:szCs w:val="20"/>
                <w:color w:val="auto"/>
              </w:rPr>
            </w:pPr>
            <w:r>
              <w:rPr>
                <w:rFonts w:ascii="Arial" w:cs="Arial" w:eastAsia="Arial" w:hAnsi="Arial"/>
                <w:sz w:val="10"/>
                <w:szCs w:val="10"/>
                <w:color w:val="auto"/>
              </w:rPr>
              <w:t>proposal</w:t>
            </w:r>
          </w:p>
        </w:tc>
        <w:tc>
          <w:tcPr>
            <w:tcW w:w="1460" w:type="dxa"/>
            <w:vAlign w:val="bottom"/>
            <w:vMerge w:val="restart"/>
            <w:shd w:val="clear" w:color="auto" w:fill="D6DAEE"/>
          </w:tcPr>
          <w:p>
            <w:pPr>
              <w:ind w:left="80"/>
              <w:spacing w:after="0"/>
              <w:rPr>
                <w:sz w:val="20"/>
                <w:szCs w:val="20"/>
                <w:color w:val="auto"/>
              </w:rPr>
            </w:pPr>
            <w:r>
              <w:rPr>
                <w:rFonts w:ascii="Arial" w:cs="Arial" w:eastAsia="Arial" w:hAnsi="Arial"/>
                <w:sz w:val="10"/>
                <w:szCs w:val="10"/>
                <w:color w:val="auto"/>
              </w:rPr>
              <w:t>discretionary authority to vote</w:t>
            </w:r>
          </w:p>
        </w:tc>
        <w:tc>
          <w:tcPr>
            <w:tcW w:w="0" w:type="dxa"/>
            <w:vAlign w:val="bottom"/>
          </w:tcPr>
          <w:p>
            <w:pPr>
              <w:spacing w:after="0"/>
              <w:rPr>
                <w:sz w:val="1"/>
                <w:szCs w:val="1"/>
                <w:color w:val="auto"/>
              </w:rPr>
            </w:pPr>
          </w:p>
        </w:tc>
      </w:tr>
      <w:tr>
        <w:trPr>
          <w:trHeight w:val="49"/>
        </w:trPr>
        <w:tc>
          <w:tcPr>
            <w:tcW w:w="1340" w:type="dxa"/>
            <w:vAlign w:val="bottom"/>
            <w:vMerge w:val="restart"/>
            <w:shd w:val="clear" w:color="auto" w:fill="D6DAEE"/>
          </w:tcPr>
          <w:p>
            <w:pPr>
              <w:ind w:left="340"/>
              <w:spacing w:after="0" w:line="135" w:lineRule="exact"/>
              <w:rPr>
                <w:sz w:val="20"/>
                <w:szCs w:val="20"/>
                <w:color w:val="auto"/>
              </w:rPr>
            </w:pPr>
            <w:r>
              <w:rPr>
                <w:rFonts w:ascii="Arial" w:cs="Arial" w:eastAsia="Arial" w:hAnsi="Arial"/>
                <w:sz w:val="12"/>
                <w:szCs w:val="12"/>
                <w:b w:val="1"/>
                <w:bCs w:val="1"/>
                <w:color w:val="105BAB"/>
              </w:rPr>
              <w:t>Pricewaterhouse</w:t>
            </w:r>
          </w:p>
        </w:tc>
        <w:tc>
          <w:tcPr>
            <w:tcW w:w="7320" w:type="dxa"/>
            <w:vAlign w:val="bottom"/>
            <w:shd w:val="clear" w:color="auto" w:fill="D6DAEE"/>
          </w:tcPr>
          <w:p>
            <w:pPr>
              <w:spacing w:after="0"/>
              <w:rPr>
                <w:sz w:val="4"/>
                <w:szCs w:val="4"/>
                <w:color w:val="auto"/>
              </w:rPr>
            </w:pPr>
          </w:p>
        </w:tc>
        <w:tc>
          <w:tcPr>
            <w:tcW w:w="1360" w:type="dxa"/>
            <w:vAlign w:val="bottom"/>
            <w:vMerge w:val="continue"/>
            <w:shd w:val="clear" w:color="auto" w:fill="D6DAEE"/>
          </w:tcPr>
          <w:p>
            <w:pPr>
              <w:spacing w:after="0"/>
              <w:rPr>
                <w:sz w:val="4"/>
                <w:szCs w:val="4"/>
                <w:color w:val="auto"/>
              </w:rPr>
            </w:pPr>
          </w:p>
        </w:tc>
        <w:tc>
          <w:tcPr>
            <w:tcW w:w="1460" w:type="dxa"/>
            <w:vAlign w:val="bottom"/>
            <w:vMerge w:val="continue"/>
            <w:shd w:val="clear" w:color="auto" w:fill="D6DAE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340" w:type="dxa"/>
            <w:vAlign w:val="bottom"/>
            <w:vMerge w:val="continue"/>
            <w:shd w:val="clear" w:color="auto" w:fill="D6DAEE"/>
          </w:tcPr>
          <w:p>
            <w:pPr>
              <w:spacing w:after="0"/>
              <w:rPr>
                <w:sz w:val="7"/>
                <w:szCs w:val="7"/>
                <w:color w:val="auto"/>
              </w:rPr>
            </w:pPr>
          </w:p>
        </w:tc>
        <w:tc>
          <w:tcPr>
            <w:tcW w:w="7320" w:type="dxa"/>
            <w:vAlign w:val="bottom"/>
            <w:shd w:val="clear" w:color="auto" w:fill="D6DAEE"/>
          </w:tcPr>
          <w:p>
            <w:pPr>
              <w:spacing w:after="0"/>
              <w:rPr>
                <w:sz w:val="7"/>
                <w:szCs w:val="7"/>
                <w:color w:val="auto"/>
              </w:rPr>
            </w:pPr>
          </w:p>
        </w:tc>
        <w:tc>
          <w:tcPr>
            <w:tcW w:w="1360" w:type="dxa"/>
            <w:vAlign w:val="bottom"/>
            <w:shd w:val="clear" w:color="auto" w:fill="D6DAEE"/>
          </w:tcPr>
          <w:p>
            <w:pPr>
              <w:spacing w:after="0"/>
              <w:rPr>
                <w:sz w:val="7"/>
                <w:szCs w:val="7"/>
                <w:color w:val="auto"/>
              </w:rPr>
            </w:pPr>
          </w:p>
        </w:tc>
        <w:tc>
          <w:tcPr>
            <w:tcW w:w="1460" w:type="dxa"/>
            <w:vAlign w:val="bottom"/>
            <w:shd w:val="clear" w:color="auto" w:fill="D6DAE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D6DAEE"/>
          </w:tcPr>
          <w:p>
            <w:pPr>
              <w:ind w:left="340"/>
              <w:spacing w:after="0"/>
              <w:rPr>
                <w:sz w:val="20"/>
                <w:szCs w:val="20"/>
                <w:color w:val="auto"/>
              </w:rPr>
            </w:pPr>
            <w:r>
              <w:rPr>
                <w:rFonts w:ascii="Arial" w:cs="Arial" w:eastAsia="Arial" w:hAnsi="Arial"/>
                <w:sz w:val="12"/>
                <w:szCs w:val="12"/>
                <w:b w:val="1"/>
                <w:bCs w:val="1"/>
                <w:color w:val="105BAB"/>
              </w:rPr>
              <w:t>Coopers LLP</w:t>
            </w:r>
          </w:p>
        </w:tc>
        <w:tc>
          <w:tcPr>
            <w:tcW w:w="7320" w:type="dxa"/>
            <w:vAlign w:val="bottom"/>
            <w:shd w:val="clear" w:color="auto" w:fill="D6DAEE"/>
          </w:tcPr>
          <w:p>
            <w:pPr>
              <w:spacing w:after="0"/>
              <w:rPr>
                <w:sz w:val="13"/>
                <w:szCs w:val="13"/>
                <w:color w:val="auto"/>
              </w:rPr>
            </w:pPr>
          </w:p>
        </w:tc>
        <w:tc>
          <w:tcPr>
            <w:tcW w:w="1360" w:type="dxa"/>
            <w:vAlign w:val="bottom"/>
            <w:shd w:val="clear" w:color="auto" w:fill="D6DAEE"/>
          </w:tcPr>
          <w:p>
            <w:pPr>
              <w:spacing w:after="0"/>
              <w:rPr>
                <w:sz w:val="13"/>
                <w:szCs w:val="13"/>
                <w:color w:val="auto"/>
              </w:rPr>
            </w:pPr>
          </w:p>
        </w:tc>
        <w:tc>
          <w:tcPr>
            <w:tcW w:w="1460" w:type="dxa"/>
            <w:vAlign w:val="bottom"/>
            <w:shd w:val="clear" w:color="auto" w:fill="D6DAE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40" w:type="dxa"/>
            <w:vAlign w:val="bottom"/>
            <w:tcBorders>
              <w:bottom w:val="single" w:sz="8" w:color="105BAB"/>
            </w:tcBorders>
            <w:shd w:val="clear" w:color="auto" w:fill="D6DAEE"/>
          </w:tcPr>
          <w:p>
            <w:pPr>
              <w:spacing w:after="0"/>
              <w:rPr>
                <w:sz w:val="8"/>
                <w:szCs w:val="8"/>
                <w:color w:val="auto"/>
              </w:rPr>
            </w:pPr>
          </w:p>
        </w:tc>
        <w:tc>
          <w:tcPr>
            <w:tcW w:w="7320" w:type="dxa"/>
            <w:vAlign w:val="bottom"/>
            <w:tcBorders>
              <w:bottom w:val="single" w:sz="8" w:color="105BAB"/>
            </w:tcBorders>
            <w:shd w:val="clear" w:color="auto" w:fill="D6DAEE"/>
          </w:tcPr>
          <w:p>
            <w:pPr>
              <w:spacing w:after="0"/>
              <w:rPr>
                <w:sz w:val="8"/>
                <w:szCs w:val="8"/>
                <w:color w:val="auto"/>
              </w:rPr>
            </w:pPr>
          </w:p>
        </w:tc>
        <w:tc>
          <w:tcPr>
            <w:tcW w:w="1360" w:type="dxa"/>
            <w:vAlign w:val="bottom"/>
            <w:tcBorders>
              <w:bottom w:val="single" w:sz="8" w:color="105BAB"/>
            </w:tcBorders>
            <w:shd w:val="clear" w:color="auto" w:fill="D6DAEE"/>
          </w:tcPr>
          <w:p>
            <w:pPr>
              <w:spacing w:after="0"/>
              <w:rPr>
                <w:sz w:val="8"/>
                <w:szCs w:val="8"/>
                <w:color w:val="auto"/>
              </w:rPr>
            </w:pPr>
          </w:p>
        </w:tc>
        <w:tc>
          <w:tcPr>
            <w:tcW w:w="1460" w:type="dxa"/>
            <w:vAlign w:val="bottom"/>
            <w:tcBorders>
              <w:bottom w:val="single" w:sz="8" w:color="105BAB"/>
            </w:tcBorders>
            <w:shd w:val="clear" w:color="auto" w:fill="D6DAEE"/>
          </w:tcPr>
          <w:p>
            <w:pPr>
              <w:spacing w:after="0"/>
              <w:rPr>
                <w:sz w:val="8"/>
                <w:szCs w:val="8"/>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28" w:hanging="228"/>
        <w:spacing w:after="0"/>
        <w:tabs>
          <w:tab w:leader="none" w:pos="228" w:val="left"/>
        </w:tabs>
        <w:numPr>
          <w:ilvl w:val="0"/>
          <w:numId w:val="11"/>
        </w:numPr>
        <w:rPr>
          <w:rFonts w:ascii="Arial" w:cs="Arial" w:eastAsia="Arial" w:hAnsi="Arial"/>
          <w:sz w:val="10"/>
          <w:szCs w:val="10"/>
          <w:color w:val="105BAB"/>
        </w:rPr>
      </w:pPr>
      <w:r>
        <w:rPr>
          <w:rFonts w:ascii="Arial" w:cs="Arial" w:eastAsia="Arial" w:hAnsi="Arial"/>
          <w:sz w:val="10"/>
          <w:szCs w:val="10"/>
          <w:color w:val="auto"/>
        </w:rPr>
        <w:t>As noted above, abstentions will be counted as present for purposes of establishing a quorum at the Annual Meeting.</w:t>
      </w:r>
    </w:p>
    <w:p>
      <w:pPr>
        <w:ind w:left="228" w:hanging="228"/>
        <w:spacing w:after="0"/>
        <w:tabs>
          <w:tab w:leader="none" w:pos="228" w:val="left"/>
        </w:tabs>
        <w:numPr>
          <w:ilvl w:val="0"/>
          <w:numId w:val="12"/>
        </w:numPr>
        <w:rPr>
          <w:rFonts w:ascii="Arial" w:cs="Arial" w:eastAsia="Arial" w:hAnsi="Arial"/>
          <w:sz w:val="10"/>
          <w:szCs w:val="10"/>
          <w:color w:val="105BAB"/>
        </w:rPr>
      </w:pPr>
      <w:r>
        <w:rPr>
          <w:rFonts w:ascii="Arial" w:cs="Arial" w:eastAsia="Arial" w:hAnsi="Arial"/>
          <w:sz w:val="10"/>
          <w:szCs w:val="10"/>
          <w:color w:val="auto"/>
        </w:rPr>
        <w:t>Only relevant if you are the beneficial owner of shares held in "street name." If you are a shareholder of record and you do not cast your vote, no votes will be cast on your behalf on any of the items of business at the Annual Meeting.</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If any other matter is properly brought before the Annual Meeting, such matter also will be determined by the affirmative vote of a majority of the votes cast at the Annual Meeting.</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Please note that cameras, other photographic equipment, or audio or video recording</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devices will not be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538797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87975" cy="5715"/>
                    </a:xfrm>
                    <a:prstGeom prst="rect">
                      <a:avLst/>
                    </a:prstGeom>
                    <a:noFill/>
                  </pic:spPr>
                </pic:pic>
              </a:graphicData>
            </a:graphic>
          </wp:anchor>
        </w:drawing>
      </w:r>
    </w:p>
    <w:p>
      <w:pPr>
        <w:sectPr>
          <w:pgSz w:w="11900" w:h="16838" w:orient="portrait"/>
          <w:cols w:equalWidth="0" w:num="1">
            <w:col w:w="11488"/>
          </w:cols>
          <w:pgMar w:left="212" w:top="65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
        <w:spacing w:after="0"/>
        <w:rPr>
          <w:sz w:val="20"/>
          <w:szCs w:val="20"/>
          <w:color w:val="auto"/>
        </w:rPr>
      </w:pPr>
      <w:r>
        <w:rPr>
          <w:rFonts w:ascii="Arial" w:cs="Arial" w:eastAsia="Arial" w:hAnsi="Arial"/>
          <w:sz w:val="21"/>
          <w:szCs w:val="21"/>
          <w:color w:val="D21C5A"/>
        </w:rPr>
        <w:t>INFORMATION</w:t>
      </w:r>
    </w:p>
    <w:p>
      <w:pPr>
        <w:spacing w:after="0" w:line="10" w:lineRule="exact"/>
        <w:rPr>
          <w:sz w:val="20"/>
          <w:szCs w:val="20"/>
          <w:color w:val="auto"/>
        </w:rPr>
      </w:pPr>
    </w:p>
    <w:p>
      <w:pPr>
        <w:ind w:left="8"/>
        <w:spacing w:after="0"/>
        <w:rPr>
          <w:sz w:val="20"/>
          <w:szCs w:val="20"/>
          <w:color w:val="auto"/>
        </w:rPr>
      </w:pPr>
      <w:r>
        <w:rPr>
          <w:rFonts w:ascii="Arial" w:cs="Arial" w:eastAsia="Arial" w:hAnsi="Arial"/>
          <w:sz w:val="22"/>
          <w:szCs w:val="22"/>
          <w:color w:val="D21C5A"/>
        </w:rPr>
        <w:t>ABOUT</w:t>
      </w:r>
    </w:p>
    <w:p>
      <w:pPr>
        <w:ind w:left="8"/>
        <w:spacing w:after="0"/>
        <w:rPr>
          <w:sz w:val="20"/>
          <w:szCs w:val="20"/>
          <w:color w:val="auto"/>
        </w:rPr>
      </w:pPr>
      <w:r>
        <w:rPr>
          <w:rFonts w:ascii="Arial" w:cs="Arial" w:eastAsia="Arial" w:hAnsi="Arial"/>
          <w:sz w:val="22"/>
          <w:szCs w:val="22"/>
          <w:color w:val="D21C5A"/>
        </w:rPr>
        <w:t>REGENERON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20" w:type="dxa"/>
            <w:vAlign w:val="bottom"/>
          </w:tcPr>
          <w:p>
            <w:pPr>
              <w:ind w:left="2900"/>
              <w:spacing w:after="0"/>
              <w:rPr>
                <w:sz w:val="20"/>
                <w:szCs w:val="20"/>
                <w:color w:val="auto"/>
              </w:rPr>
            </w:pPr>
            <w:r>
              <w:rPr>
                <w:rFonts w:ascii="Arial" w:cs="Arial" w:eastAsia="Arial" w:hAnsi="Arial"/>
                <w:sz w:val="12"/>
                <w:szCs w:val="12"/>
                <w:b w:val="1"/>
                <w:bCs w:val="1"/>
                <w:color w:val="105BAB"/>
                <w:w w:val="97"/>
              </w:rPr>
              <w:t>If you would like to learn more about Regeneron,</w:t>
            </w:r>
          </w:p>
        </w:tc>
      </w:tr>
      <w:tr>
        <w:trPr>
          <w:trHeight w:val="135"/>
        </w:trPr>
        <w:tc>
          <w:tcPr>
            <w:tcW w:w="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20" w:type="dxa"/>
            <w:vAlign w:val="bottom"/>
          </w:tcPr>
          <w:p>
            <w:pPr>
              <w:ind w:left="2900"/>
              <w:spacing w:after="0" w:line="135" w:lineRule="exact"/>
              <w:rPr>
                <w:sz w:val="20"/>
                <w:szCs w:val="20"/>
                <w:color w:val="auto"/>
              </w:rPr>
            </w:pPr>
            <w:r>
              <w:rPr>
                <w:rFonts w:ascii="Arial" w:cs="Arial" w:eastAsia="Arial" w:hAnsi="Arial"/>
                <w:sz w:val="12"/>
                <w:szCs w:val="12"/>
                <w:b w:val="1"/>
                <w:bCs w:val="1"/>
                <w:color w:val="105BAB"/>
                <w:w w:val="98"/>
              </w:rPr>
              <w:t>please visit our website at www.regeneron.com.</w:t>
            </w:r>
          </w:p>
        </w:tc>
      </w:tr>
      <w:tr>
        <w:trPr>
          <w:trHeight w:val="140"/>
        </w:trPr>
        <w:tc>
          <w:tcPr>
            <w:tcW w:w="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20" w:type="dxa"/>
            <w:vAlign w:val="bottom"/>
          </w:tcPr>
          <w:p>
            <w:pPr>
              <w:ind w:left="2900"/>
              <w:spacing w:after="0"/>
              <w:rPr>
                <w:sz w:val="20"/>
                <w:szCs w:val="20"/>
                <w:color w:val="auto"/>
              </w:rPr>
            </w:pPr>
            <w:r>
              <w:rPr>
                <w:rFonts w:ascii="Arial" w:cs="Arial" w:eastAsia="Arial" w:hAnsi="Arial"/>
                <w:sz w:val="12"/>
                <w:szCs w:val="12"/>
                <w:b w:val="1"/>
                <w:bCs w:val="1"/>
                <w:color w:val="105BAB"/>
              </w:rPr>
              <w:t>The topics discussed on our website include:</w:t>
            </w:r>
          </w:p>
        </w:tc>
      </w:tr>
      <w:tr>
        <w:trPr>
          <w:trHeight w:val="140"/>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2880" w:type="dxa"/>
            <w:vAlign w:val="bottom"/>
          </w:tcPr>
          <w:p>
            <w:pPr>
              <w:ind w:left="40"/>
              <w:spacing w:after="0"/>
              <w:rPr>
                <w:sz w:val="20"/>
                <w:szCs w:val="20"/>
                <w:color w:val="auto"/>
              </w:rPr>
            </w:pPr>
            <w:r>
              <w:rPr>
                <w:rFonts w:ascii="Arial" w:cs="Arial" w:eastAsia="Arial" w:hAnsi="Arial"/>
                <w:sz w:val="12"/>
                <w:szCs w:val="12"/>
                <w:color w:val="auto"/>
              </w:rPr>
              <w:t>Working at Regeneron</w:t>
            </w:r>
          </w:p>
        </w:tc>
        <w:tc>
          <w:tcPr>
            <w:tcW w:w="640" w:type="dxa"/>
            <w:vAlign w:val="bottom"/>
          </w:tcPr>
          <w:p>
            <w:pPr>
              <w:ind w:left="580"/>
              <w:spacing w:after="0"/>
              <w:rPr>
                <w:sz w:val="20"/>
                <w:szCs w:val="20"/>
                <w:color w:val="auto"/>
              </w:rPr>
            </w:pPr>
            <w:r>
              <w:rPr>
                <w:rFonts w:ascii="Arial" w:cs="Arial" w:eastAsia="Arial" w:hAnsi="Arial"/>
                <w:sz w:val="10"/>
                <w:szCs w:val="10"/>
                <w:color w:val="105BAB"/>
              </w:rPr>
              <w:t>•</w:t>
            </w:r>
          </w:p>
        </w:tc>
        <w:tc>
          <w:tcPr>
            <w:tcW w:w="5620" w:type="dxa"/>
            <w:vAlign w:val="bottom"/>
          </w:tcPr>
          <w:p>
            <w:pPr>
              <w:ind w:left="20"/>
              <w:spacing w:after="0"/>
              <w:rPr>
                <w:sz w:val="20"/>
                <w:szCs w:val="20"/>
                <w:color w:val="auto"/>
              </w:rPr>
            </w:pPr>
            <w:r>
              <w:rPr>
                <w:rFonts w:ascii="Arial" w:cs="Arial" w:eastAsia="Arial" w:hAnsi="Arial"/>
                <w:sz w:val="12"/>
                <w:szCs w:val="12"/>
                <w:color w:val="auto"/>
              </w:rPr>
              <w:t>Our Post-doctoral Training Program</w:t>
            </w:r>
          </w:p>
        </w:tc>
      </w:tr>
      <w:tr>
        <w:trPr>
          <w:trHeight w:val="261"/>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2880" w:type="dxa"/>
            <w:vAlign w:val="bottom"/>
          </w:tcPr>
          <w:p>
            <w:pPr>
              <w:ind w:left="40"/>
              <w:spacing w:after="0"/>
              <w:rPr>
                <w:sz w:val="20"/>
                <w:szCs w:val="20"/>
                <w:color w:val="auto"/>
              </w:rPr>
            </w:pPr>
            <w:r>
              <w:rPr>
                <w:rFonts w:ascii="Arial" w:cs="Arial" w:eastAsia="Arial" w:hAnsi="Arial"/>
                <w:sz w:val="12"/>
                <w:szCs w:val="12"/>
                <w:color w:val="auto"/>
              </w:rPr>
              <w:t>Our Science Research Mentorship Program</w:t>
            </w:r>
          </w:p>
        </w:tc>
        <w:tc>
          <w:tcPr>
            <w:tcW w:w="640" w:type="dxa"/>
            <w:vAlign w:val="bottom"/>
          </w:tcPr>
          <w:p>
            <w:pPr>
              <w:ind w:left="580"/>
              <w:spacing w:after="0"/>
              <w:rPr>
                <w:sz w:val="20"/>
                <w:szCs w:val="20"/>
                <w:color w:val="auto"/>
              </w:rPr>
            </w:pPr>
            <w:r>
              <w:rPr>
                <w:rFonts w:ascii="Arial" w:cs="Arial" w:eastAsia="Arial" w:hAnsi="Arial"/>
                <w:sz w:val="10"/>
                <w:szCs w:val="10"/>
                <w:color w:val="105BAB"/>
              </w:rPr>
              <w:t>•</w:t>
            </w:r>
          </w:p>
        </w:tc>
        <w:tc>
          <w:tcPr>
            <w:tcW w:w="5620" w:type="dxa"/>
            <w:vAlign w:val="bottom"/>
          </w:tcPr>
          <w:p>
            <w:pPr>
              <w:ind w:left="20"/>
              <w:spacing w:after="0"/>
              <w:rPr>
                <w:sz w:val="20"/>
                <w:szCs w:val="20"/>
                <w:color w:val="auto"/>
              </w:rPr>
            </w:pPr>
            <w:r>
              <w:rPr>
                <w:rFonts w:ascii="Arial" w:cs="Arial" w:eastAsia="Arial" w:hAnsi="Arial"/>
                <w:sz w:val="12"/>
                <w:szCs w:val="12"/>
                <w:color w:val="auto"/>
              </w:rPr>
              <w:t>Regeneron employee volunteer programs</w:t>
            </w:r>
          </w:p>
        </w:tc>
      </w:tr>
      <w:tr>
        <w:trPr>
          <w:trHeight w:val="270"/>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2880" w:type="dxa"/>
            <w:vAlign w:val="bottom"/>
          </w:tcPr>
          <w:p>
            <w:pPr>
              <w:ind w:left="40"/>
              <w:spacing w:after="0"/>
              <w:rPr>
                <w:sz w:val="20"/>
                <w:szCs w:val="20"/>
                <w:color w:val="auto"/>
              </w:rPr>
            </w:pPr>
            <w:r>
              <w:rPr>
                <w:rFonts w:ascii="Arial" w:cs="Arial" w:eastAsia="Arial" w:hAnsi="Arial"/>
                <w:sz w:val="12"/>
                <w:szCs w:val="12"/>
                <w:color w:val="auto"/>
              </w:rPr>
              <w:t>The Regeneron Science Talent Search</w:t>
            </w:r>
          </w:p>
        </w:tc>
        <w:tc>
          <w:tcPr>
            <w:tcW w:w="640" w:type="dxa"/>
            <w:vAlign w:val="bottom"/>
          </w:tcPr>
          <w:p>
            <w:pPr>
              <w:ind w:left="580"/>
              <w:spacing w:after="0"/>
              <w:rPr>
                <w:sz w:val="20"/>
                <w:szCs w:val="20"/>
                <w:color w:val="auto"/>
              </w:rPr>
            </w:pPr>
            <w:r>
              <w:rPr>
                <w:rFonts w:ascii="Arial" w:cs="Arial" w:eastAsia="Arial" w:hAnsi="Arial"/>
                <w:sz w:val="10"/>
                <w:szCs w:val="10"/>
                <w:color w:val="105BAB"/>
              </w:rPr>
              <w:t>•</w:t>
            </w:r>
          </w:p>
        </w:tc>
        <w:tc>
          <w:tcPr>
            <w:tcW w:w="5620" w:type="dxa"/>
            <w:vAlign w:val="bottom"/>
          </w:tcPr>
          <w:p>
            <w:pPr>
              <w:ind w:left="20"/>
              <w:spacing w:after="0"/>
              <w:rPr>
                <w:sz w:val="20"/>
                <w:szCs w:val="20"/>
                <w:color w:val="auto"/>
              </w:rPr>
            </w:pPr>
            <w:r>
              <w:rPr>
                <w:rFonts w:ascii="Arial" w:cs="Arial" w:eastAsia="Arial" w:hAnsi="Arial"/>
                <w:sz w:val="12"/>
                <w:szCs w:val="12"/>
                <w:color w:val="auto"/>
              </w:rPr>
              <w:t>Our patient support programs</w:t>
            </w:r>
          </w:p>
        </w:tc>
      </w:tr>
      <w:tr>
        <w:trPr>
          <w:trHeight w:val="270"/>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2880" w:type="dxa"/>
            <w:vAlign w:val="bottom"/>
          </w:tcPr>
          <w:p>
            <w:pPr>
              <w:ind w:left="40"/>
              <w:spacing w:after="0"/>
              <w:rPr>
                <w:sz w:val="20"/>
                <w:szCs w:val="20"/>
                <w:color w:val="auto"/>
              </w:rPr>
            </w:pPr>
            <w:r>
              <w:rPr>
                <w:rFonts w:ascii="Arial" w:cs="Arial" w:eastAsia="Arial" w:hAnsi="Arial"/>
                <w:sz w:val="12"/>
                <w:szCs w:val="12"/>
                <w:color w:val="auto"/>
              </w:rPr>
              <w:t>STEM Teaching Fellowship</w:t>
            </w:r>
          </w:p>
        </w:tc>
        <w:tc>
          <w:tcPr>
            <w:tcW w:w="640" w:type="dxa"/>
            <w:vAlign w:val="bottom"/>
          </w:tcPr>
          <w:p>
            <w:pPr>
              <w:ind w:left="580"/>
              <w:spacing w:after="0"/>
              <w:rPr>
                <w:sz w:val="20"/>
                <w:szCs w:val="20"/>
                <w:color w:val="auto"/>
              </w:rPr>
            </w:pPr>
            <w:r>
              <w:rPr>
                <w:rFonts w:ascii="Arial" w:cs="Arial" w:eastAsia="Arial" w:hAnsi="Arial"/>
                <w:sz w:val="10"/>
                <w:szCs w:val="10"/>
                <w:color w:val="105BAB"/>
              </w:rPr>
              <w:t>•</w:t>
            </w:r>
          </w:p>
        </w:tc>
        <w:tc>
          <w:tcPr>
            <w:tcW w:w="5620" w:type="dxa"/>
            <w:vAlign w:val="bottom"/>
          </w:tcPr>
          <w:p>
            <w:pPr>
              <w:ind w:left="20"/>
              <w:spacing w:after="0"/>
              <w:rPr>
                <w:sz w:val="20"/>
                <w:szCs w:val="20"/>
                <w:color w:val="auto"/>
              </w:rPr>
            </w:pPr>
            <w:r>
              <w:rPr>
                <w:rFonts w:ascii="Arial" w:cs="Arial" w:eastAsia="Arial" w:hAnsi="Arial"/>
                <w:sz w:val="12"/>
                <w:szCs w:val="12"/>
                <w:color w:val="auto"/>
              </w:rPr>
              <w:t>Our greenhouse gas emissions reduction efforts</w:t>
            </w:r>
          </w:p>
        </w:tc>
      </w:tr>
      <w:tr>
        <w:trPr>
          <w:trHeight w:val="261"/>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2880" w:type="dxa"/>
            <w:vAlign w:val="bottom"/>
          </w:tcPr>
          <w:p>
            <w:pPr>
              <w:ind w:left="40"/>
              <w:spacing w:after="0"/>
              <w:rPr>
                <w:sz w:val="20"/>
                <w:szCs w:val="20"/>
                <w:color w:val="auto"/>
              </w:rPr>
            </w:pPr>
            <w:r>
              <w:rPr>
                <w:rFonts w:ascii="Arial" w:cs="Arial" w:eastAsia="Arial" w:hAnsi="Arial"/>
                <w:sz w:val="12"/>
                <w:szCs w:val="12"/>
                <w:color w:val="auto"/>
              </w:rPr>
              <w:t>Our Graduate Internship Program</w:t>
            </w:r>
          </w:p>
        </w:tc>
        <w:tc>
          <w:tcPr>
            <w:tcW w:w="640" w:type="dxa"/>
            <w:vAlign w:val="bottom"/>
          </w:tcPr>
          <w:p>
            <w:pPr>
              <w:ind w:left="580"/>
              <w:spacing w:after="0"/>
              <w:rPr>
                <w:sz w:val="20"/>
                <w:szCs w:val="20"/>
                <w:color w:val="auto"/>
              </w:rPr>
            </w:pPr>
            <w:r>
              <w:rPr>
                <w:rFonts w:ascii="Arial" w:cs="Arial" w:eastAsia="Arial" w:hAnsi="Arial"/>
                <w:sz w:val="10"/>
                <w:szCs w:val="10"/>
                <w:color w:val="105BAB"/>
              </w:rPr>
              <w:t>•</w:t>
            </w:r>
          </w:p>
        </w:tc>
        <w:tc>
          <w:tcPr>
            <w:tcW w:w="5620" w:type="dxa"/>
            <w:vAlign w:val="bottom"/>
          </w:tcPr>
          <w:p>
            <w:pPr>
              <w:ind w:left="20"/>
              <w:spacing w:after="0"/>
              <w:rPr>
                <w:sz w:val="20"/>
                <w:szCs w:val="20"/>
                <w:color w:val="auto"/>
              </w:rPr>
            </w:pPr>
            <w:r>
              <w:rPr>
                <w:rFonts w:ascii="Arial" w:cs="Arial" w:eastAsia="Arial" w:hAnsi="Arial"/>
                <w:sz w:val="12"/>
                <w:szCs w:val="12"/>
                <w:color w:val="auto"/>
              </w:rPr>
              <w:t>Our waste recycling, waste management, and energy conservation initiatives</w:t>
            </w:r>
          </w:p>
        </w:tc>
      </w:tr>
    </w:tbl>
    <w:p>
      <w:pPr>
        <w:spacing w:after="0" w:line="128" w:lineRule="exact"/>
        <w:rPr>
          <w:sz w:val="20"/>
          <w:szCs w:val="20"/>
          <w:color w:val="auto"/>
        </w:rPr>
      </w:pPr>
    </w:p>
    <w:p>
      <w:pPr>
        <w:sectPr>
          <w:pgSz w:w="11900" w:h="16838" w:orient="portrait"/>
          <w:cols w:equalWidth="0" w:num="2">
            <w:col w:w="1488" w:space="620"/>
            <w:col w:w="9380"/>
          </w:cols>
          <w:pgMar w:left="212" w:top="655" w:right="199" w:bottom="1440" w:gutter="0" w:footer="0" w:header="0"/>
          <w:type w:val="continuous"/>
        </w:sectPr>
      </w:pPr>
    </w:p>
    <w:p>
      <w:pPr>
        <w:ind w:left="11028"/>
        <w:spacing w:after="0"/>
        <w:rPr>
          <w:sz w:val="20"/>
          <w:szCs w:val="20"/>
          <w:color w:val="auto"/>
        </w:rPr>
      </w:pPr>
      <w:r>
        <w:rPr>
          <w:rFonts w:ascii="Arial" w:cs="Arial" w:eastAsia="Arial" w:hAnsi="Arial"/>
          <w:sz w:val="10"/>
          <w:szCs w:val="10"/>
          <w:b w:val="1"/>
          <w:bCs w:val="1"/>
          <w:color w:val="FFFFF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5" w:right="199" w:bottom="1440" w:gutter="0" w:footer="0" w:header="0"/>
          <w:type w:val="continuous"/>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299325" cy="6901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690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1950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195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sz w:val="1"/>
          <w:szCs w:val="1"/>
          <w:color w:val="auto"/>
        </w:rPr>
        <w:drawing>
          <wp:inline distT="0" distB="0" distL="0" distR="0">
            <wp:extent cx="297180" cy="46926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180" cy="469265"/>
                    </a:xfrm>
                    <a:prstGeom prst="rect">
                      <a:avLst/>
                    </a:prstGeom>
                    <a:noFill/>
                    <a:ln>
                      <a:noFill/>
                    </a:ln>
                  </pic:spPr>
                </pic:pic>
              </a:graphicData>
            </a:graphic>
          </wp:inline>
        </w:drawing>
      </w:r>
      <w:r>
        <w:rPr>
          <w:rFonts w:ascii="Arial" w:cs="Arial" w:eastAsia="Arial" w:hAnsi="Arial"/>
          <w:sz w:val="29"/>
          <w:szCs w:val="29"/>
          <w:color w:val="FFFFFE"/>
        </w:rPr>
        <w:t>MEET THE BOARD</w:t>
      </w:r>
    </w:p>
    <w:p>
      <w:pPr>
        <w:spacing w:after="0" w:line="146" w:lineRule="exact"/>
        <w:rPr>
          <w:sz w:val="20"/>
          <w:szCs w:val="20"/>
          <w:color w:val="auto"/>
        </w:rPr>
      </w:pPr>
    </w:p>
    <w:p>
      <w:pPr>
        <w:ind w:right="440"/>
        <w:spacing w:after="0" w:line="239" w:lineRule="auto"/>
        <w:rPr>
          <w:sz w:val="20"/>
          <w:szCs w:val="20"/>
          <w:color w:val="auto"/>
        </w:rPr>
      </w:pPr>
      <w:r>
        <w:rPr>
          <w:rFonts w:ascii="Arial" w:cs="Arial" w:eastAsia="Arial" w:hAnsi="Arial"/>
          <w:sz w:val="12"/>
          <w:szCs w:val="12"/>
          <w:color w:val="auto"/>
        </w:rPr>
        <w:t>As the first substantive order of business at the 2018 Annual Meeting, you have an opportunity to vote on three members of our board of directors. This is the right starting point not only because the board oversees Regeneron, but because understanding the Regeneron board leads to a better understanding of the Company and its business model.</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As our President and CEO has observed, "Our dream when we started Regeneron was to build a company where the scientists would be the heroes." The composition of Regeneron's board reflects this founding principle: over half of our directors are members of the National Academy of Sciences, and our board members include two Nobel laureates and holders of many scientific awards. In addition, the board includes individuals with experience building shareholder value through all stages of corporate development. Various members bring substantial governance experience gained from service on other boards and others bring financial, policy, and management expertise. Five of our board's current 13 members are diverse by gender, race, or national origin.</w:t>
      </w:r>
    </w:p>
    <w:p>
      <w:pPr>
        <w:spacing w:after="0" w:line="139" w:lineRule="exact"/>
        <w:rPr>
          <w:sz w:val="20"/>
          <w:szCs w:val="20"/>
          <w:color w:val="auto"/>
        </w:rPr>
      </w:pPr>
    </w:p>
    <w:p>
      <w:pPr>
        <w:ind w:right="260"/>
        <w:spacing w:after="0" w:line="237" w:lineRule="auto"/>
        <w:rPr>
          <w:sz w:val="20"/>
          <w:szCs w:val="20"/>
          <w:color w:val="auto"/>
        </w:rPr>
      </w:pPr>
      <w:r>
        <w:rPr>
          <w:rFonts w:ascii="Arial" w:cs="Arial" w:eastAsia="Arial" w:hAnsi="Arial"/>
          <w:sz w:val="12"/>
          <w:szCs w:val="12"/>
          <w:color w:val="auto"/>
        </w:rPr>
        <w:t>The table below summarizes key qualifications, skills, or attributes most relevant to the decision to nominate the director to serve on the board of directors for each of our director nominees and directors (12 in total) expected to continue to serve immediately following the Annual Meeting.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1040" w:type="dxa"/>
            <w:vAlign w:val="bottom"/>
          </w:tcPr>
          <w:p>
            <w:pPr>
              <w:jc w:val="center"/>
              <w:ind w:left="152"/>
              <w:spacing w:after="0"/>
              <w:rPr>
                <w:sz w:val="20"/>
                <w:szCs w:val="20"/>
                <w:color w:val="auto"/>
              </w:rPr>
            </w:pPr>
            <w:r>
              <w:rPr>
                <w:rFonts w:ascii="Arial" w:cs="Arial" w:eastAsia="Arial" w:hAnsi="Arial"/>
                <w:sz w:val="10"/>
                <w:szCs w:val="10"/>
                <w:b w:val="1"/>
                <w:bCs w:val="1"/>
                <w:color w:val="105BAB"/>
                <w:w w:val="94"/>
              </w:rPr>
              <w:t>Bonnie</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105BAB"/>
                <w:w w:val="92"/>
              </w:rPr>
              <w:t>Michael</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105BAB"/>
                <w:w w:val="99"/>
              </w:rPr>
              <w:t>N.</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105BAB"/>
                <w:w w:val="94"/>
              </w:rPr>
              <w:t>Joseph L.</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105BAB"/>
                <w:w w:val="96"/>
              </w:rPr>
              <w:t>Leonard S.</w:t>
            </w:r>
          </w:p>
        </w:tc>
        <w:tc>
          <w:tcPr>
            <w:tcW w:w="70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0"/>
                <w:szCs w:val="10"/>
                <w:b w:val="1"/>
                <w:bCs w:val="1"/>
                <w:color w:val="105BAB"/>
                <w:w w:val="94"/>
              </w:rPr>
              <w:t>Marc</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105BAB"/>
                <w:w w:val="89"/>
              </w:rPr>
              <w:t>P. Roy</w:t>
            </w:r>
          </w:p>
        </w:tc>
        <w:tc>
          <w:tcPr>
            <w:tcW w:w="1200" w:type="dxa"/>
            <w:vAlign w:val="bottom"/>
          </w:tcPr>
          <w:p>
            <w:pPr>
              <w:jc w:val="center"/>
              <w:ind w:right="136"/>
              <w:spacing w:after="0"/>
              <w:rPr>
                <w:sz w:val="20"/>
                <w:szCs w:val="20"/>
                <w:color w:val="auto"/>
              </w:rPr>
            </w:pPr>
            <w:r>
              <w:rPr>
                <w:rFonts w:ascii="Arial" w:cs="Arial" w:eastAsia="Arial" w:hAnsi="Arial"/>
                <w:sz w:val="10"/>
                <w:szCs w:val="10"/>
                <w:b w:val="1"/>
                <w:bCs w:val="1"/>
                <w:color w:val="105BAB"/>
                <w:w w:val="96"/>
              </w:rPr>
              <w:t>George D.</w:t>
            </w:r>
          </w:p>
        </w:tc>
        <w:tc>
          <w:tcPr>
            <w:tcW w:w="460" w:type="dxa"/>
            <w:vAlign w:val="bottom"/>
          </w:tcPr>
          <w:p>
            <w:pPr>
              <w:jc w:val="center"/>
              <w:ind w:right="52"/>
              <w:spacing w:after="0"/>
              <w:rPr>
                <w:sz w:val="20"/>
                <w:szCs w:val="20"/>
                <w:color w:val="auto"/>
              </w:rPr>
            </w:pPr>
            <w:r>
              <w:rPr>
                <w:rFonts w:ascii="Arial" w:cs="Arial" w:eastAsia="Arial" w:hAnsi="Arial"/>
                <w:sz w:val="10"/>
                <w:szCs w:val="10"/>
                <w:b w:val="1"/>
                <w:bCs w:val="1"/>
                <w:color w:val="105BAB"/>
                <w:w w:val="96"/>
              </w:rPr>
              <w:t>Huda Y.</w:t>
            </w:r>
          </w:p>
        </w:tc>
        <w:tc>
          <w:tcPr>
            <w:tcW w:w="0" w:type="dxa"/>
            <w:vAlign w:val="bottom"/>
          </w:tcPr>
          <w:p>
            <w:pPr>
              <w:spacing w:after="0"/>
              <w:rPr>
                <w:sz w:val="1"/>
                <w:szCs w:val="1"/>
                <w:color w:val="auto"/>
              </w:rPr>
            </w:pPr>
          </w:p>
        </w:tc>
      </w:tr>
      <w:tr>
        <w:trPr>
          <w:trHeight w:val="108"/>
        </w:trPr>
        <w:tc>
          <w:tcPr>
            <w:tcW w:w="1420" w:type="dxa"/>
            <w:vAlign w:val="bottom"/>
          </w:tcPr>
          <w:p>
            <w:pPr>
              <w:spacing w:after="0" w:line="108" w:lineRule="exact"/>
              <w:rPr>
                <w:sz w:val="20"/>
                <w:szCs w:val="20"/>
                <w:color w:val="auto"/>
              </w:rPr>
            </w:pPr>
            <w:r>
              <w:rPr>
                <w:rFonts w:ascii="Arial" w:cs="Arial" w:eastAsia="Arial" w:hAnsi="Arial"/>
                <w:sz w:val="10"/>
                <w:szCs w:val="10"/>
                <w:b w:val="1"/>
                <w:bCs w:val="1"/>
                <w:color w:val="105BAB"/>
              </w:rPr>
              <w:t>Experience,</w:t>
            </w:r>
          </w:p>
        </w:tc>
        <w:tc>
          <w:tcPr>
            <w:tcW w:w="1040" w:type="dxa"/>
            <w:vAlign w:val="bottom"/>
          </w:tcPr>
          <w:p>
            <w:pPr>
              <w:jc w:val="center"/>
              <w:ind w:left="152"/>
              <w:spacing w:after="0" w:line="108" w:lineRule="exact"/>
              <w:rPr>
                <w:sz w:val="20"/>
                <w:szCs w:val="20"/>
                <w:color w:val="auto"/>
              </w:rPr>
            </w:pPr>
            <w:r>
              <w:rPr>
                <w:rFonts w:ascii="Arial" w:cs="Arial" w:eastAsia="Arial" w:hAnsi="Arial"/>
                <w:sz w:val="10"/>
                <w:szCs w:val="10"/>
                <w:b w:val="1"/>
                <w:bCs w:val="1"/>
                <w:color w:val="105BAB"/>
                <w:w w:val="94"/>
              </w:rPr>
              <w:t>L. Bassler,</w:t>
            </w: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9"/>
              </w:rPr>
              <w:t>S. Brown,</w:t>
            </w: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3"/>
              </w:rPr>
              <w:t>Anthony</w:t>
            </w: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Goldstein,</w:t>
            </w:r>
          </w:p>
        </w:tc>
        <w:tc>
          <w:tcPr>
            <w:tcW w:w="7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Christine</w:t>
            </w: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Arthur</w:t>
            </w:r>
          </w:p>
        </w:tc>
        <w:tc>
          <w:tcPr>
            <w:tcW w:w="8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3"/>
              </w:rPr>
              <w:t>Schleifer,</w:t>
            </w: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George</w:t>
            </w:r>
          </w:p>
        </w:tc>
        <w:tc>
          <w:tcPr>
            <w:tcW w:w="10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Tessier-</w:t>
            </w: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7"/>
              </w:rPr>
              <w:t>Vagelos,</w:t>
            </w:r>
          </w:p>
        </w:tc>
        <w:tc>
          <w:tcPr>
            <w:tcW w:w="1200" w:type="dxa"/>
            <w:vAlign w:val="bottom"/>
          </w:tcPr>
          <w:p>
            <w:pPr>
              <w:jc w:val="center"/>
              <w:ind w:right="136"/>
              <w:spacing w:after="0" w:line="108" w:lineRule="exact"/>
              <w:rPr>
                <w:sz w:val="20"/>
                <w:szCs w:val="20"/>
                <w:color w:val="auto"/>
              </w:rPr>
            </w:pPr>
            <w:r>
              <w:rPr>
                <w:rFonts w:ascii="Arial" w:cs="Arial" w:eastAsia="Arial" w:hAnsi="Arial"/>
                <w:sz w:val="10"/>
                <w:szCs w:val="10"/>
                <w:b w:val="1"/>
                <w:bCs w:val="1"/>
                <w:color w:val="105BAB"/>
                <w:w w:val="94"/>
              </w:rPr>
              <w:t>Yancopoulos,</w:t>
            </w:r>
          </w:p>
        </w:tc>
        <w:tc>
          <w:tcPr>
            <w:tcW w:w="460" w:type="dxa"/>
            <w:vAlign w:val="bottom"/>
          </w:tcPr>
          <w:p>
            <w:pPr>
              <w:jc w:val="center"/>
              <w:ind w:right="52"/>
              <w:spacing w:after="0" w:line="108" w:lineRule="exact"/>
              <w:rPr>
                <w:sz w:val="20"/>
                <w:szCs w:val="20"/>
                <w:color w:val="auto"/>
              </w:rPr>
            </w:pPr>
            <w:r>
              <w:rPr>
                <w:rFonts w:ascii="Arial" w:cs="Arial" w:eastAsia="Arial" w:hAnsi="Arial"/>
                <w:sz w:val="10"/>
                <w:szCs w:val="10"/>
                <w:b w:val="1"/>
                <w:bCs w:val="1"/>
                <w:color w:val="105BAB"/>
                <w:w w:val="99"/>
              </w:rPr>
              <w:t>Zoghbi,</w:t>
            </w:r>
          </w:p>
        </w:tc>
        <w:tc>
          <w:tcPr>
            <w:tcW w:w="0" w:type="dxa"/>
            <w:vAlign w:val="bottom"/>
          </w:tcPr>
          <w:p>
            <w:pPr>
              <w:spacing w:after="0"/>
              <w:rPr>
                <w:sz w:val="1"/>
                <w:szCs w:val="1"/>
                <w:color w:val="auto"/>
              </w:rPr>
            </w:pPr>
          </w:p>
        </w:tc>
      </w:tr>
      <w:tr>
        <w:trPr>
          <w:trHeight w:val="117"/>
        </w:trPr>
        <w:tc>
          <w:tcPr>
            <w:tcW w:w="1420" w:type="dxa"/>
            <w:vAlign w:val="bottom"/>
            <w:tcBorders>
              <w:bottom w:val="single" w:sz="8" w:color="105BAB"/>
            </w:tcBorders>
          </w:tcPr>
          <w:p>
            <w:pPr>
              <w:spacing w:after="0"/>
              <w:rPr>
                <w:sz w:val="20"/>
                <w:szCs w:val="20"/>
                <w:color w:val="auto"/>
              </w:rPr>
            </w:pPr>
            <w:r>
              <w:rPr>
                <w:rFonts w:ascii="Arial" w:cs="Arial" w:eastAsia="Arial" w:hAnsi="Arial"/>
                <w:sz w:val="10"/>
                <w:szCs w:val="10"/>
                <w:b w:val="1"/>
                <w:bCs w:val="1"/>
                <w:color w:val="105BAB"/>
              </w:rPr>
              <w:t>Expertise, or Attribute</w:t>
            </w:r>
          </w:p>
        </w:tc>
        <w:tc>
          <w:tcPr>
            <w:tcW w:w="1040" w:type="dxa"/>
            <w:vAlign w:val="bottom"/>
            <w:tcBorders>
              <w:bottom w:val="single" w:sz="8" w:color="105BAB"/>
            </w:tcBorders>
          </w:tcPr>
          <w:p>
            <w:pPr>
              <w:jc w:val="center"/>
              <w:ind w:left="152"/>
              <w:spacing w:after="0"/>
              <w:rPr>
                <w:sz w:val="20"/>
                <w:szCs w:val="20"/>
                <w:color w:val="auto"/>
              </w:rPr>
            </w:pPr>
            <w:r>
              <w:rPr>
                <w:rFonts w:ascii="Arial" w:cs="Arial" w:eastAsia="Arial" w:hAnsi="Arial"/>
                <w:sz w:val="10"/>
                <w:szCs w:val="10"/>
                <w:b w:val="1"/>
                <w:bCs w:val="1"/>
                <w:color w:val="105BAB"/>
                <w:w w:val="93"/>
              </w:rPr>
              <w:t>Ph.D.</w:t>
            </w:r>
          </w:p>
        </w:tc>
        <w:tc>
          <w:tcPr>
            <w:tcW w:w="82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M.D.</w:t>
            </w:r>
          </w:p>
        </w:tc>
        <w:tc>
          <w:tcPr>
            <w:tcW w:w="90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6"/>
              </w:rPr>
              <w:t>Coles, M.D.</w:t>
            </w:r>
          </w:p>
        </w:tc>
        <w:tc>
          <w:tcPr>
            <w:tcW w:w="84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4"/>
              </w:rPr>
              <w:t>M.D.</w:t>
            </w:r>
          </w:p>
        </w:tc>
        <w:tc>
          <w:tcPr>
            <w:tcW w:w="74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5"/>
              </w:rPr>
              <w:t>A. Poon</w:t>
            </w:r>
          </w:p>
        </w:tc>
        <w:tc>
          <w:tcPr>
            <w:tcW w:w="66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3"/>
              </w:rPr>
              <w:t>F. Ryan</w:t>
            </w:r>
          </w:p>
        </w:tc>
        <w:tc>
          <w:tcPr>
            <w:tcW w:w="84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5"/>
              </w:rPr>
              <w:t>M.D., Ph.D.</w:t>
            </w:r>
          </w:p>
        </w:tc>
        <w:tc>
          <w:tcPr>
            <w:tcW w:w="70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5"/>
              </w:rPr>
              <w:t>L. Sing</w:t>
            </w:r>
          </w:p>
        </w:tc>
        <w:tc>
          <w:tcPr>
            <w:tcW w:w="106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5"/>
              </w:rPr>
              <w:t>Lavigne, Ph.D.</w:t>
            </w:r>
          </w:p>
        </w:tc>
        <w:tc>
          <w:tcPr>
            <w:tcW w:w="80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4"/>
              </w:rPr>
              <w:t>M.D.</w:t>
            </w:r>
          </w:p>
        </w:tc>
        <w:tc>
          <w:tcPr>
            <w:tcW w:w="1200" w:type="dxa"/>
            <w:vAlign w:val="bottom"/>
            <w:tcBorders>
              <w:bottom w:val="single" w:sz="8" w:color="105BAB"/>
            </w:tcBorders>
          </w:tcPr>
          <w:p>
            <w:pPr>
              <w:jc w:val="center"/>
              <w:ind w:right="136"/>
              <w:spacing w:after="0"/>
              <w:rPr>
                <w:sz w:val="20"/>
                <w:szCs w:val="20"/>
                <w:color w:val="auto"/>
              </w:rPr>
            </w:pPr>
            <w:r>
              <w:rPr>
                <w:rFonts w:ascii="Arial" w:cs="Arial" w:eastAsia="Arial" w:hAnsi="Arial"/>
                <w:sz w:val="10"/>
                <w:szCs w:val="10"/>
                <w:b w:val="1"/>
                <w:bCs w:val="1"/>
                <w:color w:val="105BAB"/>
                <w:w w:val="95"/>
              </w:rPr>
              <w:t>M.D., Ph.D.</w:t>
            </w:r>
          </w:p>
        </w:tc>
        <w:tc>
          <w:tcPr>
            <w:tcW w:w="460" w:type="dxa"/>
            <w:vAlign w:val="bottom"/>
            <w:tcBorders>
              <w:bottom w:val="single" w:sz="8" w:color="105BAB"/>
            </w:tcBorders>
          </w:tcPr>
          <w:p>
            <w:pPr>
              <w:jc w:val="center"/>
              <w:ind w:right="52"/>
              <w:spacing w:after="0"/>
              <w:rPr>
                <w:sz w:val="20"/>
                <w:szCs w:val="20"/>
                <w:color w:val="auto"/>
              </w:rPr>
            </w:pPr>
            <w:r>
              <w:rPr>
                <w:rFonts w:ascii="Arial" w:cs="Arial" w:eastAsia="Arial" w:hAnsi="Arial"/>
                <w:sz w:val="10"/>
                <w:szCs w:val="10"/>
                <w:b w:val="1"/>
                <w:bCs w:val="1"/>
                <w:color w:val="105BAB"/>
                <w:w w:val="94"/>
              </w:rPr>
              <w:t>M.D.</w:t>
            </w:r>
          </w:p>
        </w:tc>
        <w:tc>
          <w:tcPr>
            <w:tcW w:w="0" w:type="dxa"/>
            <w:vAlign w:val="bottom"/>
          </w:tcPr>
          <w:p>
            <w:pPr>
              <w:spacing w:after="0"/>
              <w:rPr>
                <w:sz w:val="1"/>
                <w:szCs w:val="1"/>
                <w:color w:val="auto"/>
              </w:rPr>
            </w:pPr>
          </w:p>
        </w:tc>
      </w:tr>
      <w:tr>
        <w:trPr>
          <w:trHeight w:val="100"/>
        </w:trPr>
        <w:tc>
          <w:tcPr>
            <w:tcW w:w="1420" w:type="dxa"/>
            <w:vAlign w:val="bottom"/>
            <w:shd w:val="clear" w:color="auto" w:fill="F1F3F9"/>
          </w:tcPr>
          <w:p>
            <w:pPr>
              <w:spacing w:after="0" w:line="101" w:lineRule="exact"/>
              <w:rPr>
                <w:sz w:val="20"/>
                <w:szCs w:val="20"/>
                <w:color w:val="auto"/>
              </w:rPr>
            </w:pPr>
            <w:r>
              <w:rPr>
                <w:rFonts w:ascii="Arial" w:cs="Arial" w:eastAsia="Arial" w:hAnsi="Arial"/>
                <w:sz w:val="10"/>
                <w:szCs w:val="10"/>
                <w:color w:val="auto"/>
              </w:rPr>
              <w:t>Industry</w:t>
            </w:r>
          </w:p>
        </w:tc>
        <w:tc>
          <w:tcPr>
            <w:tcW w:w="1040" w:type="dxa"/>
            <w:vAlign w:val="bottom"/>
            <w:vMerge w:val="restart"/>
            <w:shd w:val="clear" w:color="auto" w:fill="F1F3F9"/>
          </w:tcPr>
          <w:p>
            <w:pPr>
              <w:jc w:val="center"/>
              <w:ind w:left="152"/>
              <w:spacing w:after="0"/>
              <w:rPr>
                <w:sz w:val="20"/>
                <w:szCs w:val="20"/>
                <w:color w:val="auto"/>
              </w:rPr>
            </w:pPr>
            <w:r>
              <w:rPr>
                <w:rFonts w:ascii="Arial" w:cs="Arial" w:eastAsia="Arial" w:hAnsi="Arial"/>
                <w:sz w:val="10"/>
                <w:szCs w:val="10"/>
                <w:color w:val="105BAB"/>
              </w:rPr>
              <w:t>·</w:t>
            </w:r>
          </w:p>
        </w:tc>
        <w:tc>
          <w:tcPr>
            <w:tcW w:w="82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90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vMerge w:val="restart"/>
            <w:shd w:val="clear" w:color="auto" w:fill="F1F3F9"/>
          </w:tcPr>
          <w:p>
            <w:pPr>
              <w:jc w:val="center"/>
              <w:spacing w:after="0"/>
              <w:rPr>
                <w:sz w:val="20"/>
                <w:szCs w:val="20"/>
                <w:color w:val="auto"/>
              </w:rPr>
            </w:pPr>
            <w:r>
              <w:rPr>
                <w:rFonts w:ascii="Arial" w:cs="Arial" w:eastAsia="Arial" w:hAnsi="Arial"/>
                <w:sz w:val="10"/>
                <w:szCs w:val="10"/>
                <w:color w:val="105BAB"/>
              </w:rPr>
              <w:t>·</w:t>
            </w:r>
          </w:p>
        </w:tc>
        <w:tc>
          <w:tcPr>
            <w:tcW w:w="74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66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06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00" w:type="dxa"/>
            <w:vAlign w:val="bottom"/>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vMerge w:val="restart"/>
            <w:shd w:val="clear" w:color="auto" w:fill="F1F3F9"/>
          </w:tcPr>
          <w:p>
            <w:pPr>
              <w:jc w:val="center"/>
              <w:ind w:right="136"/>
              <w:spacing w:after="0"/>
              <w:rPr>
                <w:sz w:val="20"/>
                <w:szCs w:val="20"/>
                <w:color w:val="auto"/>
              </w:rPr>
            </w:pPr>
            <w:r>
              <w:rPr>
                <w:rFonts w:ascii="Arial" w:cs="Arial" w:eastAsia="Arial" w:hAnsi="Arial"/>
                <w:sz w:val="8"/>
                <w:szCs w:val="8"/>
                <w:color w:val="105BAB"/>
                <w:w w:val="73"/>
              </w:rPr>
              <w:t>·</w:t>
            </w:r>
          </w:p>
        </w:tc>
        <w:tc>
          <w:tcPr>
            <w:tcW w:w="460" w:type="dxa"/>
            <w:vAlign w:val="bottom"/>
            <w:shd w:val="clear" w:color="auto" w:fill="F1F3F9"/>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20" w:type="dxa"/>
            <w:vAlign w:val="bottom"/>
            <w:tcBorders>
              <w:bottom w:val="single" w:sz="8" w:color="F1F3F9"/>
            </w:tcBorders>
            <w:shd w:val="clear" w:color="auto" w:fill="F1F3F9"/>
          </w:tcPr>
          <w:p>
            <w:pPr>
              <w:spacing w:after="0" w:line="105" w:lineRule="exact"/>
              <w:rPr>
                <w:sz w:val="20"/>
                <w:szCs w:val="20"/>
                <w:color w:val="auto"/>
              </w:rPr>
            </w:pPr>
            <w:r>
              <w:rPr>
                <w:rFonts w:ascii="Arial" w:cs="Arial" w:eastAsia="Arial" w:hAnsi="Arial"/>
                <w:sz w:val="10"/>
                <w:szCs w:val="10"/>
                <w:color w:val="auto"/>
              </w:rPr>
              <w:t>Experience</w:t>
            </w:r>
          </w:p>
        </w:tc>
        <w:tc>
          <w:tcPr>
            <w:tcW w:w="1040" w:type="dxa"/>
            <w:vAlign w:val="bottom"/>
            <w:tcBorders>
              <w:bottom w:val="single" w:sz="8" w:color="F1F3F9"/>
            </w:tcBorders>
            <w:vMerge w:val="continue"/>
            <w:shd w:val="clear" w:color="auto" w:fill="F1F3F9"/>
          </w:tcPr>
          <w:p>
            <w:pPr>
              <w:spacing w:after="0"/>
              <w:rPr>
                <w:sz w:val="9"/>
                <w:szCs w:val="9"/>
                <w:color w:val="auto"/>
              </w:rPr>
            </w:pPr>
          </w:p>
        </w:tc>
        <w:tc>
          <w:tcPr>
            <w:tcW w:w="820" w:type="dxa"/>
            <w:vAlign w:val="bottom"/>
            <w:tcBorders>
              <w:bottom w:val="single" w:sz="8" w:color="F1F3F9"/>
            </w:tcBorders>
            <w:vMerge w:val="continue"/>
            <w:shd w:val="clear" w:color="auto" w:fill="F1F3F9"/>
          </w:tcPr>
          <w:p>
            <w:pPr>
              <w:spacing w:after="0"/>
              <w:rPr>
                <w:sz w:val="9"/>
                <w:szCs w:val="9"/>
                <w:color w:val="auto"/>
              </w:rPr>
            </w:pPr>
          </w:p>
        </w:tc>
        <w:tc>
          <w:tcPr>
            <w:tcW w:w="90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vMerge w:val="continue"/>
            <w:shd w:val="clear" w:color="auto" w:fill="F1F3F9"/>
          </w:tcPr>
          <w:p>
            <w:pPr>
              <w:spacing w:after="0"/>
              <w:rPr>
                <w:sz w:val="9"/>
                <w:szCs w:val="9"/>
                <w:color w:val="auto"/>
              </w:rPr>
            </w:pPr>
          </w:p>
        </w:tc>
        <w:tc>
          <w:tcPr>
            <w:tcW w:w="740" w:type="dxa"/>
            <w:vAlign w:val="bottom"/>
            <w:tcBorders>
              <w:bottom w:val="single" w:sz="8" w:color="F1F3F9"/>
            </w:tcBorders>
            <w:vMerge w:val="continue"/>
            <w:shd w:val="clear" w:color="auto" w:fill="F1F3F9"/>
          </w:tcPr>
          <w:p>
            <w:pPr>
              <w:spacing w:after="0"/>
              <w:rPr>
                <w:sz w:val="9"/>
                <w:szCs w:val="9"/>
                <w:color w:val="auto"/>
              </w:rPr>
            </w:pPr>
          </w:p>
        </w:tc>
        <w:tc>
          <w:tcPr>
            <w:tcW w:w="66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vMerge w:val="continue"/>
            <w:shd w:val="clear" w:color="auto" w:fill="F1F3F9"/>
          </w:tcPr>
          <w:p>
            <w:pPr>
              <w:spacing w:after="0"/>
              <w:rPr>
                <w:sz w:val="9"/>
                <w:szCs w:val="9"/>
                <w:color w:val="auto"/>
              </w:rPr>
            </w:pPr>
          </w:p>
        </w:tc>
        <w:tc>
          <w:tcPr>
            <w:tcW w:w="700" w:type="dxa"/>
            <w:vAlign w:val="bottom"/>
            <w:tcBorders>
              <w:bottom w:val="single" w:sz="8" w:color="F1F3F9"/>
            </w:tcBorders>
            <w:vMerge w:val="continue"/>
            <w:shd w:val="clear" w:color="auto" w:fill="F1F3F9"/>
          </w:tcPr>
          <w:p>
            <w:pPr>
              <w:spacing w:after="0"/>
              <w:rPr>
                <w:sz w:val="9"/>
                <w:szCs w:val="9"/>
                <w:color w:val="auto"/>
              </w:rPr>
            </w:pPr>
          </w:p>
        </w:tc>
        <w:tc>
          <w:tcPr>
            <w:tcW w:w="1060" w:type="dxa"/>
            <w:vAlign w:val="bottom"/>
            <w:tcBorders>
              <w:bottom w:val="single" w:sz="8" w:color="F1F3F9"/>
            </w:tcBorders>
            <w:vMerge w:val="continue"/>
            <w:shd w:val="clear" w:color="auto" w:fill="F1F3F9"/>
          </w:tcPr>
          <w:p>
            <w:pPr>
              <w:spacing w:after="0"/>
              <w:rPr>
                <w:sz w:val="9"/>
                <w:szCs w:val="9"/>
                <w:color w:val="auto"/>
              </w:rPr>
            </w:pPr>
          </w:p>
        </w:tc>
        <w:tc>
          <w:tcPr>
            <w:tcW w:w="800" w:type="dxa"/>
            <w:vAlign w:val="bottom"/>
            <w:tcBorders>
              <w:bottom w:val="single" w:sz="8" w:color="F1F3F9"/>
            </w:tcBorders>
            <w:vMerge w:val="continue"/>
            <w:shd w:val="clear" w:color="auto" w:fill="F1F3F9"/>
          </w:tcPr>
          <w:p>
            <w:pPr>
              <w:spacing w:after="0"/>
              <w:rPr>
                <w:sz w:val="9"/>
                <w:szCs w:val="9"/>
                <w:color w:val="auto"/>
              </w:rPr>
            </w:pPr>
          </w:p>
        </w:tc>
        <w:tc>
          <w:tcPr>
            <w:tcW w:w="1200" w:type="dxa"/>
            <w:vAlign w:val="bottom"/>
            <w:tcBorders>
              <w:bottom w:val="single" w:sz="8" w:color="F1F3F9"/>
            </w:tcBorders>
            <w:vMerge w:val="continue"/>
            <w:shd w:val="clear" w:color="auto" w:fill="F1F3F9"/>
          </w:tcPr>
          <w:p>
            <w:pPr>
              <w:spacing w:after="0"/>
              <w:rPr>
                <w:sz w:val="9"/>
                <w:szCs w:val="9"/>
                <w:color w:val="auto"/>
              </w:rPr>
            </w:pPr>
          </w:p>
        </w:tc>
        <w:tc>
          <w:tcPr>
            <w:tcW w:w="460" w:type="dxa"/>
            <w:vAlign w:val="bottom"/>
            <w:tcBorders>
              <w:bottom w:val="single" w:sz="8" w:color="F1F3F9"/>
            </w:tcBorders>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D6DAEE"/>
          </w:tcPr>
          <w:p>
            <w:pPr>
              <w:spacing w:after="0" w:line="101" w:lineRule="exact"/>
              <w:rPr>
                <w:sz w:val="20"/>
                <w:szCs w:val="20"/>
                <w:color w:val="auto"/>
              </w:rPr>
            </w:pPr>
            <w:r>
              <w:rPr>
                <w:rFonts w:ascii="Arial" w:cs="Arial" w:eastAsia="Arial" w:hAnsi="Arial"/>
                <w:sz w:val="10"/>
                <w:szCs w:val="10"/>
                <w:color w:val="auto"/>
              </w:rPr>
              <w:t>Executive/Leadership</w:t>
            </w:r>
          </w:p>
        </w:tc>
        <w:tc>
          <w:tcPr>
            <w:tcW w:w="1040" w:type="dxa"/>
            <w:vAlign w:val="bottom"/>
            <w:tcBorders>
              <w:top w:val="single" w:sz="8" w:color="105BAB"/>
            </w:tcBorders>
            <w:vMerge w:val="restart"/>
            <w:shd w:val="clear" w:color="auto" w:fill="D6DAEE"/>
          </w:tcPr>
          <w:p>
            <w:pPr>
              <w:jc w:val="center"/>
              <w:ind w:left="152"/>
              <w:spacing w:after="0"/>
              <w:rPr>
                <w:sz w:val="20"/>
                <w:szCs w:val="20"/>
                <w:color w:val="auto"/>
              </w:rPr>
            </w:pPr>
            <w:r>
              <w:rPr>
                <w:rFonts w:ascii="Arial" w:cs="Arial" w:eastAsia="Arial" w:hAnsi="Arial"/>
                <w:sz w:val="10"/>
                <w:szCs w:val="10"/>
                <w:color w:val="105BAB"/>
              </w:rPr>
              <w:t>·</w:t>
            </w:r>
          </w:p>
        </w:tc>
        <w:tc>
          <w:tcPr>
            <w:tcW w:w="82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9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10"/>
                <w:szCs w:val="10"/>
                <w:color w:val="105BAB"/>
              </w:rPr>
              <w:t>·</w:t>
            </w:r>
          </w:p>
        </w:tc>
        <w:tc>
          <w:tcPr>
            <w:tcW w:w="7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66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106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vMerge w:val="restart"/>
            <w:shd w:val="clear" w:color="auto" w:fill="D6DAEE"/>
          </w:tcPr>
          <w:p>
            <w:pPr>
              <w:jc w:val="center"/>
              <w:ind w:right="136"/>
              <w:spacing w:after="0"/>
              <w:rPr>
                <w:sz w:val="20"/>
                <w:szCs w:val="20"/>
                <w:color w:val="auto"/>
              </w:rPr>
            </w:pPr>
            <w:r>
              <w:rPr>
                <w:rFonts w:ascii="Arial" w:cs="Arial" w:eastAsia="Arial" w:hAnsi="Arial"/>
                <w:sz w:val="8"/>
                <w:szCs w:val="8"/>
                <w:color w:val="105BAB"/>
                <w:w w:val="73"/>
              </w:rPr>
              <w:t>·</w:t>
            </w:r>
          </w:p>
        </w:tc>
        <w:tc>
          <w:tcPr>
            <w:tcW w:w="460" w:type="dxa"/>
            <w:vAlign w:val="bottom"/>
            <w:tcBorders>
              <w:top w:val="single" w:sz="8" w:color="105BAB"/>
            </w:tcBorders>
            <w:vMerge w:val="restart"/>
            <w:shd w:val="clear" w:color="auto" w:fill="D6DAEE"/>
          </w:tcPr>
          <w:p>
            <w:pPr>
              <w:jc w:val="center"/>
              <w:ind w:right="52"/>
              <w:spacing w:after="0"/>
              <w:rPr>
                <w:sz w:val="20"/>
                <w:szCs w:val="20"/>
                <w:color w:val="auto"/>
              </w:rPr>
            </w:pPr>
            <w:r>
              <w:rPr>
                <w:rFonts w:ascii="Arial" w:cs="Arial" w:eastAsia="Arial" w:hAnsi="Arial"/>
                <w:sz w:val="10"/>
                <w:szCs w:val="10"/>
                <w:color w:val="105BAB"/>
              </w:rPr>
              <w:t>·</w:t>
            </w:r>
          </w:p>
        </w:tc>
        <w:tc>
          <w:tcPr>
            <w:tcW w:w="0" w:type="dxa"/>
            <w:vAlign w:val="bottom"/>
          </w:tcPr>
          <w:p>
            <w:pPr>
              <w:spacing w:after="0"/>
              <w:rPr>
                <w:sz w:val="1"/>
                <w:szCs w:val="1"/>
                <w:color w:val="auto"/>
              </w:rPr>
            </w:pPr>
          </w:p>
        </w:tc>
      </w:tr>
      <w:tr>
        <w:trPr>
          <w:trHeight w:val="105"/>
        </w:trPr>
        <w:tc>
          <w:tcPr>
            <w:tcW w:w="1420" w:type="dxa"/>
            <w:vAlign w:val="bottom"/>
            <w:tcBorders>
              <w:bottom w:val="single" w:sz="8" w:color="D6DAEE"/>
            </w:tcBorders>
            <w:shd w:val="clear" w:color="auto" w:fill="D6DAEE"/>
          </w:tcPr>
          <w:p>
            <w:pPr>
              <w:spacing w:after="0" w:line="105" w:lineRule="exact"/>
              <w:rPr>
                <w:sz w:val="20"/>
                <w:szCs w:val="20"/>
                <w:color w:val="auto"/>
              </w:rPr>
            </w:pPr>
            <w:r>
              <w:rPr>
                <w:rFonts w:ascii="Arial" w:cs="Arial" w:eastAsia="Arial" w:hAnsi="Arial"/>
                <w:sz w:val="10"/>
                <w:szCs w:val="10"/>
                <w:color w:val="auto"/>
              </w:rPr>
              <w:t>Experience</w:t>
            </w:r>
          </w:p>
        </w:tc>
        <w:tc>
          <w:tcPr>
            <w:tcW w:w="1040" w:type="dxa"/>
            <w:vAlign w:val="bottom"/>
            <w:tcBorders>
              <w:bottom w:val="single" w:sz="8" w:color="D6DAEE"/>
            </w:tcBorders>
            <w:vMerge w:val="continue"/>
            <w:shd w:val="clear" w:color="auto" w:fill="D6DAEE"/>
          </w:tcPr>
          <w:p>
            <w:pPr>
              <w:spacing w:after="0"/>
              <w:rPr>
                <w:sz w:val="9"/>
                <w:szCs w:val="9"/>
                <w:color w:val="auto"/>
              </w:rPr>
            </w:pPr>
          </w:p>
        </w:tc>
        <w:tc>
          <w:tcPr>
            <w:tcW w:w="820" w:type="dxa"/>
            <w:vAlign w:val="bottom"/>
            <w:tcBorders>
              <w:bottom w:val="single" w:sz="8" w:color="D6DAEE"/>
            </w:tcBorders>
            <w:vMerge w:val="continue"/>
            <w:shd w:val="clear" w:color="auto" w:fill="D6DAEE"/>
          </w:tcPr>
          <w:p>
            <w:pPr>
              <w:spacing w:after="0"/>
              <w:rPr>
                <w:sz w:val="9"/>
                <w:szCs w:val="9"/>
                <w:color w:val="auto"/>
              </w:rPr>
            </w:pPr>
          </w:p>
        </w:tc>
        <w:tc>
          <w:tcPr>
            <w:tcW w:w="900" w:type="dxa"/>
            <w:vAlign w:val="bottom"/>
            <w:tcBorders>
              <w:bottom w:val="single" w:sz="8" w:color="D6DAEE"/>
            </w:tcBorders>
            <w:vMerge w:val="continue"/>
            <w:shd w:val="clear" w:color="auto" w:fill="D6DAEE"/>
          </w:tcPr>
          <w:p>
            <w:pPr>
              <w:spacing w:after="0"/>
              <w:rPr>
                <w:sz w:val="9"/>
                <w:szCs w:val="9"/>
                <w:color w:val="auto"/>
              </w:rPr>
            </w:pPr>
          </w:p>
        </w:tc>
        <w:tc>
          <w:tcPr>
            <w:tcW w:w="840" w:type="dxa"/>
            <w:vAlign w:val="bottom"/>
            <w:tcBorders>
              <w:bottom w:val="single" w:sz="8" w:color="D6DAEE"/>
            </w:tcBorders>
            <w:vMerge w:val="continue"/>
            <w:shd w:val="clear" w:color="auto" w:fill="D6DAEE"/>
          </w:tcPr>
          <w:p>
            <w:pPr>
              <w:spacing w:after="0"/>
              <w:rPr>
                <w:sz w:val="9"/>
                <w:szCs w:val="9"/>
                <w:color w:val="auto"/>
              </w:rPr>
            </w:pPr>
          </w:p>
        </w:tc>
        <w:tc>
          <w:tcPr>
            <w:tcW w:w="740" w:type="dxa"/>
            <w:vAlign w:val="bottom"/>
            <w:tcBorders>
              <w:bottom w:val="single" w:sz="8" w:color="D6DAEE"/>
            </w:tcBorders>
            <w:vMerge w:val="continue"/>
            <w:shd w:val="clear" w:color="auto" w:fill="D6DAEE"/>
          </w:tcPr>
          <w:p>
            <w:pPr>
              <w:spacing w:after="0"/>
              <w:rPr>
                <w:sz w:val="9"/>
                <w:szCs w:val="9"/>
                <w:color w:val="auto"/>
              </w:rPr>
            </w:pPr>
          </w:p>
        </w:tc>
        <w:tc>
          <w:tcPr>
            <w:tcW w:w="660" w:type="dxa"/>
            <w:vAlign w:val="bottom"/>
            <w:tcBorders>
              <w:bottom w:val="single" w:sz="8" w:color="D6DAEE"/>
            </w:tcBorders>
            <w:vMerge w:val="continue"/>
            <w:shd w:val="clear" w:color="auto" w:fill="D6DAEE"/>
          </w:tcPr>
          <w:p>
            <w:pPr>
              <w:spacing w:after="0"/>
              <w:rPr>
                <w:sz w:val="9"/>
                <w:szCs w:val="9"/>
                <w:color w:val="auto"/>
              </w:rPr>
            </w:pPr>
          </w:p>
        </w:tc>
        <w:tc>
          <w:tcPr>
            <w:tcW w:w="840" w:type="dxa"/>
            <w:vAlign w:val="bottom"/>
            <w:tcBorders>
              <w:bottom w:val="single" w:sz="8" w:color="D6DAEE"/>
            </w:tcBorders>
            <w:vMerge w:val="continue"/>
            <w:shd w:val="clear" w:color="auto" w:fill="D6DAEE"/>
          </w:tcPr>
          <w:p>
            <w:pPr>
              <w:spacing w:after="0"/>
              <w:rPr>
                <w:sz w:val="9"/>
                <w:szCs w:val="9"/>
                <w:color w:val="auto"/>
              </w:rPr>
            </w:pPr>
          </w:p>
        </w:tc>
        <w:tc>
          <w:tcPr>
            <w:tcW w:w="700" w:type="dxa"/>
            <w:vAlign w:val="bottom"/>
            <w:tcBorders>
              <w:bottom w:val="single" w:sz="8" w:color="D6DAEE"/>
            </w:tcBorders>
            <w:vMerge w:val="continue"/>
            <w:shd w:val="clear" w:color="auto" w:fill="D6DAEE"/>
          </w:tcPr>
          <w:p>
            <w:pPr>
              <w:spacing w:after="0"/>
              <w:rPr>
                <w:sz w:val="9"/>
                <w:szCs w:val="9"/>
                <w:color w:val="auto"/>
              </w:rPr>
            </w:pPr>
          </w:p>
        </w:tc>
        <w:tc>
          <w:tcPr>
            <w:tcW w:w="1060" w:type="dxa"/>
            <w:vAlign w:val="bottom"/>
            <w:tcBorders>
              <w:bottom w:val="single" w:sz="8" w:color="D6DAEE"/>
            </w:tcBorders>
            <w:vMerge w:val="continue"/>
            <w:shd w:val="clear" w:color="auto" w:fill="D6DAEE"/>
          </w:tcPr>
          <w:p>
            <w:pPr>
              <w:spacing w:after="0"/>
              <w:rPr>
                <w:sz w:val="9"/>
                <w:szCs w:val="9"/>
                <w:color w:val="auto"/>
              </w:rPr>
            </w:pPr>
          </w:p>
        </w:tc>
        <w:tc>
          <w:tcPr>
            <w:tcW w:w="800" w:type="dxa"/>
            <w:vAlign w:val="bottom"/>
            <w:tcBorders>
              <w:bottom w:val="single" w:sz="8" w:color="D6DAEE"/>
            </w:tcBorders>
            <w:vMerge w:val="continue"/>
            <w:shd w:val="clear" w:color="auto" w:fill="D6DAEE"/>
          </w:tcPr>
          <w:p>
            <w:pPr>
              <w:spacing w:after="0"/>
              <w:rPr>
                <w:sz w:val="9"/>
                <w:szCs w:val="9"/>
                <w:color w:val="auto"/>
              </w:rPr>
            </w:pPr>
          </w:p>
        </w:tc>
        <w:tc>
          <w:tcPr>
            <w:tcW w:w="1200" w:type="dxa"/>
            <w:vAlign w:val="bottom"/>
            <w:tcBorders>
              <w:bottom w:val="single" w:sz="8" w:color="D6DAEE"/>
            </w:tcBorders>
            <w:vMerge w:val="continue"/>
            <w:shd w:val="clear" w:color="auto" w:fill="D6DAEE"/>
          </w:tcPr>
          <w:p>
            <w:pPr>
              <w:spacing w:after="0"/>
              <w:rPr>
                <w:sz w:val="9"/>
                <w:szCs w:val="9"/>
                <w:color w:val="auto"/>
              </w:rPr>
            </w:pPr>
          </w:p>
        </w:tc>
        <w:tc>
          <w:tcPr>
            <w:tcW w:w="460" w:type="dxa"/>
            <w:vAlign w:val="bottom"/>
            <w:tcBorders>
              <w:bottom w:val="single" w:sz="8" w:color="D6DAEE"/>
            </w:tcBorders>
            <w:vMerge w:val="continue"/>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F1F3F9"/>
          </w:tcPr>
          <w:p>
            <w:pPr>
              <w:spacing w:after="0" w:line="101" w:lineRule="exact"/>
              <w:rPr>
                <w:sz w:val="20"/>
                <w:szCs w:val="20"/>
                <w:color w:val="auto"/>
              </w:rPr>
            </w:pPr>
            <w:r>
              <w:rPr>
                <w:rFonts w:ascii="Arial" w:cs="Arial" w:eastAsia="Arial" w:hAnsi="Arial"/>
                <w:sz w:val="10"/>
                <w:szCs w:val="10"/>
                <w:color w:val="auto"/>
              </w:rPr>
              <w:t>Science/Biotech</w:t>
            </w:r>
          </w:p>
        </w:tc>
        <w:tc>
          <w:tcPr>
            <w:tcW w:w="1040" w:type="dxa"/>
            <w:vAlign w:val="bottom"/>
            <w:tcBorders>
              <w:top w:val="single" w:sz="8" w:color="105BAB"/>
            </w:tcBorders>
            <w:vMerge w:val="restart"/>
            <w:shd w:val="clear" w:color="auto" w:fill="F1F3F9"/>
          </w:tcPr>
          <w:p>
            <w:pPr>
              <w:jc w:val="center"/>
              <w:ind w:left="152"/>
              <w:spacing w:after="0"/>
              <w:rPr>
                <w:sz w:val="20"/>
                <w:szCs w:val="20"/>
                <w:color w:val="auto"/>
              </w:rPr>
            </w:pPr>
            <w:r>
              <w:rPr>
                <w:rFonts w:ascii="Arial" w:cs="Arial" w:eastAsia="Arial" w:hAnsi="Arial"/>
                <w:sz w:val="10"/>
                <w:szCs w:val="10"/>
                <w:color w:val="105BAB"/>
              </w:rPr>
              <w:t>·</w:t>
            </w:r>
          </w:p>
        </w:tc>
        <w:tc>
          <w:tcPr>
            <w:tcW w:w="82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9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10"/>
                <w:szCs w:val="10"/>
                <w:color w:val="105BAB"/>
              </w:rPr>
              <w:t>·</w:t>
            </w:r>
          </w:p>
        </w:tc>
        <w:tc>
          <w:tcPr>
            <w:tcW w:w="74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660" w:type="dxa"/>
            <w:vAlign w:val="bottom"/>
            <w:tcBorders>
              <w:top w:val="single" w:sz="8" w:color="105BAB"/>
            </w:tcBorders>
            <w:shd w:val="clear" w:color="auto" w:fill="F1F3F9"/>
          </w:tcPr>
          <w:p>
            <w:pPr>
              <w:spacing w:after="0"/>
              <w:rPr>
                <w:sz w:val="8"/>
                <w:szCs w:val="8"/>
                <w:color w:val="auto"/>
              </w:rPr>
            </w:pPr>
          </w:p>
        </w:tc>
        <w:tc>
          <w:tcPr>
            <w:tcW w:w="84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06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vMerge w:val="restart"/>
            <w:shd w:val="clear" w:color="auto" w:fill="F1F3F9"/>
          </w:tcPr>
          <w:p>
            <w:pPr>
              <w:jc w:val="center"/>
              <w:ind w:right="136"/>
              <w:spacing w:after="0"/>
              <w:rPr>
                <w:sz w:val="20"/>
                <w:szCs w:val="20"/>
                <w:color w:val="auto"/>
              </w:rPr>
            </w:pPr>
            <w:r>
              <w:rPr>
                <w:rFonts w:ascii="Arial" w:cs="Arial" w:eastAsia="Arial" w:hAnsi="Arial"/>
                <w:sz w:val="8"/>
                <w:szCs w:val="8"/>
                <w:color w:val="105BAB"/>
                <w:w w:val="73"/>
              </w:rPr>
              <w:t>·</w:t>
            </w:r>
          </w:p>
        </w:tc>
        <w:tc>
          <w:tcPr>
            <w:tcW w:w="460" w:type="dxa"/>
            <w:vAlign w:val="bottom"/>
            <w:tcBorders>
              <w:top w:val="single" w:sz="8" w:color="105BAB"/>
            </w:tcBorders>
            <w:vMerge w:val="restart"/>
            <w:shd w:val="clear" w:color="auto" w:fill="F1F3F9"/>
          </w:tcPr>
          <w:p>
            <w:pPr>
              <w:jc w:val="center"/>
              <w:ind w:right="52"/>
              <w:spacing w:after="0"/>
              <w:rPr>
                <w:sz w:val="20"/>
                <w:szCs w:val="20"/>
                <w:color w:val="auto"/>
              </w:rPr>
            </w:pPr>
            <w:r>
              <w:rPr>
                <w:rFonts w:ascii="Arial" w:cs="Arial" w:eastAsia="Arial" w:hAnsi="Arial"/>
                <w:sz w:val="10"/>
                <w:szCs w:val="10"/>
                <w:color w:val="105BAB"/>
              </w:rPr>
              <w:t>·</w:t>
            </w:r>
          </w:p>
        </w:tc>
        <w:tc>
          <w:tcPr>
            <w:tcW w:w="0" w:type="dxa"/>
            <w:vAlign w:val="bottom"/>
          </w:tcPr>
          <w:p>
            <w:pPr>
              <w:spacing w:after="0"/>
              <w:rPr>
                <w:sz w:val="1"/>
                <w:szCs w:val="1"/>
                <w:color w:val="auto"/>
              </w:rPr>
            </w:pPr>
          </w:p>
        </w:tc>
      </w:tr>
      <w:tr>
        <w:trPr>
          <w:trHeight w:val="105"/>
        </w:trPr>
        <w:tc>
          <w:tcPr>
            <w:tcW w:w="1420" w:type="dxa"/>
            <w:vAlign w:val="bottom"/>
            <w:tcBorders>
              <w:bottom w:val="single" w:sz="8" w:color="F1F3F9"/>
            </w:tcBorders>
            <w:shd w:val="clear" w:color="auto" w:fill="F1F3F9"/>
          </w:tcPr>
          <w:p>
            <w:pPr>
              <w:spacing w:after="0" w:line="105" w:lineRule="exact"/>
              <w:rPr>
                <w:sz w:val="20"/>
                <w:szCs w:val="20"/>
                <w:color w:val="auto"/>
              </w:rPr>
            </w:pPr>
            <w:r>
              <w:rPr>
                <w:rFonts w:ascii="Arial" w:cs="Arial" w:eastAsia="Arial" w:hAnsi="Arial"/>
                <w:sz w:val="10"/>
                <w:szCs w:val="10"/>
                <w:color w:val="auto"/>
              </w:rPr>
              <w:t>Background</w:t>
            </w:r>
          </w:p>
        </w:tc>
        <w:tc>
          <w:tcPr>
            <w:tcW w:w="1040" w:type="dxa"/>
            <w:vAlign w:val="bottom"/>
            <w:tcBorders>
              <w:bottom w:val="single" w:sz="8" w:color="F1F3F9"/>
            </w:tcBorders>
            <w:vMerge w:val="continue"/>
            <w:shd w:val="clear" w:color="auto" w:fill="F1F3F9"/>
          </w:tcPr>
          <w:p>
            <w:pPr>
              <w:spacing w:after="0"/>
              <w:rPr>
                <w:sz w:val="9"/>
                <w:szCs w:val="9"/>
                <w:color w:val="auto"/>
              </w:rPr>
            </w:pPr>
          </w:p>
        </w:tc>
        <w:tc>
          <w:tcPr>
            <w:tcW w:w="820" w:type="dxa"/>
            <w:vAlign w:val="bottom"/>
            <w:tcBorders>
              <w:bottom w:val="single" w:sz="8" w:color="F1F3F9"/>
            </w:tcBorders>
            <w:vMerge w:val="continue"/>
            <w:shd w:val="clear" w:color="auto" w:fill="F1F3F9"/>
          </w:tcPr>
          <w:p>
            <w:pPr>
              <w:spacing w:after="0"/>
              <w:rPr>
                <w:sz w:val="9"/>
                <w:szCs w:val="9"/>
                <w:color w:val="auto"/>
              </w:rPr>
            </w:pPr>
          </w:p>
        </w:tc>
        <w:tc>
          <w:tcPr>
            <w:tcW w:w="90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vMerge w:val="continue"/>
            <w:shd w:val="clear" w:color="auto" w:fill="F1F3F9"/>
          </w:tcPr>
          <w:p>
            <w:pPr>
              <w:spacing w:after="0"/>
              <w:rPr>
                <w:sz w:val="9"/>
                <w:szCs w:val="9"/>
                <w:color w:val="auto"/>
              </w:rPr>
            </w:pPr>
          </w:p>
        </w:tc>
        <w:tc>
          <w:tcPr>
            <w:tcW w:w="740" w:type="dxa"/>
            <w:vAlign w:val="bottom"/>
            <w:tcBorders>
              <w:bottom w:val="single" w:sz="8" w:color="F1F3F9"/>
            </w:tcBorders>
            <w:vMerge w:val="continue"/>
            <w:shd w:val="clear" w:color="auto" w:fill="F1F3F9"/>
          </w:tcPr>
          <w:p>
            <w:pPr>
              <w:spacing w:after="0"/>
              <w:rPr>
                <w:sz w:val="9"/>
                <w:szCs w:val="9"/>
                <w:color w:val="auto"/>
              </w:rPr>
            </w:pPr>
          </w:p>
        </w:tc>
        <w:tc>
          <w:tcPr>
            <w:tcW w:w="660" w:type="dxa"/>
            <w:vAlign w:val="bottom"/>
            <w:tcBorders>
              <w:bottom w:val="single" w:sz="8" w:color="F1F3F9"/>
            </w:tcBorders>
            <w:shd w:val="clear" w:color="auto" w:fill="F1F3F9"/>
          </w:tcPr>
          <w:p>
            <w:pPr>
              <w:spacing w:after="0"/>
              <w:rPr>
                <w:sz w:val="9"/>
                <w:szCs w:val="9"/>
                <w:color w:val="auto"/>
              </w:rPr>
            </w:pPr>
          </w:p>
        </w:tc>
        <w:tc>
          <w:tcPr>
            <w:tcW w:w="840" w:type="dxa"/>
            <w:vAlign w:val="bottom"/>
            <w:tcBorders>
              <w:bottom w:val="single" w:sz="8" w:color="F1F3F9"/>
            </w:tcBorders>
            <w:vMerge w:val="continue"/>
            <w:shd w:val="clear" w:color="auto" w:fill="F1F3F9"/>
          </w:tcPr>
          <w:p>
            <w:pPr>
              <w:spacing w:after="0"/>
              <w:rPr>
                <w:sz w:val="9"/>
                <w:szCs w:val="9"/>
                <w:color w:val="auto"/>
              </w:rPr>
            </w:pPr>
          </w:p>
        </w:tc>
        <w:tc>
          <w:tcPr>
            <w:tcW w:w="700" w:type="dxa"/>
            <w:vAlign w:val="bottom"/>
            <w:tcBorders>
              <w:bottom w:val="single" w:sz="8" w:color="F1F3F9"/>
            </w:tcBorders>
            <w:vMerge w:val="continue"/>
            <w:shd w:val="clear" w:color="auto" w:fill="F1F3F9"/>
          </w:tcPr>
          <w:p>
            <w:pPr>
              <w:spacing w:after="0"/>
              <w:rPr>
                <w:sz w:val="9"/>
                <w:szCs w:val="9"/>
                <w:color w:val="auto"/>
              </w:rPr>
            </w:pPr>
          </w:p>
        </w:tc>
        <w:tc>
          <w:tcPr>
            <w:tcW w:w="1060" w:type="dxa"/>
            <w:vAlign w:val="bottom"/>
            <w:tcBorders>
              <w:bottom w:val="single" w:sz="8" w:color="F1F3F9"/>
            </w:tcBorders>
            <w:vMerge w:val="continue"/>
            <w:shd w:val="clear" w:color="auto" w:fill="F1F3F9"/>
          </w:tcPr>
          <w:p>
            <w:pPr>
              <w:spacing w:after="0"/>
              <w:rPr>
                <w:sz w:val="9"/>
                <w:szCs w:val="9"/>
                <w:color w:val="auto"/>
              </w:rPr>
            </w:pPr>
          </w:p>
        </w:tc>
        <w:tc>
          <w:tcPr>
            <w:tcW w:w="800" w:type="dxa"/>
            <w:vAlign w:val="bottom"/>
            <w:tcBorders>
              <w:bottom w:val="single" w:sz="8" w:color="F1F3F9"/>
            </w:tcBorders>
            <w:vMerge w:val="continue"/>
            <w:shd w:val="clear" w:color="auto" w:fill="F1F3F9"/>
          </w:tcPr>
          <w:p>
            <w:pPr>
              <w:spacing w:after="0"/>
              <w:rPr>
                <w:sz w:val="9"/>
                <w:szCs w:val="9"/>
                <w:color w:val="auto"/>
              </w:rPr>
            </w:pPr>
          </w:p>
        </w:tc>
        <w:tc>
          <w:tcPr>
            <w:tcW w:w="1200" w:type="dxa"/>
            <w:vAlign w:val="bottom"/>
            <w:tcBorders>
              <w:bottom w:val="single" w:sz="8" w:color="F1F3F9"/>
            </w:tcBorders>
            <w:vMerge w:val="continue"/>
            <w:shd w:val="clear" w:color="auto" w:fill="F1F3F9"/>
          </w:tcPr>
          <w:p>
            <w:pPr>
              <w:spacing w:after="0"/>
              <w:rPr>
                <w:sz w:val="9"/>
                <w:szCs w:val="9"/>
                <w:color w:val="auto"/>
              </w:rPr>
            </w:pPr>
          </w:p>
        </w:tc>
        <w:tc>
          <w:tcPr>
            <w:tcW w:w="460" w:type="dxa"/>
            <w:vAlign w:val="bottom"/>
            <w:tcBorders>
              <w:bottom w:val="single" w:sz="8" w:color="F1F3F9"/>
            </w:tcBorders>
            <w:vMerge w:val="continue"/>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D6DAEE"/>
          </w:tcPr>
          <w:p>
            <w:pPr>
              <w:spacing w:after="0" w:line="101" w:lineRule="exact"/>
              <w:rPr>
                <w:sz w:val="20"/>
                <w:szCs w:val="20"/>
                <w:color w:val="auto"/>
              </w:rPr>
            </w:pPr>
            <w:r>
              <w:rPr>
                <w:rFonts w:ascii="Arial" w:cs="Arial" w:eastAsia="Arial" w:hAnsi="Arial"/>
                <w:sz w:val="10"/>
                <w:szCs w:val="10"/>
                <w:color w:val="auto"/>
              </w:rPr>
              <w:t>Research/Academic</w:t>
            </w:r>
          </w:p>
        </w:tc>
        <w:tc>
          <w:tcPr>
            <w:tcW w:w="1040" w:type="dxa"/>
            <w:vAlign w:val="bottom"/>
            <w:tcBorders>
              <w:top w:val="single" w:sz="8" w:color="105BAB"/>
            </w:tcBorders>
            <w:vMerge w:val="restart"/>
            <w:shd w:val="clear" w:color="auto" w:fill="D6DAEE"/>
          </w:tcPr>
          <w:p>
            <w:pPr>
              <w:jc w:val="center"/>
              <w:ind w:left="152"/>
              <w:spacing w:after="0"/>
              <w:rPr>
                <w:sz w:val="20"/>
                <w:szCs w:val="20"/>
                <w:color w:val="auto"/>
              </w:rPr>
            </w:pPr>
            <w:r>
              <w:rPr>
                <w:rFonts w:ascii="Arial" w:cs="Arial" w:eastAsia="Arial" w:hAnsi="Arial"/>
                <w:sz w:val="10"/>
                <w:szCs w:val="10"/>
                <w:color w:val="105BAB"/>
              </w:rPr>
              <w:t>·</w:t>
            </w:r>
          </w:p>
        </w:tc>
        <w:tc>
          <w:tcPr>
            <w:tcW w:w="82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9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10"/>
                <w:szCs w:val="10"/>
                <w:color w:val="105BAB"/>
              </w:rPr>
              <w:t>·</w:t>
            </w:r>
          </w:p>
        </w:tc>
        <w:tc>
          <w:tcPr>
            <w:tcW w:w="7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660" w:type="dxa"/>
            <w:vAlign w:val="bottom"/>
            <w:tcBorders>
              <w:top w:val="single" w:sz="8" w:color="105BAB"/>
            </w:tcBorders>
            <w:shd w:val="clear" w:color="auto" w:fill="D6DAEE"/>
          </w:tcPr>
          <w:p>
            <w:pPr>
              <w:spacing w:after="0"/>
              <w:rPr>
                <w:sz w:val="8"/>
                <w:szCs w:val="8"/>
                <w:color w:val="auto"/>
              </w:rPr>
            </w:pPr>
          </w:p>
        </w:tc>
        <w:tc>
          <w:tcPr>
            <w:tcW w:w="8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tcBorders>
              <w:top w:val="single" w:sz="8" w:color="105BAB"/>
            </w:tcBorders>
            <w:shd w:val="clear" w:color="auto" w:fill="D6DAEE"/>
          </w:tcPr>
          <w:p>
            <w:pPr>
              <w:spacing w:after="0"/>
              <w:rPr>
                <w:sz w:val="8"/>
                <w:szCs w:val="8"/>
                <w:color w:val="auto"/>
              </w:rPr>
            </w:pPr>
          </w:p>
        </w:tc>
        <w:tc>
          <w:tcPr>
            <w:tcW w:w="106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vMerge w:val="restart"/>
            <w:shd w:val="clear" w:color="auto" w:fill="D6DAEE"/>
          </w:tcPr>
          <w:p>
            <w:pPr>
              <w:jc w:val="center"/>
              <w:ind w:right="136"/>
              <w:spacing w:after="0"/>
              <w:rPr>
                <w:sz w:val="20"/>
                <w:szCs w:val="20"/>
                <w:color w:val="auto"/>
              </w:rPr>
            </w:pPr>
            <w:r>
              <w:rPr>
                <w:rFonts w:ascii="Arial" w:cs="Arial" w:eastAsia="Arial" w:hAnsi="Arial"/>
                <w:sz w:val="8"/>
                <w:szCs w:val="8"/>
                <w:color w:val="105BAB"/>
                <w:w w:val="73"/>
              </w:rPr>
              <w:t>·</w:t>
            </w:r>
          </w:p>
        </w:tc>
        <w:tc>
          <w:tcPr>
            <w:tcW w:w="460" w:type="dxa"/>
            <w:vAlign w:val="bottom"/>
            <w:tcBorders>
              <w:top w:val="single" w:sz="8" w:color="105BAB"/>
            </w:tcBorders>
            <w:vMerge w:val="restart"/>
            <w:shd w:val="clear" w:color="auto" w:fill="D6DAEE"/>
          </w:tcPr>
          <w:p>
            <w:pPr>
              <w:jc w:val="center"/>
              <w:ind w:right="52"/>
              <w:spacing w:after="0"/>
              <w:rPr>
                <w:sz w:val="20"/>
                <w:szCs w:val="20"/>
                <w:color w:val="auto"/>
              </w:rPr>
            </w:pPr>
            <w:r>
              <w:rPr>
                <w:rFonts w:ascii="Arial" w:cs="Arial" w:eastAsia="Arial" w:hAnsi="Arial"/>
                <w:sz w:val="10"/>
                <w:szCs w:val="10"/>
                <w:color w:val="105BAB"/>
              </w:rPr>
              <w:t>·</w:t>
            </w:r>
          </w:p>
        </w:tc>
        <w:tc>
          <w:tcPr>
            <w:tcW w:w="0" w:type="dxa"/>
            <w:vAlign w:val="bottom"/>
          </w:tcPr>
          <w:p>
            <w:pPr>
              <w:spacing w:after="0"/>
              <w:rPr>
                <w:sz w:val="1"/>
                <w:szCs w:val="1"/>
                <w:color w:val="auto"/>
              </w:rPr>
            </w:pPr>
          </w:p>
        </w:tc>
      </w:tr>
      <w:tr>
        <w:trPr>
          <w:trHeight w:val="105"/>
        </w:trPr>
        <w:tc>
          <w:tcPr>
            <w:tcW w:w="1420" w:type="dxa"/>
            <w:vAlign w:val="bottom"/>
            <w:tcBorders>
              <w:bottom w:val="single" w:sz="8" w:color="D6DAEE"/>
            </w:tcBorders>
            <w:shd w:val="clear" w:color="auto" w:fill="D6DAEE"/>
          </w:tcPr>
          <w:p>
            <w:pPr>
              <w:spacing w:after="0" w:line="105" w:lineRule="exact"/>
              <w:rPr>
                <w:sz w:val="20"/>
                <w:szCs w:val="20"/>
                <w:color w:val="auto"/>
              </w:rPr>
            </w:pPr>
            <w:r>
              <w:rPr>
                <w:rFonts w:ascii="Arial" w:cs="Arial" w:eastAsia="Arial" w:hAnsi="Arial"/>
                <w:sz w:val="10"/>
                <w:szCs w:val="10"/>
                <w:color w:val="auto"/>
              </w:rPr>
              <w:t>Experience</w:t>
            </w:r>
          </w:p>
        </w:tc>
        <w:tc>
          <w:tcPr>
            <w:tcW w:w="1040" w:type="dxa"/>
            <w:vAlign w:val="bottom"/>
            <w:tcBorders>
              <w:bottom w:val="single" w:sz="8" w:color="D6DAEE"/>
            </w:tcBorders>
            <w:vMerge w:val="continue"/>
            <w:shd w:val="clear" w:color="auto" w:fill="D6DAEE"/>
          </w:tcPr>
          <w:p>
            <w:pPr>
              <w:spacing w:after="0"/>
              <w:rPr>
                <w:sz w:val="9"/>
                <w:szCs w:val="9"/>
                <w:color w:val="auto"/>
              </w:rPr>
            </w:pPr>
          </w:p>
        </w:tc>
        <w:tc>
          <w:tcPr>
            <w:tcW w:w="820" w:type="dxa"/>
            <w:vAlign w:val="bottom"/>
            <w:tcBorders>
              <w:bottom w:val="single" w:sz="8" w:color="D6DAEE"/>
            </w:tcBorders>
            <w:vMerge w:val="continue"/>
            <w:shd w:val="clear" w:color="auto" w:fill="D6DAEE"/>
          </w:tcPr>
          <w:p>
            <w:pPr>
              <w:spacing w:after="0"/>
              <w:rPr>
                <w:sz w:val="9"/>
                <w:szCs w:val="9"/>
                <w:color w:val="auto"/>
              </w:rPr>
            </w:pPr>
          </w:p>
        </w:tc>
        <w:tc>
          <w:tcPr>
            <w:tcW w:w="900" w:type="dxa"/>
            <w:vAlign w:val="bottom"/>
            <w:tcBorders>
              <w:bottom w:val="single" w:sz="8" w:color="D6DAEE"/>
            </w:tcBorders>
            <w:vMerge w:val="continue"/>
            <w:shd w:val="clear" w:color="auto" w:fill="D6DAEE"/>
          </w:tcPr>
          <w:p>
            <w:pPr>
              <w:spacing w:after="0"/>
              <w:rPr>
                <w:sz w:val="9"/>
                <w:szCs w:val="9"/>
                <w:color w:val="auto"/>
              </w:rPr>
            </w:pPr>
          </w:p>
        </w:tc>
        <w:tc>
          <w:tcPr>
            <w:tcW w:w="840" w:type="dxa"/>
            <w:vAlign w:val="bottom"/>
            <w:tcBorders>
              <w:bottom w:val="single" w:sz="8" w:color="D6DAEE"/>
            </w:tcBorders>
            <w:vMerge w:val="continue"/>
            <w:shd w:val="clear" w:color="auto" w:fill="D6DAEE"/>
          </w:tcPr>
          <w:p>
            <w:pPr>
              <w:spacing w:after="0"/>
              <w:rPr>
                <w:sz w:val="9"/>
                <w:szCs w:val="9"/>
                <w:color w:val="auto"/>
              </w:rPr>
            </w:pPr>
          </w:p>
        </w:tc>
        <w:tc>
          <w:tcPr>
            <w:tcW w:w="740" w:type="dxa"/>
            <w:vAlign w:val="bottom"/>
            <w:tcBorders>
              <w:bottom w:val="single" w:sz="8" w:color="D6DAEE"/>
            </w:tcBorders>
            <w:vMerge w:val="continue"/>
            <w:shd w:val="clear" w:color="auto" w:fill="D6DAEE"/>
          </w:tcPr>
          <w:p>
            <w:pPr>
              <w:spacing w:after="0"/>
              <w:rPr>
                <w:sz w:val="9"/>
                <w:szCs w:val="9"/>
                <w:color w:val="auto"/>
              </w:rPr>
            </w:pPr>
          </w:p>
        </w:tc>
        <w:tc>
          <w:tcPr>
            <w:tcW w:w="660" w:type="dxa"/>
            <w:vAlign w:val="bottom"/>
            <w:tcBorders>
              <w:bottom w:val="single" w:sz="8" w:color="D6DAEE"/>
            </w:tcBorders>
            <w:shd w:val="clear" w:color="auto" w:fill="D6DAEE"/>
          </w:tcPr>
          <w:p>
            <w:pPr>
              <w:spacing w:after="0"/>
              <w:rPr>
                <w:sz w:val="9"/>
                <w:szCs w:val="9"/>
                <w:color w:val="auto"/>
              </w:rPr>
            </w:pPr>
          </w:p>
        </w:tc>
        <w:tc>
          <w:tcPr>
            <w:tcW w:w="840" w:type="dxa"/>
            <w:vAlign w:val="bottom"/>
            <w:tcBorders>
              <w:bottom w:val="single" w:sz="8" w:color="D6DAEE"/>
            </w:tcBorders>
            <w:vMerge w:val="continue"/>
            <w:shd w:val="clear" w:color="auto" w:fill="D6DAEE"/>
          </w:tcPr>
          <w:p>
            <w:pPr>
              <w:spacing w:after="0"/>
              <w:rPr>
                <w:sz w:val="9"/>
                <w:szCs w:val="9"/>
                <w:color w:val="auto"/>
              </w:rPr>
            </w:pPr>
          </w:p>
        </w:tc>
        <w:tc>
          <w:tcPr>
            <w:tcW w:w="700" w:type="dxa"/>
            <w:vAlign w:val="bottom"/>
            <w:tcBorders>
              <w:bottom w:val="single" w:sz="8" w:color="D6DAEE"/>
            </w:tcBorders>
            <w:shd w:val="clear" w:color="auto" w:fill="D6DAEE"/>
          </w:tcPr>
          <w:p>
            <w:pPr>
              <w:spacing w:after="0"/>
              <w:rPr>
                <w:sz w:val="9"/>
                <w:szCs w:val="9"/>
                <w:color w:val="auto"/>
              </w:rPr>
            </w:pPr>
          </w:p>
        </w:tc>
        <w:tc>
          <w:tcPr>
            <w:tcW w:w="1060" w:type="dxa"/>
            <w:vAlign w:val="bottom"/>
            <w:tcBorders>
              <w:bottom w:val="single" w:sz="8" w:color="D6DAEE"/>
            </w:tcBorders>
            <w:vMerge w:val="continue"/>
            <w:shd w:val="clear" w:color="auto" w:fill="D6DAEE"/>
          </w:tcPr>
          <w:p>
            <w:pPr>
              <w:spacing w:after="0"/>
              <w:rPr>
                <w:sz w:val="9"/>
                <w:szCs w:val="9"/>
                <w:color w:val="auto"/>
              </w:rPr>
            </w:pPr>
          </w:p>
        </w:tc>
        <w:tc>
          <w:tcPr>
            <w:tcW w:w="800" w:type="dxa"/>
            <w:vAlign w:val="bottom"/>
            <w:tcBorders>
              <w:bottom w:val="single" w:sz="8" w:color="D6DAEE"/>
            </w:tcBorders>
            <w:vMerge w:val="continue"/>
            <w:shd w:val="clear" w:color="auto" w:fill="D6DAEE"/>
          </w:tcPr>
          <w:p>
            <w:pPr>
              <w:spacing w:after="0"/>
              <w:rPr>
                <w:sz w:val="9"/>
                <w:szCs w:val="9"/>
                <w:color w:val="auto"/>
              </w:rPr>
            </w:pPr>
          </w:p>
        </w:tc>
        <w:tc>
          <w:tcPr>
            <w:tcW w:w="1200" w:type="dxa"/>
            <w:vAlign w:val="bottom"/>
            <w:tcBorders>
              <w:bottom w:val="single" w:sz="8" w:color="D6DAEE"/>
            </w:tcBorders>
            <w:vMerge w:val="continue"/>
            <w:shd w:val="clear" w:color="auto" w:fill="D6DAEE"/>
          </w:tcPr>
          <w:p>
            <w:pPr>
              <w:spacing w:after="0"/>
              <w:rPr>
                <w:sz w:val="9"/>
                <w:szCs w:val="9"/>
                <w:color w:val="auto"/>
              </w:rPr>
            </w:pPr>
          </w:p>
        </w:tc>
        <w:tc>
          <w:tcPr>
            <w:tcW w:w="460" w:type="dxa"/>
            <w:vAlign w:val="bottom"/>
            <w:tcBorders>
              <w:bottom w:val="single" w:sz="8" w:color="D6DAEE"/>
            </w:tcBorders>
            <w:vMerge w:val="continue"/>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F1F3F9"/>
          </w:tcPr>
          <w:p>
            <w:pPr>
              <w:spacing w:after="0" w:line="101" w:lineRule="exact"/>
              <w:rPr>
                <w:sz w:val="20"/>
                <w:szCs w:val="20"/>
                <w:color w:val="auto"/>
              </w:rPr>
            </w:pPr>
            <w:r>
              <w:rPr>
                <w:rFonts w:ascii="Arial" w:cs="Arial" w:eastAsia="Arial" w:hAnsi="Arial"/>
                <w:sz w:val="10"/>
                <w:szCs w:val="10"/>
                <w:color w:val="auto"/>
              </w:rPr>
              <w:t>Business Strategy/</w:t>
            </w:r>
          </w:p>
        </w:tc>
        <w:tc>
          <w:tcPr>
            <w:tcW w:w="1040" w:type="dxa"/>
            <w:vAlign w:val="bottom"/>
            <w:tcBorders>
              <w:top w:val="single" w:sz="8" w:color="105BAB"/>
            </w:tcBorders>
            <w:shd w:val="clear" w:color="auto" w:fill="F1F3F9"/>
          </w:tcPr>
          <w:p>
            <w:pPr>
              <w:spacing w:after="0"/>
              <w:rPr>
                <w:sz w:val="8"/>
                <w:szCs w:val="8"/>
                <w:color w:val="auto"/>
              </w:rPr>
            </w:pPr>
          </w:p>
        </w:tc>
        <w:tc>
          <w:tcPr>
            <w:tcW w:w="820" w:type="dxa"/>
            <w:vAlign w:val="bottom"/>
            <w:tcBorders>
              <w:top w:val="single" w:sz="8" w:color="105BAB"/>
            </w:tcBorders>
            <w:shd w:val="clear" w:color="auto" w:fill="F1F3F9"/>
          </w:tcPr>
          <w:p>
            <w:pPr>
              <w:spacing w:after="0"/>
              <w:rPr>
                <w:sz w:val="8"/>
                <w:szCs w:val="8"/>
                <w:color w:val="auto"/>
              </w:rPr>
            </w:pPr>
          </w:p>
        </w:tc>
        <w:tc>
          <w:tcPr>
            <w:tcW w:w="9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shd w:val="clear" w:color="auto" w:fill="F1F3F9"/>
          </w:tcPr>
          <w:p>
            <w:pPr>
              <w:spacing w:after="0"/>
              <w:rPr>
                <w:sz w:val="8"/>
                <w:szCs w:val="8"/>
                <w:color w:val="auto"/>
              </w:rPr>
            </w:pPr>
          </w:p>
        </w:tc>
        <w:tc>
          <w:tcPr>
            <w:tcW w:w="74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66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06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vMerge w:val="restart"/>
            <w:shd w:val="clear" w:color="auto" w:fill="F1F3F9"/>
          </w:tcPr>
          <w:p>
            <w:pPr>
              <w:jc w:val="center"/>
              <w:ind w:right="136"/>
              <w:spacing w:after="0"/>
              <w:rPr>
                <w:sz w:val="20"/>
                <w:szCs w:val="20"/>
                <w:color w:val="auto"/>
              </w:rPr>
            </w:pPr>
            <w:r>
              <w:rPr>
                <w:rFonts w:ascii="Arial" w:cs="Arial" w:eastAsia="Arial" w:hAnsi="Arial"/>
                <w:sz w:val="8"/>
                <w:szCs w:val="8"/>
                <w:color w:val="105BAB"/>
                <w:w w:val="73"/>
              </w:rPr>
              <w:t>·</w:t>
            </w:r>
          </w:p>
        </w:tc>
        <w:tc>
          <w:tcPr>
            <w:tcW w:w="460" w:type="dxa"/>
            <w:vAlign w:val="bottom"/>
            <w:tcBorders>
              <w:top w:val="single" w:sz="8" w:color="105BAB"/>
            </w:tcBorders>
            <w:shd w:val="clear" w:color="auto" w:fill="F1F3F9"/>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20" w:type="dxa"/>
            <w:vAlign w:val="bottom"/>
            <w:tcBorders>
              <w:bottom w:val="single" w:sz="8" w:color="F1F3F9"/>
            </w:tcBorders>
            <w:shd w:val="clear" w:color="auto" w:fill="F1F3F9"/>
          </w:tcPr>
          <w:p>
            <w:pPr>
              <w:spacing w:after="0" w:line="105" w:lineRule="exact"/>
              <w:rPr>
                <w:sz w:val="20"/>
                <w:szCs w:val="20"/>
                <w:color w:val="auto"/>
              </w:rPr>
            </w:pPr>
            <w:r>
              <w:rPr>
                <w:rFonts w:ascii="Arial" w:cs="Arial" w:eastAsia="Arial" w:hAnsi="Arial"/>
                <w:sz w:val="10"/>
                <w:szCs w:val="10"/>
                <w:color w:val="auto"/>
              </w:rPr>
              <w:t>Operations Experience</w:t>
            </w:r>
          </w:p>
        </w:tc>
        <w:tc>
          <w:tcPr>
            <w:tcW w:w="1040" w:type="dxa"/>
            <w:vAlign w:val="bottom"/>
            <w:tcBorders>
              <w:bottom w:val="single" w:sz="8" w:color="F1F3F9"/>
            </w:tcBorders>
            <w:shd w:val="clear" w:color="auto" w:fill="F1F3F9"/>
          </w:tcPr>
          <w:p>
            <w:pPr>
              <w:spacing w:after="0"/>
              <w:rPr>
                <w:sz w:val="9"/>
                <w:szCs w:val="9"/>
                <w:color w:val="auto"/>
              </w:rPr>
            </w:pPr>
          </w:p>
        </w:tc>
        <w:tc>
          <w:tcPr>
            <w:tcW w:w="820" w:type="dxa"/>
            <w:vAlign w:val="bottom"/>
            <w:tcBorders>
              <w:bottom w:val="single" w:sz="8" w:color="F1F3F9"/>
            </w:tcBorders>
            <w:shd w:val="clear" w:color="auto" w:fill="F1F3F9"/>
          </w:tcPr>
          <w:p>
            <w:pPr>
              <w:spacing w:after="0"/>
              <w:rPr>
                <w:sz w:val="9"/>
                <w:szCs w:val="9"/>
                <w:color w:val="auto"/>
              </w:rPr>
            </w:pPr>
          </w:p>
        </w:tc>
        <w:tc>
          <w:tcPr>
            <w:tcW w:w="90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shd w:val="clear" w:color="auto" w:fill="F1F3F9"/>
          </w:tcPr>
          <w:p>
            <w:pPr>
              <w:spacing w:after="0"/>
              <w:rPr>
                <w:sz w:val="9"/>
                <w:szCs w:val="9"/>
                <w:color w:val="auto"/>
              </w:rPr>
            </w:pPr>
          </w:p>
        </w:tc>
        <w:tc>
          <w:tcPr>
            <w:tcW w:w="740" w:type="dxa"/>
            <w:vAlign w:val="bottom"/>
            <w:tcBorders>
              <w:bottom w:val="single" w:sz="8" w:color="F1F3F9"/>
            </w:tcBorders>
            <w:vMerge w:val="continue"/>
            <w:shd w:val="clear" w:color="auto" w:fill="F1F3F9"/>
          </w:tcPr>
          <w:p>
            <w:pPr>
              <w:spacing w:after="0"/>
              <w:rPr>
                <w:sz w:val="9"/>
                <w:szCs w:val="9"/>
                <w:color w:val="auto"/>
              </w:rPr>
            </w:pPr>
          </w:p>
        </w:tc>
        <w:tc>
          <w:tcPr>
            <w:tcW w:w="66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vMerge w:val="continue"/>
            <w:shd w:val="clear" w:color="auto" w:fill="F1F3F9"/>
          </w:tcPr>
          <w:p>
            <w:pPr>
              <w:spacing w:after="0"/>
              <w:rPr>
                <w:sz w:val="9"/>
                <w:szCs w:val="9"/>
                <w:color w:val="auto"/>
              </w:rPr>
            </w:pPr>
          </w:p>
        </w:tc>
        <w:tc>
          <w:tcPr>
            <w:tcW w:w="700" w:type="dxa"/>
            <w:vAlign w:val="bottom"/>
            <w:tcBorders>
              <w:bottom w:val="single" w:sz="8" w:color="F1F3F9"/>
            </w:tcBorders>
            <w:vMerge w:val="continue"/>
            <w:shd w:val="clear" w:color="auto" w:fill="F1F3F9"/>
          </w:tcPr>
          <w:p>
            <w:pPr>
              <w:spacing w:after="0"/>
              <w:rPr>
                <w:sz w:val="9"/>
                <w:szCs w:val="9"/>
                <w:color w:val="auto"/>
              </w:rPr>
            </w:pPr>
          </w:p>
        </w:tc>
        <w:tc>
          <w:tcPr>
            <w:tcW w:w="1060" w:type="dxa"/>
            <w:vAlign w:val="bottom"/>
            <w:tcBorders>
              <w:bottom w:val="single" w:sz="8" w:color="F1F3F9"/>
            </w:tcBorders>
            <w:vMerge w:val="continue"/>
            <w:shd w:val="clear" w:color="auto" w:fill="F1F3F9"/>
          </w:tcPr>
          <w:p>
            <w:pPr>
              <w:spacing w:after="0"/>
              <w:rPr>
                <w:sz w:val="9"/>
                <w:szCs w:val="9"/>
                <w:color w:val="auto"/>
              </w:rPr>
            </w:pPr>
          </w:p>
        </w:tc>
        <w:tc>
          <w:tcPr>
            <w:tcW w:w="800" w:type="dxa"/>
            <w:vAlign w:val="bottom"/>
            <w:tcBorders>
              <w:bottom w:val="single" w:sz="8" w:color="F1F3F9"/>
            </w:tcBorders>
            <w:vMerge w:val="continue"/>
            <w:shd w:val="clear" w:color="auto" w:fill="F1F3F9"/>
          </w:tcPr>
          <w:p>
            <w:pPr>
              <w:spacing w:after="0"/>
              <w:rPr>
                <w:sz w:val="9"/>
                <w:szCs w:val="9"/>
                <w:color w:val="auto"/>
              </w:rPr>
            </w:pPr>
          </w:p>
        </w:tc>
        <w:tc>
          <w:tcPr>
            <w:tcW w:w="1200" w:type="dxa"/>
            <w:vAlign w:val="bottom"/>
            <w:tcBorders>
              <w:bottom w:val="single" w:sz="8" w:color="F1F3F9"/>
            </w:tcBorders>
            <w:vMerge w:val="continue"/>
            <w:shd w:val="clear" w:color="auto" w:fill="F1F3F9"/>
          </w:tcPr>
          <w:p>
            <w:pPr>
              <w:spacing w:after="0"/>
              <w:rPr>
                <w:sz w:val="9"/>
                <w:szCs w:val="9"/>
                <w:color w:val="auto"/>
              </w:rPr>
            </w:pPr>
          </w:p>
        </w:tc>
        <w:tc>
          <w:tcPr>
            <w:tcW w:w="460" w:type="dxa"/>
            <w:vAlign w:val="bottom"/>
            <w:tcBorders>
              <w:bottom w:val="single" w:sz="8" w:color="F1F3F9"/>
            </w:tcBorders>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D6DAEE"/>
          </w:tcPr>
          <w:p>
            <w:pPr>
              <w:spacing w:after="0" w:line="101" w:lineRule="exact"/>
              <w:rPr>
                <w:sz w:val="20"/>
                <w:szCs w:val="20"/>
                <w:color w:val="auto"/>
              </w:rPr>
            </w:pPr>
            <w:r>
              <w:rPr>
                <w:rFonts w:ascii="Arial" w:cs="Arial" w:eastAsia="Arial" w:hAnsi="Arial"/>
                <w:sz w:val="10"/>
                <w:szCs w:val="10"/>
                <w:color w:val="auto"/>
              </w:rPr>
              <w:t>Financial</w:t>
            </w:r>
          </w:p>
        </w:tc>
        <w:tc>
          <w:tcPr>
            <w:tcW w:w="1040" w:type="dxa"/>
            <w:vAlign w:val="bottom"/>
            <w:tcBorders>
              <w:top w:val="single" w:sz="8" w:color="105BAB"/>
            </w:tcBorders>
            <w:shd w:val="clear" w:color="auto" w:fill="D6DAEE"/>
          </w:tcPr>
          <w:p>
            <w:pPr>
              <w:spacing w:after="0"/>
              <w:rPr>
                <w:sz w:val="8"/>
                <w:szCs w:val="8"/>
                <w:color w:val="auto"/>
              </w:rPr>
            </w:pPr>
          </w:p>
        </w:tc>
        <w:tc>
          <w:tcPr>
            <w:tcW w:w="820" w:type="dxa"/>
            <w:vAlign w:val="bottom"/>
            <w:tcBorders>
              <w:top w:val="single" w:sz="8" w:color="105BAB"/>
            </w:tcBorders>
            <w:shd w:val="clear" w:color="auto" w:fill="D6DAEE"/>
          </w:tcPr>
          <w:p>
            <w:pPr>
              <w:spacing w:after="0"/>
              <w:rPr>
                <w:sz w:val="8"/>
                <w:szCs w:val="8"/>
                <w:color w:val="auto"/>
              </w:rPr>
            </w:pPr>
          </w:p>
        </w:tc>
        <w:tc>
          <w:tcPr>
            <w:tcW w:w="9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shd w:val="clear" w:color="auto" w:fill="D6DAEE"/>
          </w:tcPr>
          <w:p>
            <w:pPr>
              <w:spacing w:after="0"/>
              <w:rPr>
                <w:sz w:val="8"/>
                <w:szCs w:val="8"/>
                <w:color w:val="auto"/>
              </w:rPr>
            </w:pPr>
          </w:p>
        </w:tc>
        <w:tc>
          <w:tcPr>
            <w:tcW w:w="7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66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1060" w:type="dxa"/>
            <w:vAlign w:val="bottom"/>
            <w:tcBorders>
              <w:top w:val="single" w:sz="8" w:color="105BAB"/>
            </w:tcBorders>
            <w:shd w:val="clear" w:color="auto" w:fill="D6DAEE"/>
          </w:tcPr>
          <w:p>
            <w:pPr>
              <w:spacing w:after="0"/>
              <w:rPr>
                <w:sz w:val="8"/>
                <w:szCs w:val="8"/>
                <w:color w:val="auto"/>
              </w:rPr>
            </w:pPr>
          </w:p>
        </w:tc>
        <w:tc>
          <w:tcPr>
            <w:tcW w:w="8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shd w:val="clear" w:color="auto" w:fill="D6DAEE"/>
          </w:tcPr>
          <w:p>
            <w:pPr>
              <w:spacing w:after="0"/>
              <w:rPr>
                <w:sz w:val="8"/>
                <w:szCs w:val="8"/>
                <w:color w:val="auto"/>
              </w:rPr>
            </w:pPr>
          </w:p>
        </w:tc>
        <w:tc>
          <w:tcPr>
            <w:tcW w:w="460" w:type="dxa"/>
            <w:vAlign w:val="bottom"/>
            <w:tcBorders>
              <w:top w:val="single" w:sz="8" w:color="105BAB"/>
            </w:tcBorders>
            <w:shd w:val="clear" w:color="auto" w:fill="D6DAE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20" w:type="dxa"/>
            <w:vAlign w:val="bottom"/>
            <w:tcBorders>
              <w:bottom w:val="single" w:sz="8" w:color="D6DAEE"/>
            </w:tcBorders>
            <w:shd w:val="clear" w:color="auto" w:fill="D6DAEE"/>
          </w:tcPr>
          <w:p>
            <w:pPr>
              <w:spacing w:after="0" w:line="105" w:lineRule="exact"/>
              <w:rPr>
                <w:sz w:val="20"/>
                <w:szCs w:val="20"/>
                <w:color w:val="auto"/>
              </w:rPr>
            </w:pPr>
            <w:r>
              <w:rPr>
                <w:rFonts w:ascii="Arial" w:cs="Arial" w:eastAsia="Arial" w:hAnsi="Arial"/>
                <w:sz w:val="10"/>
                <w:szCs w:val="10"/>
                <w:color w:val="auto"/>
              </w:rPr>
              <w:t>Expertise</w:t>
            </w:r>
          </w:p>
        </w:tc>
        <w:tc>
          <w:tcPr>
            <w:tcW w:w="1040" w:type="dxa"/>
            <w:vAlign w:val="bottom"/>
            <w:tcBorders>
              <w:bottom w:val="single" w:sz="8" w:color="D6DAEE"/>
            </w:tcBorders>
            <w:shd w:val="clear" w:color="auto" w:fill="D6DAEE"/>
          </w:tcPr>
          <w:p>
            <w:pPr>
              <w:spacing w:after="0"/>
              <w:rPr>
                <w:sz w:val="9"/>
                <w:szCs w:val="9"/>
                <w:color w:val="auto"/>
              </w:rPr>
            </w:pPr>
          </w:p>
        </w:tc>
        <w:tc>
          <w:tcPr>
            <w:tcW w:w="820" w:type="dxa"/>
            <w:vAlign w:val="bottom"/>
            <w:tcBorders>
              <w:bottom w:val="single" w:sz="8" w:color="D6DAEE"/>
            </w:tcBorders>
            <w:shd w:val="clear" w:color="auto" w:fill="D6DAEE"/>
          </w:tcPr>
          <w:p>
            <w:pPr>
              <w:spacing w:after="0"/>
              <w:rPr>
                <w:sz w:val="9"/>
                <w:szCs w:val="9"/>
                <w:color w:val="auto"/>
              </w:rPr>
            </w:pPr>
          </w:p>
        </w:tc>
        <w:tc>
          <w:tcPr>
            <w:tcW w:w="900" w:type="dxa"/>
            <w:vAlign w:val="bottom"/>
            <w:tcBorders>
              <w:bottom w:val="single" w:sz="8" w:color="D6DAEE"/>
            </w:tcBorders>
            <w:vMerge w:val="continue"/>
            <w:shd w:val="clear" w:color="auto" w:fill="D6DAEE"/>
          </w:tcPr>
          <w:p>
            <w:pPr>
              <w:spacing w:after="0"/>
              <w:rPr>
                <w:sz w:val="9"/>
                <w:szCs w:val="9"/>
                <w:color w:val="auto"/>
              </w:rPr>
            </w:pPr>
          </w:p>
        </w:tc>
        <w:tc>
          <w:tcPr>
            <w:tcW w:w="840" w:type="dxa"/>
            <w:vAlign w:val="bottom"/>
            <w:tcBorders>
              <w:bottom w:val="single" w:sz="8" w:color="D6DAEE"/>
            </w:tcBorders>
            <w:shd w:val="clear" w:color="auto" w:fill="D6DAEE"/>
          </w:tcPr>
          <w:p>
            <w:pPr>
              <w:spacing w:after="0"/>
              <w:rPr>
                <w:sz w:val="9"/>
                <w:szCs w:val="9"/>
                <w:color w:val="auto"/>
              </w:rPr>
            </w:pPr>
          </w:p>
        </w:tc>
        <w:tc>
          <w:tcPr>
            <w:tcW w:w="740" w:type="dxa"/>
            <w:vAlign w:val="bottom"/>
            <w:tcBorders>
              <w:bottom w:val="single" w:sz="8" w:color="D6DAEE"/>
            </w:tcBorders>
            <w:vMerge w:val="continue"/>
            <w:shd w:val="clear" w:color="auto" w:fill="D6DAEE"/>
          </w:tcPr>
          <w:p>
            <w:pPr>
              <w:spacing w:after="0"/>
              <w:rPr>
                <w:sz w:val="9"/>
                <w:szCs w:val="9"/>
                <w:color w:val="auto"/>
              </w:rPr>
            </w:pPr>
          </w:p>
        </w:tc>
        <w:tc>
          <w:tcPr>
            <w:tcW w:w="660" w:type="dxa"/>
            <w:vAlign w:val="bottom"/>
            <w:tcBorders>
              <w:bottom w:val="single" w:sz="8" w:color="D6DAEE"/>
            </w:tcBorders>
            <w:vMerge w:val="continue"/>
            <w:shd w:val="clear" w:color="auto" w:fill="D6DAEE"/>
          </w:tcPr>
          <w:p>
            <w:pPr>
              <w:spacing w:after="0"/>
              <w:rPr>
                <w:sz w:val="9"/>
                <w:szCs w:val="9"/>
                <w:color w:val="auto"/>
              </w:rPr>
            </w:pPr>
          </w:p>
        </w:tc>
        <w:tc>
          <w:tcPr>
            <w:tcW w:w="840" w:type="dxa"/>
            <w:vAlign w:val="bottom"/>
            <w:tcBorders>
              <w:bottom w:val="single" w:sz="8" w:color="D6DAEE"/>
            </w:tcBorders>
            <w:vMerge w:val="continue"/>
            <w:shd w:val="clear" w:color="auto" w:fill="D6DAEE"/>
          </w:tcPr>
          <w:p>
            <w:pPr>
              <w:spacing w:after="0"/>
              <w:rPr>
                <w:sz w:val="9"/>
                <w:szCs w:val="9"/>
                <w:color w:val="auto"/>
              </w:rPr>
            </w:pPr>
          </w:p>
        </w:tc>
        <w:tc>
          <w:tcPr>
            <w:tcW w:w="700" w:type="dxa"/>
            <w:vAlign w:val="bottom"/>
            <w:tcBorders>
              <w:bottom w:val="single" w:sz="8" w:color="D6DAEE"/>
            </w:tcBorders>
            <w:vMerge w:val="continue"/>
            <w:shd w:val="clear" w:color="auto" w:fill="D6DAEE"/>
          </w:tcPr>
          <w:p>
            <w:pPr>
              <w:spacing w:after="0"/>
              <w:rPr>
                <w:sz w:val="9"/>
                <w:szCs w:val="9"/>
                <w:color w:val="auto"/>
              </w:rPr>
            </w:pPr>
          </w:p>
        </w:tc>
        <w:tc>
          <w:tcPr>
            <w:tcW w:w="1060" w:type="dxa"/>
            <w:vAlign w:val="bottom"/>
            <w:tcBorders>
              <w:bottom w:val="single" w:sz="8" w:color="D6DAEE"/>
            </w:tcBorders>
            <w:shd w:val="clear" w:color="auto" w:fill="D6DAEE"/>
          </w:tcPr>
          <w:p>
            <w:pPr>
              <w:spacing w:after="0"/>
              <w:rPr>
                <w:sz w:val="9"/>
                <w:szCs w:val="9"/>
                <w:color w:val="auto"/>
              </w:rPr>
            </w:pPr>
          </w:p>
        </w:tc>
        <w:tc>
          <w:tcPr>
            <w:tcW w:w="800" w:type="dxa"/>
            <w:vAlign w:val="bottom"/>
            <w:tcBorders>
              <w:bottom w:val="single" w:sz="8" w:color="D6DAEE"/>
            </w:tcBorders>
            <w:vMerge w:val="continue"/>
            <w:shd w:val="clear" w:color="auto" w:fill="D6DAEE"/>
          </w:tcPr>
          <w:p>
            <w:pPr>
              <w:spacing w:after="0"/>
              <w:rPr>
                <w:sz w:val="9"/>
                <w:szCs w:val="9"/>
                <w:color w:val="auto"/>
              </w:rPr>
            </w:pPr>
          </w:p>
        </w:tc>
        <w:tc>
          <w:tcPr>
            <w:tcW w:w="1200" w:type="dxa"/>
            <w:vAlign w:val="bottom"/>
            <w:tcBorders>
              <w:bottom w:val="single" w:sz="8" w:color="D6DAEE"/>
            </w:tcBorders>
            <w:shd w:val="clear" w:color="auto" w:fill="D6DAEE"/>
          </w:tcPr>
          <w:p>
            <w:pPr>
              <w:spacing w:after="0"/>
              <w:rPr>
                <w:sz w:val="9"/>
                <w:szCs w:val="9"/>
                <w:color w:val="auto"/>
              </w:rPr>
            </w:pPr>
          </w:p>
        </w:tc>
        <w:tc>
          <w:tcPr>
            <w:tcW w:w="460" w:type="dxa"/>
            <w:vAlign w:val="bottom"/>
            <w:tcBorders>
              <w:bottom w:val="single" w:sz="8" w:color="D6DAEE"/>
            </w:tcBorders>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F1F3F9"/>
          </w:tcPr>
          <w:p>
            <w:pPr>
              <w:spacing w:after="0" w:line="101" w:lineRule="exact"/>
              <w:rPr>
                <w:sz w:val="20"/>
                <w:szCs w:val="20"/>
                <w:color w:val="auto"/>
              </w:rPr>
            </w:pPr>
            <w:r>
              <w:rPr>
                <w:rFonts w:ascii="Arial" w:cs="Arial" w:eastAsia="Arial" w:hAnsi="Arial"/>
                <w:sz w:val="10"/>
                <w:szCs w:val="10"/>
                <w:color w:val="auto"/>
              </w:rPr>
              <w:t>Public Company</w:t>
            </w:r>
          </w:p>
        </w:tc>
        <w:tc>
          <w:tcPr>
            <w:tcW w:w="1040" w:type="dxa"/>
            <w:vAlign w:val="bottom"/>
            <w:tcBorders>
              <w:top w:val="single" w:sz="8" w:color="105BAB"/>
            </w:tcBorders>
            <w:shd w:val="clear" w:color="auto" w:fill="F1F3F9"/>
          </w:tcPr>
          <w:p>
            <w:pPr>
              <w:spacing w:after="0"/>
              <w:rPr>
                <w:sz w:val="8"/>
                <w:szCs w:val="8"/>
                <w:color w:val="auto"/>
              </w:rPr>
            </w:pPr>
          </w:p>
        </w:tc>
        <w:tc>
          <w:tcPr>
            <w:tcW w:w="820" w:type="dxa"/>
            <w:vAlign w:val="bottom"/>
            <w:tcBorders>
              <w:top w:val="single" w:sz="8" w:color="105BAB"/>
            </w:tcBorders>
            <w:shd w:val="clear" w:color="auto" w:fill="F1F3F9"/>
          </w:tcPr>
          <w:p>
            <w:pPr>
              <w:spacing w:after="0"/>
              <w:rPr>
                <w:sz w:val="8"/>
                <w:szCs w:val="8"/>
                <w:color w:val="auto"/>
              </w:rPr>
            </w:pPr>
          </w:p>
        </w:tc>
        <w:tc>
          <w:tcPr>
            <w:tcW w:w="9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shd w:val="clear" w:color="auto" w:fill="F1F3F9"/>
          </w:tcPr>
          <w:p>
            <w:pPr>
              <w:spacing w:after="0"/>
              <w:rPr>
                <w:sz w:val="8"/>
                <w:szCs w:val="8"/>
                <w:color w:val="auto"/>
              </w:rPr>
            </w:pPr>
          </w:p>
        </w:tc>
        <w:tc>
          <w:tcPr>
            <w:tcW w:w="740" w:type="dxa"/>
            <w:vAlign w:val="bottom"/>
            <w:tcBorders>
              <w:top w:val="single" w:sz="8" w:color="105BAB"/>
            </w:tcBorders>
            <w:shd w:val="clear" w:color="auto" w:fill="F1F3F9"/>
          </w:tcPr>
          <w:p>
            <w:pPr>
              <w:spacing w:after="0"/>
              <w:rPr>
                <w:sz w:val="8"/>
                <w:szCs w:val="8"/>
                <w:color w:val="auto"/>
              </w:rPr>
            </w:pPr>
          </w:p>
        </w:tc>
        <w:tc>
          <w:tcPr>
            <w:tcW w:w="66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84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700" w:type="dxa"/>
            <w:vAlign w:val="bottom"/>
            <w:tcBorders>
              <w:top w:val="single" w:sz="8" w:color="105BAB"/>
            </w:tcBorders>
            <w:shd w:val="clear" w:color="auto" w:fill="F1F3F9"/>
          </w:tcPr>
          <w:p>
            <w:pPr>
              <w:spacing w:after="0"/>
              <w:rPr>
                <w:sz w:val="8"/>
                <w:szCs w:val="8"/>
                <w:color w:val="auto"/>
              </w:rPr>
            </w:pPr>
          </w:p>
        </w:tc>
        <w:tc>
          <w:tcPr>
            <w:tcW w:w="1060" w:type="dxa"/>
            <w:vAlign w:val="bottom"/>
            <w:tcBorders>
              <w:top w:val="single" w:sz="8" w:color="105BAB"/>
            </w:tcBorders>
            <w:shd w:val="clear" w:color="auto" w:fill="F1F3F9"/>
          </w:tcPr>
          <w:p>
            <w:pPr>
              <w:spacing w:after="0"/>
              <w:rPr>
                <w:sz w:val="8"/>
                <w:szCs w:val="8"/>
                <w:color w:val="auto"/>
              </w:rPr>
            </w:pPr>
          </w:p>
        </w:tc>
        <w:tc>
          <w:tcPr>
            <w:tcW w:w="800" w:type="dxa"/>
            <w:vAlign w:val="bottom"/>
            <w:tcBorders>
              <w:top w:val="single" w:sz="8" w:color="105BAB"/>
            </w:tcBorders>
            <w:vMerge w:val="restart"/>
            <w:shd w:val="clear" w:color="auto" w:fill="F1F3F9"/>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shd w:val="clear" w:color="auto" w:fill="F1F3F9"/>
          </w:tcPr>
          <w:p>
            <w:pPr>
              <w:spacing w:after="0"/>
              <w:rPr>
                <w:sz w:val="8"/>
                <w:szCs w:val="8"/>
                <w:color w:val="auto"/>
              </w:rPr>
            </w:pPr>
          </w:p>
        </w:tc>
        <w:tc>
          <w:tcPr>
            <w:tcW w:w="460" w:type="dxa"/>
            <w:vAlign w:val="bottom"/>
            <w:tcBorders>
              <w:top w:val="single" w:sz="8" w:color="105BAB"/>
            </w:tcBorders>
            <w:shd w:val="clear" w:color="auto" w:fill="F1F3F9"/>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20" w:type="dxa"/>
            <w:vAlign w:val="bottom"/>
            <w:tcBorders>
              <w:bottom w:val="single" w:sz="8" w:color="F1F3F9"/>
            </w:tcBorders>
            <w:shd w:val="clear" w:color="auto" w:fill="F1F3F9"/>
          </w:tcPr>
          <w:p>
            <w:pPr>
              <w:spacing w:after="0" w:line="105" w:lineRule="exact"/>
              <w:rPr>
                <w:sz w:val="20"/>
                <w:szCs w:val="20"/>
                <w:color w:val="auto"/>
              </w:rPr>
            </w:pPr>
            <w:r>
              <w:rPr>
                <w:rFonts w:ascii="Arial" w:cs="Arial" w:eastAsia="Arial" w:hAnsi="Arial"/>
                <w:sz w:val="10"/>
                <w:szCs w:val="10"/>
                <w:color w:val="auto"/>
              </w:rPr>
              <w:t>CEO Experience</w:t>
            </w:r>
          </w:p>
        </w:tc>
        <w:tc>
          <w:tcPr>
            <w:tcW w:w="1040" w:type="dxa"/>
            <w:vAlign w:val="bottom"/>
            <w:tcBorders>
              <w:bottom w:val="single" w:sz="8" w:color="F1F3F9"/>
            </w:tcBorders>
            <w:shd w:val="clear" w:color="auto" w:fill="F1F3F9"/>
          </w:tcPr>
          <w:p>
            <w:pPr>
              <w:spacing w:after="0"/>
              <w:rPr>
                <w:sz w:val="9"/>
                <w:szCs w:val="9"/>
                <w:color w:val="auto"/>
              </w:rPr>
            </w:pPr>
          </w:p>
        </w:tc>
        <w:tc>
          <w:tcPr>
            <w:tcW w:w="820" w:type="dxa"/>
            <w:vAlign w:val="bottom"/>
            <w:tcBorders>
              <w:bottom w:val="single" w:sz="8" w:color="F1F3F9"/>
            </w:tcBorders>
            <w:shd w:val="clear" w:color="auto" w:fill="F1F3F9"/>
          </w:tcPr>
          <w:p>
            <w:pPr>
              <w:spacing w:after="0"/>
              <w:rPr>
                <w:sz w:val="9"/>
                <w:szCs w:val="9"/>
                <w:color w:val="auto"/>
              </w:rPr>
            </w:pPr>
          </w:p>
        </w:tc>
        <w:tc>
          <w:tcPr>
            <w:tcW w:w="90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shd w:val="clear" w:color="auto" w:fill="F1F3F9"/>
          </w:tcPr>
          <w:p>
            <w:pPr>
              <w:spacing w:after="0"/>
              <w:rPr>
                <w:sz w:val="9"/>
                <w:szCs w:val="9"/>
                <w:color w:val="auto"/>
              </w:rPr>
            </w:pPr>
          </w:p>
        </w:tc>
        <w:tc>
          <w:tcPr>
            <w:tcW w:w="740" w:type="dxa"/>
            <w:vAlign w:val="bottom"/>
            <w:tcBorders>
              <w:bottom w:val="single" w:sz="8" w:color="F1F3F9"/>
            </w:tcBorders>
            <w:shd w:val="clear" w:color="auto" w:fill="F1F3F9"/>
          </w:tcPr>
          <w:p>
            <w:pPr>
              <w:spacing w:after="0"/>
              <w:rPr>
                <w:sz w:val="9"/>
                <w:szCs w:val="9"/>
                <w:color w:val="auto"/>
              </w:rPr>
            </w:pPr>
          </w:p>
        </w:tc>
        <w:tc>
          <w:tcPr>
            <w:tcW w:w="660" w:type="dxa"/>
            <w:vAlign w:val="bottom"/>
            <w:tcBorders>
              <w:bottom w:val="single" w:sz="8" w:color="F1F3F9"/>
            </w:tcBorders>
            <w:vMerge w:val="continue"/>
            <w:shd w:val="clear" w:color="auto" w:fill="F1F3F9"/>
          </w:tcPr>
          <w:p>
            <w:pPr>
              <w:spacing w:after="0"/>
              <w:rPr>
                <w:sz w:val="9"/>
                <w:szCs w:val="9"/>
                <w:color w:val="auto"/>
              </w:rPr>
            </w:pPr>
          </w:p>
        </w:tc>
        <w:tc>
          <w:tcPr>
            <w:tcW w:w="840" w:type="dxa"/>
            <w:vAlign w:val="bottom"/>
            <w:tcBorders>
              <w:bottom w:val="single" w:sz="8" w:color="F1F3F9"/>
            </w:tcBorders>
            <w:vMerge w:val="continue"/>
            <w:shd w:val="clear" w:color="auto" w:fill="F1F3F9"/>
          </w:tcPr>
          <w:p>
            <w:pPr>
              <w:spacing w:after="0"/>
              <w:rPr>
                <w:sz w:val="9"/>
                <w:szCs w:val="9"/>
                <w:color w:val="auto"/>
              </w:rPr>
            </w:pPr>
          </w:p>
        </w:tc>
        <w:tc>
          <w:tcPr>
            <w:tcW w:w="700" w:type="dxa"/>
            <w:vAlign w:val="bottom"/>
            <w:tcBorders>
              <w:bottom w:val="single" w:sz="8" w:color="F1F3F9"/>
            </w:tcBorders>
            <w:shd w:val="clear" w:color="auto" w:fill="F1F3F9"/>
          </w:tcPr>
          <w:p>
            <w:pPr>
              <w:spacing w:after="0"/>
              <w:rPr>
                <w:sz w:val="9"/>
                <w:szCs w:val="9"/>
                <w:color w:val="auto"/>
              </w:rPr>
            </w:pPr>
          </w:p>
        </w:tc>
        <w:tc>
          <w:tcPr>
            <w:tcW w:w="1060" w:type="dxa"/>
            <w:vAlign w:val="bottom"/>
            <w:tcBorders>
              <w:bottom w:val="single" w:sz="8" w:color="F1F3F9"/>
            </w:tcBorders>
            <w:shd w:val="clear" w:color="auto" w:fill="F1F3F9"/>
          </w:tcPr>
          <w:p>
            <w:pPr>
              <w:spacing w:after="0"/>
              <w:rPr>
                <w:sz w:val="9"/>
                <w:szCs w:val="9"/>
                <w:color w:val="auto"/>
              </w:rPr>
            </w:pPr>
          </w:p>
        </w:tc>
        <w:tc>
          <w:tcPr>
            <w:tcW w:w="800" w:type="dxa"/>
            <w:vAlign w:val="bottom"/>
            <w:tcBorders>
              <w:bottom w:val="single" w:sz="8" w:color="F1F3F9"/>
            </w:tcBorders>
            <w:vMerge w:val="continue"/>
            <w:shd w:val="clear" w:color="auto" w:fill="F1F3F9"/>
          </w:tcPr>
          <w:p>
            <w:pPr>
              <w:spacing w:after="0"/>
              <w:rPr>
                <w:sz w:val="9"/>
                <w:szCs w:val="9"/>
                <w:color w:val="auto"/>
              </w:rPr>
            </w:pPr>
          </w:p>
        </w:tc>
        <w:tc>
          <w:tcPr>
            <w:tcW w:w="1200" w:type="dxa"/>
            <w:vAlign w:val="bottom"/>
            <w:tcBorders>
              <w:bottom w:val="single" w:sz="8" w:color="F1F3F9"/>
            </w:tcBorders>
            <w:shd w:val="clear" w:color="auto" w:fill="F1F3F9"/>
          </w:tcPr>
          <w:p>
            <w:pPr>
              <w:spacing w:after="0"/>
              <w:rPr>
                <w:sz w:val="9"/>
                <w:szCs w:val="9"/>
                <w:color w:val="auto"/>
              </w:rPr>
            </w:pPr>
          </w:p>
        </w:tc>
        <w:tc>
          <w:tcPr>
            <w:tcW w:w="460" w:type="dxa"/>
            <w:vAlign w:val="bottom"/>
            <w:tcBorders>
              <w:bottom w:val="single" w:sz="8" w:color="F1F3F9"/>
            </w:tcBorders>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20" w:type="dxa"/>
            <w:vAlign w:val="bottom"/>
            <w:tcBorders>
              <w:top w:val="single" w:sz="8" w:color="105BAB"/>
            </w:tcBorders>
            <w:shd w:val="clear" w:color="auto" w:fill="D6DAEE"/>
          </w:tcPr>
          <w:p>
            <w:pPr>
              <w:spacing w:after="0" w:line="101" w:lineRule="exact"/>
              <w:rPr>
                <w:sz w:val="20"/>
                <w:szCs w:val="20"/>
                <w:color w:val="auto"/>
              </w:rPr>
            </w:pPr>
            <w:r>
              <w:rPr>
                <w:rFonts w:ascii="Arial" w:cs="Arial" w:eastAsia="Arial" w:hAnsi="Arial"/>
                <w:sz w:val="10"/>
                <w:szCs w:val="10"/>
                <w:color w:val="auto"/>
              </w:rPr>
              <w:t>National Academy</w:t>
            </w:r>
          </w:p>
        </w:tc>
        <w:tc>
          <w:tcPr>
            <w:tcW w:w="1040" w:type="dxa"/>
            <w:vAlign w:val="bottom"/>
            <w:tcBorders>
              <w:top w:val="single" w:sz="8" w:color="105BAB"/>
            </w:tcBorders>
            <w:vMerge w:val="restart"/>
            <w:shd w:val="clear" w:color="auto" w:fill="D6DAEE"/>
          </w:tcPr>
          <w:p>
            <w:pPr>
              <w:jc w:val="center"/>
              <w:ind w:left="152"/>
              <w:spacing w:after="0"/>
              <w:rPr>
                <w:sz w:val="20"/>
                <w:szCs w:val="20"/>
                <w:color w:val="auto"/>
              </w:rPr>
            </w:pPr>
            <w:r>
              <w:rPr>
                <w:rFonts w:ascii="Arial" w:cs="Arial" w:eastAsia="Arial" w:hAnsi="Arial"/>
                <w:sz w:val="10"/>
                <w:szCs w:val="10"/>
                <w:color w:val="105BAB"/>
              </w:rPr>
              <w:t>·</w:t>
            </w:r>
          </w:p>
        </w:tc>
        <w:tc>
          <w:tcPr>
            <w:tcW w:w="82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900" w:type="dxa"/>
            <w:vAlign w:val="bottom"/>
            <w:tcBorders>
              <w:top w:val="single" w:sz="8" w:color="105BAB"/>
            </w:tcBorders>
            <w:shd w:val="clear" w:color="auto" w:fill="D6DAEE"/>
          </w:tcPr>
          <w:p>
            <w:pPr>
              <w:spacing w:after="0"/>
              <w:rPr>
                <w:sz w:val="8"/>
                <w:szCs w:val="8"/>
                <w:color w:val="auto"/>
              </w:rPr>
            </w:pPr>
          </w:p>
        </w:tc>
        <w:tc>
          <w:tcPr>
            <w:tcW w:w="84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10"/>
                <w:szCs w:val="10"/>
                <w:color w:val="105BAB"/>
              </w:rPr>
              <w:t>·</w:t>
            </w:r>
          </w:p>
        </w:tc>
        <w:tc>
          <w:tcPr>
            <w:tcW w:w="740" w:type="dxa"/>
            <w:vAlign w:val="bottom"/>
            <w:tcBorders>
              <w:top w:val="single" w:sz="8" w:color="105BAB"/>
            </w:tcBorders>
            <w:shd w:val="clear" w:color="auto" w:fill="D6DAEE"/>
          </w:tcPr>
          <w:p>
            <w:pPr>
              <w:spacing w:after="0"/>
              <w:rPr>
                <w:sz w:val="8"/>
                <w:szCs w:val="8"/>
                <w:color w:val="auto"/>
              </w:rPr>
            </w:pPr>
          </w:p>
        </w:tc>
        <w:tc>
          <w:tcPr>
            <w:tcW w:w="660" w:type="dxa"/>
            <w:vAlign w:val="bottom"/>
            <w:tcBorders>
              <w:top w:val="single" w:sz="8" w:color="105BAB"/>
            </w:tcBorders>
            <w:shd w:val="clear" w:color="auto" w:fill="D6DAEE"/>
          </w:tcPr>
          <w:p>
            <w:pPr>
              <w:spacing w:after="0"/>
              <w:rPr>
                <w:sz w:val="8"/>
                <w:szCs w:val="8"/>
                <w:color w:val="auto"/>
              </w:rPr>
            </w:pPr>
          </w:p>
        </w:tc>
        <w:tc>
          <w:tcPr>
            <w:tcW w:w="840" w:type="dxa"/>
            <w:vAlign w:val="bottom"/>
            <w:tcBorders>
              <w:top w:val="single" w:sz="8" w:color="105BAB"/>
            </w:tcBorders>
            <w:shd w:val="clear" w:color="auto" w:fill="D6DAEE"/>
          </w:tcPr>
          <w:p>
            <w:pPr>
              <w:spacing w:after="0"/>
              <w:rPr>
                <w:sz w:val="8"/>
                <w:szCs w:val="8"/>
                <w:color w:val="auto"/>
              </w:rPr>
            </w:pPr>
          </w:p>
        </w:tc>
        <w:tc>
          <w:tcPr>
            <w:tcW w:w="700" w:type="dxa"/>
            <w:vAlign w:val="bottom"/>
            <w:tcBorders>
              <w:top w:val="single" w:sz="8" w:color="105BAB"/>
            </w:tcBorders>
            <w:shd w:val="clear" w:color="auto" w:fill="D6DAEE"/>
          </w:tcPr>
          <w:p>
            <w:pPr>
              <w:spacing w:after="0"/>
              <w:rPr>
                <w:sz w:val="8"/>
                <w:szCs w:val="8"/>
                <w:color w:val="auto"/>
              </w:rPr>
            </w:pPr>
          </w:p>
        </w:tc>
        <w:tc>
          <w:tcPr>
            <w:tcW w:w="106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800" w:type="dxa"/>
            <w:vAlign w:val="bottom"/>
            <w:tcBorders>
              <w:top w:val="single" w:sz="8" w:color="105BAB"/>
            </w:tcBorders>
            <w:vMerge w:val="restart"/>
            <w:shd w:val="clear" w:color="auto" w:fill="D6DAEE"/>
          </w:tcPr>
          <w:p>
            <w:pPr>
              <w:jc w:val="center"/>
              <w:spacing w:after="0"/>
              <w:rPr>
                <w:sz w:val="20"/>
                <w:szCs w:val="20"/>
                <w:color w:val="auto"/>
              </w:rPr>
            </w:pPr>
            <w:r>
              <w:rPr>
                <w:rFonts w:ascii="Arial" w:cs="Arial" w:eastAsia="Arial" w:hAnsi="Arial"/>
                <w:sz w:val="8"/>
                <w:szCs w:val="8"/>
                <w:color w:val="105BAB"/>
                <w:w w:val="73"/>
              </w:rPr>
              <w:t>·</w:t>
            </w:r>
          </w:p>
        </w:tc>
        <w:tc>
          <w:tcPr>
            <w:tcW w:w="1200" w:type="dxa"/>
            <w:vAlign w:val="bottom"/>
            <w:tcBorders>
              <w:top w:val="single" w:sz="8" w:color="105BAB"/>
            </w:tcBorders>
            <w:vMerge w:val="restart"/>
            <w:shd w:val="clear" w:color="auto" w:fill="D6DAEE"/>
          </w:tcPr>
          <w:p>
            <w:pPr>
              <w:jc w:val="center"/>
              <w:ind w:right="136"/>
              <w:spacing w:after="0"/>
              <w:rPr>
                <w:sz w:val="20"/>
                <w:szCs w:val="20"/>
                <w:color w:val="auto"/>
              </w:rPr>
            </w:pPr>
            <w:r>
              <w:rPr>
                <w:rFonts w:ascii="Arial" w:cs="Arial" w:eastAsia="Arial" w:hAnsi="Arial"/>
                <w:sz w:val="8"/>
                <w:szCs w:val="8"/>
                <w:color w:val="105BAB"/>
                <w:w w:val="73"/>
              </w:rPr>
              <w:t>·</w:t>
            </w:r>
          </w:p>
        </w:tc>
        <w:tc>
          <w:tcPr>
            <w:tcW w:w="460" w:type="dxa"/>
            <w:vAlign w:val="bottom"/>
            <w:tcBorders>
              <w:top w:val="single" w:sz="8" w:color="105BAB"/>
            </w:tcBorders>
            <w:vMerge w:val="restart"/>
            <w:shd w:val="clear" w:color="auto" w:fill="D6DAEE"/>
          </w:tcPr>
          <w:p>
            <w:pPr>
              <w:jc w:val="center"/>
              <w:ind w:right="52"/>
              <w:spacing w:after="0"/>
              <w:rPr>
                <w:sz w:val="20"/>
                <w:szCs w:val="20"/>
                <w:color w:val="auto"/>
              </w:rPr>
            </w:pPr>
            <w:r>
              <w:rPr>
                <w:rFonts w:ascii="Arial" w:cs="Arial" w:eastAsia="Arial" w:hAnsi="Arial"/>
                <w:sz w:val="10"/>
                <w:szCs w:val="10"/>
                <w:color w:val="105BAB"/>
              </w:rPr>
              <w:t>·</w:t>
            </w:r>
          </w:p>
        </w:tc>
        <w:tc>
          <w:tcPr>
            <w:tcW w:w="0" w:type="dxa"/>
            <w:vAlign w:val="bottom"/>
          </w:tcPr>
          <w:p>
            <w:pPr>
              <w:spacing w:after="0"/>
              <w:rPr>
                <w:sz w:val="1"/>
                <w:szCs w:val="1"/>
                <w:color w:val="auto"/>
              </w:rPr>
            </w:pPr>
          </w:p>
        </w:tc>
      </w:tr>
      <w:tr>
        <w:trPr>
          <w:trHeight w:val="105"/>
        </w:trPr>
        <w:tc>
          <w:tcPr>
            <w:tcW w:w="1420" w:type="dxa"/>
            <w:vAlign w:val="bottom"/>
            <w:tcBorders>
              <w:bottom w:val="single" w:sz="8" w:color="D6DAEE"/>
            </w:tcBorders>
            <w:shd w:val="clear" w:color="auto" w:fill="D6DAEE"/>
          </w:tcPr>
          <w:p>
            <w:pPr>
              <w:spacing w:after="0" w:line="105" w:lineRule="exact"/>
              <w:rPr>
                <w:sz w:val="20"/>
                <w:szCs w:val="20"/>
                <w:color w:val="auto"/>
              </w:rPr>
            </w:pPr>
            <w:r>
              <w:rPr>
                <w:rFonts w:ascii="Arial" w:cs="Arial" w:eastAsia="Arial" w:hAnsi="Arial"/>
                <w:sz w:val="10"/>
                <w:szCs w:val="10"/>
                <w:color w:val="auto"/>
              </w:rPr>
              <w:t>of Sciences Membership</w:t>
            </w:r>
          </w:p>
        </w:tc>
        <w:tc>
          <w:tcPr>
            <w:tcW w:w="1040" w:type="dxa"/>
            <w:vAlign w:val="bottom"/>
            <w:tcBorders>
              <w:bottom w:val="single" w:sz="8" w:color="D6DAEE"/>
            </w:tcBorders>
            <w:vMerge w:val="continue"/>
            <w:shd w:val="clear" w:color="auto" w:fill="D6DAEE"/>
          </w:tcPr>
          <w:p>
            <w:pPr>
              <w:spacing w:after="0"/>
              <w:rPr>
                <w:sz w:val="9"/>
                <w:szCs w:val="9"/>
                <w:color w:val="auto"/>
              </w:rPr>
            </w:pPr>
          </w:p>
        </w:tc>
        <w:tc>
          <w:tcPr>
            <w:tcW w:w="820" w:type="dxa"/>
            <w:vAlign w:val="bottom"/>
            <w:tcBorders>
              <w:bottom w:val="single" w:sz="8" w:color="D6DAEE"/>
            </w:tcBorders>
            <w:vMerge w:val="continue"/>
            <w:shd w:val="clear" w:color="auto" w:fill="D6DAEE"/>
          </w:tcPr>
          <w:p>
            <w:pPr>
              <w:spacing w:after="0"/>
              <w:rPr>
                <w:sz w:val="9"/>
                <w:szCs w:val="9"/>
                <w:color w:val="auto"/>
              </w:rPr>
            </w:pPr>
          </w:p>
        </w:tc>
        <w:tc>
          <w:tcPr>
            <w:tcW w:w="900" w:type="dxa"/>
            <w:vAlign w:val="bottom"/>
            <w:tcBorders>
              <w:bottom w:val="single" w:sz="8" w:color="D6DAEE"/>
            </w:tcBorders>
            <w:shd w:val="clear" w:color="auto" w:fill="D6DAEE"/>
          </w:tcPr>
          <w:p>
            <w:pPr>
              <w:spacing w:after="0"/>
              <w:rPr>
                <w:sz w:val="9"/>
                <w:szCs w:val="9"/>
                <w:color w:val="auto"/>
              </w:rPr>
            </w:pPr>
          </w:p>
        </w:tc>
        <w:tc>
          <w:tcPr>
            <w:tcW w:w="840" w:type="dxa"/>
            <w:vAlign w:val="bottom"/>
            <w:tcBorders>
              <w:bottom w:val="single" w:sz="8" w:color="D6DAEE"/>
            </w:tcBorders>
            <w:vMerge w:val="continue"/>
            <w:shd w:val="clear" w:color="auto" w:fill="D6DAEE"/>
          </w:tcPr>
          <w:p>
            <w:pPr>
              <w:spacing w:after="0"/>
              <w:rPr>
                <w:sz w:val="9"/>
                <w:szCs w:val="9"/>
                <w:color w:val="auto"/>
              </w:rPr>
            </w:pPr>
          </w:p>
        </w:tc>
        <w:tc>
          <w:tcPr>
            <w:tcW w:w="740" w:type="dxa"/>
            <w:vAlign w:val="bottom"/>
            <w:tcBorders>
              <w:bottom w:val="single" w:sz="8" w:color="D6DAEE"/>
            </w:tcBorders>
            <w:shd w:val="clear" w:color="auto" w:fill="D6DAEE"/>
          </w:tcPr>
          <w:p>
            <w:pPr>
              <w:spacing w:after="0"/>
              <w:rPr>
                <w:sz w:val="9"/>
                <w:szCs w:val="9"/>
                <w:color w:val="auto"/>
              </w:rPr>
            </w:pPr>
          </w:p>
        </w:tc>
        <w:tc>
          <w:tcPr>
            <w:tcW w:w="660" w:type="dxa"/>
            <w:vAlign w:val="bottom"/>
            <w:tcBorders>
              <w:bottom w:val="single" w:sz="8" w:color="D6DAEE"/>
            </w:tcBorders>
            <w:shd w:val="clear" w:color="auto" w:fill="D6DAEE"/>
          </w:tcPr>
          <w:p>
            <w:pPr>
              <w:spacing w:after="0"/>
              <w:rPr>
                <w:sz w:val="9"/>
                <w:szCs w:val="9"/>
                <w:color w:val="auto"/>
              </w:rPr>
            </w:pPr>
          </w:p>
        </w:tc>
        <w:tc>
          <w:tcPr>
            <w:tcW w:w="840" w:type="dxa"/>
            <w:vAlign w:val="bottom"/>
            <w:tcBorders>
              <w:bottom w:val="single" w:sz="8" w:color="D6DAEE"/>
            </w:tcBorders>
            <w:shd w:val="clear" w:color="auto" w:fill="D6DAEE"/>
          </w:tcPr>
          <w:p>
            <w:pPr>
              <w:spacing w:after="0"/>
              <w:rPr>
                <w:sz w:val="9"/>
                <w:szCs w:val="9"/>
                <w:color w:val="auto"/>
              </w:rPr>
            </w:pPr>
          </w:p>
        </w:tc>
        <w:tc>
          <w:tcPr>
            <w:tcW w:w="700" w:type="dxa"/>
            <w:vAlign w:val="bottom"/>
            <w:tcBorders>
              <w:bottom w:val="single" w:sz="8" w:color="D6DAEE"/>
            </w:tcBorders>
            <w:shd w:val="clear" w:color="auto" w:fill="D6DAEE"/>
          </w:tcPr>
          <w:p>
            <w:pPr>
              <w:spacing w:after="0"/>
              <w:rPr>
                <w:sz w:val="9"/>
                <w:szCs w:val="9"/>
                <w:color w:val="auto"/>
              </w:rPr>
            </w:pPr>
          </w:p>
        </w:tc>
        <w:tc>
          <w:tcPr>
            <w:tcW w:w="1060" w:type="dxa"/>
            <w:vAlign w:val="bottom"/>
            <w:tcBorders>
              <w:bottom w:val="single" w:sz="8" w:color="D6DAEE"/>
            </w:tcBorders>
            <w:vMerge w:val="continue"/>
            <w:shd w:val="clear" w:color="auto" w:fill="D6DAEE"/>
          </w:tcPr>
          <w:p>
            <w:pPr>
              <w:spacing w:after="0"/>
              <w:rPr>
                <w:sz w:val="9"/>
                <w:szCs w:val="9"/>
                <w:color w:val="auto"/>
              </w:rPr>
            </w:pPr>
          </w:p>
        </w:tc>
        <w:tc>
          <w:tcPr>
            <w:tcW w:w="800" w:type="dxa"/>
            <w:vAlign w:val="bottom"/>
            <w:tcBorders>
              <w:bottom w:val="single" w:sz="8" w:color="D6DAEE"/>
            </w:tcBorders>
            <w:vMerge w:val="continue"/>
            <w:shd w:val="clear" w:color="auto" w:fill="D6DAEE"/>
          </w:tcPr>
          <w:p>
            <w:pPr>
              <w:spacing w:after="0"/>
              <w:rPr>
                <w:sz w:val="9"/>
                <w:szCs w:val="9"/>
                <w:color w:val="auto"/>
              </w:rPr>
            </w:pPr>
          </w:p>
        </w:tc>
        <w:tc>
          <w:tcPr>
            <w:tcW w:w="1200" w:type="dxa"/>
            <w:vAlign w:val="bottom"/>
            <w:tcBorders>
              <w:bottom w:val="single" w:sz="8" w:color="D6DAEE"/>
            </w:tcBorders>
            <w:vMerge w:val="continue"/>
            <w:shd w:val="clear" w:color="auto" w:fill="D6DAEE"/>
          </w:tcPr>
          <w:p>
            <w:pPr>
              <w:spacing w:after="0"/>
              <w:rPr>
                <w:sz w:val="9"/>
                <w:szCs w:val="9"/>
                <w:color w:val="auto"/>
              </w:rPr>
            </w:pPr>
          </w:p>
        </w:tc>
        <w:tc>
          <w:tcPr>
            <w:tcW w:w="460" w:type="dxa"/>
            <w:vAlign w:val="bottom"/>
            <w:tcBorders>
              <w:bottom w:val="single" w:sz="8" w:color="D6DAEE"/>
            </w:tcBorders>
            <w:vMerge w:val="continue"/>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420" w:type="dxa"/>
            <w:vAlign w:val="bottom"/>
            <w:tcBorders>
              <w:top w:val="single" w:sz="8" w:color="105BAB"/>
            </w:tcBorders>
          </w:tcPr>
          <w:p>
            <w:pPr>
              <w:spacing w:after="0"/>
              <w:rPr>
                <w:sz w:val="11"/>
                <w:szCs w:val="11"/>
                <w:color w:val="auto"/>
              </w:rPr>
            </w:pPr>
          </w:p>
        </w:tc>
        <w:tc>
          <w:tcPr>
            <w:tcW w:w="1040" w:type="dxa"/>
            <w:vAlign w:val="bottom"/>
            <w:tcBorders>
              <w:top w:val="single" w:sz="8" w:color="105BAB"/>
            </w:tcBorders>
          </w:tcPr>
          <w:p>
            <w:pPr>
              <w:spacing w:after="0"/>
              <w:rPr>
                <w:sz w:val="11"/>
                <w:szCs w:val="11"/>
                <w:color w:val="auto"/>
              </w:rPr>
            </w:pPr>
          </w:p>
        </w:tc>
        <w:tc>
          <w:tcPr>
            <w:tcW w:w="820" w:type="dxa"/>
            <w:vAlign w:val="bottom"/>
            <w:tcBorders>
              <w:top w:val="single" w:sz="8" w:color="105BAB"/>
            </w:tcBorders>
          </w:tcPr>
          <w:p>
            <w:pPr>
              <w:spacing w:after="0"/>
              <w:rPr>
                <w:sz w:val="11"/>
                <w:szCs w:val="11"/>
                <w:color w:val="auto"/>
              </w:rPr>
            </w:pPr>
          </w:p>
        </w:tc>
        <w:tc>
          <w:tcPr>
            <w:tcW w:w="900" w:type="dxa"/>
            <w:vAlign w:val="bottom"/>
            <w:tcBorders>
              <w:top w:val="single" w:sz="8" w:color="105BAB"/>
            </w:tcBorders>
          </w:tcPr>
          <w:p>
            <w:pPr>
              <w:spacing w:after="0"/>
              <w:rPr>
                <w:sz w:val="11"/>
                <w:szCs w:val="11"/>
                <w:color w:val="auto"/>
              </w:rPr>
            </w:pPr>
          </w:p>
        </w:tc>
        <w:tc>
          <w:tcPr>
            <w:tcW w:w="840" w:type="dxa"/>
            <w:vAlign w:val="bottom"/>
            <w:tcBorders>
              <w:top w:val="single" w:sz="8" w:color="105BAB"/>
            </w:tcBorders>
          </w:tcPr>
          <w:p>
            <w:pPr>
              <w:spacing w:after="0"/>
              <w:rPr>
                <w:sz w:val="11"/>
                <w:szCs w:val="11"/>
                <w:color w:val="auto"/>
              </w:rPr>
            </w:pPr>
          </w:p>
        </w:tc>
        <w:tc>
          <w:tcPr>
            <w:tcW w:w="740" w:type="dxa"/>
            <w:vAlign w:val="bottom"/>
            <w:tcBorders>
              <w:top w:val="single" w:sz="8" w:color="105BAB"/>
            </w:tcBorders>
          </w:tcPr>
          <w:p>
            <w:pPr>
              <w:spacing w:after="0"/>
              <w:rPr>
                <w:sz w:val="11"/>
                <w:szCs w:val="11"/>
                <w:color w:val="auto"/>
              </w:rPr>
            </w:pPr>
          </w:p>
        </w:tc>
        <w:tc>
          <w:tcPr>
            <w:tcW w:w="660" w:type="dxa"/>
            <w:vAlign w:val="bottom"/>
            <w:tcBorders>
              <w:top w:val="single" w:sz="8" w:color="105BAB"/>
            </w:tcBorders>
          </w:tcPr>
          <w:p>
            <w:pPr>
              <w:spacing w:after="0"/>
              <w:rPr>
                <w:sz w:val="11"/>
                <w:szCs w:val="11"/>
                <w:color w:val="auto"/>
              </w:rPr>
            </w:pPr>
          </w:p>
        </w:tc>
        <w:tc>
          <w:tcPr>
            <w:tcW w:w="840" w:type="dxa"/>
            <w:vAlign w:val="bottom"/>
            <w:tcBorders>
              <w:top w:val="single" w:sz="8" w:color="105BAB"/>
            </w:tcBorders>
          </w:tcPr>
          <w:p>
            <w:pPr>
              <w:spacing w:after="0"/>
              <w:rPr>
                <w:sz w:val="11"/>
                <w:szCs w:val="11"/>
                <w:color w:val="auto"/>
              </w:rPr>
            </w:pPr>
          </w:p>
        </w:tc>
        <w:tc>
          <w:tcPr>
            <w:tcW w:w="700" w:type="dxa"/>
            <w:vAlign w:val="bottom"/>
            <w:tcBorders>
              <w:top w:val="single" w:sz="8" w:color="105BAB"/>
            </w:tcBorders>
          </w:tcPr>
          <w:p>
            <w:pPr>
              <w:spacing w:after="0"/>
              <w:rPr>
                <w:sz w:val="11"/>
                <w:szCs w:val="11"/>
                <w:color w:val="auto"/>
              </w:rPr>
            </w:pPr>
          </w:p>
        </w:tc>
        <w:tc>
          <w:tcPr>
            <w:tcW w:w="1060" w:type="dxa"/>
            <w:vAlign w:val="bottom"/>
            <w:tcBorders>
              <w:top w:val="single" w:sz="8" w:color="105BAB"/>
            </w:tcBorders>
          </w:tcPr>
          <w:p>
            <w:pPr>
              <w:spacing w:after="0"/>
              <w:rPr>
                <w:sz w:val="11"/>
                <w:szCs w:val="11"/>
                <w:color w:val="auto"/>
              </w:rPr>
            </w:pPr>
          </w:p>
        </w:tc>
        <w:tc>
          <w:tcPr>
            <w:tcW w:w="800" w:type="dxa"/>
            <w:vAlign w:val="bottom"/>
            <w:tcBorders>
              <w:top w:val="single" w:sz="8" w:color="105BAB"/>
            </w:tcBorders>
          </w:tcPr>
          <w:p>
            <w:pPr>
              <w:spacing w:after="0"/>
              <w:rPr>
                <w:sz w:val="11"/>
                <w:szCs w:val="11"/>
                <w:color w:val="auto"/>
              </w:rPr>
            </w:pPr>
          </w:p>
        </w:tc>
        <w:tc>
          <w:tcPr>
            <w:tcW w:w="1200" w:type="dxa"/>
            <w:vAlign w:val="bottom"/>
            <w:tcBorders>
              <w:top w:val="single" w:sz="8" w:color="105BAB"/>
            </w:tcBorders>
          </w:tcPr>
          <w:p>
            <w:pPr>
              <w:spacing w:after="0"/>
              <w:rPr>
                <w:sz w:val="11"/>
                <w:szCs w:val="11"/>
                <w:color w:val="auto"/>
              </w:rPr>
            </w:pPr>
          </w:p>
        </w:tc>
        <w:tc>
          <w:tcPr>
            <w:tcW w:w="460" w:type="dxa"/>
            <w:vAlign w:val="bottom"/>
            <w:tcBorders>
              <w:top w:val="single" w:sz="8" w:color="105BAB"/>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60" w:type="dxa"/>
            <w:vAlign w:val="bottom"/>
            <w:shd w:val="clear" w:color="auto" w:fill="105BAB"/>
          </w:tcPr>
          <w:p>
            <w:pPr>
              <w:jc w:val="right"/>
              <w:ind w:right="352"/>
              <w:spacing w:after="0" w:line="108" w:lineRule="exact"/>
              <w:rPr>
                <w:sz w:val="20"/>
                <w:szCs w:val="20"/>
                <w:color w:val="auto"/>
              </w:rPr>
            </w:pPr>
            <w:r>
              <w:rPr>
                <w:rFonts w:ascii="Arial" w:cs="Arial" w:eastAsia="Arial" w:hAnsi="Arial"/>
                <w:sz w:val="10"/>
                <w:szCs w:val="10"/>
                <w:b w:val="1"/>
                <w:bCs w:val="1"/>
                <w:color w:val="FFFFFE"/>
                <w:w w:val="71"/>
              </w:rPr>
              <w:t>7</w:t>
            </w:r>
          </w:p>
        </w:tc>
        <w:tc>
          <w:tcPr>
            <w:tcW w:w="0" w:type="dxa"/>
            <w:vAlign w:val="bottom"/>
          </w:tcPr>
          <w:p>
            <w:pPr>
              <w:spacing w:after="0"/>
              <w:rPr>
                <w:sz w:val="1"/>
                <w:szCs w:val="1"/>
                <w:color w:val="auto"/>
              </w:rPr>
            </w:pPr>
          </w:p>
        </w:tc>
      </w:tr>
      <w:tr>
        <w:trPr>
          <w:trHeight w:val="148"/>
        </w:trPr>
        <w:tc>
          <w:tcPr>
            <w:tcW w:w="14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8" w:name="page19"/>
    <w:bookmarkEnd w:id="18"/>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16"/>
          <w:szCs w:val="16"/>
          <w:color w:val="auto"/>
        </w:rPr>
        <w:t>NOMINEES FOR CLASS III DIRECTORS</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6"/>
          <w:szCs w:val="16"/>
          <w:color w:val="auto"/>
        </w:rPr>
        <w:t>FOR ELECTION AT THE 2018 ANNUAL MEETING FOR A TERM EXPIRING AT THE 2021 ANNUAL MEETING</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923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Arial" w:cs="Arial" w:eastAsia="Arial" w:hAnsi="Arial"/>
          <w:sz w:val="16"/>
          <w:szCs w:val="16"/>
          <w:color w:val="105BAB"/>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-1069975</wp:posOffset>
            </wp:positionV>
            <wp:extent cx="875030" cy="875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2003</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75</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309" w:lineRule="exact"/>
        <w:rPr>
          <w:sz w:val="20"/>
          <w:szCs w:val="20"/>
          <w:color w:val="auto"/>
        </w:rPr>
      </w:pPr>
    </w:p>
    <w:p>
      <w:pPr>
        <w:ind w:left="8"/>
        <w:spacing w:after="0"/>
        <w:rPr>
          <w:sz w:val="20"/>
          <w:szCs w:val="20"/>
          <w:color w:val="auto"/>
        </w:rPr>
      </w:pPr>
      <w:r>
        <w:rPr>
          <w:rFonts w:ascii="Arial" w:cs="Arial" w:eastAsia="Arial" w:hAnsi="Arial"/>
          <w:sz w:val="14"/>
          <w:szCs w:val="14"/>
          <w:color w:val="105BAB"/>
        </w:rPr>
        <w:t>OTHER PUBLIC BOARDS (RECENT SERVICE)</w:t>
      </w:r>
    </w:p>
    <w:p>
      <w:pPr>
        <w:ind w:left="88" w:hanging="88"/>
        <w:spacing w:after="0"/>
        <w:tabs>
          <w:tab w:leader="none" w:pos="88" w:val="left"/>
        </w:tabs>
        <w:numPr>
          <w:ilvl w:val="0"/>
          <w:numId w:val="13"/>
        </w:numPr>
        <w:rPr>
          <w:rFonts w:ascii="Arial" w:cs="Arial" w:eastAsia="Arial" w:hAnsi="Arial"/>
          <w:sz w:val="10"/>
          <w:szCs w:val="10"/>
          <w:color w:val="105BAB"/>
        </w:rPr>
      </w:pPr>
      <w:r>
        <w:rPr>
          <w:rFonts w:ascii="Arial" w:cs="Arial" w:eastAsia="Arial" w:hAnsi="Arial"/>
          <w:sz w:val="12"/>
          <w:szCs w:val="12"/>
          <w:color w:val="auto"/>
        </w:rPr>
        <w:t>Citizens Financial Group, Inc.</w:t>
      </w:r>
    </w:p>
    <w:p>
      <w:pPr>
        <w:spacing w:after="0" w:line="6" w:lineRule="exact"/>
        <w:rPr>
          <w:rFonts w:ascii="Arial" w:cs="Arial" w:eastAsia="Arial" w:hAnsi="Arial"/>
          <w:sz w:val="10"/>
          <w:szCs w:val="10"/>
          <w:color w:val="105BAB"/>
        </w:rPr>
      </w:pPr>
    </w:p>
    <w:p>
      <w:pPr>
        <w:ind w:left="68" w:right="1260" w:hanging="68"/>
        <w:spacing w:after="0" w:line="269" w:lineRule="auto"/>
        <w:tabs>
          <w:tab w:leader="none" w:pos="87" w:val="left"/>
        </w:tabs>
        <w:numPr>
          <w:ilvl w:val="0"/>
          <w:numId w:val="13"/>
        </w:numPr>
        <w:rPr>
          <w:rFonts w:ascii="Arial" w:cs="Arial" w:eastAsia="Arial" w:hAnsi="Arial"/>
          <w:sz w:val="10"/>
          <w:szCs w:val="10"/>
          <w:color w:val="105BAB"/>
        </w:rPr>
      </w:pPr>
      <w:r>
        <w:rPr>
          <w:rFonts w:ascii="Arial" w:cs="Arial" w:eastAsia="Arial" w:hAnsi="Arial"/>
          <w:sz w:val="12"/>
          <w:szCs w:val="12"/>
          <w:color w:val="auto"/>
        </w:rPr>
        <w:t>Royal Bank of Scotland Group plc (until 2013)</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120"/>
        <w:spacing w:after="0" w:line="261" w:lineRule="auto"/>
        <w:rPr>
          <w:sz w:val="20"/>
          <w:szCs w:val="20"/>
          <w:color w:val="auto"/>
        </w:rPr>
      </w:pPr>
      <w:r>
        <w:rPr>
          <w:rFonts w:ascii="Arial" w:cs="Arial" w:eastAsia="Arial" w:hAnsi="Arial"/>
          <w:sz w:val="11"/>
          <w:szCs w:val="11"/>
          <w:color w:val="auto"/>
        </w:rPr>
        <w:t>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managed Chase's worldwide retail bank between 1984 and 1990. From 2008 to 2013, Mr. Ryan served as a non-executive director of the Royal Bank of Scotland Group plc. Since April 2009, Mr. Ryan has served as a director of Citizens Financial Group, Inc., a retail bank holding company that became publicly traded in September 2014, and currently serves as its lead director, chair of the Compensation and Human Resources Committee, and a member of the Nominating and Corporate Governance Committee.</w:t>
      </w:r>
    </w:p>
    <w:p>
      <w:pPr>
        <w:spacing w:after="0" w:line="129" w:lineRule="exact"/>
        <w:rPr>
          <w:sz w:val="20"/>
          <w:szCs w:val="20"/>
          <w:color w:val="auto"/>
        </w:rPr>
      </w:pPr>
    </w:p>
    <w:p>
      <w:pPr>
        <w:ind w:right="80"/>
        <w:spacing w:after="0" w:line="239" w:lineRule="auto"/>
        <w:rPr>
          <w:sz w:val="20"/>
          <w:szCs w:val="20"/>
          <w:color w:val="auto"/>
        </w:rPr>
      </w:pPr>
      <w:r>
        <w:rPr>
          <w:rFonts w:ascii="Arial" w:cs="Arial" w:eastAsia="Arial" w:hAnsi="Arial"/>
          <w:sz w:val="12"/>
          <w:szCs w:val="12"/>
          <w:color w:val="auto"/>
        </w:rPr>
        <w:t>Mr. Ryan's substantial leadership experience as a chief executive officer of leading companies in the banking and insurance industries, and his extensive business experience and financial expertise, led to the board's decision to nominate Mr. Ryan for reelection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88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2940" w:type="dxa"/>
            <w:vAlign w:val="bottom"/>
            <w:tcBorders>
              <w:bottom w:val="single" w:sz="8" w:color="105BAB"/>
            </w:tcBorders>
          </w:tcPr>
          <w:p>
            <w:pPr>
              <w:ind w:left="2140"/>
              <w:spacing w:after="0"/>
              <w:rPr>
                <w:sz w:val="20"/>
                <w:szCs w:val="20"/>
                <w:color w:val="auto"/>
              </w:rPr>
            </w:pPr>
            <w:r>
              <w:rPr>
                <w:rFonts w:ascii="Arial" w:cs="Arial" w:eastAsia="Arial" w:hAnsi="Arial"/>
                <w:sz w:val="10"/>
                <w:szCs w:val="10"/>
                <w:b w:val="1"/>
                <w:bCs w:val="1"/>
                <w:color w:val="105BAB"/>
                <w:w w:val="98"/>
              </w:rPr>
              <w:t>2017 Attendance</w:t>
            </w:r>
          </w:p>
        </w:tc>
      </w:tr>
      <w:tr>
        <w:trPr>
          <w:trHeight w:val="116"/>
        </w:trPr>
        <w:tc>
          <w:tcPr>
            <w:tcW w:w="488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2940" w:type="dxa"/>
            <w:vAlign w:val="bottom"/>
            <w:tcBorders>
              <w:bottom w:val="single" w:sz="8" w:color="auto"/>
            </w:tcBorders>
            <w:shd w:val="clear" w:color="auto" w:fill="F1F3F9"/>
          </w:tcPr>
          <w:p>
            <w:pPr>
              <w:jc w:val="center"/>
              <w:ind w:left="2072"/>
              <w:spacing w:after="0"/>
              <w:rPr>
                <w:sz w:val="20"/>
                <w:szCs w:val="20"/>
                <w:color w:val="auto"/>
              </w:rPr>
            </w:pPr>
            <w:r>
              <w:rPr>
                <w:rFonts w:ascii="Arial" w:cs="Arial" w:eastAsia="Arial" w:hAnsi="Arial"/>
                <w:sz w:val="10"/>
                <w:szCs w:val="10"/>
                <w:color w:val="auto"/>
              </w:rPr>
              <w:t>6/6</w:t>
            </w:r>
          </w:p>
        </w:tc>
      </w:tr>
      <w:tr>
        <w:trPr>
          <w:trHeight w:val="124"/>
        </w:trPr>
        <w:tc>
          <w:tcPr>
            <w:tcW w:w="488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Audit Committee</w:t>
            </w:r>
          </w:p>
        </w:tc>
        <w:tc>
          <w:tcPr>
            <w:tcW w:w="2940" w:type="dxa"/>
            <w:vAlign w:val="bottom"/>
            <w:tcBorders>
              <w:bottom w:val="single" w:sz="8" w:color="auto"/>
            </w:tcBorders>
            <w:shd w:val="clear" w:color="auto" w:fill="D6DAEE"/>
          </w:tcPr>
          <w:p>
            <w:pPr>
              <w:jc w:val="center"/>
              <w:ind w:left="2092"/>
              <w:spacing w:after="0"/>
              <w:rPr>
                <w:sz w:val="20"/>
                <w:szCs w:val="20"/>
                <w:color w:val="auto"/>
              </w:rPr>
            </w:pPr>
            <w:r>
              <w:rPr>
                <w:rFonts w:ascii="Arial" w:cs="Arial" w:eastAsia="Arial" w:hAnsi="Arial"/>
                <w:sz w:val="10"/>
                <w:szCs w:val="10"/>
                <w:color w:val="auto"/>
                <w:w w:val="95"/>
              </w:rPr>
              <w:t>10/10</w:t>
            </w:r>
          </w:p>
        </w:tc>
      </w:tr>
      <w:tr>
        <w:trPr>
          <w:trHeight w:val="106"/>
        </w:trPr>
        <w:tc>
          <w:tcPr>
            <w:tcW w:w="4880" w:type="dxa"/>
            <w:vAlign w:val="bottom"/>
            <w:tcBorders>
              <w:bottom w:val="single" w:sz="8" w:color="auto"/>
            </w:tcBorders>
            <w:shd w:val="clear" w:color="auto" w:fill="F1F3F9"/>
          </w:tcPr>
          <w:p>
            <w:pPr>
              <w:ind w:left="60"/>
              <w:spacing w:after="0" w:line="106" w:lineRule="exact"/>
              <w:rPr>
                <w:sz w:val="20"/>
                <w:szCs w:val="20"/>
                <w:color w:val="auto"/>
              </w:rPr>
            </w:pPr>
            <w:r>
              <w:rPr>
                <w:rFonts w:ascii="Arial" w:cs="Arial" w:eastAsia="Arial" w:hAnsi="Arial"/>
                <w:sz w:val="10"/>
                <w:szCs w:val="10"/>
                <w:color w:val="auto"/>
              </w:rPr>
              <w:t>Corporate Governance and Compliance Committee (Chairman)</w:t>
            </w:r>
          </w:p>
        </w:tc>
        <w:tc>
          <w:tcPr>
            <w:tcW w:w="2940" w:type="dxa"/>
            <w:vAlign w:val="bottom"/>
            <w:tcBorders>
              <w:bottom w:val="single" w:sz="8" w:color="auto"/>
            </w:tcBorders>
            <w:shd w:val="clear" w:color="auto" w:fill="F1F3F9"/>
          </w:tcPr>
          <w:p>
            <w:pPr>
              <w:jc w:val="center"/>
              <w:ind w:left="2072"/>
              <w:spacing w:after="0" w:line="106" w:lineRule="exact"/>
              <w:rPr>
                <w:sz w:val="20"/>
                <w:szCs w:val="20"/>
                <w:color w:val="auto"/>
              </w:rPr>
            </w:pPr>
            <w:r>
              <w:rPr>
                <w:rFonts w:ascii="Arial" w:cs="Arial" w:eastAsia="Arial" w:hAnsi="Arial"/>
                <w:sz w:val="10"/>
                <w:szCs w:val="10"/>
                <w:color w:val="auto"/>
              </w:rPr>
              <w:t>6/6</w:t>
            </w:r>
          </w:p>
        </w:tc>
      </w:tr>
    </w:tbl>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720" w:type="dxa"/>
            <w:vAlign w:val="bottom"/>
            <w:tcBorders>
              <w:bottom w:val="single" w:sz="8" w:color="105BAB"/>
            </w:tcBorders>
          </w:tcPr>
          <w:p>
            <w:pPr>
              <w:spacing w:after="0"/>
              <w:rPr>
                <w:sz w:val="10"/>
                <w:szCs w:val="10"/>
                <w:color w:val="auto"/>
              </w:rPr>
            </w:pPr>
          </w:p>
        </w:tc>
        <w:tc>
          <w:tcPr>
            <w:tcW w:w="2220" w:type="dxa"/>
            <w:vAlign w:val="bottom"/>
            <w:tcBorders>
              <w:bottom w:val="single" w:sz="8" w:color="105BAB"/>
            </w:tcBorders>
          </w:tcPr>
          <w:p>
            <w:pPr>
              <w:jc w:val="center"/>
              <w:ind w:left="173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5"/>
              </w:rPr>
              <w:t>Against/Withheld</w:t>
            </w:r>
          </w:p>
        </w:tc>
      </w:tr>
      <w:tr>
        <w:trPr>
          <w:trHeight w:val="97"/>
        </w:trPr>
        <w:tc>
          <w:tcPr>
            <w:tcW w:w="472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(2015)</w:t>
            </w:r>
          </w:p>
        </w:tc>
        <w:tc>
          <w:tcPr>
            <w:tcW w:w="222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96.7%</w:t>
            </w: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6"/>
              </w:rPr>
              <w:t>3.3%</w:t>
            </w:r>
          </w:p>
        </w:tc>
      </w:tr>
      <w:tr>
        <w:trPr>
          <w:trHeight w:val="205"/>
        </w:trPr>
        <w:tc>
          <w:tcPr>
            <w:tcW w:w="472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2220" w:type="dxa"/>
            <w:vAlign w:val="bottom"/>
            <w:tcBorders>
              <w:bottom w:val="single" w:sz="8" w:color="105BAB"/>
            </w:tcBorders>
          </w:tcPr>
          <w:p>
            <w:pPr>
              <w:spacing w:after="0"/>
              <w:rPr>
                <w:sz w:val="17"/>
                <w:szCs w:val="17"/>
                <w:color w:val="auto"/>
              </w:rPr>
            </w:pPr>
          </w:p>
        </w:tc>
        <w:tc>
          <w:tcPr>
            <w:tcW w:w="880" w:type="dxa"/>
            <w:vAlign w:val="bottom"/>
            <w:tcBorders>
              <w:bottom w:val="single" w:sz="8" w:color="105BAB"/>
            </w:tcBorders>
          </w:tcPr>
          <w:p>
            <w:pPr>
              <w:spacing w:after="0"/>
              <w:rPr>
                <w:sz w:val="17"/>
                <w:szCs w:val="17"/>
                <w:color w:val="auto"/>
              </w:rPr>
            </w:pPr>
          </w:p>
        </w:tc>
      </w:tr>
      <w:tr>
        <w:trPr>
          <w:trHeight w:val="97"/>
        </w:trPr>
        <w:tc>
          <w:tcPr>
            <w:tcW w:w="472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222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7"/>
              </w:rPr>
              <w:t>31,000</w:t>
            </w:r>
          </w:p>
        </w:tc>
      </w:tr>
      <w:tr>
        <w:trPr>
          <w:trHeight w:val="97"/>
        </w:trPr>
        <w:tc>
          <w:tcPr>
            <w:tcW w:w="472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222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w w:val="97"/>
              </w:rPr>
              <w:t>33,090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308610</wp:posOffset>
            </wp:positionV>
            <wp:extent cx="72923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8" w:space="400"/>
            <w:col w:w="7980"/>
          </w:cols>
          <w:pgMar w:left="212" w:top="142" w:right="19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208" w:right="40" w:hanging="208"/>
        <w:spacing w:after="0" w:line="232" w:lineRule="auto"/>
        <w:tabs>
          <w:tab w:leader="none" w:pos="208" w:val="left"/>
        </w:tabs>
        <w:numPr>
          <w:ilvl w:val="0"/>
          <w:numId w:val="14"/>
        </w:numPr>
        <w:rPr>
          <w:rFonts w:ascii="Arial" w:cs="Arial" w:eastAsia="Arial" w:hAnsi="Arial"/>
          <w:sz w:val="10"/>
          <w:szCs w:val="10"/>
          <w:color w:val="105BAB"/>
        </w:rPr>
      </w:pPr>
      <w:r>
        <w:rPr>
          <w:rFonts w:ascii="Arial" w:cs="Arial" w:eastAsia="Arial" w:hAnsi="Arial"/>
          <w:sz w:val="10"/>
          <w:szCs w:val="10"/>
          <w:color w:val="auto"/>
        </w:rPr>
        <w:t>Biographical information is given, as of April 12, 2018, for each nominee for Class III Director and for each of the other directors whose term of office will continue after the 2018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26" w:lineRule="exact"/>
        <w:rPr>
          <w:sz w:val="20"/>
          <w:szCs w:val="20"/>
          <w:color w:val="auto"/>
        </w:rPr>
      </w:pPr>
    </w:p>
    <w:p>
      <w:pPr>
        <w:ind w:left="388"/>
        <w:spacing w:after="0"/>
        <w:rPr>
          <w:sz w:val="20"/>
          <w:szCs w:val="20"/>
          <w:color w:val="auto"/>
        </w:rPr>
      </w:pPr>
      <w:r>
        <w:rPr>
          <w:rFonts w:ascii="Arial" w:cs="Arial" w:eastAsia="Arial" w:hAnsi="Arial"/>
          <w:sz w:val="10"/>
          <w:szCs w:val="10"/>
          <w:b w:val="1"/>
          <w:bCs w:val="1"/>
          <w:color w:val="FFFFFE"/>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type w:val="continuous"/>
        </w:sectPr>
      </w:pPr>
    </w:p>
    <w:bookmarkStart w:id="19" w:name="page20"/>
    <w:bookmarkEnd w:id="19"/>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2923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105BAB"/>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-1058545</wp:posOffset>
            </wp:positionV>
            <wp:extent cx="875030" cy="863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75030" cy="8636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Director since: 1988</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Age: 68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Since 1998, Mr. Sing has been a Managing Director of Lancet Capital, a venture capital investment firm in the healthcare field. From January 2004 to April 2015, Mr. Sing served as Chief Executive Officer of Stemnion, Inc. (currently known as Noveome Biotherapeutics, Inc.), a biomedical company in the regenerative medicine field.</w:t>
      </w:r>
    </w:p>
    <w:p>
      <w:pPr>
        <w:spacing w:after="0" w:line="141" w:lineRule="exact"/>
        <w:rPr>
          <w:sz w:val="20"/>
          <w:szCs w:val="20"/>
          <w:color w:val="auto"/>
        </w:rPr>
      </w:pPr>
    </w:p>
    <w:p>
      <w:pPr>
        <w:ind w:right="280"/>
        <w:spacing w:after="0" w:line="237" w:lineRule="auto"/>
        <w:rPr>
          <w:sz w:val="20"/>
          <w:szCs w:val="20"/>
          <w:color w:val="auto"/>
        </w:rPr>
      </w:pPr>
      <w:r>
        <w:rPr>
          <w:rFonts w:ascii="Arial" w:cs="Arial" w:eastAsia="Arial" w:hAnsi="Arial"/>
          <w:sz w:val="12"/>
          <w:szCs w:val="12"/>
          <w:color w:val="auto"/>
        </w:rPr>
        <w:t>Mr. Sing's extensive healthcare and financial expertise as a healthcare venture capital investor and biomedical company chief executive officer, his executive leadership experience, and his substantial knowledge of the Company led to the board's decision to nominate Mr. Sing for reelection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3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3480" w:type="dxa"/>
            <w:vAlign w:val="bottom"/>
            <w:tcBorders>
              <w:bottom w:val="single" w:sz="8" w:color="105BAB"/>
            </w:tcBorders>
          </w:tcPr>
          <w:p>
            <w:pPr>
              <w:ind w:left="2680"/>
              <w:spacing w:after="0"/>
              <w:rPr>
                <w:sz w:val="20"/>
                <w:szCs w:val="20"/>
                <w:color w:val="auto"/>
              </w:rPr>
            </w:pPr>
            <w:r>
              <w:rPr>
                <w:rFonts w:ascii="Arial" w:cs="Arial" w:eastAsia="Arial" w:hAnsi="Arial"/>
                <w:sz w:val="10"/>
                <w:szCs w:val="10"/>
                <w:b w:val="1"/>
                <w:bCs w:val="1"/>
                <w:color w:val="105BAB"/>
                <w:w w:val="98"/>
              </w:rPr>
              <w:t>2017 Attendance</w:t>
            </w:r>
          </w:p>
        </w:tc>
      </w:tr>
      <w:tr>
        <w:trPr>
          <w:trHeight w:val="116"/>
        </w:trPr>
        <w:tc>
          <w:tcPr>
            <w:tcW w:w="43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3480" w:type="dxa"/>
            <w:vAlign w:val="bottom"/>
            <w:tcBorders>
              <w:bottom w:val="single" w:sz="8" w:color="auto"/>
            </w:tcBorders>
            <w:shd w:val="clear" w:color="auto" w:fill="F1F3F9"/>
          </w:tcPr>
          <w:p>
            <w:pPr>
              <w:jc w:val="center"/>
              <w:ind w:left="2612"/>
              <w:spacing w:after="0"/>
              <w:rPr>
                <w:sz w:val="20"/>
                <w:szCs w:val="20"/>
                <w:color w:val="auto"/>
              </w:rPr>
            </w:pPr>
            <w:r>
              <w:rPr>
                <w:rFonts w:ascii="Arial" w:cs="Arial" w:eastAsia="Arial" w:hAnsi="Arial"/>
                <w:sz w:val="10"/>
                <w:szCs w:val="10"/>
                <w:color w:val="auto"/>
              </w:rPr>
              <w:t>6/6</w:t>
            </w:r>
          </w:p>
        </w:tc>
      </w:tr>
      <w:tr>
        <w:trPr>
          <w:trHeight w:val="124"/>
        </w:trPr>
        <w:tc>
          <w:tcPr>
            <w:tcW w:w="43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Audit Committee (Chairman)</w:t>
            </w:r>
          </w:p>
        </w:tc>
        <w:tc>
          <w:tcPr>
            <w:tcW w:w="3480" w:type="dxa"/>
            <w:vAlign w:val="bottom"/>
            <w:tcBorders>
              <w:bottom w:val="single" w:sz="8" w:color="auto"/>
            </w:tcBorders>
            <w:shd w:val="clear" w:color="auto" w:fill="D6DAEE"/>
          </w:tcPr>
          <w:p>
            <w:pPr>
              <w:jc w:val="center"/>
              <w:ind w:left="2632"/>
              <w:spacing w:after="0"/>
              <w:rPr>
                <w:sz w:val="20"/>
                <w:szCs w:val="20"/>
                <w:color w:val="auto"/>
              </w:rPr>
            </w:pPr>
            <w:r>
              <w:rPr>
                <w:rFonts w:ascii="Arial" w:cs="Arial" w:eastAsia="Arial" w:hAnsi="Arial"/>
                <w:sz w:val="10"/>
                <w:szCs w:val="10"/>
                <w:color w:val="auto"/>
                <w:w w:val="95"/>
              </w:rPr>
              <w:t>10/10</w:t>
            </w:r>
          </w:p>
        </w:tc>
      </w:tr>
      <w:tr>
        <w:trPr>
          <w:trHeight w:val="106"/>
        </w:trPr>
        <w:tc>
          <w:tcPr>
            <w:tcW w:w="4340" w:type="dxa"/>
            <w:vAlign w:val="bottom"/>
            <w:tcBorders>
              <w:bottom w:val="single" w:sz="8" w:color="auto"/>
            </w:tcBorders>
            <w:shd w:val="clear" w:color="auto" w:fill="F1F3F9"/>
          </w:tcPr>
          <w:p>
            <w:pPr>
              <w:ind w:left="60"/>
              <w:spacing w:after="0" w:line="106" w:lineRule="exact"/>
              <w:rPr>
                <w:sz w:val="20"/>
                <w:szCs w:val="20"/>
                <w:color w:val="auto"/>
              </w:rPr>
            </w:pPr>
            <w:r>
              <w:rPr>
                <w:rFonts w:ascii="Arial" w:cs="Arial" w:eastAsia="Arial" w:hAnsi="Arial"/>
                <w:sz w:val="10"/>
                <w:szCs w:val="10"/>
                <w:color w:val="auto"/>
              </w:rPr>
              <w:t>Compensation Committee</w:t>
            </w:r>
          </w:p>
        </w:tc>
        <w:tc>
          <w:tcPr>
            <w:tcW w:w="3480" w:type="dxa"/>
            <w:vAlign w:val="bottom"/>
            <w:tcBorders>
              <w:bottom w:val="single" w:sz="8" w:color="auto"/>
            </w:tcBorders>
            <w:shd w:val="clear" w:color="auto" w:fill="F1F3F9"/>
          </w:tcPr>
          <w:p>
            <w:pPr>
              <w:jc w:val="center"/>
              <w:ind w:left="2632"/>
              <w:spacing w:after="0" w:line="106" w:lineRule="exact"/>
              <w:rPr>
                <w:sz w:val="20"/>
                <w:szCs w:val="20"/>
                <w:color w:val="auto"/>
              </w:rPr>
            </w:pPr>
            <w:r>
              <w:rPr>
                <w:rFonts w:ascii="Arial" w:cs="Arial" w:eastAsia="Arial" w:hAnsi="Arial"/>
                <w:sz w:val="10"/>
                <w:szCs w:val="10"/>
                <w:color w:val="auto"/>
                <w:w w:val="95"/>
              </w:rPr>
              <w:t>12/12</w:t>
            </w:r>
          </w:p>
        </w:tc>
      </w:tr>
    </w:tbl>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720" w:type="dxa"/>
            <w:vAlign w:val="bottom"/>
            <w:tcBorders>
              <w:bottom w:val="single" w:sz="8" w:color="105BAB"/>
            </w:tcBorders>
          </w:tcPr>
          <w:p>
            <w:pPr>
              <w:spacing w:after="0"/>
              <w:rPr>
                <w:sz w:val="10"/>
                <w:szCs w:val="10"/>
                <w:color w:val="auto"/>
              </w:rPr>
            </w:pPr>
          </w:p>
        </w:tc>
        <w:tc>
          <w:tcPr>
            <w:tcW w:w="2220" w:type="dxa"/>
            <w:vAlign w:val="bottom"/>
            <w:tcBorders>
              <w:bottom w:val="single" w:sz="8" w:color="105BAB"/>
            </w:tcBorders>
          </w:tcPr>
          <w:p>
            <w:pPr>
              <w:jc w:val="center"/>
              <w:ind w:left="173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gridSpan w:val="2"/>
          </w:tcPr>
          <w:p>
            <w:pPr>
              <w:jc w:val="right"/>
              <w:spacing w:after="0"/>
              <w:rPr>
                <w:sz w:val="20"/>
                <w:szCs w:val="20"/>
                <w:color w:val="auto"/>
              </w:rPr>
            </w:pPr>
            <w:r>
              <w:rPr>
                <w:rFonts w:ascii="Arial" w:cs="Arial" w:eastAsia="Arial" w:hAnsi="Arial"/>
                <w:sz w:val="10"/>
                <w:szCs w:val="10"/>
                <w:b w:val="1"/>
                <w:bCs w:val="1"/>
                <w:color w:val="105BAB"/>
              </w:rPr>
              <w:t>Against/Withheld</w:t>
            </w:r>
          </w:p>
        </w:tc>
        <w:tc>
          <w:tcPr>
            <w:tcW w:w="0" w:type="dxa"/>
            <w:vAlign w:val="bottom"/>
          </w:tcPr>
          <w:p>
            <w:pPr>
              <w:spacing w:after="0"/>
              <w:rPr>
                <w:sz w:val="1"/>
                <w:szCs w:val="1"/>
                <w:color w:val="auto"/>
              </w:rPr>
            </w:pPr>
          </w:p>
        </w:tc>
      </w:tr>
      <w:tr>
        <w:trPr>
          <w:trHeight w:val="97"/>
        </w:trPr>
        <w:tc>
          <w:tcPr>
            <w:tcW w:w="472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(2015)</w:t>
            </w:r>
          </w:p>
        </w:tc>
        <w:tc>
          <w:tcPr>
            <w:tcW w:w="222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90.3%</w:t>
            </w: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6"/>
              </w:rPr>
              <w:t>9.7%</w:t>
            </w:r>
          </w:p>
        </w:tc>
        <w:tc>
          <w:tcPr>
            <w:tcW w:w="0" w:type="dxa"/>
            <w:vAlign w:val="bottom"/>
          </w:tcPr>
          <w:p>
            <w:pPr>
              <w:spacing w:after="0"/>
              <w:rPr>
                <w:sz w:val="1"/>
                <w:szCs w:val="1"/>
                <w:color w:val="auto"/>
              </w:rPr>
            </w:pPr>
          </w:p>
        </w:tc>
      </w:tr>
      <w:tr>
        <w:trPr>
          <w:trHeight w:val="205"/>
        </w:trPr>
        <w:tc>
          <w:tcPr>
            <w:tcW w:w="472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2220" w:type="dxa"/>
            <w:vAlign w:val="bottom"/>
            <w:tcBorders>
              <w:bottom w:val="single" w:sz="8" w:color="105BAB"/>
            </w:tcBorders>
          </w:tcPr>
          <w:p>
            <w:pPr>
              <w:spacing w:after="0"/>
              <w:rPr>
                <w:sz w:val="17"/>
                <w:szCs w:val="17"/>
                <w:color w:val="auto"/>
              </w:rPr>
            </w:pPr>
          </w:p>
        </w:tc>
        <w:tc>
          <w:tcPr>
            <w:tcW w:w="420" w:type="dxa"/>
            <w:vAlign w:val="bottom"/>
            <w:tcBorders>
              <w:bottom w:val="single" w:sz="8" w:color="105BAB"/>
            </w:tcBorders>
          </w:tcPr>
          <w:p>
            <w:pPr>
              <w:spacing w:after="0"/>
              <w:rPr>
                <w:sz w:val="17"/>
                <w:szCs w:val="17"/>
                <w:color w:val="auto"/>
              </w:rPr>
            </w:pPr>
          </w:p>
        </w:tc>
        <w:tc>
          <w:tcPr>
            <w:tcW w:w="460" w:type="dxa"/>
            <w:vAlign w:val="bottom"/>
            <w:tcBorders>
              <w:bottom w:val="single" w:sz="8" w:color="105BAB"/>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72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222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3"/>
              </w:rPr>
              <w:t>152,272</w:t>
            </w:r>
          </w:p>
        </w:tc>
        <w:tc>
          <w:tcPr>
            <w:tcW w:w="0" w:type="dxa"/>
            <w:vAlign w:val="bottom"/>
          </w:tcPr>
          <w:p>
            <w:pPr>
              <w:spacing w:after="0"/>
              <w:rPr>
                <w:sz w:val="1"/>
                <w:szCs w:val="1"/>
                <w:color w:val="auto"/>
              </w:rPr>
            </w:pPr>
          </w:p>
        </w:tc>
      </w:tr>
      <w:tr>
        <w:trPr>
          <w:trHeight w:val="97"/>
        </w:trPr>
        <w:tc>
          <w:tcPr>
            <w:tcW w:w="472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222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gridSpan w:val="2"/>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w w:val="97"/>
              </w:rPr>
              <w:t>92,340</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shd w:val="clear" w:color="auto" w:fill="105BAB"/>
          </w:tcPr>
          <w:p>
            <w:pPr>
              <w:jc w:val="right"/>
              <w:ind w:right="352"/>
              <w:spacing w:after="0" w:line="108" w:lineRule="exact"/>
              <w:rPr>
                <w:sz w:val="20"/>
                <w:szCs w:val="20"/>
                <w:color w:val="auto"/>
              </w:rPr>
            </w:pPr>
            <w:r>
              <w:rPr>
                <w:rFonts w:ascii="Arial" w:cs="Arial" w:eastAsia="Arial" w:hAnsi="Arial"/>
                <w:sz w:val="10"/>
                <w:szCs w:val="10"/>
                <w:b w:val="1"/>
                <w:bCs w:val="1"/>
                <w:color w:val="FFFFFE"/>
                <w:w w:val="71"/>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88265</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780" w:space="720"/>
            <w:col w:w="7980"/>
          </w:cols>
          <w:pgMar w:left="220" w:top="142" w:right="199" w:bottom="1440" w:gutter="0" w:footer="0" w:header="0"/>
          <w:type w:val="continuous"/>
        </w:sectPr>
      </w:pPr>
    </w:p>
    <w:bookmarkStart w:id="20" w:name="page21"/>
    <w:bookmarkEnd w:id="20"/>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943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943610"/>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
        <w:spacing w:after="0"/>
        <w:rPr>
          <w:sz w:val="20"/>
          <w:szCs w:val="20"/>
          <w:color w:val="auto"/>
        </w:rPr>
      </w:pPr>
      <w:r>
        <w:rPr>
          <w:rFonts w:ascii="Arial" w:cs="Arial" w:eastAsia="Arial" w:hAnsi="Arial"/>
          <w:sz w:val="16"/>
          <w:szCs w:val="16"/>
          <w:color w:val="105BAB"/>
        </w:rPr>
        <w:t>MARC TESSIER-LAVIGNE, Ph.D.</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2011</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58</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311"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131" w:lineRule="exact"/>
        <w:rPr>
          <w:sz w:val="20"/>
          <w:szCs w:val="20"/>
          <w:color w:val="auto"/>
        </w:rPr>
      </w:pPr>
    </w:p>
    <w:p>
      <w:pPr>
        <w:ind w:left="88" w:hanging="88"/>
        <w:spacing w:after="0"/>
        <w:tabs>
          <w:tab w:leader="none" w:pos="88" w:val="left"/>
        </w:tabs>
        <w:numPr>
          <w:ilvl w:val="0"/>
          <w:numId w:val="15"/>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ind w:left="88" w:hanging="88"/>
        <w:spacing w:after="0"/>
        <w:tabs>
          <w:tab w:leader="none" w:pos="88" w:val="left"/>
        </w:tabs>
        <w:numPr>
          <w:ilvl w:val="0"/>
          <w:numId w:val="15"/>
        </w:numPr>
        <w:rPr>
          <w:rFonts w:ascii="Arial" w:cs="Arial" w:eastAsia="Arial" w:hAnsi="Arial"/>
          <w:sz w:val="10"/>
          <w:szCs w:val="10"/>
          <w:color w:val="105BAB"/>
        </w:rPr>
      </w:pPr>
      <w:r>
        <w:rPr>
          <w:rFonts w:ascii="Arial" w:cs="Arial" w:eastAsia="Arial" w:hAnsi="Arial"/>
          <w:sz w:val="12"/>
          <w:szCs w:val="12"/>
          <w:color w:val="auto"/>
        </w:rPr>
        <w:t>The National Academy of Medicine</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5"/>
        </w:numPr>
        <w:rPr>
          <w:rFonts w:ascii="Arial" w:cs="Arial" w:eastAsia="Arial" w:hAnsi="Arial"/>
          <w:sz w:val="10"/>
          <w:szCs w:val="10"/>
          <w:color w:val="105BAB"/>
        </w:rPr>
      </w:pPr>
      <w:r>
        <w:rPr>
          <w:rFonts w:ascii="Arial" w:cs="Arial" w:eastAsia="Arial" w:hAnsi="Arial"/>
          <w:sz w:val="12"/>
          <w:szCs w:val="12"/>
          <w:color w:val="auto"/>
        </w:rPr>
        <w:t>The Royal Society of London</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5"/>
        </w:numPr>
        <w:rPr>
          <w:rFonts w:ascii="Arial" w:cs="Arial" w:eastAsia="Arial" w:hAnsi="Arial"/>
          <w:sz w:val="10"/>
          <w:szCs w:val="10"/>
          <w:color w:val="105BAB"/>
        </w:rPr>
      </w:pPr>
      <w:r>
        <w:rPr>
          <w:rFonts w:ascii="Arial" w:cs="Arial" w:eastAsia="Arial" w:hAnsi="Arial"/>
          <w:sz w:val="12"/>
          <w:szCs w:val="12"/>
          <w:color w:val="auto"/>
        </w:rPr>
        <w:t>The Royal Society of Canada</w:t>
      </w:r>
    </w:p>
    <w:p>
      <w:pPr>
        <w:spacing w:after="0" w:line="279" w:lineRule="exact"/>
        <w:rPr>
          <w:sz w:val="20"/>
          <w:szCs w:val="20"/>
          <w:color w:val="auto"/>
        </w:rPr>
      </w:pPr>
    </w:p>
    <w:p>
      <w:pPr>
        <w:ind w:left="8"/>
        <w:spacing w:after="0"/>
        <w:rPr>
          <w:sz w:val="20"/>
          <w:szCs w:val="20"/>
          <w:color w:val="auto"/>
        </w:rPr>
      </w:pPr>
      <w:r>
        <w:rPr>
          <w:rFonts w:ascii="Arial" w:cs="Arial" w:eastAsia="Arial" w:hAnsi="Arial"/>
          <w:sz w:val="14"/>
          <w:szCs w:val="14"/>
          <w:color w:val="105BAB"/>
        </w:rPr>
        <w:t>OTHER PUBLIC BOARDS (RECENT SERVICE)</w:t>
      </w:r>
    </w:p>
    <w:p>
      <w:pPr>
        <w:spacing w:after="0" w:line="8" w:lineRule="exact"/>
        <w:rPr>
          <w:sz w:val="20"/>
          <w:szCs w:val="20"/>
          <w:color w:val="auto"/>
        </w:rPr>
      </w:pPr>
    </w:p>
    <w:p>
      <w:pPr>
        <w:ind w:left="88" w:hanging="88"/>
        <w:spacing w:after="0"/>
        <w:tabs>
          <w:tab w:leader="none" w:pos="88" w:val="left"/>
        </w:tabs>
        <w:numPr>
          <w:ilvl w:val="0"/>
          <w:numId w:val="16"/>
        </w:numPr>
        <w:rPr>
          <w:rFonts w:ascii="Arial" w:cs="Arial" w:eastAsia="Arial" w:hAnsi="Arial"/>
          <w:sz w:val="10"/>
          <w:szCs w:val="10"/>
          <w:color w:val="105BAB"/>
        </w:rPr>
      </w:pPr>
      <w:r>
        <w:rPr>
          <w:rFonts w:ascii="Arial" w:cs="Arial" w:eastAsia="Arial" w:hAnsi="Arial"/>
          <w:sz w:val="12"/>
          <w:szCs w:val="12"/>
          <w:color w:val="auto"/>
        </w:rPr>
        <w:t>Denali Therapeutics Inc.</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6"/>
        </w:numPr>
        <w:rPr>
          <w:rFonts w:ascii="Arial" w:cs="Arial" w:eastAsia="Arial" w:hAnsi="Arial"/>
          <w:sz w:val="10"/>
          <w:szCs w:val="10"/>
          <w:color w:val="105BAB"/>
        </w:rPr>
      </w:pPr>
      <w:r>
        <w:rPr>
          <w:rFonts w:ascii="Arial" w:cs="Arial" w:eastAsia="Arial" w:hAnsi="Arial"/>
          <w:sz w:val="12"/>
          <w:szCs w:val="12"/>
          <w:color w:val="auto"/>
        </w:rPr>
        <w:t>Agios Pharmaceuticals, Inc. (until 2016)</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6"/>
        </w:numPr>
        <w:rPr>
          <w:rFonts w:ascii="Arial" w:cs="Arial" w:eastAsia="Arial" w:hAnsi="Arial"/>
          <w:sz w:val="10"/>
          <w:szCs w:val="10"/>
          <w:color w:val="105BAB"/>
        </w:rPr>
      </w:pPr>
      <w:r>
        <w:rPr>
          <w:rFonts w:ascii="Arial" w:cs="Arial" w:eastAsia="Arial" w:hAnsi="Arial"/>
          <w:sz w:val="12"/>
          <w:szCs w:val="12"/>
          <w:color w:val="auto"/>
        </w:rPr>
        <w:t>Juno Therapeutics, Inc. (until 2016)</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6"/>
        </w:numPr>
        <w:rPr>
          <w:rFonts w:ascii="Arial" w:cs="Arial" w:eastAsia="Arial" w:hAnsi="Arial"/>
          <w:sz w:val="10"/>
          <w:szCs w:val="10"/>
          <w:color w:val="105BAB"/>
        </w:rPr>
      </w:pPr>
      <w:r>
        <w:rPr>
          <w:rFonts w:ascii="Arial" w:cs="Arial" w:eastAsia="Arial" w:hAnsi="Arial"/>
          <w:sz w:val="12"/>
          <w:szCs w:val="12"/>
          <w:color w:val="auto"/>
        </w:rPr>
        <w:t>Pfizer Inc. (until 2015)</w:t>
      </w:r>
    </w:p>
    <w:p>
      <w:pPr>
        <w:spacing w:after="0" w:line="148"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36" w:lineRule="auto"/>
        <w:rPr>
          <w:sz w:val="20"/>
          <w:szCs w:val="20"/>
          <w:color w:val="auto"/>
        </w:rPr>
      </w:pPr>
      <w:r>
        <w:rPr>
          <w:rFonts w:ascii="Arial" w:cs="Arial" w:eastAsia="Arial" w:hAnsi="Arial"/>
          <w:sz w:val="12"/>
          <w:szCs w:val="12"/>
          <w:color w:val="auto"/>
        </w:rPr>
        <w:t>Dr. Tessier-Lavigne has been the President of Stanford University since September 2016. Before assuming his role at Stanford, he served as the President of The Rockefeller University and a Carson Family Professor and head of the Laboratory of Brain Development at The Rockefeller University from March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National Academy of Medicine, and a fellow of the Royal Societies of London and Canada. Dr. Tessier-Lavigne is a member of the Board of Directors of Denali Therapeutics Inc., and previously served on the board of directors of Pfizer Inc., Agios Pharmaceuticals, Inc., and Juno Therapeutics, Inc.</w:t>
      </w:r>
    </w:p>
    <w:p>
      <w:pPr>
        <w:spacing w:after="0" w:line="140" w:lineRule="exact"/>
        <w:rPr>
          <w:sz w:val="20"/>
          <w:szCs w:val="20"/>
          <w:color w:val="auto"/>
        </w:rPr>
      </w:pPr>
    </w:p>
    <w:p>
      <w:pPr>
        <w:ind w:right="160"/>
        <w:spacing w:after="0" w:line="281" w:lineRule="auto"/>
        <w:rPr>
          <w:sz w:val="20"/>
          <w:szCs w:val="20"/>
          <w:color w:val="auto"/>
        </w:rPr>
      </w:pPr>
      <w:r>
        <w:rPr>
          <w:rFonts w:ascii="Arial" w:cs="Arial" w:eastAsia="Arial" w:hAnsi="Arial"/>
          <w:sz w:val="11"/>
          <w:szCs w:val="11"/>
          <w:color w:val="auto"/>
        </w:rPr>
        <w:t>Dr. Tessier-Lavigne's distinguished scientific and academic background, and his significant industry experience, including experience in senior scientific leadership roles at a leading biopharmaceutical company, led to the board's decision to nominate Dr. Tessier-Lavigne for reelection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500" w:type="dxa"/>
            <w:vAlign w:val="bottom"/>
            <w:tcBorders>
              <w:bottom w:val="single" w:sz="8" w:color="105BAB"/>
            </w:tcBorders>
          </w:tcPr>
          <w:p>
            <w:pPr>
              <w:spacing w:after="0"/>
              <w:rPr>
                <w:sz w:val="10"/>
                <w:szCs w:val="10"/>
                <w:color w:val="auto"/>
              </w:rPr>
            </w:pPr>
          </w:p>
        </w:tc>
        <w:tc>
          <w:tcPr>
            <w:tcW w:w="88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8"/>
              </w:rPr>
              <w:t>2017 Attendance</w:t>
            </w:r>
          </w:p>
        </w:tc>
      </w:tr>
      <w:tr>
        <w:trPr>
          <w:trHeight w:val="116"/>
        </w:trPr>
        <w:tc>
          <w:tcPr>
            <w:tcW w:w="64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500" w:type="dxa"/>
            <w:vAlign w:val="bottom"/>
            <w:tcBorders>
              <w:bottom w:val="single" w:sz="8" w:color="auto"/>
            </w:tcBorders>
            <w:shd w:val="clear" w:color="auto" w:fill="F1F3F9"/>
          </w:tcPr>
          <w:p>
            <w:pPr>
              <w:spacing w:after="0"/>
              <w:rPr>
                <w:sz w:val="10"/>
                <w:szCs w:val="10"/>
                <w:color w:val="auto"/>
              </w:rPr>
            </w:pPr>
          </w:p>
        </w:tc>
        <w:tc>
          <w:tcPr>
            <w:tcW w:w="880" w:type="dxa"/>
            <w:vAlign w:val="bottom"/>
            <w:tcBorders>
              <w:bottom w:val="single" w:sz="8" w:color="auto"/>
            </w:tcBorders>
            <w:shd w:val="clear" w:color="auto" w:fill="F1F3F9"/>
          </w:tcPr>
          <w:p>
            <w:pPr>
              <w:jc w:val="center"/>
              <w:ind w:left="12"/>
              <w:spacing w:after="0"/>
              <w:rPr>
                <w:sz w:val="20"/>
                <w:szCs w:val="20"/>
                <w:color w:val="auto"/>
              </w:rPr>
            </w:pPr>
            <w:r>
              <w:rPr>
                <w:rFonts w:ascii="Arial" w:cs="Arial" w:eastAsia="Arial" w:hAnsi="Arial"/>
                <w:sz w:val="10"/>
                <w:szCs w:val="10"/>
                <w:color w:val="auto"/>
              </w:rPr>
              <w:t>4/6</w:t>
            </w:r>
          </w:p>
        </w:tc>
      </w:tr>
      <w:tr>
        <w:trPr>
          <w:trHeight w:val="124"/>
        </w:trPr>
        <w:tc>
          <w:tcPr>
            <w:tcW w:w="64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Technology Committee</w:t>
            </w:r>
          </w:p>
        </w:tc>
        <w:tc>
          <w:tcPr>
            <w:tcW w:w="500" w:type="dxa"/>
            <w:vAlign w:val="bottom"/>
            <w:tcBorders>
              <w:bottom w:val="single" w:sz="8" w:color="auto"/>
            </w:tcBorders>
            <w:shd w:val="clear" w:color="auto" w:fill="D6DAEE"/>
          </w:tcPr>
          <w:p>
            <w:pPr>
              <w:spacing w:after="0"/>
              <w:rPr>
                <w:sz w:val="10"/>
                <w:szCs w:val="10"/>
                <w:color w:val="auto"/>
              </w:rPr>
            </w:pPr>
          </w:p>
        </w:tc>
        <w:tc>
          <w:tcPr>
            <w:tcW w:w="880" w:type="dxa"/>
            <w:vAlign w:val="bottom"/>
            <w:tcBorders>
              <w:bottom w:val="single" w:sz="8" w:color="auto"/>
            </w:tcBorders>
            <w:shd w:val="clear" w:color="auto" w:fill="D6DAEE"/>
          </w:tcPr>
          <w:p>
            <w:pPr>
              <w:jc w:val="center"/>
              <w:ind w:left="12"/>
              <w:spacing w:after="0"/>
              <w:rPr>
                <w:sz w:val="20"/>
                <w:szCs w:val="20"/>
                <w:color w:val="auto"/>
              </w:rPr>
            </w:pPr>
            <w:r>
              <w:rPr>
                <w:rFonts w:ascii="Arial" w:cs="Arial" w:eastAsia="Arial" w:hAnsi="Arial"/>
                <w:sz w:val="10"/>
                <w:szCs w:val="10"/>
                <w:color w:val="auto"/>
              </w:rPr>
              <w:t>2/2</w:t>
            </w:r>
          </w:p>
        </w:tc>
      </w:tr>
      <w:tr>
        <w:trPr>
          <w:trHeight w:val="430"/>
        </w:trPr>
        <w:tc>
          <w:tcPr>
            <w:tcW w:w="6440" w:type="dxa"/>
            <w:vAlign w:val="bottom"/>
            <w:tcBorders>
              <w:bottom w:val="single" w:sz="8" w:color="105BAB"/>
            </w:tcBorders>
          </w:tcPr>
          <w:p>
            <w:pPr>
              <w:spacing w:after="0"/>
              <w:rPr>
                <w:sz w:val="24"/>
                <w:szCs w:val="24"/>
                <w:color w:val="auto"/>
              </w:rPr>
            </w:pPr>
          </w:p>
        </w:tc>
        <w:tc>
          <w:tcPr>
            <w:tcW w:w="50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5"/>
              </w:rPr>
              <w:t>Against/Withheld</w:t>
            </w:r>
          </w:p>
        </w:tc>
      </w:tr>
      <w:tr>
        <w:trPr>
          <w:trHeight w:val="116"/>
        </w:trPr>
        <w:tc>
          <w:tcPr>
            <w:tcW w:w="64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Prior Voting Results (2015)</w:t>
            </w:r>
          </w:p>
        </w:tc>
        <w:tc>
          <w:tcPr>
            <w:tcW w:w="500" w:type="dxa"/>
            <w:vAlign w:val="bottom"/>
            <w:tcBorders>
              <w:bottom w:val="single" w:sz="8" w:color="auto"/>
            </w:tcBorders>
            <w:shd w:val="clear" w:color="auto" w:fill="F1F3F9"/>
          </w:tcPr>
          <w:p>
            <w:pPr>
              <w:jc w:val="right"/>
              <w:ind w:right="32"/>
              <w:spacing w:after="0"/>
              <w:rPr>
                <w:sz w:val="20"/>
                <w:szCs w:val="20"/>
                <w:color w:val="auto"/>
              </w:rPr>
            </w:pPr>
            <w:r>
              <w:rPr>
                <w:rFonts w:ascii="Arial" w:cs="Arial" w:eastAsia="Arial" w:hAnsi="Arial"/>
                <w:sz w:val="10"/>
                <w:szCs w:val="10"/>
                <w:color w:val="auto"/>
              </w:rPr>
              <w:t>87.5%</w:t>
            </w:r>
          </w:p>
        </w:tc>
        <w:tc>
          <w:tcPr>
            <w:tcW w:w="880" w:type="dxa"/>
            <w:vAlign w:val="bottom"/>
            <w:tcBorders>
              <w:bottom w:val="single" w:sz="8" w:color="auto"/>
            </w:tcBorders>
            <w:shd w:val="clear" w:color="auto" w:fill="F1F3F9"/>
          </w:tcPr>
          <w:p>
            <w:pPr>
              <w:jc w:val="center"/>
              <w:ind w:left="12"/>
              <w:spacing w:after="0"/>
              <w:rPr>
                <w:sz w:val="20"/>
                <w:szCs w:val="20"/>
                <w:color w:val="auto"/>
              </w:rPr>
            </w:pPr>
            <w:r>
              <w:rPr>
                <w:rFonts w:ascii="Arial" w:cs="Arial" w:eastAsia="Arial" w:hAnsi="Arial"/>
                <w:sz w:val="10"/>
                <w:szCs w:val="10"/>
                <w:color w:val="auto"/>
                <w:w w:val="91"/>
              </w:rPr>
              <w:t>12.5%</w:t>
            </w:r>
          </w:p>
        </w:tc>
      </w:tr>
      <w:tr>
        <w:trPr>
          <w:trHeight w:val="133"/>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1"/>
                <w:szCs w:val="11"/>
                <w:color w:val="auto"/>
              </w:rPr>
            </w:pPr>
          </w:p>
        </w:tc>
        <w:tc>
          <w:tcPr>
            <w:tcW w:w="880" w:type="dxa"/>
            <w:vAlign w:val="bottom"/>
            <w:tcBorders>
              <w:bottom w:val="single" w:sz="8" w:color="105BAB"/>
            </w:tcBorders>
          </w:tcPr>
          <w:p>
            <w:pPr>
              <w:spacing w:after="0"/>
              <w:rPr>
                <w:sz w:val="11"/>
                <w:szCs w:val="11"/>
                <w:color w:val="auto"/>
              </w:rPr>
            </w:pPr>
          </w:p>
        </w:tc>
      </w:tr>
      <w:tr>
        <w:trPr>
          <w:trHeight w:val="116"/>
        </w:trPr>
        <w:tc>
          <w:tcPr>
            <w:tcW w:w="64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F1F3F9"/>
          </w:tcPr>
          <w:p>
            <w:pPr>
              <w:spacing w:after="0"/>
              <w:rPr>
                <w:sz w:val="10"/>
                <w:szCs w:val="10"/>
                <w:color w:val="auto"/>
              </w:rPr>
            </w:pPr>
          </w:p>
        </w:tc>
        <w:tc>
          <w:tcPr>
            <w:tcW w:w="880" w:type="dxa"/>
            <w:vAlign w:val="bottom"/>
            <w:tcBorders>
              <w:bottom w:val="single" w:sz="8" w:color="auto"/>
            </w:tcBorders>
            <w:shd w:val="clear" w:color="auto" w:fill="F1F3F9"/>
          </w:tcPr>
          <w:p>
            <w:pPr>
              <w:jc w:val="center"/>
              <w:ind w:left="32"/>
              <w:spacing w:after="0"/>
              <w:rPr>
                <w:sz w:val="20"/>
                <w:szCs w:val="20"/>
                <w:color w:val="auto"/>
              </w:rPr>
            </w:pPr>
            <w:r>
              <w:rPr>
                <w:rFonts w:ascii="Arial" w:cs="Arial" w:eastAsia="Arial" w:hAnsi="Arial"/>
                <w:sz w:val="10"/>
                <w:szCs w:val="10"/>
                <w:color w:val="auto"/>
                <w:w w:val="95"/>
              </w:rPr>
              <w:t>1,187</w:t>
            </w:r>
          </w:p>
        </w:tc>
      </w:tr>
      <w:tr>
        <w:trPr>
          <w:trHeight w:val="124"/>
        </w:trPr>
        <w:tc>
          <w:tcPr>
            <w:tcW w:w="64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D6DAEE"/>
          </w:tcPr>
          <w:p>
            <w:pPr>
              <w:spacing w:after="0"/>
              <w:rPr>
                <w:sz w:val="10"/>
                <w:szCs w:val="10"/>
                <w:color w:val="auto"/>
              </w:rPr>
            </w:pPr>
          </w:p>
        </w:tc>
        <w:tc>
          <w:tcPr>
            <w:tcW w:w="880" w:type="dxa"/>
            <w:vAlign w:val="bottom"/>
            <w:tcBorders>
              <w:bottom w:val="single" w:sz="8" w:color="auto"/>
            </w:tcBorders>
            <w:shd w:val="clear" w:color="auto" w:fill="D6DAEE"/>
          </w:tcPr>
          <w:p>
            <w:pPr>
              <w:jc w:val="center"/>
              <w:ind w:left="12"/>
              <w:spacing w:after="0"/>
              <w:rPr>
                <w:sz w:val="20"/>
                <w:szCs w:val="20"/>
                <w:color w:val="auto"/>
              </w:rPr>
            </w:pPr>
            <w:r>
              <w:rPr>
                <w:rFonts w:ascii="Arial" w:cs="Arial" w:eastAsia="Arial" w:hAnsi="Arial"/>
                <w:sz w:val="10"/>
                <w:szCs w:val="10"/>
                <w:color w:val="auto"/>
                <w:w w:val="97"/>
              </w:rPr>
              <w:t>61,619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248285</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3108" w:space="400"/>
            <w:col w:w="7980"/>
          </w:cols>
          <w:pgMar w:left="212" w:top="142" w:right="199" w:bottom="1440" w:gutter="0" w:footer="0" w:header="0"/>
          <w:type w:val="continuous"/>
        </w:sectPr>
      </w:pPr>
    </w:p>
    <w:bookmarkStart w:id="21" w:name="page22"/>
    <w:bookmarkEnd w:id="21"/>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16"/>
          <w:szCs w:val="16"/>
          <w:color w:val="auto"/>
        </w:rPr>
        <w:t>CLASS I DIRECTORS CONTINUING IN OFFICE</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TERM EXPIRES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292340" cy="943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943610"/>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Arial" w:cs="Arial" w:eastAsia="Arial" w:hAnsi="Arial"/>
          <w:sz w:val="16"/>
          <w:szCs w:val="16"/>
          <w:color w:val="105BAB"/>
        </w:rPr>
        <w:t>BONNIE L. BASSLER, Ph.D.</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2016</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55</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311"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143" w:lineRule="exact"/>
        <w:rPr>
          <w:sz w:val="20"/>
          <w:szCs w:val="20"/>
          <w:color w:val="auto"/>
        </w:rPr>
      </w:pPr>
    </w:p>
    <w:p>
      <w:pPr>
        <w:ind w:left="88" w:hanging="88"/>
        <w:spacing w:after="0"/>
        <w:tabs>
          <w:tab w:leader="none" w:pos="88" w:val="left"/>
        </w:tabs>
        <w:numPr>
          <w:ilvl w:val="0"/>
          <w:numId w:val="17"/>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spacing w:after="0" w:line="111" w:lineRule="exact"/>
        <w:rPr>
          <w:rFonts w:ascii="Arial" w:cs="Arial" w:eastAsia="Arial" w:hAnsi="Arial"/>
          <w:sz w:val="10"/>
          <w:szCs w:val="10"/>
          <w:color w:val="105BAB"/>
        </w:rPr>
      </w:pPr>
    </w:p>
    <w:p>
      <w:pPr>
        <w:ind w:left="88" w:hanging="88"/>
        <w:spacing w:after="0"/>
        <w:tabs>
          <w:tab w:leader="none" w:pos="88" w:val="left"/>
        </w:tabs>
        <w:numPr>
          <w:ilvl w:val="0"/>
          <w:numId w:val="17"/>
        </w:numPr>
        <w:rPr>
          <w:rFonts w:ascii="Arial" w:cs="Arial" w:eastAsia="Arial" w:hAnsi="Arial"/>
          <w:sz w:val="10"/>
          <w:szCs w:val="10"/>
          <w:color w:val="105BAB"/>
        </w:rPr>
      </w:pPr>
      <w:r>
        <w:rPr>
          <w:rFonts w:ascii="Arial" w:cs="Arial" w:eastAsia="Arial" w:hAnsi="Arial"/>
          <w:sz w:val="12"/>
          <w:szCs w:val="12"/>
          <w:color w:val="auto"/>
        </w:rPr>
        <w:t>The American Academy of Arts and Sciences</w:t>
      </w:r>
    </w:p>
    <w:p>
      <w:pPr>
        <w:ind w:left="88" w:hanging="88"/>
        <w:spacing w:after="0"/>
        <w:tabs>
          <w:tab w:leader="none" w:pos="88" w:val="left"/>
        </w:tabs>
        <w:numPr>
          <w:ilvl w:val="0"/>
          <w:numId w:val="17"/>
        </w:numPr>
        <w:rPr>
          <w:rFonts w:ascii="Arial" w:cs="Arial" w:eastAsia="Arial" w:hAnsi="Arial"/>
          <w:sz w:val="10"/>
          <w:szCs w:val="10"/>
          <w:color w:val="105BAB"/>
        </w:rPr>
      </w:pPr>
      <w:r>
        <w:rPr>
          <w:rFonts w:ascii="Arial" w:cs="Arial" w:eastAsia="Arial" w:hAnsi="Arial"/>
          <w:sz w:val="12"/>
          <w:szCs w:val="12"/>
          <w:color w:val="auto"/>
        </w:rPr>
        <w:t>The Royal Society of London</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7"/>
        </w:numPr>
        <w:rPr>
          <w:rFonts w:ascii="Arial" w:cs="Arial" w:eastAsia="Arial" w:hAnsi="Arial"/>
          <w:sz w:val="10"/>
          <w:szCs w:val="10"/>
          <w:color w:val="105BAB"/>
        </w:rPr>
      </w:pPr>
      <w:r>
        <w:rPr>
          <w:rFonts w:ascii="Arial" w:cs="Arial" w:eastAsia="Arial" w:hAnsi="Arial"/>
          <w:sz w:val="12"/>
          <w:szCs w:val="12"/>
          <w:color w:val="auto"/>
        </w:rPr>
        <w:t>The American Philosophical Society</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4"/>
          <w:szCs w:val="14"/>
          <w:color w:val="105BAB"/>
        </w:rPr>
        <w:t>OTHER PUBLIC BOARDS (RECENT SERVICE)</w:t>
      </w:r>
    </w:p>
    <w:p>
      <w:pPr>
        <w:spacing w:after="0" w:line="8" w:lineRule="exact"/>
        <w:rPr>
          <w:sz w:val="20"/>
          <w:szCs w:val="20"/>
          <w:color w:val="auto"/>
        </w:rPr>
      </w:pPr>
    </w:p>
    <w:p>
      <w:pPr>
        <w:ind w:left="88" w:hanging="88"/>
        <w:spacing w:after="0"/>
        <w:tabs>
          <w:tab w:leader="none" w:pos="88" w:val="left"/>
        </w:tabs>
        <w:numPr>
          <w:ilvl w:val="0"/>
          <w:numId w:val="18"/>
        </w:numPr>
        <w:rPr>
          <w:rFonts w:ascii="Arial" w:cs="Arial" w:eastAsia="Arial" w:hAnsi="Arial"/>
          <w:sz w:val="10"/>
          <w:szCs w:val="10"/>
          <w:color w:val="105BAB"/>
        </w:rPr>
      </w:pPr>
      <w:r>
        <w:rPr>
          <w:rFonts w:ascii="Arial" w:cs="Arial" w:eastAsia="Arial" w:hAnsi="Arial"/>
          <w:sz w:val="12"/>
          <w:szCs w:val="12"/>
          <w:color w:val="auto"/>
        </w:rPr>
        <w:t>Sanofi (until 2016)</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60"/>
        <w:spacing w:after="0" w:line="260" w:lineRule="auto"/>
        <w:rPr>
          <w:sz w:val="20"/>
          <w:szCs w:val="20"/>
          <w:color w:val="auto"/>
        </w:rPr>
      </w:pPr>
      <w:r>
        <w:rPr>
          <w:rFonts w:ascii="Arial" w:cs="Arial" w:eastAsia="Arial" w:hAnsi="Arial"/>
          <w:sz w:val="11"/>
          <w:szCs w:val="11"/>
          <w:color w:val="auto"/>
        </w:rPr>
        <w:t>Dr. Bassler is currently the Chair of the Department of Molecular Biology and the Squibb Professor in Molecular Biology at Princeton University, and a Howard Hughes Medical Institute Investigator. Dr. Bassler has previously served as the President of the American Society for Microbiology, as well as on the boards for the American Association for the Advancement of Science, the National Science Foundation, and the American Academy of Microbiology. She has been elected to the National Academy of Sciences, the American Academy of Arts and Sciences, the Royal Society of London, and the American Philosophical Society, and has received many scientific honors, including a MacArthur Foundation Fellowship, the Lounsbery Award, and the Shaw Prize for Life Science and Medicine. Dr. Bassler received her B.Sc. from the University of California, Davis, and her Ph.D. in Biochemistry from Johns Hopkins University. She served as a Postdoctoral Fellow and Research Scientist at the Agouron Institute in La Jolla, California, before becoming a faculty member at Princeton University. Dr. Bassler served as a director of Sanofi from November 2014 to July 2016.</w:t>
      </w:r>
    </w:p>
    <w:p>
      <w:pPr>
        <w:spacing w:after="0" w:line="129" w:lineRule="exact"/>
        <w:rPr>
          <w:sz w:val="20"/>
          <w:szCs w:val="20"/>
          <w:color w:val="auto"/>
        </w:rPr>
      </w:pPr>
    </w:p>
    <w:p>
      <w:pPr>
        <w:ind w:right="340"/>
        <w:spacing w:after="0" w:line="239" w:lineRule="auto"/>
        <w:rPr>
          <w:sz w:val="20"/>
          <w:szCs w:val="20"/>
          <w:color w:val="auto"/>
        </w:rPr>
      </w:pPr>
      <w:r>
        <w:rPr>
          <w:rFonts w:ascii="Arial" w:cs="Arial" w:eastAsia="Arial" w:hAnsi="Arial"/>
          <w:sz w:val="12"/>
          <w:szCs w:val="12"/>
          <w:color w:val="auto"/>
        </w:rPr>
        <w:t>Dr. Bassler's extensive research experience and her scientific and academic career and accomplishments, as well as her experience as a corporate director, led the board to conclude that Dr. Bassler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500" w:type="dxa"/>
            <w:vAlign w:val="bottom"/>
            <w:tcBorders>
              <w:bottom w:val="single" w:sz="8" w:color="105BAB"/>
            </w:tcBorders>
          </w:tcPr>
          <w:p>
            <w:pPr>
              <w:spacing w:after="0"/>
              <w:rPr>
                <w:sz w:val="10"/>
                <w:szCs w:val="10"/>
                <w:color w:val="auto"/>
              </w:rPr>
            </w:pPr>
          </w:p>
        </w:tc>
        <w:tc>
          <w:tcPr>
            <w:tcW w:w="880" w:type="dxa"/>
            <w:vAlign w:val="bottom"/>
            <w:tcBorders>
              <w:bottom w:val="single" w:sz="8" w:color="105BAB"/>
            </w:tcBorders>
            <w:gridSpan w:val="2"/>
          </w:tcPr>
          <w:p>
            <w:pPr>
              <w:jc w:val="center"/>
              <w:ind w:left="12"/>
              <w:spacing w:after="0"/>
              <w:rPr>
                <w:sz w:val="20"/>
                <w:szCs w:val="20"/>
                <w:color w:val="auto"/>
              </w:rPr>
            </w:pPr>
            <w:r>
              <w:rPr>
                <w:rFonts w:ascii="Arial" w:cs="Arial" w:eastAsia="Arial" w:hAnsi="Arial"/>
                <w:sz w:val="10"/>
                <w:szCs w:val="10"/>
                <w:b w:val="1"/>
                <w:bCs w:val="1"/>
                <w:color w:val="105BAB"/>
                <w:w w:val="98"/>
              </w:rPr>
              <w:t>2017 Attendance</w:t>
            </w:r>
          </w:p>
        </w:tc>
        <w:tc>
          <w:tcPr>
            <w:tcW w:w="0" w:type="dxa"/>
            <w:vAlign w:val="bottom"/>
          </w:tcPr>
          <w:p>
            <w:pPr>
              <w:spacing w:after="0"/>
              <w:rPr>
                <w:sz w:val="1"/>
                <w:szCs w:val="1"/>
                <w:color w:val="auto"/>
              </w:rPr>
            </w:pPr>
          </w:p>
        </w:tc>
      </w:tr>
      <w:tr>
        <w:trPr>
          <w:trHeight w:val="116"/>
        </w:trPr>
        <w:tc>
          <w:tcPr>
            <w:tcW w:w="64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500" w:type="dxa"/>
            <w:vAlign w:val="bottom"/>
            <w:tcBorders>
              <w:bottom w:val="single" w:sz="8" w:color="auto"/>
            </w:tcBorders>
            <w:shd w:val="clear" w:color="auto" w:fill="F1F3F9"/>
          </w:tcPr>
          <w:p>
            <w:pPr>
              <w:spacing w:after="0"/>
              <w:rPr>
                <w:sz w:val="10"/>
                <w:szCs w:val="10"/>
                <w:color w:val="auto"/>
              </w:rPr>
            </w:pPr>
          </w:p>
        </w:tc>
        <w:tc>
          <w:tcPr>
            <w:tcW w:w="880" w:type="dxa"/>
            <w:vAlign w:val="bottom"/>
            <w:tcBorders>
              <w:bottom w:val="single" w:sz="8" w:color="auto"/>
            </w:tcBorders>
            <w:gridSpan w:val="2"/>
            <w:shd w:val="clear" w:color="auto" w:fill="F1F3F9"/>
          </w:tcPr>
          <w:p>
            <w:pPr>
              <w:jc w:val="center"/>
              <w:ind w:left="12"/>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16"/>
        </w:trPr>
        <w:tc>
          <w:tcPr>
            <w:tcW w:w="6440" w:type="dxa"/>
            <w:vAlign w:val="bottom"/>
            <w:shd w:val="clear" w:color="auto" w:fill="D6DAEE"/>
          </w:tcPr>
          <w:p>
            <w:pPr>
              <w:ind w:left="60"/>
              <w:spacing w:after="0"/>
              <w:rPr>
                <w:sz w:val="20"/>
                <w:szCs w:val="20"/>
                <w:color w:val="auto"/>
              </w:rPr>
            </w:pPr>
            <w:r>
              <w:rPr>
                <w:rFonts w:ascii="Arial" w:cs="Arial" w:eastAsia="Arial" w:hAnsi="Arial"/>
                <w:sz w:val="10"/>
                <w:szCs w:val="10"/>
                <w:color w:val="auto"/>
              </w:rPr>
              <w:t>Corporate Governance and Compliance Committee</w:t>
            </w:r>
          </w:p>
        </w:tc>
        <w:tc>
          <w:tcPr>
            <w:tcW w:w="500" w:type="dxa"/>
            <w:vAlign w:val="bottom"/>
            <w:shd w:val="clear" w:color="auto" w:fill="D6DAEE"/>
          </w:tcPr>
          <w:p>
            <w:pPr>
              <w:spacing w:after="0"/>
              <w:rPr>
                <w:sz w:val="10"/>
                <w:szCs w:val="10"/>
                <w:color w:val="auto"/>
              </w:rPr>
            </w:pPr>
          </w:p>
        </w:tc>
        <w:tc>
          <w:tcPr>
            <w:tcW w:w="880" w:type="dxa"/>
            <w:vAlign w:val="bottom"/>
            <w:gridSpan w:val="2"/>
            <w:shd w:val="clear" w:color="auto" w:fill="D6DAEE"/>
          </w:tcPr>
          <w:p>
            <w:pPr>
              <w:jc w:val="center"/>
              <w:ind w:left="12"/>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206"/>
        </w:trPr>
        <w:tc>
          <w:tcPr>
            <w:tcW w:w="6440" w:type="dxa"/>
            <w:vAlign w:val="bottom"/>
            <w:tcBorders>
              <w:bottom w:val="single" w:sz="8" w:color="auto"/>
            </w:tcBorders>
            <w:shd w:val="clear" w:color="auto" w:fill="D6DAEE"/>
          </w:tcPr>
          <w:p>
            <w:pPr>
              <w:spacing w:after="0"/>
              <w:rPr>
                <w:sz w:val="17"/>
                <w:szCs w:val="17"/>
                <w:color w:val="auto"/>
              </w:rPr>
            </w:pPr>
          </w:p>
        </w:tc>
        <w:tc>
          <w:tcPr>
            <w:tcW w:w="500" w:type="dxa"/>
            <w:vAlign w:val="bottom"/>
            <w:tcBorders>
              <w:bottom w:val="single" w:sz="8" w:color="auto"/>
            </w:tcBorders>
            <w:shd w:val="clear" w:color="auto" w:fill="D6DAEE"/>
          </w:tcPr>
          <w:p>
            <w:pPr>
              <w:spacing w:after="0"/>
              <w:rPr>
                <w:sz w:val="17"/>
                <w:szCs w:val="17"/>
                <w:color w:val="auto"/>
              </w:rPr>
            </w:pPr>
          </w:p>
        </w:tc>
        <w:tc>
          <w:tcPr>
            <w:tcW w:w="880" w:type="dxa"/>
            <w:vAlign w:val="bottom"/>
            <w:tcBorders>
              <w:bottom w:val="single" w:sz="8" w:color="auto"/>
            </w:tcBorders>
            <w:gridSpan w:val="2"/>
            <w:shd w:val="clear" w:color="auto" w:fill="D6DAE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Technology Committee</w:t>
            </w:r>
          </w:p>
        </w:tc>
        <w:tc>
          <w:tcPr>
            <w:tcW w:w="500" w:type="dxa"/>
            <w:vAlign w:val="bottom"/>
            <w:tcBorders>
              <w:bottom w:val="single" w:sz="8" w:color="auto"/>
            </w:tcBorders>
            <w:shd w:val="clear" w:color="auto" w:fill="F1F3F9"/>
          </w:tcPr>
          <w:p>
            <w:pPr>
              <w:spacing w:after="0"/>
              <w:rPr>
                <w:sz w:val="20"/>
                <w:szCs w:val="20"/>
                <w:color w:val="auto"/>
              </w:rPr>
            </w:pPr>
          </w:p>
        </w:tc>
        <w:tc>
          <w:tcPr>
            <w:tcW w:w="880" w:type="dxa"/>
            <w:vAlign w:val="bottom"/>
            <w:tcBorders>
              <w:bottom w:val="single" w:sz="8" w:color="auto"/>
            </w:tcBorders>
            <w:gridSpan w:val="2"/>
            <w:shd w:val="clear" w:color="auto" w:fill="F1F3F9"/>
          </w:tcPr>
          <w:p>
            <w:pPr>
              <w:jc w:val="center"/>
              <w:ind w:left="12"/>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105BAB"/>
            </w:tcBorders>
          </w:tcPr>
          <w:p>
            <w:pPr>
              <w:spacing w:after="0"/>
              <w:rPr>
                <w:sz w:val="17"/>
                <w:szCs w:val="17"/>
                <w:color w:val="auto"/>
              </w:rPr>
            </w:pPr>
          </w:p>
        </w:tc>
        <w:tc>
          <w:tcPr>
            <w:tcW w:w="50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gridSpan w:val="2"/>
          </w:tcPr>
          <w:p>
            <w:pPr>
              <w:jc w:val="center"/>
              <w:ind w:left="12"/>
              <w:spacing w:after="0"/>
              <w:rPr>
                <w:sz w:val="20"/>
                <w:szCs w:val="20"/>
                <w:color w:val="auto"/>
              </w:rPr>
            </w:pPr>
            <w:r>
              <w:rPr>
                <w:rFonts w:ascii="Arial" w:cs="Arial" w:eastAsia="Arial" w:hAnsi="Arial"/>
                <w:sz w:val="10"/>
                <w:szCs w:val="10"/>
                <w:b w:val="1"/>
                <w:bCs w:val="1"/>
                <w:color w:val="105BAB"/>
                <w:w w:val="95"/>
              </w:rPr>
              <w:t>Against/Withheld</w:t>
            </w:r>
          </w:p>
        </w:tc>
        <w:tc>
          <w:tcPr>
            <w:tcW w:w="0" w:type="dxa"/>
            <w:vAlign w:val="bottom"/>
          </w:tcPr>
          <w:p>
            <w:pPr>
              <w:spacing w:after="0"/>
              <w:rPr>
                <w:sz w:val="1"/>
                <w:szCs w:val="1"/>
                <w:color w:val="auto"/>
              </w:rPr>
            </w:pP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(2017)</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99.6%</w:t>
            </w: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6"/>
              </w:rPr>
              <w:t>0.4%</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7"/>
                <w:szCs w:val="17"/>
                <w:color w:val="auto"/>
              </w:rPr>
            </w:pPr>
          </w:p>
        </w:tc>
        <w:tc>
          <w:tcPr>
            <w:tcW w:w="420" w:type="dxa"/>
            <w:vAlign w:val="bottom"/>
            <w:tcBorders>
              <w:bottom w:val="single" w:sz="8" w:color="105BAB"/>
            </w:tcBorders>
          </w:tcPr>
          <w:p>
            <w:pPr>
              <w:spacing w:after="0"/>
              <w:rPr>
                <w:sz w:val="17"/>
                <w:szCs w:val="17"/>
                <w:color w:val="auto"/>
              </w:rPr>
            </w:pPr>
          </w:p>
        </w:tc>
        <w:tc>
          <w:tcPr>
            <w:tcW w:w="460" w:type="dxa"/>
            <w:vAlign w:val="bottom"/>
            <w:tcBorders>
              <w:bottom w:val="single" w:sz="8" w:color="105BAB"/>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97"/>
        </w:trPr>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gridSpan w:val="2"/>
            <w:shd w:val="clear" w:color="auto" w:fill="D6DAEE"/>
          </w:tcPr>
          <w:p>
            <w:pPr>
              <w:jc w:val="center"/>
              <w:ind w:left="32"/>
              <w:spacing w:after="0" w:line="97" w:lineRule="exact"/>
              <w:rPr>
                <w:sz w:val="20"/>
                <w:szCs w:val="20"/>
                <w:color w:val="auto"/>
              </w:rPr>
            </w:pPr>
            <w:r>
              <w:rPr>
                <w:rFonts w:ascii="Arial" w:cs="Arial" w:eastAsia="Arial" w:hAnsi="Arial"/>
                <w:sz w:val="10"/>
                <w:szCs w:val="10"/>
                <w:color w:val="auto"/>
                <w:w w:val="95"/>
              </w:rPr>
              <w:t>5,931</w:t>
            </w:r>
          </w:p>
        </w:tc>
        <w:tc>
          <w:tcPr>
            <w:tcW w:w="0" w:type="dxa"/>
            <w:vAlign w:val="bottom"/>
          </w:tcPr>
          <w:p>
            <w:pPr>
              <w:spacing w:after="0"/>
              <w:rPr>
                <w:sz w:val="1"/>
                <w:szCs w:val="1"/>
                <w:color w:val="auto"/>
              </w:rPr>
            </w:pPr>
          </w:p>
        </w:tc>
      </w:tr>
      <w:tr>
        <w:trPr>
          <w:trHeight w:val="133"/>
        </w:trPr>
        <w:tc>
          <w:tcPr>
            <w:tcW w:w="6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shd w:val="clear" w:color="auto" w:fill="105BAB"/>
          </w:tcPr>
          <w:p>
            <w:pPr>
              <w:jc w:val="center"/>
              <w:ind w:right="292"/>
              <w:spacing w:after="0" w:line="108" w:lineRule="exact"/>
              <w:rPr>
                <w:sz w:val="20"/>
                <w:szCs w:val="20"/>
                <w:color w:val="auto"/>
              </w:rPr>
            </w:pPr>
            <w:r>
              <w:rPr>
                <w:rFonts w:ascii="Arial" w:cs="Arial" w:eastAsia="Arial" w:hAnsi="Arial"/>
                <w:sz w:val="10"/>
                <w:szCs w:val="10"/>
                <w:b w:val="1"/>
                <w:bCs w:val="1"/>
                <w:color w:val="FFFFFE"/>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88265</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3108" w:space="400"/>
            <w:col w:w="7980"/>
          </w:cols>
          <w:pgMar w:left="212" w:top="142" w:right="199" w:bottom="1440" w:gutter="0" w:footer="0" w:header="0"/>
          <w:type w:val="continuous"/>
        </w:sectPr>
      </w:pPr>
    </w:p>
    <w:bookmarkStart w:id="22" w:name="page23"/>
    <w:bookmarkEnd w:id="22"/>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Arial" w:cs="Arial" w:eastAsia="Arial" w:hAnsi="Arial"/>
          <w:sz w:val="16"/>
          <w:szCs w:val="16"/>
          <w:color w:val="105BAB"/>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-1069975</wp:posOffset>
            </wp:positionV>
            <wp:extent cx="875030" cy="875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1991</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76</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8" w:lineRule="exact"/>
        <w:rPr>
          <w:sz w:val="20"/>
          <w:szCs w:val="20"/>
          <w:color w:val="auto"/>
        </w:rPr>
      </w:pPr>
    </w:p>
    <w:p>
      <w:pPr>
        <w:ind w:left="88" w:hanging="88"/>
        <w:spacing w:after="0"/>
        <w:tabs>
          <w:tab w:leader="none" w:pos="88" w:val="left"/>
        </w:tabs>
        <w:numPr>
          <w:ilvl w:val="0"/>
          <w:numId w:val="19"/>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9"/>
        </w:numPr>
        <w:rPr>
          <w:rFonts w:ascii="Arial" w:cs="Arial" w:eastAsia="Arial" w:hAnsi="Arial"/>
          <w:sz w:val="10"/>
          <w:szCs w:val="10"/>
          <w:color w:val="105BAB"/>
        </w:rPr>
      </w:pPr>
      <w:r>
        <w:rPr>
          <w:rFonts w:ascii="Arial" w:cs="Arial" w:eastAsia="Arial" w:hAnsi="Arial"/>
          <w:sz w:val="12"/>
          <w:szCs w:val="12"/>
          <w:color w:val="auto"/>
        </w:rPr>
        <w:t>The National Academy of Medicine</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19"/>
        </w:numPr>
        <w:rPr>
          <w:rFonts w:ascii="Arial" w:cs="Arial" w:eastAsia="Arial" w:hAnsi="Arial"/>
          <w:sz w:val="10"/>
          <w:szCs w:val="10"/>
          <w:color w:val="105BAB"/>
        </w:rPr>
      </w:pPr>
      <w:r>
        <w:rPr>
          <w:rFonts w:ascii="Arial" w:cs="Arial" w:eastAsia="Arial" w:hAnsi="Arial"/>
          <w:sz w:val="12"/>
          <w:szCs w:val="12"/>
          <w:color w:val="auto"/>
        </w:rPr>
        <w:t>The Royal Society of London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36" w:lineRule="auto"/>
        <w:rPr>
          <w:sz w:val="20"/>
          <w:szCs w:val="20"/>
          <w:color w:val="auto"/>
        </w:rPr>
      </w:pPr>
      <w:r>
        <w:rPr>
          <w:rFonts w:ascii="Arial" w:cs="Arial" w:eastAsia="Arial" w:hAnsi="Arial"/>
          <w:sz w:val="12"/>
          <w:szCs w:val="12"/>
          <w:color w:val="auto"/>
        </w:rPr>
        <w:t>Dr. Brown holds the Distinguished Chair in Biomedical Sciences, a position he has held since 1989, and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National Academy of Medicine, and Foreign Member of the Royal Society of London. Dr. Brown retired as a member of the board of directors of Pfizer Inc. in 2012.</w:t>
      </w:r>
    </w:p>
    <w:p>
      <w:pPr>
        <w:spacing w:after="0" w:line="141" w:lineRule="exact"/>
        <w:rPr>
          <w:sz w:val="20"/>
          <w:szCs w:val="20"/>
          <w:color w:val="auto"/>
        </w:rPr>
      </w:pPr>
    </w:p>
    <w:p>
      <w:pPr>
        <w:ind w:right="240"/>
        <w:spacing w:after="0" w:line="237" w:lineRule="auto"/>
        <w:rPr>
          <w:sz w:val="20"/>
          <w:szCs w:val="20"/>
          <w:color w:val="auto"/>
        </w:rPr>
      </w:pPr>
      <w:r>
        <w:rPr>
          <w:rFonts w:ascii="Arial" w:cs="Arial" w:eastAsia="Arial" w:hAnsi="Arial"/>
          <w:sz w:val="12"/>
          <w:szCs w:val="12"/>
          <w:color w:val="auto"/>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the board to conclude that Dr. Brown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6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3180" w:type="dxa"/>
            <w:vAlign w:val="bottom"/>
            <w:tcBorders>
              <w:bottom w:val="single" w:sz="8" w:color="105BAB"/>
            </w:tcBorders>
          </w:tcPr>
          <w:p>
            <w:pPr>
              <w:jc w:val="center"/>
              <w:ind w:left="2312"/>
              <w:spacing w:after="0"/>
              <w:rPr>
                <w:sz w:val="20"/>
                <w:szCs w:val="20"/>
                <w:color w:val="auto"/>
              </w:rPr>
            </w:pPr>
            <w:r>
              <w:rPr>
                <w:rFonts w:ascii="Arial" w:cs="Arial" w:eastAsia="Arial" w:hAnsi="Arial"/>
                <w:sz w:val="10"/>
                <w:szCs w:val="10"/>
                <w:b w:val="1"/>
                <w:bCs w:val="1"/>
                <w:color w:val="105BAB"/>
                <w:w w:val="98"/>
              </w:rPr>
              <w:t>2017 Attendance</w:t>
            </w:r>
          </w:p>
        </w:tc>
      </w:tr>
      <w:tr>
        <w:trPr>
          <w:trHeight w:val="116"/>
        </w:trPr>
        <w:tc>
          <w:tcPr>
            <w:tcW w:w="46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3180" w:type="dxa"/>
            <w:vAlign w:val="bottom"/>
            <w:tcBorders>
              <w:bottom w:val="single" w:sz="8" w:color="auto"/>
            </w:tcBorders>
            <w:shd w:val="clear" w:color="auto" w:fill="F1F3F9"/>
          </w:tcPr>
          <w:p>
            <w:pPr>
              <w:jc w:val="center"/>
              <w:ind w:left="2312"/>
              <w:spacing w:after="0"/>
              <w:rPr>
                <w:sz w:val="20"/>
                <w:szCs w:val="20"/>
                <w:color w:val="auto"/>
              </w:rPr>
            </w:pPr>
            <w:r>
              <w:rPr>
                <w:rFonts w:ascii="Arial" w:cs="Arial" w:eastAsia="Arial" w:hAnsi="Arial"/>
                <w:sz w:val="10"/>
                <w:szCs w:val="10"/>
                <w:color w:val="auto"/>
              </w:rPr>
              <w:t>5/6</w:t>
            </w:r>
          </w:p>
        </w:tc>
      </w:tr>
      <w:tr>
        <w:trPr>
          <w:trHeight w:val="124"/>
        </w:trPr>
        <w:tc>
          <w:tcPr>
            <w:tcW w:w="46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Corporate Governance and Compliance Committee</w:t>
            </w:r>
          </w:p>
        </w:tc>
        <w:tc>
          <w:tcPr>
            <w:tcW w:w="3180" w:type="dxa"/>
            <w:vAlign w:val="bottom"/>
            <w:tcBorders>
              <w:bottom w:val="single" w:sz="8" w:color="auto"/>
            </w:tcBorders>
            <w:shd w:val="clear" w:color="auto" w:fill="D6DAEE"/>
          </w:tcPr>
          <w:p>
            <w:pPr>
              <w:jc w:val="center"/>
              <w:ind w:left="2312"/>
              <w:spacing w:after="0"/>
              <w:rPr>
                <w:sz w:val="20"/>
                <w:szCs w:val="20"/>
                <w:color w:val="auto"/>
              </w:rPr>
            </w:pPr>
            <w:r>
              <w:rPr>
                <w:rFonts w:ascii="Arial" w:cs="Arial" w:eastAsia="Arial" w:hAnsi="Arial"/>
                <w:sz w:val="10"/>
                <w:szCs w:val="10"/>
                <w:color w:val="auto"/>
              </w:rPr>
              <w:t>5/6</w:t>
            </w:r>
          </w:p>
        </w:tc>
      </w:tr>
      <w:tr>
        <w:trPr>
          <w:trHeight w:val="124"/>
        </w:trPr>
        <w:tc>
          <w:tcPr>
            <w:tcW w:w="46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Technology Committee (Chairman)</w:t>
            </w:r>
          </w:p>
        </w:tc>
        <w:tc>
          <w:tcPr>
            <w:tcW w:w="3180" w:type="dxa"/>
            <w:vAlign w:val="bottom"/>
            <w:tcBorders>
              <w:bottom w:val="single" w:sz="8" w:color="auto"/>
            </w:tcBorders>
            <w:shd w:val="clear" w:color="auto" w:fill="F1F3F9"/>
          </w:tcPr>
          <w:p>
            <w:pPr>
              <w:jc w:val="center"/>
              <w:ind w:left="2312"/>
              <w:spacing w:after="0"/>
              <w:rPr>
                <w:sz w:val="20"/>
                <w:szCs w:val="20"/>
                <w:color w:val="auto"/>
              </w:rPr>
            </w:pPr>
            <w:r>
              <w:rPr>
                <w:rFonts w:ascii="Arial" w:cs="Arial" w:eastAsia="Arial" w:hAnsi="Arial"/>
                <w:sz w:val="10"/>
                <w:szCs w:val="10"/>
                <w:color w:val="auto"/>
              </w:rPr>
              <w:t>2/2</w:t>
            </w:r>
          </w:p>
        </w:tc>
      </w:tr>
    </w:tbl>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320" w:type="dxa"/>
            <w:vAlign w:val="bottom"/>
            <w:tcBorders>
              <w:bottom w:val="single" w:sz="8" w:color="105BAB"/>
            </w:tcBorders>
          </w:tcPr>
          <w:p>
            <w:pPr>
              <w:spacing w:after="0"/>
              <w:rPr>
                <w:sz w:val="10"/>
                <w:szCs w:val="10"/>
                <w:color w:val="auto"/>
              </w:rPr>
            </w:pPr>
          </w:p>
        </w:tc>
        <w:tc>
          <w:tcPr>
            <w:tcW w:w="600" w:type="dxa"/>
            <w:vAlign w:val="bottom"/>
            <w:tcBorders>
              <w:bottom w:val="single" w:sz="8" w:color="105BAB"/>
            </w:tcBorders>
          </w:tcPr>
          <w:p>
            <w:pPr>
              <w:jc w:val="center"/>
              <w:ind w:left="52"/>
              <w:spacing w:after="0"/>
              <w:rPr>
                <w:sz w:val="20"/>
                <w:szCs w:val="20"/>
                <w:color w:val="auto"/>
              </w:rPr>
            </w:pPr>
            <w:r>
              <w:rPr>
                <w:rFonts w:ascii="Arial" w:cs="Arial" w:eastAsia="Arial" w:hAnsi="Arial"/>
                <w:sz w:val="10"/>
                <w:szCs w:val="10"/>
                <w:b w:val="1"/>
                <w:bCs w:val="1"/>
                <w:color w:val="105BAB"/>
                <w:w w:val="86"/>
              </w:rPr>
              <w:t>For</w:t>
            </w:r>
          </w:p>
        </w:tc>
        <w:tc>
          <w:tcPr>
            <w:tcW w:w="900" w:type="dxa"/>
            <w:vAlign w:val="bottom"/>
            <w:tcBorders>
              <w:bottom w:val="single" w:sz="8" w:color="105BAB"/>
            </w:tcBorders>
          </w:tcPr>
          <w:p>
            <w:pPr>
              <w:ind w:left="100"/>
              <w:spacing w:after="0"/>
              <w:rPr>
                <w:sz w:val="20"/>
                <w:szCs w:val="20"/>
                <w:color w:val="auto"/>
              </w:rPr>
            </w:pPr>
            <w:r>
              <w:rPr>
                <w:rFonts w:ascii="Arial" w:cs="Arial" w:eastAsia="Arial" w:hAnsi="Arial"/>
                <w:sz w:val="10"/>
                <w:szCs w:val="10"/>
                <w:b w:val="1"/>
                <w:bCs w:val="1"/>
                <w:color w:val="105BAB"/>
                <w:w w:val="95"/>
              </w:rPr>
              <w:t>Against/Withheld</w:t>
            </w:r>
          </w:p>
        </w:tc>
      </w:tr>
      <w:tr>
        <w:trPr>
          <w:trHeight w:val="97"/>
        </w:trPr>
        <w:tc>
          <w:tcPr>
            <w:tcW w:w="632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(2016)</w:t>
            </w:r>
          </w:p>
        </w:tc>
        <w:tc>
          <w:tcPr>
            <w:tcW w:w="600" w:type="dxa"/>
            <w:vAlign w:val="bottom"/>
            <w:tcBorders>
              <w:bottom w:val="single" w:sz="8" w:color="auto"/>
            </w:tcBorders>
            <w:shd w:val="clear" w:color="auto" w:fill="F1F3F9"/>
          </w:tcPr>
          <w:p>
            <w:pPr>
              <w:jc w:val="right"/>
              <w:ind w:right="72"/>
              <w:spacing w:after="0" w:line="97" w:lineRule="exact"/>
              <w:rPr>
                <w:sz w:val="20"/>
                <w:szCs w:val="20"/>
                <w:color w:val="auto"/>
              </w:rPr>
            </w:pPr>
            <w:r>
              <w:rPr>
                <w:rFonts w:ascii="Arial" w:cs="Arial" w:eastAsia="Arial" w:hAnsi="Arial"/>
                <w:sz w:val="10"/>
                <w:szCs w:val="10"/>
                <w:color w:val="auto"/>
              </w:rPr>
              <w:t>90.8%</w:t>
            </w:r>
          </w:p>
        </w:tc>
        <w:tc>
          <w:tcPr>
            <w:tcW w:w="900" w:type="dxa"/>
            <w:vAlign w:val="bottom"/>
            <w:tcBorders>
              <w:bottom w:val="single" w:sz="8" w:color="auto"/>
            </w:tcBorders>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6"/>
              </w:rPr>
              <w:t>9.2%</w:t>
            </w:r>
          </w:p>
        </w:tc>
      </w:tr>
      <w:tr>
        <w:trPr>
          <w:trHeight w:val="205"/>
        </w:trPr>
        <w:tc>
          <w:tcPr>
            <w:tcW w:w="632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600" w:type="dxa"/>
            <w:vAlign w:val="bottom"/>
            <w:tcBorders>
              <w:bottom w:val="single" w:sz="8" w:color="105BAB"/>
            </w:tcBorders>
          </w:tcPr>
          <w:p>
            <w:pPr>
              <w:spacing w:after="0"/>
              <w:rPr>
                <w:sz w:val="17"/>
                <w:szCs w:val="17"/>
                <w:color w:val="auto"/>
              </w:rPr>
            </w:pPr>
          </w:p>
        </w:tc>
        <w:tc>
          <w:tcPr>
            <w:tcW w:w="900" w:type="dxa"/>
            <w:vAlign w:val="bottom"/>
            <w:tcBorders>
              <w:bottom w:val="single" w:sz="8" w:color="105BAB"/>
            </w:tcBorders>
          </w:tcPr>
          <w:p>
            <w:pPr>
              <w:spacing w:after="0"/>
              <w:rPr>
                <w:sz w:val="17"/>
                <w:szCs w:val="17"/>
                <w:color w:val="auto"/>
              </w:rPr>
            </w:pPr>
          </w:p>
        </w:tc>
      </w:tr>
      <w:tr>
        <w:trPr>
          <w:trHeight w:val="97"/>
        </w:trPr>
        <w:tc>
          <w:tcPr>
            <w:tcW w:w="632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600" w:type="dxa"/>
            <w:vAlign w:val="bottom"/>
            <w:tcBorders>
              <w:bottom w:val="single" w:sz="8" w:color="auto"/>
            </w:tcBorders>
            <w:shd w:val="clear" w:color="auto" w:fill="F1F3F9"/>
          </w:tcPr>
          <w:p>
            <w:pPr>
              <w:spacing w:after="0"/>
              <w:rPr>
                <w:sz w:val="8"/>
                <w:szCs w:val="8"/>
                <w:color w:val="auto"/>
              </w:rPr>
            </w:pPr>
          </w:p>
        </w:tc>
        <w:tc>
          <w:tcPr>
            <w:tcW w:w="900" w:type="dxa"/>
            <w:vAlign w:val="bottom"/>
            <w:tcBorders>
              <w:bottom w:val="single" w:sz="8" w:color="auto"/>
            </w:tcBorders>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7"/>
              </w:rPr>
              <w:t>21,849</w:t>
            </w:r>
          </w:p>
        </w:tc>
      </w:tr>
      <w:tr>
        <w:trPr>
          <w:trHeight w:val="97"/>
        </w:trPr>
        <w:tc>
          <w:tcPr>
            <w:tcW w:w="632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600" w:type="dxa"/>
            <w:vAlign w:val="bottom"/>
            <w:tcBorders>
              <w:bottom w:val="single" w:sz="8" w:color="auto"/>
            </w:tcBorders>
            <w:shd w:val="clear" w:color="auto" w:fill="D6DAEE"/>
          </w:tcPr>
          <w:p>
            <w:pPr>
              <w:spacing w:after="0"/>
              <w:rPr>
                <w:sz w:val="8"/>
                <w:szCs w:val="8"/>
                <w:color w:val="auto"/>
              </w:rPr>
            </w:pPr>
          </w:p>
        </w:tc>
        <w:tc>
          <w:tcPr>
            <w:tcW w:w="900" w:type="dxa"/>
            <w:vAlign w:val="bottom"/>
            <w:tcBorders>
              <w:bottom w:val="single" w:sz="8" w:color="auto"/>
            </w:tcBorders>
            <w:shd w:val="clear" w:color="auto" w:fill="D6DAEE"/>
          </w:tcPr>
          <w:p>
            <w:pPr>
              <w:jc w:val="center"/>
              <w:ind w:left="32"/>
              <w:spacing w:after="0" w:line="97" w:lineRule="exact"/>
              <w:rPr>
                <w:sz w:val="20"/>
                <w:szCs w:val="20"/>
                <w:color w:val="auto"/>
              </w:rPr>
            </w:pPr>
            <w:r>
              <w:rPr>
                <w:rFonts w:ascii="Arial" w:cs="Arial" w:eastAsia="Arial" w:hAnsi="Arial"/>
                <w:sz w:val="10"/>
                <w:szCs w:val="10"/>
                <w:color w:val="auto"/>
                <w:w w:val="97"/>
              </w:rPr>
              <w:t>33,840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248285</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788" w:space="720"/>
            <w:col w:w="7980"/>
          </w:cols>
          <w:pgMar w:left="212" w:top="142" w:right="199" w:bottom="1440" w:gutter="0" w:footer="0" w:header="0"/>
          <w:type w:val="continuous"/>
        </w:sectPr>
      </w:pPr>
    </w:p>
    <w:bookmarkStart w:id="23" w:name="page24"/>
    <w:bookmarkEnd w:id="2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483235</wp:posOffset>
            </wp:positionV>
            <wp:extent cx="72923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00" w:right="100"/>
        <w:spacing w:after="0" w:line="236" w:lineRule="auto"/>
        <w:rPr>
          <w:sz w:val="20"/>
          <w:szCs w:val="20"/>
          <w:color w:val="auto"/>
        </w:rPr>
      </w:pPr>
      <w:r>
        <w:rPr>
          <w:rFonts w:ascii="Arial" w:cs="Arial" w:eastAsia="Arial" w:hAnsi="Arial"/>
          <w:sz w:val="12"/>
          <w:szCs w:val="12"/>
          <w:color w:val="auto"/>
        </w:rPr>
        <w:t>Dr. Schleifer founded the Company in 1988, has been a Director and its President and Chief Executive Officer since its inception, and served as Chairman of the Board from 1990 through 1994. Dr. Schleifer, together with Regeneron's founding scientist, Dr. Yancopoulos, built and has managed the Company over the past 30 years. Dr. Schleifer is a licensed physician and is certified in Neurology by the American Board of Psychiatry and Neurology. With 30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-454660</wp:posOffset>
            </wp:positionV>
            <wp:extent cx="875030" cy="880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75030" cy="880745"/>
                    </a:xfrm>
                    <a:prstGeom prst="rect">
                      <a:avLst/>
                    </a:prstGeom>
                    <a:noFill/>
                  </pic:spPr>
                </pic:pic>
              </a:graphicData>
            </a:graphic>
          </wp:anchor>
        </w:drawing>
      </w:r>
    </w:p>
    <w:p>
      <w:pPr>
        <w:spacing w:after="0" w:line="121" w:lineRule="exact"/>
        <w:rPr>
          <w:sz w:val="20"/>
          <w:szCs w:val="20"/>
          <w:color w:val="auto"/>
        </w:rPr>
      </w:pPr>
    </w:p>
    <w:p>
      <w:pPr>
        <w:ind w:left="3500" w:right="520"/>
        <w:spacing w:after="0" w:line="239" w:lineRule="auto"/>
        <w:rPr>
          <w:sz w:val="20"/>
          <w:szCs w:val="20"/>
          <w:color w:val="auto"/>
        </w:rPr>
      </w:pPr>
      <w:r>
        <w:rPr>
          <w:rFonts w:ascii="Arial" w:cs="Arial" w:eastAsia="Arial" w:hAnsi="Arial"/>
          <w:sz w:val="12"/>
          <w:szCs w:val="12"/>
          <w:color w:val="auto"/>
        </w:rPr>
        <w:t>Dr. Schleifer's significant industry and leadership experience, as well as his extensive knowledge of the Company, led the board to conclude that Dr. Schleifer should serve as a director.</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105BAB"/>
        </w:rPr>
        <w:t>LEONARD S. SCHLEIFER, M.D., Ph.D.</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Director since: 1988</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Age: 65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60" w:type="dxa"/>
            <w:vAlign w:val="bottom"/>
          </w:tcPr>
          <w:p>
            <w:pPr>
              <w:spacing w:after="0"/>
              <w:rPr>
                <w:sz w:val="10"/>
                <w:szCs w:val="10"/>
                <w:color w:val="auto"/>
              </w:rPr>
            </w:pPr>
          </w:p>
        </w:tc>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500" w:type="dxa"/>
            <w:vAlign w:val="bottom"/>
            <w:tcBorders>
              <w:bottom w:val="single" w:sz="8" w:color="105BAB"/>
            </w:tcBorders>
          </w:tcPr>
          <w:p>
            <w:pPr>
              <w:spacing w:after="0"/>
              <w:rPr>
                <w:sz w:val="10"/>
                <w:szCs w:val="10"/>
                <w:color w:val="auto"/>
              </w:rPr>
            </w:pPr>
          </w:p>
        </w:tc>
        <w:tc>
          <w:tcPr>
            <w:tcW w:w="880" w:type="dxa"/>
            <w:vAlign w:val="bottom"/>
            <w:tcBorders>
              <w:bottom w:val="single" w:sz="8" w:color="105BAB"/>
            </w:tcBorders>
            <w:gridSpan w:val="2"/>
          </w:tcPr>
          <w:p>
            <w:pPr>
              <w:jc w:val="center"/>
              <w:ind w:left="12"/>
              <w:spacing w:after="0"/>
              <w:rPr>
                <w:sz w:val="20"/>
                <w:szCs w:val="20"/>
                <w:color w:val="auto"/>
              </w:rPr>
            </w:pPr>
            <w:r>
              <w:rPr>
                <w:rFonts w:ascii="Arial" w:cs="Arial" w:eastAsia="Arial" w:hAnsi="Arial"/>
                <w:sz w:val="10"/>
                <w:szCs w:val="10"/>
                <w:b w:val="1"/>
                <w:bCs w:val="1"/>
                <w:color w:val="105BAB"/>
                <w:w w:val="98"/>
              </w:rPr>
              <w:t>2017 Attendance</w:t>
            </w: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Board of Directors</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Technology Committee</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gridSpan w:val="2"/>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6440" w:type="dxa"/>
            <w:vAlign w:val="bottom"/>
            <w:tcBorders>
              <w:bottom w:val="single" w:sz="8" w:color="105BAB"/>
            </w:tcBorders>
          </w:tcPr>
          <w:p>
            <w:pPr>
              <w:spacing w:after="0"/>
              <w:rPr>
                <w:sz w:val="17"/>
                <w:szCs w:val="17"/>
                <w:color w:val="auto"/>
              </w:rPr>
            </w:pPr>
          </w:p>
        </w:tc>
        <w:tc>
          <w:tcPr>
            <w:tcW w:w="50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gridSpan w:val="2"/>
          </w:tcPr>
          <w:p>
            <w:pPr>
              <w:jc w:val="center"/>
              <w:ind w:left="12"/>
              <w:spacing w:after="0"/>
              <w:rPr>
                <w:sz w:val="20"/>
                <w:szCs w:val="20"/>
                <w:color w:val="auto"/>
              </w:rPr>
            </w:pPr>
            <w:r>
              <w:rPr>
                <w:rFonts w:ascii="Arial" w:cs="Arial" w:eastAsia="Arial" w:hAnsi="Arial"/>
                <w:sz w:val="10"/>
                <w:szCs w:val="10"/>
                <w:b w:val="1"/>
                <w:bCs w:val="1"/>
                <w:color w:val="105BAB"/>
                <w:w w:val="95"/>
              </w:rPr>
              <w:t>Against/Withheld</w:t>
            </w: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(2016)</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99.4%</w:t>
            </w: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6"/>
              </w:rPr>
              <w:t>0.6%</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7"/>
                <w:szCs w:val="17"/>
                <w:color w:val="auto"/>
              </w:rPr>
            </w:pPr>
          </w:p>
        </w:tc>
        <w:tc>
          <w:tcPr>
            <w:tcW w:w="420" w:type="dxa"/>
            <w:vAlign w:val="bottom"/>
            <w:tcBorders>
              <w:bottom w:val="single" w:sz="8" w:color="105BAB"/>
            </w:tcBorders>
          </w:tcPr>
          <w:p>
            <w:pPr>
              <w:spacing w:after="0"/>
              <w:rPr>
                <w:sz w:val="17"/>
                <w:szCs w:val="17"/>
                <w:color w:val="auto"/>
              </w:rPr>
            </w:pPr>
          </w:p>
        </w:tc>
        <w:tc>
          <w:tcPr>
            <w:tcW w:w="460" w:type="dxa"/>
            <w:vAlign w:val="bottom"/>
            <w:tcBorders>
              <w:bottom w:val="single" w:sz="8" w:color="105BAB"/>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Class A Stock</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4"/>
              </w:rPr>
              <w:t>1,726,565</w:t>
            </w: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gridSpan w:val="2"/>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w w:val="93"/>
              </w:rPr>
              <w:t>277,347</w:t>
            </w: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4"/>
              </w:rPr>
              <w:t>2,133,282</w:t>
            </w: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6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shd w:val="clear" w:color="auto" w:fill="105BAB"/>
          </w:tcPr>
          <w:p>
            <w:pPr>
              <w:jc w:val="center"/>
              <w:ind w:right="292"/>
              <w:spacing w:after="0" w:line="108" w:lineRule="exact"/>
              <w:rPr>
                <w:sz w:val="20"/>
                <w:szCs w:val="20"/>
                <w:color w:val="auto"/>
              </w:rPr>
            </w:pPr>
            <w:r>
              <w:rPr>
                <w:rFonts w:ascii="Arial" w:cs="Arial" w:eastAsia="Arial" w:hAnsi="Arial"/>
                <w:sz w:val="10"/>
                <w:szCs w:val="10"/>
                <w:b w:val="1"/>
                <w:bCs w:val="1"/>
                <w:color w:val="FFFFFE"/>
              </w:rPr>
              <w:t>13</w:t>
            </w:r>
          </w:p>
        </w:tc>
        <w:tc>
          <w:tcPr>
            <w:tcW w:w="0" w:type="dxa"/>
            <w:vAlign w:val="bottom"/>
          </w:tcPr>
          <w:p>
            <w:pPr>
              <w:spacing w:after="0"/>
              <w:rPr>
                <w:sz w:val="1"/>
                <w:szCs w:val="1"/>
                <w:color w:val="auto"/>
              </w:rPr>
            </w:pPr>
          </w:p>
        </w:tc>
      </w:tr>
      <w:tr>
        <w:trPr>
          <w:trHeight w:val="148"/>
        </w:trPr>
        <w:tc>
          <w:tcPr>
            <w:tcW w:w="3660" w:type="dxa"/>
            <w:vAlign w:val="bottom"/>
            <w:tcBorders>
              <w:bottom w:val="single" w:sz="8" w:color="808080"/>
            </w:tcBorders>
          </w:tcPr>
          <w:p>
            <w:pPr>
              <w:spacing w:after="0"/>
              <w:rPr>
                <w:sz w:val="12"/>
                <w:szCs w:val="12"/>
                <w:color w:val="auto"/>
              </w:rPr>
            </w:pPr>
          </w:p>
        </w:tc>
        <w:tc>
          <w:tcPr>
            <w:tcW w:w="64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24" w:name="page25"/>
    <w:bookmarkEnd w:id="24"/>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943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943610"/>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
        <w:spacing w:after="0"/>
        <w:rPr>
          <w:sz w:val="20"/>
          <w:szCs w:val="20"/>
          <w:color w:val="auto"/>
        </w:rPr>
      </w:pPr>
      <w:r>
        <w:rPr>
          <w:rFonts w:ascii="Arial" w:cs="Arial" w:eastAsia="Arial" w:hAnsi="Arial"/>
          <w:sz w:val="16"/>
          <w:szCs w:val="16"/>
          <w:color w:val="105BAB"/>
        </w:rPr>
        <w:t>GEORGE D. YANCOPOULOS, M.D., Ph.D.</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2001</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Dr. Yancopoulos joined Dr. Schleifer in 1989 as founding scientist of the Company, and together they built and have managed the Company since then.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Dr. Yancopoulos is currently President and Chief Scientific Officer, and has served on the board since 2001.</w:t>
      </w:r>
    </w:p>
    <w:p>
      <w:pPr>
        <w:spacing w:after="0" w:line="141" w:lineRule="exact"/>
        <w:rPr>
          <w:sz w:val="20"/>
          <w:szCs w:val="20"/>
          <w:color w:val="auto"/>
        </w:rPr>
      </w:pPr>
    </w:p>
    <w:p>
      <w:pPr>
        <w:ind w:right="60"/>
        <w:spacing w:after="0" w:line="256" w:lineRule="auto"/>
        <w:rPr>
          <w:sz w:val="20"/>
          <w:szCs w:val="20"/>
          <w:color w:val="auto"/>
        </w:rPr>
      </w:pPr>
      <w:r>
        <w:rPr>
          <w:rFonts w:ascii="Arial" w:cs="Arial" w:eastAsia="Arial" w:hAnsi="Arial"/>
          <w:sz w:val="11"/>
          <w:szCs w:val="11"/>
          <w:color w:val="auto"/>
        </w:rPr>
        <w:t xml:space="preserve">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six FDA-approved drugs the Company has developed, EYLEA® (aflibercept) Injection, PRALUENT® (alirocumab) Injection, DUPIXENT® (dupilumab) Injection, KEVZARA® (sarilumab) Injection, ZALTRAP® (ziv-aflibercept) Injection for Intravenous Infusion, and ARCALYST® (rilonacept) Injection for Subcutaneous Use, as well as of its foundation technologies, including the TRAP technology, </w:t>
      </w:r>
      <w:r>
        <w:rPr>
          <w:rFonts w:ascii="Arial" w:cs="Arial" w:eastAsia="Arial" w:hAnsi="Arial"/>
          <w:sz w:val="11"/>
          <w:szCs w:val="11"/>
          <w:i w:val="1"/>
          <w:iCs w:val="1"/>
          <w:color w:val="auto"/>
        </w:rPr>
        <w:t>VelociGene®</w:t>
      </w:r>
      <w:r>
        <w:rPr>
          <w:rFonts w:ascii="Arial" w:cs="Arial" w:eastAsia="Arial" w:hAnsi="Arial"/>
          <w:sz w:val="11"/>
          <w:szCs w:val="11"/>
          <w:color w:val="auto"/>
        </w:rPr>
        <w:t xml:space="preserve">, and </w:t>
      </w:r>
      <w:r>
        <w:rPr>
          <w:rFonts w:ascii="Arial" w:cs="Arial" w:eastAsia="Arial" w:hAnsi="Arial"/>
          <w:sz w:val="11"/>
          <w:szCs w:val="11"/>
          <w:i w:val="1"/>
          <w:iCs w:val="1"/>
          <w:color w:val="auto"/>
        </w:rPr>
        <w:t>VelocImmune®</w:t>
      </w:r>
      <w:r>
        <w:rPr>
          <w:rFonts w:ascii="Arial" w:cs="Arial" w:eastAsia="Arial" w:hAnsi="Arial"/>
          <w:sz w:val="11"/>
          <w:szCs w:val="11"/>
          <w:color w:val="auto"/>
        </w:rPr>
        <w:t>. As one of the few members of the National Academy of Sciences from industry and as an author of a substantial number of scientific publications,</w:t>
      </w:r>
    </w:p>
    <w:p>
      <w:pPr>
        <w:spacing w:after="0" w:line="1" w:lineRule="exact"/>
        <w:rPr>
          <w:sz w:val="20"/>
          <w:szCs w:val="20"/>
          <w:color w:val="auto"/>
        </w:rPr>
      </w:pPr>
    </w:p>
    <w:p>
      <w:pPr>
        <w:jc w:val="both"/>
        <w:ind w:right="120"/>
        <w:spacing w:after="0" w:line="237" w:lineRule="auto"/>
        <w:rPr>
          <w:sz w:val="20"/>
          <w:szCs w:val="20"/>
          <w:color w:val="auto"/>
        </w:rPr>
      </w:pPr>
      <w:r>
        <w:rPr>
          <w:rFonts w:ascii="Arial" w:cs="Arial" w:eastAsia="Arial" w:hAnsi="Arial"/>
          <w:sz w:val="12"/>
          <w:szCs w:val="12"/>
          <w:color w:val="auto"/>
        </w:rPr>
        <w:t>Dr. Yancopoulos has a distinguished record of scientific expertise. Dr. Yancopoulos also brings to the board his experience in building and managing the Company, his in-depth knowledge of the Company's technologies and research and development programs, and his proven track-record for envisioning successful long-term strategic directions and opportunities.</w:t>
      </w:r>
    </w:p>
    <w:p>
      <w:pPr>
        <w:spacing w:after="0" w:line="141"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Dr. Yancopoulos's significant industry and scientific experience, as well as his extensive knowledge of the Company, led the board to conclude that Dr. Yancopoulos should serve as a director.</w:t>
      </w:r>
    </w:p>
    <w:p>
      <w:pPr>
        <w:spacing w:after="0" w:line="391" w:lineRule="exact"/>
        <w:rPr>
          <w:sz w:val="20"/>
          <w:szCs w:val="20"/>
          <w:color w:val="auto"/>
        </w:rPr>
      </w:pPr>
    </w:p>
    <w:p>
      <w:pPr>
        <w:sectPr>
          <w:pgSz w:w="11900" w:h="16838" w:orient="portrait"/>
          <w:cols w:equalWidth="0" w:num="2">
            <w:col w:w="3128" w:space="380"/>
            <w:col w:w="7980"/>
          </w:cols>
          <w:pgMar w:left="212" w:top="142" w:right="199" w:bottom="1440" w:gutter="0" w:footer="0" w:header="0"/>
          <w:type w:val="continuous"/>
        </w:sectPr>
      </w:pPr>
    </w:p>
    <w:p>
      <w:pPr>
        <w:spacing w:after="0" w:line="111"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143" w:lineRule="exact"/>
        <w:rPr>
          <w:sz w:val="20"/>
          <w:szCs w:val="20"/>
          <w:color w:val="auto"/>
        </w:rPr>
      </w:pPr>
    </w:p>
    <w:p>
      <w:pPr>
        <w:ind w:left="88" w:hanging="88"/>
        <w:spacing w:after="0"/>
        <w:tabs>
          <w:tab w:leader="none" w:pos="88" w:val="left"/>
        </w:tabs>
        <w:numPr>
          <w:ilvl w:val="0"/>
          <w:numId w:val="20"/>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spacing w:after="0" w:line="40" w:lineRule="exact"/>
        <w:rPr>
          <w:sz w:val="20"/>
          <w:szCs w:val="20"/>
          <w:color w:val="auto"/>
        </w:rPr>
      </w:pPr>
    </w:p>
    <w:tbl>
      <w:tblPr>
        <w:tblLayout w:type="fixed"/>
        <w:tblInd w:w="3668" w:type="dxa"/>
        <w:tblCellMar>
          <w:top w:w="0" w:type="dxa"/>
          <w:left w:w="0" w:type="dxa"/>
          <w:bottom w:w="0" w:type="dxa"/>
          <w:right w:w="0" w:type="dxa"/>
        </w:tblCellMar>
      </w:tblPr>
      <w:tr>
        <w:trPr>
          <w:trHeight w:val="117"/>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500" w:type="dxa"/>
            <w:vAlign w:val="bottom"/>
            <w:tcBorders>
              <w:bottom w:val="single" w:sz="8" w:color="105BAB"/>
            </w:tcBorders>
          </w:tcPr>
          <w:p>
            <w:pPr>
              <w:spacing w:after="0"/>
              <w:rPr>
                <w:sz w:val="10"/>
                <w:szCs w:val="10"/>
                <w:color w:val="auto"/>
              </w:rPr>
            </w:pPr>
          </w:p>
        </w:tc>
        <w:tc>
          <w:tcPr>
            <w:tcW w:w="88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8"/>
              </w:rPr>
              <w:t>2017 Attendance</w:t>
            </w: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Board of Directors</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rPr>
              <w:t>6/6</w:t>
            </w:r>
          </w:p>
        </w:tc>
      </w:tr>
      <w:tr>
        <w:trPr>
          <w:trHeight w:val="97"/>
        </w:trPr>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Technology Committee</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rPr>
              <w:t>2/2</w:t>
            </w:r>
          </w:p>
        </w:tc>
      </w:tr>
      <w:tr>
        <w:trPr>
          <w:trHeight w:val="205"/>
        </w:trPr>
        <w:tc>
          <w:tcPr>
            <w:tcW w:w="6440" w:type="dxa"/>
            <w:vAlign w:val="bottom"/>
            <w:tcBorders>
              <w:bottom w:val="single" w:sz="8" w:color="105BAB"/>
            </w:tcBorders>
          </w:tcPr>
          <w:p>
            <w:pPr>
              <w:spacing w:after="0"/>
              <w:rPr>
                <w:sz w:val="17"/>
                <w:szCs w:val="17"/>
                <w:color w:val="auto"/>
              </w:rPr>
            </w:pPr>
          </w:p>
        </w:tc>
        <w:tc>
          <w:tcPr>
            <w:tcW w:w="50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5"/>
              </w:rPr>
              <w:t>Against/Withheld</w:t>
            </w: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(2016)</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98.9%</w:t>
            </w: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6"/>
              </w:rPr>
              <w:t>1.1%</w:t>
            </w:r>
          </w:p>
        </w:tc>
      </w:tr>
      <w:tr>
        <w:trPr>
          <w:trHeight w:val="205"/>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7"/>
                <w:szCs w:val="17"/>
                <w:color w:val="auto"/>
              </w:rPr>
            </w:pPr>
          </w:p>
        </w:tc>
        <w:tc>
          <w:tcPr>
            <w:tcW w:w="880" w:type="dxa"/>
            <w:vAlign w:val="bottom"/>
            <w:tcBorders>
              <w:bottom w:val="single" w:sz="8" w:color="105BAB"/>
            </w:tcBorders>
          </w:tcPr>
          <w:p>
            <w:pPr>
              <w:spacing w:after="0"/>
              <w:rPr>
                <w:sz w:val="17"/>
                <w:szCs w:val="17"/>
                <w:color w:val="auto"/>
              </w:rPr>
            </w:pP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Class A Stock</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7"/>
              </w:rPr>
              <w:t>42,750</w:t>
            </w:r>
          </w:p>
        </w:tc>
      </w:tr>
      <w:tr>
        <w:trPr>
          <w:trHeight w:val="97"/>
        </w:trPr>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w w:val="93"/>
              </w:rPr>
              <w:t>993,395</w:t>
            </w: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4"/>
              </w:rPr>
              <w:t>1,816,080</w:t>
            </w:r>
          </w:p>
        </w:tc>
      </w:tr>
    </w:tbl>
    <w:p>
      <w:pPr>
        <w:spacing w:after="0" w:line="135"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type w:val="continuous"/>
        </w:sectPr>
      </w:pPr>
    </w:p>
    <w:bookmarkStart w:id="25" w:name="page26"/>
    <w:bookmarkEnd w:id="25"/>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CLASS II DIRECTORS CONTINUING IN OFFICE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 EXPIRES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292340" cy="932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932180"/>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105BAB"/>
        </w:rPr>
        <w:t>N. ANTHONY COLES, M.D.</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Director since: 2017</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Age: 57</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Independent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Dr. Coles has served as Chairman and Chief Executive Officer of Yumanity Therapeutics, LLC, a company focused on transforming drug discovery for neurodegenerative diseases, since October 2014. Prior to this, from October 2013, Dr. Coles served as Chairman and CEO of TRATE Enterprises LLC, a privately held company. Dr. Coles served as President, Chief Executive Officer and Chairman of the Board of Onyx Pharmaceuticals, Inc., a biopharmaceutical company, from 2012 until 2013, having served as its President, Chief Executive Officer, and a member of its board of directors from 2008 until 2012. Prior to joining Onyx in 2008, he was President, Chief Executive Officer, and a member of the board of directors of NPS Pharmaceuticals, Inc., a biopharmaceutical company. Before joining NPS in 2005, he served in various leadership positions in the biopharmaceutical and pharmaceutical industries, including at Merck &amp; Co., Inc., Bristol-Myers Squibb Company, and Vertex Pharmaceuticals Incorporated. In addition to having previously served as a director of Onyx and NPS, he was formerly a director of Laboratory Corporation of America Holdings, Campus Crest Communities, Inc., and CRISPR Therapeutics AG.</w:t>
      </w:r>
    </w:p>
    <w:p>
      <w:pPr>
        <w:spacing w:after="0" w:line="144" w:lineRule="exact"/>
        <w:rPr>
          <w:sz w:val="20"/>
          <w:szCs w:val="20"/>
          <w:color w:val="auto"/>
        </w:rPr>
      </w:pPr>
    </w:p>
    <w:p>
      <w:pPr>
        <w:ind w:right="140"/>
        <w:spacing w:after="0" w:line="239" w:lineRule="auto"/>
        <w:rPr>
          <w:sz w:val="20"/>
          <w:szCs w:val="20"/>
          <w:color w:val="auto"/>
        </w:rPr>
      </w:pPr>
      <w:r>
        <w:rPr>
          <w:rFonts w:ascii="Arial" w:cs="Arial" w:eastAsia="Arial" w:hAnsi="Arial"/>
          <w:sz w:val="12"/>
          <w:szCs w:val="12"/>
          <w:color w:val="auto"/>
        </w:rPr>
        <w:t>Dr. Coles has been a director of McKesson Corporation since April 2014 and serves on the Compensation Committee and the Finance Committee of its board of directors.</w:t>
      </w:r>
    </w:p>
    <w:p>
      <w:pPr>
        <w:spacing w:after="0" w:line="139" w:lineRule="exact"/>
        <w:rPr>
          <w:sz w:val="20"/>
          <w:szCs w:val="20"/>
          <w:color w:val="auto"/>
        </w:rPr>
      </w:pPr>
    </w:p>
    <w:p>
      <w:pPr>
        <w:ind w:right="240"/>
        <w:spacing w:after="0" w:line="237" w:lineRule="auto"/>
        <w:rPr>
          <w:sz w:val="20"/>
          <w:szCs w:val="20"/>
          <w:color w:val="auto"/>
        </w:rPr>
      </w:pPr>
      <w:r>
        <w:rPr>
          <w:rFonts w:ascii="Arial" w:cs="Arial" w:eastAsia="Arial" w:hAnsi="Arial"/>
          <w:sz w:val="12"/>
          <w:szCs w:val="12"/>
          <w:color w:val="auto"/>
        </w:rPr>
        <w:t>The experience of Dr. Coles as a seasoned executive and corporate director with extensive knowledge of highly regulated biopharmaceutical and pharmaceutical companies, as well as his in-depth knowledge and understanding of the regulatory environment in which Regeneron operates, led the board to conclude that Dr. Coles should serve as a director.</w:t>
      </w:r>
    </w:p>
    <w:p>
      <w:pPr>
        <w:spacing w:after="0" w:line="518" w:lineRule="exact"/>
        <w:rPr>
          <w:sz w:val="20"/>
          <w:szCs w:val="20"/>
          <w:color w:val="auto"/>
        </w:rPr>
      </w:pPr>
    </w:p>
    <w:p>
      <w:pPr>
        <w:sectPr>
          <w:pgSz w:w="11900" w:h="16838" w:orient="portrait"/>
          <w:cols w:equalWidth="0" w:num="2">
            <w:col w:w="2780" w:space="720"/>
            <w:col w:w="7980"/>
          </w:cols>
          <w:pgMar w:left="220" w:top="142" w:right="19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105BAB"/>
        </w:rPr>
        <w:t>OTHER PUBLIC BOARDS (RECENT SERVICE)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10040" w:type="dxa"/>
            <w:vAlign w:val="bottom"/>
            <w:gridSpan w:val="2"/>
          </w:tcPr>
          <w:p>
            <w:pPr>
              <w:ind w:left="20"/>
              <w:spacing w:after="0"/>
              <w:rPr>
                <w:sz w:val="20"/>
                <w:szCs w:val="20"/>
                <w:color w:val="auto"/>
              </w:rPr>
            </w:pPr>
            <w:r>
              <w:rPr>
                <w:rFonts w:ascii="Arial" w:cs="Arial" w:eastAsia="Arial" w:hAnsi="Arial"/>
                <w:sz w:val="12"/>
                <w:szCs w:val="12"/>
                <w:color w:val="auto"/>
              </w:rPr>
              <w:t>McKesson Corporation</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61"/>
        </w:trPr>
        <w:tc>
          <w:tcPr>
            <w:tcW w:w="10100" w:type="dxa"/>
            <w:vAlign w:val="bottom"/>
            <w:gridSpan w:val="3"/>
          </w:tcPr>
          <w:p>
            <w:pPr>
              <w:spacing w:after="0"/>
              <w:rPr>
                <w:sz w:val="20"/>
                <w:szCs w:val="20"/>
                <w:color w:val="auto"/>
              </w:rPr>
            </w:pPr>
            <w:r>
              <w:rPr>
                <w:rFonts w:ascii="Arial" w:cs="Arial" w:eastAsia="Arial" w:hAnsi="Arial"/>
                <w:sz w:val="10"/>
                <w:szCs w:val="10"/>
                <w:color w:val="105BAB"/>
              </w:rPr>
              <w:t xml:space="preserve">• </w:t>
            </w:r>
            <w:r>
              <w:rPr>
                <w:rFonts w:ascii="Arial" w:cs="Arial" w:eastAsia="Arial" w:hAnsi="Arial"/>
                <w:sz w:val="11"/>
                <w:szCs w:val="11"/>
                <w:color w:val="000000"/>
              </w:rPr>
              <w:t>CRISPR Therapeutics AG (until 2017)</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60" w:type="dxa"/>
            <w:vAlign w:val="bottom"/>
          </w:tcPr>
          <w:p>
            <w:pPr>
              <w:spacing w:after="0"/>
              <w:rPr>
                <w:sz w:val="20"/>
                <w:szCs w:val="20"/>
                <w:color w:val="auto"/>
              </w:rPr>
            </w:pPr>
            <w:r>
              <w:rPr>
                <w:rFonts w:ascii="Arial" w:cs="Arial" w:eastAsia="Arial" w:hAnsi="Arial"/>
                <w:sz w:val="10"/>
                <w:szCs w:val="10"/>
                <w:color w:val="105BAB"/>
              </w:rPr>
              <w:t>•</w:t>
            </w:r>
          </w:p>
        </w:tc>
        <w:tc>
          <w:tcPr>
            <w:tcW w:w="10040" w:type="dxa"/>
            <w:vAlign w:val="bottom"/>
            <w:gridSpan w:val="2"/>
          </w:tcPr>
          <w:p>
            <w:pPr>
              <w:ind w:left="20"/>
              <w:spacing w:after="0"/>
              <w:rPr>
                <w:sz w:val="20"/>
                <w:szCs w:val="20"/>
                <w:color w:val="auto"/>
              </w:rPr>
            </w:pPr>
            <w:r>
              <w:rPr>
                <w:rFonts w:ascii="Arial" w:cs="Arial" w:eastAsia="Arial" w:hAnsi="Arial"/>
                <w:sz w:val="12"/>
                <w:szCs w:val="12"/>
                <w:color w:val="auto"/>
              </w:rPr>
              <w:t>Onyx Pharmaceuticals, Inc. (until 2013)</w:t>
            </w: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500" w:type="dxa"/>
            <w:vAlign w:val="bottom"/>
            <w:tcBorders>
              <w:bottom w:val="single" w:sz="8" w:color="105BAB"/>
            </w:tcBorders>
          </w:tcPr>
          <w:p>
            <w:pPr>
              <w:spacing w:after="0"/>
              <w:rPr>
                <w:sz w:val="13"/>
                <w:szCs w:val="13"/>
                <w:color w:val="auto"/>
              </w:rPr>
            </w:pPr>
          </w:p>
        </w:tc>
        <w:tc>
          <w:tcPr>
            <w:tcW w:w="880" w:type="dxa"/>
            <w:vAlign w:val="bottom"/>
            <w:tcBorders>
              <w:bottom w:val="single" w:sz="8" w:color="105BAB"/>
            </w:tcBorders>
          </w:tcPr>
          <w:p>
            <w:pPr>
              <w:ind w:left="60"/>
              <w:spacing w:after="0" w:line="155" w:lineRule="exact"/>
              <w:rPr>
                <w:sz w:val="20"/>
                <w:szCs w:val="20"/>
                <w:color w:val="auto"/>
              </w:rPr>
            </w:pPr>
            <w:r>
              <w:rPr>
                <w:rFonts w:ascii="Arial" w:cs="Arial" w:eastAsia="Arial" w:hAnsi="Arial"/>
                <w:sz w:val="10"/>
                <w:szCs w:val="10"/>
                <w:b w:val="1"/>
                <w:bCs w:val="1"/>
                <w:color w:val="105BAB"/>
                <w:w w:val="94"/>
              </w:rPr>
              <w:t>2017 Attendance</w:t>
            </w:r>
            <w:r>
              <w:rPr>
                <w:rFonts w:ascii="Arial" w:cs="Arial" w:eastAsia="Arial" w:hAnsi="Arial"/>
                <w:sz w:val="14"/>
                <w:szCs w:val="14"/>
                <w:b w:val="1"/>
                <w:bCs w:val="1"/>
                <w:color w:val="105BAB"/>
                <w:w w:val="94"/>
                <w:vertAlign w:val="superscript"/>
              </w:rPr>
              <w:t>2</w:t>
            </w:r>
          </w:p>
        </w:tc>
      </w:tr>
      <w:tr>
        <w:trPr>
          <w:trHeight w:val="97"/>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Board of Directors</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rPr>
              <w:t>6/6</w:t>
            </w:r>
          </w:p>
        </w:tc>
      </w:tr>
      <w:tr>
        <w:trPr>
          <w:trHeight w:val="97"/>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Audit Committee</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rPr>
              <w:t>9/9</w:t>
            </w:r>
          </w:p>
        </w:tc>
      </w:tr>
      <w:tr>
        <w:trPr>
          <w:trHeight w:val="205"/>
        </w:trPr>
        <w:tc>
          <w:tcPr>
            <w:tcW w:w="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440" w:type="dxa"/>
            <w:vAlign w:val="bottom"/>
            <w:tcBorders>
              <w:bottom w:val="single" w:sz="8" w:color="105BAB"/>
            </w:tcBorders>
          </w:tcPr>
          <w:p>
            <w:pPr>
              <w:spacing w:after="0"/>
              <w:rPr>
                <w:sz w:val="17"/>
                <w:szCs w:val="17"/>
                <w:color w:val="auto"/>
              </w:rPr>
            </w:pPr>
          </w:p>
        </w:tc>
        <w:tc>
          <w:tcPr>
            <w:tcW w:w="50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5"/>
              </w:rPr>
              <w:t>Against/Withheld</w:t>
            </w:r>
          </w:p>
        </w:tc>
      </w:tr>
      <w:tr>
        <w:trPr>
          <w:trHeight w:val="97"/>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(2017)</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99.7%</w:t>
            </w: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6"/>
              </w:rPr>
              <w:t>0.3%</w:t>
            </w:r>
          </w:p>
        </w:tc>
      </w:tr>
      <w:tr>
        <w:trPr>
          <w:trHeight w:val="205"/>
        </w:trPr>
        <w:tc>
          <w:tcPr>
            <w:tcW w:w="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Common Stock Beneficially Owned as of April 12, 2018</w:t>
            </w:r>
          </w:p>
        </w:tc>
        <w:tc>
          <w:tcPr>
            <w:tcW w:w="500" w:type="dxa"/>
            <w:vAlign w:val="bottom"/>
            <w:tcBorders>
              <w:bottom w:val="single" w:sz="8" w:color="105BAB"/>
            </w:tcBorders>
          </w:tcPr>
          <w:p>
            <w:pPr>
              <w:spacing w:after="0"/>
              <w:rPr>
                <w:sz w:val="17"/>
                <w:szCs w:val="17"/>
                <w:color w:val="auto"/>
              </w:rPr>
            </w:pPr>
          </w:p>
        </w:tc>
        <w:tc>
          <w:tcPr>
            <w:tcW w:w="880" w:type="dxa"/>
            <w:vAlign w:val="bottom"/>
            <w:tcBorders>
              <w:bottom w:val="single" w:sz="8" w:color="105BAB"/>
            </w:tcBorders>
          </w:tcPr>
          <w:p>
            <w:pPr>
              <w:spacing w:after="0"/>
              <w:rPr>
                <w:sz w:val="17"/>
                <w:szCs w:val="17"/>
                <w:color w:val="auto"/>
              </w:rPr>
            </w:pPr>
          </w:p>
        </w:tc>
      </w:tr>
      <w:tr>
        <w:trPr>
          <w:trHeight w:val="97"/>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rPr>
              <w:t>0</w:t>
            </w:r>
          </w:p>
        </w:tc>
      </w:tr>
      <w:tr>
        <w:trPr>
          <w:trHeight w:val="97"/>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shd w:val="clear" w:color="auto" w:fill="D6DAEE"/>
          </w:tcPr>
          <w:p>
            <w:pPr>
              <w:jc w:val="center"/>
              <w:ind w:left="32"/>
              <w:spacing w:after="0" w:line="97" w:lineRule="exact"/>
              <w:rPr>
                <w:sz w:val="20"/>
                <w:szCs w:val="20"/>
                <w:color w:val="auto"/>
              </w:rPr>
            </w:pPr>
            <w:r>
              <w:rPr>
                <w:rFonts w:ascii="Arial" w:cs="Arial" w:eastAsia="Arial" w:hAnsi="Arial"/>
                <w:sz w:val="10"/>
                <w:szCs w:val="10"/>
                <w:color w:val="auto"/>
                <w:w w:val="95"/>
              </w:rPr>
              <w:t>4,350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2923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105BAB"/>
        </w:rPr>
        <w:t>2</w:t>
      </w:r>
      <w:r>
        <w:rPr>
          <w:sz w:val="20"/>
          <w:szCs w:val="20"/>
          <w:color w:val="auto"/>
        </w:rPr>
        <w:tab/>
      </w:r>
      <w:r>
        <w:rPr>
          <w:rFonts w:ascii="Arial" w:cs="Arial" w:eastAsia="Arial" w:hAnsi="Arial"/>
          <w:sz w:val="10"/>
          <w:szCs w:val="10"/>
          <w:color w:val="auto"/>
        </w:rPr>
        <w:t>Dr. Coles was elected as a member of the board and the Audit Committee effective January 27, 2017.</w:t>
      </w:r>
    </w:p>
    <w:p>
      <w:pPr>
        <w:spacing w:after="0" w:line="125"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26" w:name="page27"/>
    <w:bookmarkEnd w:id="26"/>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Arial" w:cs="Arial" w:eastAsia="Arial" w:hAnsi="Arial"/>
          <w:sz w:val="16"/>
          <w:szCs w:val="16"/>
          <w:color w:val="105BAB"/>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-1069975</wp:posOffset>
            </wp:positionV>
            <wp:extent cx="875030" cy="875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1991</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77</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8" w:lineRule="exact"/>
        <w:rPr>
          <w:sz w:val="20"/>
          <w:szCs w:val="20"/>
          <w:color w:val="auto"/>
        </w:rPr>
      </w:pPr>
    </w:p>
    <w:p>
      <w:pPr>
        <w:ind w:left="88" w:hanging="88"/>
        <w:spacing w:after="0"/>
        <w:tabs>
          <w:tab w:leader="none" w:pos="88" w:val="left"/>
        </w:tabs>
        <w:numPr>
          <w:ilvl w:val="0"/>
          <w:numId w:val="21"/>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21"/>
        </w:numPr>
        <w:rPr>
          <w:rFonts w:ascii="Arial" w:cs="Arial" w:eastAsia="Arial" w:hAnsi="Arial"/>
          <w:sz w:val="10"/>
          <w:szCs w:val="10"/>
          <w:color w:val="105BAB"/>
        </w:rPr>
      </w:pPr>
      <w:r>
        <w:rPr>
          <w:rFonts w:ascii="Arial" w:cs="Arial" w:eastAsia="Arial" w:hAnsi="Arial"/>
          <w:sz w:val="12"/>
          <w:szCs w:val="12"/>
          <w:color w:val="auto"/>
        </w:rPr>
        <w:t>The National Academy of Medicine</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21"/>
        </w:numPr>
        <w:rPr>
          <w:rFonts w:ascii="Arial" w:cs="Arial" w:eastAsia="Arial" w:hAnsi="Arial"/>
          <w:sz w:val="10"/>
          <w:szCs w:val="10"/>
          <w:color w:val="105BAB"/>
        </w:rPr>
      </w:pPr>
      <w:r>
        <w:rPr>
          <w:rFonts w:ascii="Arial" w:cs="Arial" w:eastAsia="Arial" w:hAnsi="Arial"/>
          <w:sz w:val="12"/>
          <w:szCs w:val="12"/>
          <w:color w:val="auto"/>
        </w:rPr>
        <w:t>The Royal Society of London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36" w:lineRule="auto"/>
        <w:rPr>
          <w:sz w:val="20"/>
          <w:szCs w:val="20"/>
          <w:color w:val="auto"/>
        </w:rPr>
      </w:pPr>
      <w:r>
        <w:rPr>
          <w:rFonts w:ascii="Arial" w:cs="Arial" w:eastAsia="Arial" w:hAnsi="Arial"/>
          <w:sz w:val="12"/>
          <w:szCs w:val="12"/>
          <w:color w:val="auto"/>
        </w:rPr>
        <w:t>Dr. Goldstein has been a Professor of Molecular Genetics and Internal Medicine and the Chairman of the Department of Molecular Genetics at The University of Texas Southwestern Medical Center at Dallas since 1977. Dr. Goldstein is a member of the National Academy of Sciences, the National Academy of Medicine, and the Royal Society of London. He also serves on the Boards of Trustees of The Rockefeller University and the Howard Hughes Medical Institute. Drs. Goldstein and Brown jointly received the Nobel Prize for Physiology or Medicine in 1985 and the U.S. National Medal of Science in 1988.</w:t>
      </w:r>
    </w:p>
    <w:p>
      <w:pPr>
        <w:spacing w:after="0" w:line="141" w:lineRule="exact"/>
        <w:rPr>
          <w:sz w:val="20"/>
          <w:szCs w:val="20"/>
          <w:color w:val="auto"/>
        </w:rPr>
      </w:pPr>
    </w:p>
    <w:p>
      <w:pPr>
        <w:ind w:right="140"/>
        <w:spacing w:after="0" w:line="237" w:lineRule="auto"/>
        <w:rPr>
          <w:sz w:val="20"/>
          <w:szCs w:val="20"/>
          <w:color w:val="auto"/>
        </w:rPr>
      </w:pPr>
      <w:r>
        <w:rPr>
          <w:rFonts w:ascii="Arial" w:cs="Arial" w:eastAsia="Arial" w:hAnsi="Arial"/>
          <w:sz w:val="12"/>
          <w:szCs w:val="12"/>
          <w:color w:val="auto"/>
        </w:rPr>
        <w:t>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the board to conclude that Dr. Goldstein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3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3480" w:type="dxa"/>
            <w:vAlign w:val="bottom"/>
            <w:tcBorders>
              <w:bottom w:val="single" w:sz="8" w:color="105BAB"/>
            </w:tcBorders>
          </w:tcPr>
          <w:p>
            <w:pPr>
              <w:ind w:left="2700"/>
              <w:spacing w:after="0"/>
              <w:rPr>
                <w:sz w:val="20"/>
                <w:szCs w:val="20"/>
                <w:color w:val="auto"/>
              </w:rPr>
            </w:pPr>
            <w:r>
              <w:rPr>
                <w:rFonts w:ascii="Arial" w:cs="Arial" w:eastAsia="Arial" w:hAnsi="Arial"/>
                <w:sz w:val="10"/>
                <w:szCs w:val="10"/>
                <w:b w:val="1"/>
                <w:bCs w:val="1"/>
                <w:color w:val="105BAB"/>
                <w:w w:val="95"/>
              </w:rPr>
              <w:t>2017 Attendance</w:t>
            </w:r>
          </w:p>
        </w:tc>
      </w:tr>
      <w:tr>
        <w:trPr>
          <w:trHeight w:val="116"/>
        </w:trPr>
        <w:tc>
          <w:tcPr>
            <w:tcW w:w="43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3480" w:type="dxa"/>
            <w:vAlign w:val="bottom"/>
            <w:tcBorders>
              <w:bottom w:val="single" w:sz="8" w:color="auto"/>
            </w:tcBorders>
            <w:shd w:val="clear" w:color="auto" w:fill="F1F3F9"/>
          </w:tcPr>
          <w:p>
            <w:pPr>
              <w:jc w:val="center"/>
              <w:ind w:left="2652"/>
              <w:spacing w:after="0"/>
              <w:rPr>
                <w:sz w:val="20"/>
                <w:szCs w:val="20"/>
                <w:color w:val="auto"/>
              </w:rPr>
            </w:pPr>
            <w:r>
              <w:rPr>
                <w:rFonts w:ascii="Arial" w:cs="Arial" w:eastAsia="Arial" w:hAnsi="Arial"/>
                <w:sz w:val="10"/>
                <w:szCs w:val="10"/>
                <w:color w:val="auto"/>
              </w:rPr>
              <w:t>6/6</w:t>
            </w:r>
          </w:p>
        </w:tc>
      </w:tr>
      <w:tr>
        <w:trPr>
          <w:trHeight w:val="124"/>
        </w:trPr>
        <w:tc>
          <w:tcPr>
            <w:tcW w:w="43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Compensation Committee</w:t>
            </w:r>
          </w:p>
        </w:tc>
        <w:tc>
          <w:tcPr>
            <w:tcW w:w="3480" w:type="dxa"/>
            <w:vAlign w:val="bottom"/>
            <w:tcBorders>
              <w:bottom w:val="single" w:sz="8" w:color="auto"/>
            </w:tcBorders>
            <w:shd w:val="clear" w:color="auto" w:fill="D6DAEE"/>
          </w:tcPr>
          <w:p>
            <w:pPr>
              <w:jc w:val="center"/>
              <w:ind w:left="2632"/>
              <w:spacing w:after="0"/>
              <w:rPr>
                <w:sz w:val="20"/>
                <w:szCs w:val="20"/>
                <w:color w:val="auto"/>
              </w:rPr>
            </w:pPr>
            <w:r>
              <w:rPr>
                <w:rFonts w:ascii="Arial" w:cs="Arial" w:eastAsia="Arial" w:hAnsi="Arial"/>
                <w:sz w:val="10"/>
                <w:szCs w:val="10"/>
                <w:color w:val="auto"/>
                <w:w w:val="95"/>
              </w:rPr>
              <w:t>12/12</w:t>
            </w:r>
          </w:p>
        </w:tc>
      </w:tr>
      <w:tr>
        <w:trPr>
          <w:trHeight w:val="124"/>
        </w:trPr>
        <w:tc>
          <w:tcPr>
            <w:tcW w:w="43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Technology Committee</w:t>
            </w:r>
          </w:p>
        </w:tc>
        <w:tc>
          <w:tcPr>
            <w:tcW w:w="3480" w:type="dxa"/>
            <w:vAlign w:val="bottom"/>
            <w:tcBorders>
              <w:bottom w:val="single" w:sz="8" w:color="auto"/>
            </w:tcBorders>
            <w:shd w:val="clear" w:color="auto" w:fill="F1F3F9"/>
          </w:tcPr>
          <w:p>
            <w:pPr>
              <w:jc w:val="center"/>
              <w:ind w:left="2652"/>
              <w:spacing w:after="0"/>
              <w:rPr>
                <w:sz w:val="20"/>
                <w:szCs w:val="20"/>
                <w:color w:val="auto"/>
              </w:rPr>
            </w:pPr>
            <w:r>
              <w:rPr>
                <w:rFonts w:ascii="Arial" w:cs="Arial" w:eastAsia="Arial" w:hAnsi="Arial"/>
                <w:sz w:val="10"/>
                <w:szCs w:val="10"/>
                <w:color w:val="auto"/>
              </w:rPr>
              <w:t>2/2</w:t>
            </w:r>
          </w:p>
        </w:tc>
      </w:tr>
    </w:tbl>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440" w:type="dxa"/>
            <w:vAlign w:val="bottom"/>
            <w:tcBorders>
              <w:bottom w:val="single" w:sz="8" w:color="105BAB"/>
            </w:tcBorders>
          </w:tcPr>
          <w:p>
            <w:pPr>
              <w:spacing w:after="0"/>
              <w:rPr>
                <w:sz w:val="10"/>
                <w:szCs w:val="10"/>
                <w:color w:val="auto"/>
              </w:rPr>
            </w:pPr>
          </w:p>
        </w:tc>
        <w:tc>
          <w:tcPr>
            <w:tcW w:w="520" w:type="dxa"/>
            <w:vAlign w:val="bottom"/>
            <w:tcBorders>
              <w:bottom w:val="single" w:sz="8" w:color="105BAB"/>
            </w:tcBorders>
          </w:tcPr>
          <w:p>
            <w:pPr>
              <w:jc w:val="center"/>
              <w:ind w:left="32"/>
              <w:spacing w:after="0"/>
              <w:rPr>
                <w:sz w:val="20"/>
                <w:szCs w:val="20"/>
                <w:color w:val="auto"/>
              </w:rPr>
            </w:pPr>
            <w:r>
              <w:rPr>
                <w:rFonts w:ascii="Arial" w:cs="Arial" w:eastAsia="Arial" w:hAnsi="Arial"/>
                <w:sz w:val="10"/>
                <w:szCs w:val="10"/>
                <w:b w:val="1"/>
                <w:bCs w:val="1"/>
                <w:color w:val="105BAB"/>
                <w:w w:val="99"/>
              </w:rPr>
              <w:t>For</w:t>
            </w:r>
          </w:p>
        </w:tc>
        <w:tc>
          <w:tcPr>
            <w:tcW w:w="86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2"/>
              </w:rPr>
              <w:t>Against/Withheld</w:t>
            </w: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(2017)</w:t>
            </w:r>
          </w:p>
        </w:tc>
        <w:tc>
          <w:tcPr>
            <w:tcW w:w="52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84.6%</w:t>
            </w:r>
          </w:p>
        </w:tc>
        <w:tc>
          <w:tcPr>
            <w:tcW w:w="860" w:type="dxa"/>
            <w:vAlign w:val="bottom"/>
            <w:tcBorders>
              <w:bottom w:val="single" w:sz="8" w:color="auto"/>
            </w:tcBorders>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8"/>
              </w:rPr>
              <w:t>15.4%</w:t>
            </w:r>
          </w:p>
        </w:tc>
      </w:tr>
      <w:tr>
        <w:trPr>
          <w:trHeight w:val="205"/>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20" w:type="dxa"/>
            <w:vAlign w:val="bottom"/>
            <w:tcBorders>
              <w:bottom w:val="single" w:sz="8" w:color="105BAB"/>
            </w:tcBorders>
          </w:tcPr>
          <w:p>
            <w:pPr>
              <w:spacing w:after="0"/>
              <w:rPr>
                <w:sz w:val="17"/>
                <w:szCs w:val="17"/>
                <w:color w:val="auto"/>
              </w:rPr>
            </w:pPr>
          </w:p>
        </w:tc>
        <w:tc>
          <w:tcPr>
            <w:tcW w:w="860" w:type="dxa"/>
            <w:vAlign w:val="bottom"/>
            <w:tcBorders>
              <w:bottom w:val="single" w:sz="8" w:color="105BAB"/>
            </w:tcBorders>
          </w:tcPr>
          <w:p>
            <w:pPr>
              <w:spacing w:after="0"/>
              <w:rPr>
                <w:sz w:val="17"/>
                <w:szCs w:val="17"/>
                <w:color w:val="auto"/>
              </w:rPr>
            </w:pP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520" w:type="dxa"/>
            <w:vAlign w:val="bottom"/>
            <w:tcBorders>
              <w:bottom w:val="single" w:sz="8" w:color="auto"/>
            </w:tcBorders>
            <w:shd w:val="clear" w:color="auto" w:fill="F1F3F9"/>
          </w:tcPr>
          <w:p>
            <w:pPr>
              <w:spacing w:after="0"/>
              <w:rPr>
                <w:sz w:val="8"/>
                <w:szCs w:val="8"/>
                <w:color w:val="auto"/>
              </w:rPr>
            </w:pPr>
          </w:p>
        </w:tc>
        <w:tc>
          <w:tcPr>
            <w:tcW w:w="860" w:type="dxa"/>
            <w:vAlign w:val="bottom"/>
            <w:tcBorders>
              <w:bottom w:val="single" w:sz="8" w:color="auto"/>
            </w:tcBorders>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7"/>
              </w:rPr>
              <w:t>12,000</w:t>
            </w:r>
          </w:p>
        </w:tc>
      </w:tr>
      <w:tr>
        <w:trPr>
          <w:trHeight w:val="97"/>
        </w:trPr>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520" w:type="dxa"/>
            <w:vAlign w:val="bottom"/>
            <w:tcBorders>
              <w:bottom w:val="single" w:sz="8" w:color="auto"/>
            </w:tcBorders>
            <w:shd w:val="clear" w:color="auto" w:fill="D6DAEE"/>
          </w:tcPr>
          <w:p>
            <w:pPr>
              <w:spacing w:after="0"/>
              <w:rPr>
                <w:sz w:val="8"/>
                <w:szCs w:val="8"/>
                <w:color w:val="auto"/>
              </w:rPr>
            </w:pPr>
          </w:p>
        </w:tc>
        <w:tc>
          <w:tcPr>
            <w:tcW w:w="860" w:type="dxa"/>
            <w:vAlign w:val="bottom"/>
            <w:tcBorders>
              <w:bottom w:val="single" w:sz="8" w:color="auto"/>
            </w:tcBorders>
            <w:shd w:val="clear" w:color="auto" w:fill="D6DAEE"/>
          </w:tcPr>
          <w:p>
            <w:pPr>
              <w:jc w:val="center"/>
              <w:ind w:left="32"/>
              <w:spacing w:after="0" w:line="97" w:lineRule="exact"/>
              <w:rPr>
                <w:sz w:val="20"/>
                <w:szCs w:val="20"/>
                <w:color w:val="auto"/>
              </w:rPr>
            </w:pPr>
            <w:r>
              <w:rPr>
                <w:rFonts w:ascii="Arial" w:cs="Arial" w:eastAsia="Arial" w:hAnsi="Arial"/>
                <w:sz w:val="10"/>
                <w:szCs w:val="10"/>
                <w:color w:val="auto"/>
                <w:w w:val="97"/>
              </w:rPr>
              <w:t>37,090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248285</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788" w:space="720"/>
            <w:col w:w="7980"/>
          </w:cols>
          <w:pgMar w:left="212" w:top="142" w:right="199" w:bottom="1440" w:gutter="0" w:footer="0" w:header="0"/>
          <w:type w:val="continuous"/>
        </w:sectPr>
      </w:pPr>
    </w:p>
    <w:bookmarkStart w:id="27" w:name="page28"/>
    <w:bookmarkEnd w:id="27"/>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Arial" w:cs="Arial" w:eastAsia="Arial" w:hAnsi="Arial"/>
          <w:sz w:val="16"/>
          <w:szCs w:val="16"/>
          <w:color w:val="105BAB"/>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-1069975</wp:posOffset>
            </wp:positionV>
            <wp:extent cx="875030" cy="875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2010</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65</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309" w:lineRule="exact"/>
        <w:rPr>
          <w:sz w:val="20"/>
          <w:szCs w:val="20"/>
          <w:color w:val="auto"/>
        </w:rPr>
      </w:pPr>
    </w:p>
    <w:p>
      <w:pPr>
        <w:ind w:left="8"/>
        <w:spacing w:after="0"/>
        <w:rPr>
          <w:sz w:val="20"/>
          <w:szCs w:val="20"/>
          <w:color w:val="auto"/>
        </w:rPr>
      </w:pPr>
      <w:r>
        <w:rPr>
          <w:rFonts w:ascii="Arial" w:cs="Arial" w:eastAsia="Arial" w:hAnsi="Arial"/>
          <w:sz w:val="14"/>
          <w:szCs w:val="14"/>
          <w:color w:val="105BAB"/>
        </w:rPr>
        <w:t>OTHER PUBLIC BOARDS (RECENT SERVICE)</w:t>
      </w:r>
    </w:p>
    <w:p>
      <w:pPr>
        <w:ind w:left="88" w:hanging="88"/>
        <w:spacing w:after="0"/>
        <w:tabs>
          <w:tab w:leader="none" w:pos="88" w:val="left"/>
        </w:tabs>
        <w:numPr>
          <w:ilvl w:val="0"/>
          <w:numId w:val="22"/>
        </w:numPr>
        <w:rPr>
          <w:rFonts w:ascii="Arial" w:cs="Arial" w:eastAsia="Arial" w:hAnsi="Arial"/>
          <w:sz w:val="10"/>
          <w:szCs w:val="10"/>
          <w:color w:val="105BAB"/>
        </w:rPr>
      </w:pPr>
      <w:r>
        <w:rPr>
          <w:rFonts w:ascii="Arial" w:cs="Arial" w:eastAsia="Arial" w:hAnsi="Arial"/>
          <w:sz w:val="12"/>
          <w:szCs w:val="12"/>
          <w:color w:val="auto"/>
        </w:rPr>
        <w:t>Prudential Financial, Inc.</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22"/>
        </w:numPr>
        <w:rPr>
          <w:rFonts w:ascii="Arial" w:cs="Arial" w:eastAsia="Arial" w:hAnsi="Arial"/>
          <w:sz w:val="10"/>
          <w:szCs w:val="10"/>
          <w:color w:val="105BAB"/>
        </w:rPr>
      </w:pPr>
      <w:r>
        <w:rPr>
          <w:rFonts w:ascii="Arial" w:cs="Arial" w:eastAsia="Arial" w:hAnsi="Arial"/>
          <w:sz w:val="12"/>
          <w:szCs w:val="12"/>
          <w:color w:val="auto"/>
        </w:rPr>
        <w:t>The Sherwin-Williams Company</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22"/>
        </w:numPr>
        <w:rPr>
          <w:rFonts w:ascii="Arial" w:cs="Arial" w:eastAsia="Arial" w:hAnsi="Arial"/>
          <w:sz w:val="10"/>
          <w:szCs w:val="10"/>
          <w:color w:val="105BAB"/>
        </w:rPr>
      </w:pPr>
      <w:r>
        <w:rPr>
          <w:rFonts w:ascii="Arial" w:cs="Arial" w:eastAsia="Arial" w:hAnsi="Arial"/>
          <w:sz w:val="12"/>
          <w:szCs w:val="12"/>
          <w:color w:val="auto"/>
        </w:rPr>
        <w:t>Royal Philips Electronics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Ms. Poon is an Executive-in-Residence in the Department of Management and Human Resources at The Max M. Fisher College of Business at The Ohio State University, where she served as Dean and the John W. Berry, Sr. Chair in Business from 2009 to 2014.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 Ms. Poon serves on the boards of directors of Prudential Financial, Inc. and The Sherwin-Williams Company and the Supervisory Board of Royal Philips Electronics.</w:t>
      </w:r>
    </w:p>
    <w:p>
      <w:pPr>
        <w:spacing w:after="0" w:line="140" w:lineRule="exact"/>
        <w:rPr>
          <w:sz w:val="20"/>
          <w:szCs w:val="20"/>
          <w:color w:val="auto"/>
        </w:rPr>
      </w:pPr>
    </w:p>
    <w:p>
      <w:pPr>
        <w:ind w:right="260"/>
        <w:spacing w:after="0" w:line="239" w:lineRule="auto"/>
        <w:rPr>
          <w:sz w:val="20"/>
          <w:szCs w:val="20"/>
          <w:color w:val="auto"/>
        </w:rPr>
      </w:pPr>
      <w:r>
        <w:rPr>
          <w:rFonts w:ascii="Arial" w:cs="Arial" w:eastAsia="Arial" w:hAnsi="Arial"/>
          <w:sz w:val="12"/>
          <w:szCs w:val="12"/>
          <w:color w:val="auto"/>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6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3180" w:type="dxa"/>
            <w:vAlign w:val="bottom"/>
            <w:tcBorders>
              <w:bottom w:val="single" w:sz="8" w:color="105BAB"/>
            </w:tcBorders>
          </w:tcPr>
          <w:p>
            <w:pPr>
              <w:ind w:left="2380"/>
              <w:spacing w:after="0"/>
              <w:rPr>
                <w:sz w:val="20"/>
                <w:szCs w:val="20"/>
                <w:color w:val="auto"/>
              </w:rPr>
            </w:pPr>
            <w:r>
              <w:rPr>
                <w:rFonts w:ascii="Arial" w:cs="Arial" w:eastAsia="Arial" w:hAnsi="Arial"/>
                <w:sz w:val="10"/>
                <w:szCs w:val="10"/>
                <w:b w:val="1"/>
                <w:bCs w:val="1"/>
                <w:color w:val="105BAB"/>
                <w:w w:val="98"/>
              </w:rPr>
              <w:t>2017 Attendance</w:t>
            </w:r>
          </w:p>
        </w:tc>
      </w:tr>
      <w:tr>
        <w:trPr>
          <w:trHeight w:val="116"/>
        </w:trPr>
        <w:tc>
          <w:tcPr>
            <w:tcW w:w="46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3180" w:type="dxa"/>
            <w:vAlign w:val="bottom"/>
            <w:tcBorders>
              <w:bottom w:val="single" w:sz="8" w:color="auto"/>
            </w:tcBorders>
            <w:shd w:val="clear" w:color="auto" w:fill="F1F3F9"/>
          </w:tcPr>
          <w:p>
            <w:pPr>
              <w:jc w:val="center"/>
              <w:ind w:left="2312"/>
              <w:spacing w:after="0"/>
              <w:rPr>
                <w:sz w:val="20"/>
                <w:szCs w:val="20"/>
                <w:color w:val="auto"/>
              </w:rPr>
            </w:pPr>
            <w:r>
              <w:rPr>
                <w:rFonts w:ascii="Arial" w:cs="Arial" w:eastAsia="Arial" w:hAnsi="Arial"/>
                <w:sz w:val="10"/>
                <w:szCs w:val="10"/>
                <w:color w:val="auto"/>
              </w:rPr>
              <w:t>6/6</w:t>
            </w:r>
          </w:p>
        </w:tc>
      </w:tr>
      <w:tr>
        <w:trPr>
          <w:trHeight w:val="124"/>
        </w:trPr>
        <w:tc>
          <w:tcPr>
            <w:tcW w:w="46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Compensation Committee (Chairperson)</w:t>
            </w:r>
          </w:p>
        </w:tc>
        <w:tc>
          <w:tcPr>
            <w:tcW w:w="3180" w:type="dxa"/>
            <w:vAlign w:val="bottom"/>
            <w:tcBorders>
              <w:bottom w:val="single" w:sz="8" w:color="auto"/>
            </w:tcBorders>
            <w:shd w:val="clear" w:color="auto" w:fill="D6DAEE"/>
          </w:tcPr>
          <w:p>
            <w:pPr>
              <w:jc w:val="center"/>
              <w:ind w:left="2332"/>
              <w:spacing w:after="0"/>
              <w:rPr>
                <w:sz w:val="20"/>
                <w:szCs w:val="20"/>
                <w:color w:val="auto"/>
              </w:rPr>
            </w:pPr>
            <w:r>
              <w:rPr>
                <w:rFonts w:ascii="Arial" w:cs="Arial" w:eastAsia="Arial" w:hAnsi="Arial"/>
                <w:sz w:val="10"/>
                <w:szCs w:val="10"/>
                <w:color w:val="auto"/>
                <w:w w:val="95"/>
              </w:rPr>
              <w:t>12/12</w:t>
            </w:r>
          </w:p>
        </w:tc>
      </w:tr>
      <w:tr>
        <w:trPr>
          <w:trHeight w:val="106"/>
        </w:trPr>
        <w:tc>
          <w:tcPr>
            <w:tcW w:w="4640" w:type="dxa"/>
            <w:vAlign w:val="bottom"/>
            <w:tcBorders>
              <w:bottom w:val="single" w:sz="8" w:color="auto"/>
            </w:tcBorders>
            <w:shd w:val="clear" w:color="auto" w:fill="F1F3F9"/>
          </w:tcPr>
          <w:p>
            <w:pPr>
              <w:ind w:left="60"/>
              <w:spacing w:after="0" w:line="106" w:lineRule="exact"/>
              <w:rPr>
                <w:sz w:val="20"/>
                <w:szCs w:val="20"/>
                <w:color w:val="auto"/>
              </w:rPr>
            </w:pPr>
            <w:r>
              <w:rPr>
                <w:rFonts w:ascii="Arial" w:cs="Arial" w:eastAsia="Arial" w:hAnsi="Arial"/>
                <w:sz w:val="10"/>
                <w:szCs w:val="10"/>
                <w:color w:val="auto"/>
              </w:rPr>
              <w:t>Corporate Governance and Compliance Committee</w:t>
            </w:r>
          </w:p>
        </w:tc>
        <w:tc>
          <w:tcPr>
            <w:tcW w:w="3180" w:type="dxa"/>
            <w:vAlign w:val="bottom"/>
            <w:tcBorders>
              <w:bottom w:val="single" w:sz="8" w:color="auto"/>
            </w:tcBorders>
            <w:shd w:val="clear" w:color="auto" w:fill="F1F3F9"/>
          </w:tcPr>
          <w:p>
            <w:pPr>
              <w:jc w:val="center"/>
              <w:ind w:left="2312"/>
              <w:spacing w:after="0" w:line="106" w:lineRule="exact"/>
              <w:rPr>
                <w:sz w:val="20"/>
                <w:szCs w:val="20"/>
                <w:color w:val="auto"/>
              </w:rPr>
            </w:pPr>
            <w:r>
              <w:rPr>
                <w:rFonts w:ascii="Arial" w:cs="Arial" w:eastAsia="Arial" w:hAnsi="Arial"/>
                <w:sz w:val="10"/>
                <w:szCs w:val="10"/>
                <w:color w:val="auto"/>
              </w:rPr>
              <w:t>6/6</w:t>
            </w:r>
          </w:p>
        </w:tc>
      </w:tr>
    </w:tbl>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440" w:type="dxa"/>
            <w:vAlign w:val="bottom"/>
            <w:tcBorders>
              <w:bottom w:val="single" w:sz="8" w:color="105BAB"/>
            </w:tcBorders>
          </w:tcPr>
          <w:p>
            <w:pPr>
              <w:spacing w:after="0"/>
              <w:rPr>
                <w:sz w:val="10"/>
                <w:szCs w:val="10"/>
                <w:color w:val="auto"/>
              </w:rPr>
            </w:pPr>
          </w:p>
        </w:tc>
        <w:tc>
          <w:tcPr>
            <w:tcW w:w="50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99"/>
              </w:rPr>
              <w:t>For</w:t>
            </w:r>
          </w:p>
        </w:tc>
        <w:tc>
          <w:tcPr>
            <w:tcW w:w="880" w:type="dxa"/>
            <w:vAlign w:val="bottom"/>
            <w:tcBorders>
              <w:bottom w:val="single" w:sz="8" w:color="105BAB"/>
            </w:tcBorders>
            <w:gridSpan w:val="2"/>
          </w:tcPr>
          <w:p>
            <w:pPr>
              <w:jc w:val="center"/>
              <w:ind w:left="12"/>
              <w:spacing w:after="0"/>
              <w:rPr>
                <w:sz w:val="20"/>
                <w:szCs w:val="20"/>
                <w:color w:val="auto"/>
              </w:rPr>
            </w:pPr>
            <w:r>
              <w:rPr>
                <w:rFonts w:ascii="Arial" w:cs="Arial" w:eastAsia="Arial" w:hAnsi="Arial"/>
                <w:sz w:val="10"/>
                <w:szCs w:val="10"/>
                <w:b w:val="1"/>
                <w:bCs w:val="1"/>
                <w:color w:val="105BAB"/>
                <w:w w:val="95"/>
              </w:rPr>
              <w:t>Against/Withheld</w:t>
            </w:r>
          </w:p>
        </w:tc>
        <w:tc>
          <w:tcPr>
            <w:tcW w:w="0" w:type="dxa"/>
            <w:vAlign w:val="bottom"/>
          </w:tcPr>
          <w:p>
            <w:pPr>
              <w:spacing w:after="0"/>
              <w:rPr>
                <w:sz w:val="1"/>
                <w:szCs w:val="1"/>
                <w:color w:val="auto"/>
              </w:rPr>
            </w:pP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(2017)</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84.0%</w:t>
            </w:r>
          </w:p>
        </w:tc>
        <w:tc>
          <w:tcPr>
            <w:tcW w:w="880" w:type="dxa"/>
            <w:vAlign w:val="bottom"/>
            <w:tcBorders>
              <w:bottom w:val="single" w:sz="8" w:color="auto"/>
            </w:tcBorders>
            <w:gridSpan w:val="2"/>
            <w:shd w:val="clear" w:color="auto" w:fill="F1F3F9"/>
          </w:tcPr>
          <w:p>
            <w:pPr>
              <w:jc w:val="center"/>
              <w:ind w:left="12"/>
              <w:spacing w:after="0" w:line="97" w:lineRule="exact"/>
              <w:rPr>
                <w:sz w:val="20"/>
                <w:szCs w:val="20"/>
                <w:color w:val="auto"/>
              </w:rPr>
            </w:pPr>
            <w:r>
              <w:rPr>
                <w:rFonts w:ascii="Arial" w:cs="Arial" w:eastAsia="Arial" w:hAnsi="Arial"/>
                <w:sz w:val="10"/>
                <w:szCs w:val="10"/>
                <w:color w:val="auto"/>
                <w:w w:val="91"/>
              </w:rPr>
              <w:t>16.0%</w:t>
            </w:r>
          </w:p>
        </w:tc>
        <w:tc>
          <w:tcPr>
            <w:tcW w:w="0" w:type="dxa"/>
            <w:vAlign w:val="bottom"/>
          </w:tcPr>
          <w:p>
            <w:pPr>
              <w:spacing w:after="0"/>
              <w:rPr>
                <w:sz w:val="1"/>
                <w:szCs w:val="1"/>
                <w:color w:val="auto"/>
              </w:rPr>
            </w:pPr>
          </w:p>
        </w:tc>
      </w:tr>
      <w:tr>
        <w:trPr>
          <w:trHeight w:val="205"/>
        </w:trPr>
        <w:tc>
          <w:tcPr>
            <w:tcW w:w="64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7"/>
                <w:szCs w:val="17"/>
                <w:color w:val="auto"/>
              </w:rPr>
            </w:pPr>
          </w:p>
        </w:tc>
        <w:tc>
          <w:tcPr>
            <w:tcW w:w="420" w:type="dxa"/>
            <w:vAlign w:val="bottom"/>
            <w:tcBorders>
              <w:bottom w:val="single" w:sz="8" w:color="105BAB"/>
            </w:tcBorders>
          </w:tcPr>
          <w:p>
            <w:pPr>
              <w:spacing w:after="0"/>
              <w:rPr>
                <w:sz w:val="17"/>
                <w:szCs w:val="17"/>
                <w:color w:val="auto"/>
              </w:rPr>
            </w:pPr>
          </w:p>
        </w:tc>
        <w:tc>
          <w:tcPr>
            <w:tcW w:w="460" w:type="dxa"/>
            <w:vAlign w:val="bottom"/>
            <w:tcBorders>
              <w:bottom w:val="single" w:sz="8" w:color="105BAB"/>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4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F1F3F9"/>
          </w:tcPr>
          <w:p>
            <w:pPr>
              <w:spacing w:after="0"/>
              <w:rPr>
                <w:sz w:val="8"/>
                <w:szCs w:val="8"/>
                <w:color w:val="auto"/>
              </w:rPr>
            </w:pPr>
          </w:p>
        </w:tc>
        <w:tc>
          <w:tcPr>
            <w:tcW w:w="880" w:type="dxa"/>
            <w:vAlign w:val="bottom"/>
            <w:tcBorders>
              <w:bottom w:val="single" w:sz="8" w:color="auto"/>
            </w:tcBorders>
            <w:gridSpan w:val="2"/>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5"/>
              </w:rPr>
              <w:t>790</w:t>
            </w:r>
          </w:p>
        </w:tc>
        <w:tc>
          <w:tcPr>
            <w:tcW w:w="0" w:type="dxa"/>
            <w:vAlign w:val="bottom"/>
          </w:tcPr>
          <w:p>
            <w:pPr>
              <w:spacing w:after="0"/>
              <w:rPr>
                <w:sz w:val="1"/>
                <w:szCs w:val="1"/>
                <w:color w:val="auto"/>
              </w:rPr>
            </w:pPr>
          </w:p>
        </w:tc>
      </w:tr>
      <w:tr>
        <w:trPr>
          <w:trHeight w:val="97"/>
        </w:trPr>
        <w:tc>
          <w:tcPr>
            <w:tcW w:w="644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D6DAEE"/>
          </w:tcPr>
          <w:p>
            <w:pPr>
              <w:spacing w:after="0"/>
              <w:rPr>
                <w:sz w:val="8"/>
                <w:szCs w:val="8"/>
                <w:color w:val="auto"/>
              </w:rPr>
            </w:pPr>
          </w:p>
        </w:tc>
        <w:tc>
          <w:tcPr>
            <w:tcW w:w="880" w:type="dxa"/>
            <w:vAlign w:val="bottom"/>
            <w:tcBorders>
              <w:bottom w:val="single" w:sz="8" w:color="auto"/>
            </w:tcBorders>
            <w:gridSpan w:val="2"/>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w w:val="93"/>
              </w:rPr>
              <w:t>101,870</w:t>
            </w:r>
          </w:p>
        </w:tc>
        <w:tc>
          <w:tcPr>
            <w:tcW w:w="0" w:type="dxa"/>
            <w:vAlign w:val="bottom"/>
          </w:tcPr>
          <w:p>
            <w:pPr>
              <w:spacing w:after="0"/>
              <w:rPr>
                <w:sz w:val="1"/>
                <w:szCs w:val="1"/>
                <w:color w:val="auto"/>
              </w:rPr>
            </w:pPr>
          </w:p>
        </w:tc>
      </w:tr>
      <w:tr>
        <w:trPr>
          <w:trHeight w:val="133"/>
        </w:trPr>
        <w:tc>
          <w:tcPr>
            <w:tcW w:w="6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shd w:val="clear" w:color="auto" w:fill="105BAB"/>
          </w:tcPr>
          <w:p>
            <w:pPr>
              <w:jc w:val="right"/>
              <w:ind w:right="292"/>
              <w:spacing w:after="0" w:line="108" w:lineRule="exact"/>
              <w:rPr>
                <w:sz w:val="20"/>
                <w:szCs w:val="20"/>
                <w:color w:val="auto"/>
              </w:rPr>
            </w:pPr>
            <w:r>
              <w:rPr>
                <w:rFonts w:ascii="Arial" w:cs="Arial" w:eastAsia="Arial" w:hAnsi="Arial"/>
                <w:sz w:val="10"/>
                <w:szCs w:val="10"/>
                <w:b w:val="1"/>
                <w:bCs w:val="1"/>
                <w:color w:val="FFFFFE"/>
                <w:w w:val="89"/>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88265</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3108" w:space="400"/>
            <w:col w:w="7980"/>
          </w:cols>
          <w:pgMar w:left="212" w:top="142" w:right="199" w:bottom="1440" w:gutter="0" w:footer="0" w:header="0"/>
          <w:type w:val="continuous"/>
        </w:sectPr>
      </w:pPr>
    </w:p>
    <w:bookmarkStart w:id="28" w:name="page29"/>
    <w:bookmarkEnd w:id="28"/>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Arial" w:cs="Arial" w:eastAsia="Arial" w:hAnsi="Arial"/>
          <w:sz w:val="16"/>
          <w:szCs w:val="16"/>
          <w:color w:val="105BAB"/>
        </w:rPr>
        <w:t>P. ROY VAGELOS,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-1069975</wp:posOffset>
            </wp:positionV>
            <wp:extent cx="875030" cy="875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1995</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88</w:t>
      </w:r>
    </w:p>
    <w:p>
      <w:pPr>
        <w:spacing w:after="0" w:line="311"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296" w:lineRule="exact"/>
        <w:rPr>
          <w:sz w:val="20"/>
          <w:szCs w:val="20"/>
          <w:color w:val="auto"/>
        </w:rPr>
      </w:pPr>
    </w:p>
    <w:p>
      <w:pPr>
        <w:ind w:left="88" w:hanging="88"/>
        <w:spacing w:after="0"/>
        <w:tabs>
          <w:tab w:leader="none" w:pos="88" w:val="left"/>
        </w:tabs>
        <w:numPr>
          <w:ilvl w:val="0"/>
          <w:numId w:val="23"/>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23"/>
        </w:numPr>
        <w:rPr>
          <w:rFonts w:ascii="Arial" w:cs="Arial" w:eastAsia="Arial" w:hAnsi="Arial"/>
          <w:sz w:val="10"/>
          <w:szCs w:val="10"/>
          <w:color w:val="105BAB"/>
        </w:rPr>
      </w:pPr>
      <w:r>
        <w:rPr>
          <w:rFonts w:ascii="Arial" w:cs="Arial" w:eastAsia="Arial" w:hAnsi="Arial"/>
          <w:sz w:val="12"/>
          <w:szCs w:val="12"/>
          <w:color w:val="auto"/>
        </w:rPr>
        <w:t>The National Academy of Medicine</w:t>
      </w:r>
    </w:p>
    <w:p>
      <w:pPr>
        <w:spacing w:after="0" w:line="6" w:lineRule="exact"/>
        <w:rPr>
          <w:rFonts w:ascii="Arial" w:cs="Arial" w:eastAsia="Arial" w:hAnsi="Arial"/>
          <w:sz w:val="10"/>
          <w:szCs w:val="10"/>
          <w:color w:val="105BAB"/>
        </w:rPr>
      </w:pPr>
    </w:p>
    <w:p>
      <w:pPr>
        <w:ind w:left="88" w:hanging="88"/>
        <w:spacing w:after="0"/>
        <w:tabs>
          <w:tab w:leader="none" w:pos="88" w:val="left"/>
        </w:tabs>
        <w:numPr>
          <w:ilvl w:val="0"/>
          <w:numId w:val="23"/>
        </w:numPr>
        <w:rPr>
          <w:rFonts w:ascii="Arial" w:cs="Arial" w:eastAsia="Arial" w:hAnsi="Arial"/>
          <w:sz w:val="10"/>
          <w:szCs w:val="10"/>
          <w:color w:val="105BAB"/>
        </w:rPr>
      </w:pPr>
      <w:r>
        <w:rPr>
          <w:rFonts w:ascii="Arial" w:cs="Arial" w:eastAsia="Arial" w:hAnsi="Arial"/>
          <w:sz w:val="12"/>
          <w:szCs w:val="12"/>
          <w:color w:val="auto"/>
        </w:rPr>
        <w:t>The American Philosophical Society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served on the board of directors of Theravance, Inc. through April 2010. Dr. Vagelos is a member of the National Academy of Sciences, the National Academy of Medicine, and the American Philosophical Society. During his tenure as Chairman of Regeneron and previously as Chairman and Chief Executive Officer of Merck, Dr. Vagelos developed an extensive understanding of the complex business, operational, scientific, regulatory, and commercial issues facing the pharmaceutical industry.</w:t>
      </w:r>
    </w:p>
    <w:p>
      <w:pPr>
        <w:spacing w:after="0" w:line="141" w:lineRule="exact"/>
        <w:rPr>
          <w:sz w:val="20"/>
          <w:szCs w:val="20"/>
          <w:color w:val="auto"/>
        </w:rPr>
      </w:pPr>
    </w:p>
    <w:p>
      <w:pPr>
        <w:ind w:right="260"/>
        <w:spacing w:after="0" w:line="239" w:lineRule="auto"/>
        <w:rPr>
          <w:sz w:val="20"/>
          <w:szCs w:val="20"/>
          <w:color w:val="auto"/>
        </w:rPr>
      </w:pPr>
      <w:r>
        <w:rPr>
          <w:rFonts w:ascii="Arial" w:cs="Arial" w:eastAsia="Arial" w:hAnsi="Arial"/>
          <w:sz w:val="12"/>
          <w:szCs w:val="12"/>
          <w:color w:val="auto"/>
        </w:rPr>
        <w:t>Dr. Vagelos's tenure and experience with the Company and Merck, his extensive knowledge of the pharmaceutical industry, his substantial leadership experience, and his significant understanding of the Company led the board to conclude that Dr. Vagelos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46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500" w:type="dxa"/>
            <w:vAlign w:val="bottom"/>
            <w:tcBorders>
              <w:bottom w:val="single" w:sz="8" w:color="105BAB"/>
            </w:tcBorders>
          </w:tcPr>
          <w:p>
            <w:pPr>
              <w:spacing w:after="0"/>
              <w:rPr>
                <w:sz w:val="10"/>
                <w:szCs w:val="10"/>
                <w:color w:val="auto"/>
              </w:rPr>
            </w:pPr>
          </w:p>
        </w:tc>
        <w:tc>
          <w:tcPr>
            <w:tcW w:w="86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5"/>
              </w:rPr>
              <w:t>2017 Attendance</w:t>
            </w:r>
          </w:p>
        </w:tc>
      </w:tr>
      <w:tr>
        <w:trPr>
          <w:trHeight w:val="116"/>
        </w:trPr>
        <w:tc>
          <w:tcPr>
            <w:tcW w:w="646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500" w:type="dxa"/>
            <w:vAlign w:val="bottom"/>
            <w:tcBorders>
              <w:bottom w:val="single" w:sz="8" w:color="auto"/>
            </w:tcBorders>
            <w:shd w:val="clear" w:color="auto" w:fill="F1F3F9"/>
          </w:tcPr>
          <w:p>
            <w:pPr>
              <w:spacing w:after="0"/>
              <w:rPr>
                <w:sz w:val="10"/>
                <w:szCs w:val="10"/>
                <w:color w:val="auto"/>
              </w:rPr>
            </w:pPr>
          </w:p>
        </w:tc>
        <w:tc>
          <w:tcPr>
            <w:tcW w:w="860" w:type="dxa"/>
            <w:vAlign w:val="bottom"/>
            <w:tcBorders>
              <w:bottom w:val="single" w:sz="8" w:color="auto"/>
            </w:tcBorders>
            <w:shd w:val="clear" w:color="auto" w:fill="F1F3F9"/>
          </w:tcPr>
          <w:p>
            <w:pPr>
              <w:jc w:val="center"/>
              <w:ind w:left="32"/>
              <w:spacing w:after="0"/>
              <w:rPr>
                <w:sz w:val="20"/>
                <w:szCs w:val="20"/>
                <w:color w:val="auto"/>
              </w:rPr>
            </w:pPr>
            <w:r>
              <w:rPr>
                <w:rFonts w:ascii="Arial" w:cs="Arial" w:eastAsia="Arial" w:hAnsi="Arial"/>
                <w:sz w:val="10"/>
                <w:szCs w:val="10"/>
                <w:color w:val="auto"/>
              </w:rPr>
              <w:t>5/6</w:t>
            </w:r>
          </w:p>
        </w:tc>
      </w:tr>
      <w:tr>
        <w:trPr>
          <w:trHeight w:val="124"/>
        </w:trPr>
        <w:tc>
          <w:tcPr>
            <w:tcW w:w="646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Technology Committee</w:t>
            </w:r>
          </w:p>
        </w:tc>
        <w:tc>
          <w:tcPr>
            <w:tcW w:w="500" w:type="dxa"/>
            <w:vAlign w:val="bottom"/>
            <w:tcBorders>
              <w:bottom w:val="single" w:sz="8" w:color="auto"/>
            </w:tcBorders>
            <w:shd w:val="clear" w:color="auto" w:fill="D6DAEE"/>
          </w:tcPr>
          <w:p>
            <w:pPr>
              <w:spacing w:after="0"/>
              <w:rPr>
                <w:sz w:val="10"/>
                <w:szCs w:val="10"/>
                <w:color w:val="auto"/>
              </w:rPr>
            </w:pPr>
          </w:p>
        </w:tc>
        <w:tc>
          <w:tcPr>
            <w:tcW w:w="860" w:type="dxa"/>
            <w:vAlign w:val="bottom"/>
            <w:tcBorders>
              <w:bottom w:val="single" w:sz="8" w:color="auto"/>
            </w:tcBorders>
            <w:shd w:val="clear" w:color="auto" w:fill="D6DAEE"/>
          </w:tcPr>
          <w:p>
            <w:pPr>
              <w:jc w:val="center"/>
              <w:ind w:left="32"/>
              <w:spacing w:after="0"/>
              <w:rPr>
                <w:sz w:val="20"/>
                <w:szCs w:val="20"/>
                <w:color w:val="auto"/>
              </w:rPr>
            </w:pPr>
            <w:r>
              <w:rPr>
                <w:rFonts w:ascii="Arial" w:cs="Arial" w:eastAsia="Arial" w:hAnsi="Arial"/>
                <w:sz w:val="10"/>
                <w:szCs w:val="10"/>
                <w:color w:val="auto"/>
              </w:rPr>
              <w:t>2/2</w:t>
            </w:r>
          </w:p>
        </w:tc>
      </w:tr>
      <w:tr>
        <w:trPr>
          <w:trHeight w:val="214"/>
        </w:trPr>
        <w:tc>
          <w:tcPr>
            <w:tcW w:w="6460" w:type="dxa"/>
            <w:vAlign w:val="bottom"/>
            <w:tcBorders>
              <w:bottom w:val="single" w:sz="8" w:color="105BAB"/>
            </w:tcBorders>
          </w:tcPr>
          <w:p>
            <w:pPr>
              <w:spacing w:after="0"/>
              <w:rPr>
                <w:sz w:val="18"/>
                <w:szCs w:val="18"/>
                <w:color w:val="auto"/>
              </w:rPr>
            </w:pPr>
          </w:p>
        </w:tc>
        <w:tc>
          <w:tcPr>
            <w:tcW w:w="500" w:type="dxa"/>
            <w:vAlign w:val="bottom"/>
            <w:tcBorders>
              <w:bottom w:val="single" w:sz="8" w:color="105BAB"/>
            </w:tcBorders>
          </w:tcPr>
          <w:p>
            <w:pPr>
              <w:jc w:val="center"/>
              <w:ind w:left="32"/>
              <w:spacing w:after="0"/>
              <w:rPr>
                <w:sz w:val="20"/>
                <w:szCs w:val="20"/>
                <w:color w:val="auto"/>
              </w:rPr>
            </w:pPr>
            <w:r>
              <w:rPr>
                <w:rFonts w:ascii="Arial" w:cs="Arial" w:eastAsia="Arial" w:hAnsi="Arial"/>
                <w:sz w:val="10"/>
                <w:szCs w:val="10"/>
                <w:b w:val="1"/>
                <w:bCs w:val="1"/>
                <w:color w:val="105BAB"/>
                <w:w w:val="86"/>
              </w:rPr>
              <w:t>For</w:t>
            </w:r>
          </w:p>
        </w:tc>
        <w:tc>
          <w:tcPr>
            <w:tcW w:w="860" w:type="dxa"/>
            <w:vAlign w:val="bottom"/>
            <w:tcBorders>
              <w:bottom w:val="single" w:sz="8" w:color="105BAB"/>
            </w:tcBorders>
          </w:tcPr>
          <w:p>
            <w:pPr>
              <w:ind w:left="80"/>
              <w:spacing w:after="0"/>
              <w:rPr>
                <w:sz w:val="20"/>
                <w:szCs w:val="20"/>
                <w:color w:val="auto"/>
              </w:rPr>
            </w:pPr>
            <w:r>
              <w:rPr>
                <w:rFonts w:ascii="Arial" w:cs="Arial" w:eastAsia="Arial" w:hAnsi="Arial"/>
                <w:sz w:val="10"/>
                <w:szCs w:val="10"/>
                <w:b w:val="1"/>
                <w:bCs w:val="1"/>
                <w:color w:val="105BAB"/>
                <w:w w:val="92"/>
              </w:rPr>
              <w:t>Against/Withheld</w:t>
            </w:r>
          </w:p>
        </w:tc>
      </w:tr>
      <w:tr>
        <w:trPr>
          <w:trHeight w:val="97"/>
        </w:trPr>
        <w:tc>
          <w:tcPr>
            <w:tcW w:w="646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(2017)</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99.5%</w:t>
            </w:r>
          </w:p>
        </w:tc>
        <w:tc>
          <w:tcPr>
            <w:tcW w:w="860" w:type="dxa"/>
            <w:vAlign w:val="bottom"/>
            <w:tcBorders>
              <w:bottom w:val="single" w:sz="8" w:color="auto"/>
            </w:tcBorders>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6"/>
              </w:rPr>
              <w:t>0.5%</w:t>
            </w:r>
          </w:p>
        </w:tc>
      </w:tr>
      <w:tr>
        <w:trPr>
          <w:trHeight w:val="205"/>
        </w:trPr>
        <w:tc>
          <w:tcPr>
            <w:tcW w:w="646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7"/>
                <w:szCs w:val="17"/>
                <w:color w:val="auto"/>
              </w:rPr>
            </w:pPr>
          </w:p>
        </w:tc>
        <w:tc>
          <w:tcPr>
            <w:tcW w:w="860" w:type="dxa"/>
            <w:vAlign w:val="bottom"/>
            <w:tcBorders>
              <w:bottom w:val="single" w:sz="8" w:color="105BAB"/>
            </w:tcBorders>
          </w:tcPr>
          <w:p>
            <w:pPr>
              <w:spacing w:after="0"/>
              <w:rPr>
                <w:sz w:val="17"/>
                <w:szCs w:val="17"/>
                <w:color w:val="auto"/>
              </w:rPr>
            </w:pPr>
          </w:p>
        </w:tc>
      </w:tr>
      <w:tr>
        <w:trPr>
          <w:trHeight w:val="97"/>
        </w:trPr>
        <w:tc>
          <w:tcPr>
            <w:tcW w:w="646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F1F3F9"/>
          </w:tcPr>
          <w:p>
            <w:pPr>
              <w:spacing w:after="0"/>
              <w:rPr>
                <w:sz w:val="8"/>
                <w:szCs w:val="8"/>
                <w:color w:val="auto"/>
              </w:rPr>
            </w:pPr>
          </w:p>
        </w:tc>
        <w:tc>
          <w:tcPr>
            <w:tcW w:w="860" w:type="dxa"/>
            <w:vAlign w:val="bottom"/>
            <w:tcBorders>
              <w:bottom w:val="single" w:sz="8" w:color="auto"/>
            </w:tcBorders>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3"/>
              </w:rPr>
              <w:t>960,640</w:t>
            </w:r>
          </w:p>
        </w:tc>
      </w:tr>
      <w:tr>
        <w:trPr>
          <w:trHeight w:val="97"/>
        </w:trPr>
        <w:tc>
          <w:tcPr>
            <w:tcW w:w="646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D6DAEE"/>
          </w:tcPr>
          <w:p>
            <w:pPr>
              <w:spacing w:after="0"/>
              <w:rPr>
                <w:sz w:val="8"/>
                <w:szCs w:val="8"/>
                <w:color w:val="auto"/>
              </w:rPr>
            </w:pPr>
          </w:p>
        </w:tc>
        <w:tc>
          <w:tcPr>
            <w:tcW w:w="860" w:type="dxa"/>
            <w:vAlign w:val="bottom"/>
            <w:tcBorders>
              <w:bottom w:val="single" w:sz="8" w:color="auto"/>
            </w:tcBorders>
            <w:shd w:val="clear" w:color="auto" w:fill="D6DAEE"/>
          </w:tcPr>
          <w:p>
            <w:pPr>
              <w:jc w:val="center"/>
              <w:ind w:left="32"/>
              <w:spacing w:after="0" w:line="97" w:lineRule="exact"/>
              <w:rPr>
                <w:sz w:val="20"/>
                <w:szCs w:val="20"/>
                <w:color w:val="auto"/>
              </w:rPr>
            </w:pPr>
            <w:r>
              <w:rPr>
                <w:rFonts w:ascii="Arial" w:cs="Arial" w:eastAsia="Arial" w:hAnsi="Arial"/>
                <w:sz w:val="10"/>
                <w:szCs w:val="10"/>
                <w:color w:val="auto"/>
                <w:w w:val="94"/>
              </w:rPr>
              <w:t>1,601,266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248285</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788" w:space="720"/>
            <w:col w:w="7980"/>
          </w:cols>
          <w:pgMar w:left="212" w:top="142" w:right="199" w:bottom="1440" w:gutter="0" w:footer="0" w:header="0"/>
          <w:type w:val="continuous"/>
        </w:sectPr>
      </w:pPr>
    </w:p>
    <w:bookmarkStart w:id="29" w:name="page30"/>
    <w:bookmarkEnd w:id="29"/>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943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943610"/>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
        <w:spacing w:after="0"/>
        <w:rPr>
          <w:sz w:val="20"/>
          <w:szCs w:val="20"/>
          <w:color w:val="auto"/>
        </w:rPr>
      </w:pPr>
      <w:r>
        <w:rPr>
          <w:rFonts w:ascii="Arial" w:cs="Arial" w:eastAsia="Arial" w:hAnsi="Arial"/>
          <w:sz w:val="16"/>
          <w:szCs w:val="16"/>
          <w:color w:val="105BAB"/>
        </w:rPr>
        <w:t>HUDA Y. ZOGHBI, M.D.</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Director since: 2016</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Age: 63</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Independent</w:t>
      </w:r>
    </w:p>
    <w:p>
      <w:pPr>
        <w:spacing w:after="0" w:line="311" w:lineRule="exact"/>
        <w:rPr>
          <w:sz w:val="20"/>
          <w:szCs w:val="20"/>
          <w:color w:val="auto"/>
        </w:rPr>
      </w:pPr>
    </w:p>
    <w:p>
      <w:pPr>
        <w:ind w:left="8"/>
        <w:spacing w:after="0"/>
        <w:rPr>
          <w:sz w:val="20"/>
          <w:szCs w:val="20"/>
          <w:color w:val="auto"/>
        </w:rPr>
      </w:pPr>
      <w:r>
        <w:rPr>
          <w:rFonts w:ascii="Arial" w:cs="Arial" w:eastAsia="Arial" w:hAnsi="Arial"/>
          <w:sz w:val="14"/>
          <w:szCs w:val="14"/>
          <w:color w:val="105BAB"/>
        </w:rPr>
        <w:t>SCIENTIFIC SOCIETY MEMBERSHIPS</w:t>
      </w:r>
    </w:p>
    <w:p>
      <w:pPr>
        <w:spacing w:after="0" w:line="143" w:lineRule="exact"/>
        <w:rPr>
          <w:sz w:val="20"/>
          <w:szCs w:val="20"/>
          <w:color w:val="auto"/>
        </w:rPr>
      </w:pPr>
    </w:p>
    <w:p>
      <w:pPr>
        <w:ind w:left="88" w:hanging="88"/>
        <w:spacing w:after="0"/>
        <w:tabs>
          <w:tab w:leader="none" w:pos="88" w:val="left"/>
        </w:tabs>
        <w:numPr>
          <w:ilvl w:val="0"/>
          <w:numId w:val="24"/>
        </w:numPr>
        <w:rPr>
          <w:rFonts w:ascii="Arial" w:cs="Arial" w:eastAsia="Arial" w:hAnsi="Arial"/>
          <w:sz w:val="10"/>
          <w:szCs w:val="10"/>
          <w:color w:val="105BAB"/>
        </w:rPr>
      </w:pPr>
      <w:r>
        <w:rPr>
          <w:rFonts w:ascii="Arial" w:cs="Arial" w:eastAsia="Arial" w:hAnsi="Arial"/>
          <w:sz w:val="12"/>
          <w:szCs w:val="12"/>
          <w:color w:val="auto"/>
        </w:rPr>
        <w:t>The National Academy of Sciences</w:t>
      </w:r>
    </w:p>
    <w:p>
      <w:pPr>
        <w:spacing w:after="0" w:line="111" w:lineRule="exact"/>
        <w:rPr>
          <w:rFonts w:ascii="Arial" w:cs="Arial" w:eastAsia="Arial" w:hAnsi="Arial"/>
          <w:sz w:val="10"/>
          <w:szCs w:val="10"/>
          <w:color w:val="105BAB"/>
        </w:rPr>
      </w:pPr>
    </w:p>
    <w:p>
      <w:pPr>
        <w:ind w:left="88" w:hanging="88"/>
        <w:spacing w:after="0"/>
        <w:tabs>
          <w:tab w:leader="none" w:pos="88" w:val="left"/>
        </w:tabs>
        <w:numPr>
          <w:ilvl w:val="0"/>
          <w:numId w:val="24"/>
        </w:numPr>
        <w:rPr>
          <w:rFonts w:ascii="Arial" w:cs="Arial" w:eastAsia="Arial" w:hAnsi="Arial"/>
          <w:sz w:val="10"/>
          <w:szCs w:val="10"/>
          <w:color w:val="105BAB"/>
        </w:rPr>
      </w:pPr>
      <w:r>
        <w:rPr>
          <w:rFonts w:ascii="Arial" w:cs="Arial" w:eastAsia="Arial" w:hAnsi="Arial"/>
          <w:sz w:val="12"/>
          <w:szCs w:val="12"/>
          <w:color w:val="auto"/>
        </w:rPr>
        <w:t>The Institute of Medicine</w:t>
      </w:r>
    </w:p>
    <w:p>
      <w:pPr>
        <w:ind w:left="88" w:hanging="88"/>
        <w:spacing w:after="0"/>
        <w:tabs>
          <w:tab w:leader="none" w:pos="88" w:val="left"/>
        </w:tabs>
        <w:numPr>
          <w:ilvl w:val="0"/>
          <w:numId w:val="24"/>
        </w:numPr>
        <w:rPr>
          <w:rFonts w:ascii="Arial" w:cs="Arial" w:eastAsia="Arial" w:hAnsi="Arial"/>
          <w:sz w:val="10"/>
          <w:szCs w:val="10"/>
          <w:color w:val="105BAB"/>
        </w:rPr>
      </w:pPr>
      <w:r>
        <w:rPr>
          <w:rFonts w:ascii="Arial" w:cs="Arial" w:eastAsia="Arial" w:hAnsi="Arial"/>
          <w:sz w:val="12"/>
          <w:szCs w:val="12"/>
          <w:color w:val="auto"/>
        </w:rPr>
        <w:t>The American Association for the</w:t>
      </w:r>
    </w:p>
    <w:p>
      <w:pPr>
        <w:spacing w:after="0" w:line="15" w:lineRule="exact"/>
        <w:rPr>
          <w:sz w:val="20"/>
          <w:szCs w:val="20"/>
          <w:color w:val="auto"/>
        </w:rPr>
      </w:pPr>
    </w:p>
    <w:p>
      <w:pPr>
        <w:ind w:left="128"/>
        <w:spacing w:after="0"/>
        <w:rPr>
          <w:sz w:val="20"/>
          <w:szCs w:val="20"/>
          <w:color w:val="auto"/>
        </w:rPr>
      </w:pPr>
      <w:r>
        <w:rPr>
          <w:rFonts w:ascii="Arial" w:cs="Arial" w:eastAsia="Arial" w:hAnsi="Arial"/>
          <w:sz w:val="12"/>
          <w:szCs w:val="12"/>
          <w:color w:val="auto"/>
        </w:rPr>
        <w:t>Advancement of Science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36" w:lineRule="auto"/>
        <w:rPr>
          <w:sz w:val="20"/>
          <w:szCs w:val="20"/>
          <w:color w:val="auto"/>
        </w:rPr>
      </w:pPr>
      <w:r>
        <w:rPr>
          <w:rFonts w:ascii="Arial" w:cs="Arial" w:eastAsia="Arial" w:hAnsi="Arial"/>
          <w:sz w:val="12"/>
          <w:szCs w:val="12"/>
          <w:color w:val="auto"/>
        </w:rPr>
        <w:t>Dr. Zoghbi is currently a professor in the departments of Pediatrics, Molecular and Human Genetics, and Neurology and Neuroscience at Baylor College of Medicine, the director of the Jan and Dan Duncan Neurological Research Institute at Texas Children's Hospital, and an investigator of the Howard Hughes Medical Institute. She has been elected to the National Academy of Sciences, the Institute of Medicine, and the American Association for the Advancement of Science, and has been awarded numerous recognitions for her work, including the Pearl Meister Greengard Prize, the March of Dimes Prize in Developmental Biology, and the Vanderbilt Prize in Biomedical Science.</w:t>
      </w:r>
    </w:p>
    <w:p>
      <w:pPr>
        <w:spacing w:after="0" w:line="141" w:lineRule="exact"/>
        <w:rPr>
          <w:sz w:val="20"/>
          <w:szCs w:val="20"/>
          <w:color w:val="auto"/>
        </w:rPr>
      </w:pPr>
    </w:p>
    <w:p>
      <w:pPr>
        <w:ind w:right="260"/>
        <w:spacing w:after="0" w:line="237" w:lineRule="auto"/>
        <w:rPr>
          <w:sz w:val="20"/>
          <w:szCs w:val="20"/>
          <w:color w:val="auto"/>
        </w:rPr>
      </w:pPr>
      <w:r>
        <w:rPr>
          <w:rFonts w:ascii="Arial" w:cs="Arial" w:eastAsia="Arial" w:hAnsi="Arial"/>
          <w:sz w:val="12"/>
          <w:szCs w:val="12"/>
          <w:color w:val="auto"/>
        </w:rPr>
        <w:t>Dr. Zoghbi earned her B.Sc. from the American University of Beirut, received her M.D. from Meharry Medical College in Nashville, Tennessee, and completed her pediatrics residency and a joint residency in neurology and pediatric neurology at Baylor College of Medicine, where she then pursued postdoctoral research training in molecular genetics.</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Dr. Zoghbi's extensive research experience and her scientific and academic career and accomplishments led the board to conclude that Dr. Zoghbi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46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Board and Committee Membership</w:t>
            </w:r>
          </w:p>
        </w:tc>
        <w:tc>
          <w:tcPr>
            <w:tcW w:w="3180" w:type="dxa"/>
            <w:vAlign w:val="bottom"/>
            <w:tcBorders>
              <w:bottom w:val="single" w:sz="8" w:color="105BAB"/>
            </w:tcBorders>
          </w:tcPr>
          <w:p>
            <w:pPr>
              <w:jc w:val="center"/>
              <w:ind w:left="2332"/>
              <w:spacing w:after="0"/>
              <w:rPr>
                <w:sz w:val="20"/>
                <w:szCs w:val="20"/>
                <w:color w:val="auto"/>
              </w:rPr>
            </w:pPr>
            <w:r>
              <w:rPr>
                <w:rFonts w:ascii="Arial" w:cs="Arial" w:eastAsia="Arial" w:hAnsi="Arial"/>
                <w:sz w:val="10"/>
                <w:szCs w:val="10"/>
                <w:b w:val="1"/>
                <w:bCs w:val="1"/>
                <w:color w:val="105BAB"/>
                <w:w w:val="95"/>
              </w:rPr>
              <w:t>2017 Attendance</w:t>
            </w:r>
          </w:p>
        </w:tc>
      </w:tr>
      <w:tr>
        <w:trPr>
          <w:trHeight w:val="116"/>
        </w:trPr>
        <w:tc>
          <w:tcPr>
            <w:tcW w:w="464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Board of Directors</w:t>
            </w:r>
          </w:p>
        </w:tc>
        <w:tc>
          <w:tcPr>
            <w:tcW w:w="3180" w:type="dxa"/>
            <w:vAlign w:val="bottom"/>
            <w:tcBorders>
              <w:bottom w:val="single" w:sz="8" w:color="auto"/>
            </w:tcBorders>
            <w:shd w:val="clear" w:color="auto" w:fill="F1F3F9"/>
          </w:tcPr>
          <w:p>
            <w:pPr>
              <w:jc w:val="center"/>
              <w:ind w:left="2352"/>
              <w:spacing w:after="0"/>
              <w:rPr>
                <w:sz w:val="20"/>
                <w:szCs w:val="20"/>
                <w:color w:val="auto"/>
              </w:rPr>
            </w:pPr>
            <w:r>
              <w:rPr>
                <w:rFonts w:ascii="Arial" w:cs="Arial" w:eastAsia="Arial" w:hAnsi="Arial"/>
                <w:sz w:val="10"/>
                <w:szCs w:val="10"/>
                <w:color w:val="auto"/>
              </w:rPr>
              <w:t>6/6</w:t>
            </w:r>
          </w:p>
        </w:tc>
      </w:tr>
      <w:tr>
        <w:trPr>
          <w:trHeight w:val="106"/>
        </w:trPr>
        <w:tc>
          <w:tcPr>
            <w:tcW w:w="4640" w:type="dxa"/>
            <w:vAlign w:val="bottom"/>
            <w:tcBorders>
              <w:bottom w:val="single" w:sz="8" w:color="auto"/>
            </w:tcBorders>
            <w:shd w:val="clear" w:color="auto" w:fill="D6DAEE"/>
          </w:tcPr>
          <w:p>
            <w:pPr>
              <w:ind w:left="60"/>
              <w:spacing w:after="0" w:line="106" w:lineRule="exact"/>
              <w:rPr>
                <w:sz w:val="20"/>
                <w:szCs w:val="20"/>
                <w:color w:val="auto"/>
              </w:rPr>
            </w:pPr>
            <w:r>
              <w:rPr>
                <w:rFonts w:ascii="Arial" w:cs="Arial" w:eastAsia="Arial" w:hAnsi="Arial"/>
                <w:sz w:val="10"/>
                <w:szCs w:val="10"/>
                <w:color w:val="auto"/>
              </w:rPr>
              <w:t>Corporate Governance and Compliance Committee</w:t>
            </w:r>
          </w:p>
        </w:tc>
        <w:tc>
          <w:tcPr>
            <w:tcW w:w="3180" w:type="dxa"/>
            <w:vAlign w:val="bottom"/>
            <w:tcBorders>
              <w:bottom w:val="single" w:sz="8" w:color="auto"/>
            </w:tcBorders>
            <w:shd w:val="clear" w:color="auto" w:fill="D6DAEE"/>
          </w:tcPr>
          <w:p>
            <w:pPr>
              <w:jc w:val="center"/>
              <w:ind w:left="2352"/>
              <w:spacing w:after="0" w:line="106" w:lineRule="exact"/>
              <w:rPr>
                <w:sz w:val="20"/>
                <w:szCs w:val="20"/>
                <w:color w:val="auto"/>
              </w:rPr>
            </w:pPr>
            <w:r>
              <w:rPr>
                <w:rFonts w:ascii="Arial" w:cs="Arial" w:eastAsia="Arial" w:hAnsi="Arial"/>
                <w:sz w:val="10"/>
                <w:szCs w:val="10"/>
                <w:color w:val="auto"/>
              </w:rPr>
              <w:t>6/6</w:t>
            </w:r>
          </w:p>
        </w:tc>
      </w:tr>
      <w:tr>
        <w:trPr>
          <w:trHeight w:val="97"/>
        </w:trPr>
        <w:tc>
          <w:tcPr>
            <w:tcW w:w="464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Technology Committee</w:t>
            </w:r>
          </w:p>
        </w:tc>
        <w:tc>
          <w:tcPr>
            <w:tcW w:w="3180" w:type="dxa"/>
            <w:vAlign w:val="bottom"/>
            <w:tcBorders>
              <w:bottom w:val="single" w:sz="8" w:color="auto"/>
            </w:tcBorders>
            <w:shd w:val="clear" w:color="auto" w:fill="F1F3F9"/>
          </w:tcPr>
          <w:p>
            <w:pPr>
              <w:jc w:val="center"/>
              <w:ind w:left="2352"/>
              <w:spacing w:after="0" w:line="97" w:lineRule="exact"/>
              <w:rPr>
                <w:sz w:val="20"/>
                <w:szCs w:val="20"/>
                <w:color w:val="auto"/>
              </w:rPr>
            </w:pPr>
            <w:r>
              <w:rPr>
                <w:rFonts w:ascii="Arial" w:cs="Arial" w:eastAsia="Arial" w:hAnsi="Arial"/>
                <w:sz w:val="10"/>
                <w:szCs w:val="10"/>
                <w:color w:val="auto"/>
              </w:rPr>
              <w:t>2/2</w:t>
            </w:r>
          </w:p>
        </w:tc>
      </w:tr>
    </w:tbl>
    <w:p>
      <w:pPr>
        <w:spacing w:after="0" w:line="99" w:lineRule="exact"/>
        <w:rPr>
          <w:sz w:val="20"/>
          <w:szCs w:val="20"/>
          <w:color w:val="auto"/>
        </w:rPr>
      </w:pPr>
    </w:p>
    <w:tbl>
      <w:tblPr>
        <w:tblLayout w:type="fixed"/>
        <w:tblInd w:w="160" w:type="dxa"/>
        <w:tblCellMar>
          <w:top w:w="0" w:type="dxa"/>
          <w:left w:w="0" w:type="dxa"/>
          <w:bottom w:w="0" w:type="dxa"/>
          <w:right w:w="0" w:type="dxa"/>
        </w:tblCellMar>
      </w:tblPr>
      <w:tr>
        <w:trPr>
          <w:trHeight w:val="117"/>
        </w:trPr>
        <w:tc>
          <w:tcPr>
            <w:tcW w:w="6460" w:type="dxa"/>
            <w:vAlign w:val="bottom"/>
            <w:tcBorders>
              <w:bottom w:val="single" w:sz="8" w:color="105BAB"/>
            </w:tcBorders>
          </w:tcPr>
          <w:p>
            <w:pPr>
              <w:spacing w:after="0"/>
              <w:rPr>
                <w:sz w:val="10"/>
                <w:szCs w:val="10"/>
                <w:color w:val="auto"/>
              </w:rPr>
            </w:pPr>
          </w:p>
        </w:tc>
        <w:tc>
          <w:tcPr>
            <w:tcW w:w="500" w:type="dxa"/>
            <w:vAlign w:val="bottom"/>
            <w:tcBorders>
              <w:bottom w:val="single" w:sz="8" w:color="105BAB"/>
            </w:tcBorders>
          </w:tcPr>
          <w:p>
            <w:pPr>
              <w:jc w:val="center"/>
              <w:ind w:left="32"/>
              <w:spacing w:after="0"/>
              <w:rPr>
                <w:sz w:val="20"/>
                <w:szCs w:val="20"/>
                <w:color w:val="auto"/>
              </w:rPr>
            </w:pPr>
            <w:r>
              <w:rPr>
                <w:rFonts w:ascii="Arial" w:cs="Arial" w:eastAsia="Arial" w:hAnsi="Arial"/>
                <w:sz w:val="10"/>
                <w:szCs w:val="10"/>
                <w:b w:val="1"/>
                <w:bCs w:val="1"/>
                <w:color w:val="105BAB"/>
                <w:w w:val="86"/>
              </w:rPr>
              <w:t>For</w:t>
            </w:r>
          </w:p>
        </w:tc>
        <w:tc>
          <w:tcPr>
            <w:tcW w:w="860" w:type="dxa"/>
            <w:vAlign w:val="bottom"/>
            <w:tcBorders>
              <w:bottom w:val="single" w:sz="8" w:color="105BAB"/>
            </w:tcBorders>
            <w:gridSpan w:val="2"/>
          </w:tcPr>
          <w:p>
            <w:pPr>
              <w:ind w:left="80"/>
              <w:spacing w:after="0"/>
              <w:rPr>
                <w:sz w:val="20"/>
                <w:szCs w:val="20"/>
                <w:color w:val="auto"/>
              </w:rPr>
            </w:pPr>
            <w:r>
              <w:rPr>
                <w:rFonts w:ascii="Arial" w:cs="Arial" w:eastAsia="Arial" w:hAnsi="Arial"/>
                <w:sz w:val="10"/>
                <w:szCs w:val="10"/>
                <w:b w:val="1"/>
                <w:bCs w:val="1"/>
                <w:color w:val="105BAB"/>
                <w:w w:val="92"/>
              </w:rPr>
              <w:t>Against/Withheld</w:t>
            </w:r>
          </w:p>
        </w:tc>
        <w:tc>
          <w:tcPr>
            <w:tcW w:w="0" w:type="dxa"/>
            <w:vAlign w:val="bottom"/>
          </w:tcPr>
          <w:p>
            <w:pPr>
              <w:spacing w:after="0"/>
              <w:rPr>
                <w:sz w:val="1"/>
                <w:szCs w:val="1"/>
                <w:color w:val="auto"/>
              </w:rPr>
            </w:pPr>
          </w:p>
        </w:tc>
      </w:tr>
      <w:tr>
        <w:trPr>
          <w:trHeight w:val="97"/>
        </w:trPr>
        <w:tc>
          <w:tcPr>
            <w:tcW w:w="646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Prior Voting Results (2017)</w:t>
            </w:r>
          </w:p>
        </w:tc>
        <w:tc>
          <w:tcPr>
            <w:tcW w:w="500" w:type="dxa"/>
            <w:vAlign w:val="bottom"/>
            <w:tcBorders>
              <w:bottom w:val="single" w:sz="8" w:color="auto"/>
            </w:tcBorders>
            <w:shd w:val="clear" w:color="auto" w:fill="F1F3F9"/>
          </w:tcPr>
          <w:p>
            <w:pPr>
              <w:jc w:val="right"/>
              <w:ind w:right="32"/>
              <w:spacing w:after="0" w:line="97" w:lineRule="exact"/>
              <w:rPr>
                <w:sz w:val="20"/>
                <w:szCs w:val="20"/>
                <w:color w:val="auto"/>
              </w:rPr>
            </w:pPr>
            <w:r>
              <w:rPr>
                <w:rFonts w:ascii="Arial" w:cs="Arial" w:eastAsia="Arial" w:hAnsi="Arial"/>
                <w:sz w:val="10"/>
                <w:szCs w:val="10"/>
                <w:color w:val="auto"/>
              </w:rPr>
              <w:t>97.7%</w:t>
            </w:r>
          </w:p>
        </w:tc>
        <w:tc>
          <w:tcPr>
            <w:tcW w:w="860" w:type="dxa"/>
            <w:vAlign w:val="bottom"/>
            <w:tcBorders>
              <w:bottom w:val="single" w:sz="8" w:color="auto"/>
            </w:tcBorders>
            <w:gridSpan w:val="2"/>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w w:val="96"/>
              </w:rPr>
              <w:t>2.3%</w:t>
            </w:r>
          </w:p>
        </w:tc>
        <w:tc>
          <w:tcPr>
            <w:tcW w:w="0" w:type="dxa"/>
            <w:vAlign w:val="bottom"/>
          </w:tcPr>
          <w:p>
            <w:pPr>
              <w:spacing w:after="0"/>
              <w:rPr>
                <w:sz w:val="1"/>
                <w:szCs w:val="1"/>
                <w:color w:val="auto"/>
              </w:rPr>
            </w:pPr>
          </w:p>
        </w:tc>
      </w:tr>
      <w:tr>
        <w:trPr>
          <w:trHeight w:val="205"/>
        </w:trPr>
        <w:tc>
          <w:tcPr>
            <w:tcW w:w="646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Regeneron Securities Beneficially Owned as of April 12, 2018</w:t>
            </w:r>
          </w:p>
        </w:tc>
        <w:tc>
          <w:tcPr>
            <w:tcW w:w="500" w:type="dxa"/>
            <w:vAlign w:val="bottom"/>
            <w:tcBorders>
              <w:bottom w:val="single" w:sz="8" w:color="105BAB"/>
            </w:tcBorders>
          </w:tcPr>
          <w:p>
            <w:pPr>
              <w:spacing w:after="0"/>
              <w:rPr>
                <w:sz w:val="17"/>
                <w:szCs w:val="17"/>
                <w:color w:val="auto"/>
              </w:rPr>
            </w:pPr>
          </w:p>
        </w:tc>
        <w:tc>
          <w:tcPr>
            <w:tcW w:w="400" w:type="dxa"/>
            <w:vAlign w:val="bottom"/>
            <w:tcBorders>
              <w:bottom w:val="single" w:sz="8" w:color="105BAB"/>
            </w:tcBorders>
          </w:tcPr>
          <w:p>
            <w:pPr>
              <w:spacing w:after="0"/>
              <w:rPr>
                <w:sz w:val="17"/>
                <w:szCs w:val="17"/>
                <w:color w:val="auto"/>
              </w:rPr>
            </w:pPr>
          </w:p>
        </w:tc>
        <w:tc>
          <w:tcPr>
            <w:tcW w:w="460" w:type="dxa"/>
            <w:vAlign w:val="bottom"/>
            <w:tcBorders>
              <w:bottom w:val="single" w:sz="8" w:color="105BAB"/>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460" w:type="dxa"/>
            <w:vAlign w:val="bottom"/>
            <w:tcBorders>
              <w:bottom w:val="single" w:sz="8" w:color="auto"/>
            </w:tcBorders>
            <w:shd w:val="clear" w:color="auto" w:fill="F1F3F9"/>
          </w:tcPr>
          <w:p>
            <w:pPr>
              <w:ind w:left="60"/>
              <w:spacing w:after="0" w:line="97" w:lineRule="exact"/>
              <w:rPr>
                <w:sz w:val="20"/>
                <w:szCs w:val="20"/>
                <w:color w:val="auto"/>
              </w:rPr>
            </w:pPr>
            <w:r>
              <w:rPr>
                <w:rFonts w:ascii="Arial" w:cs="Arial" w:eastAsia="Arial" w:hAnsi="Arial"/>
                <w:sz w:val="10"/>
                <w:szCs w:val="10"/>
                <w:color w:val="auto"/>
              </w:rPr>
              <w:t>Common Stock</w:t>
            </w:r>
          </w:p>
        </w:tc>
        <w:tc>
          <w:tcPr>
            <w:tcW w:w="500" w:type="dxa"/>
            <w:vAlign w:val="bottom"/>
            <w:tcBorders>
              <w:bottom w:val="single" w:sz="8" w:color="auto"/>
            </w:tcBorders>
            <w:shd w:val="clear" w:color="auto" w:fill="F1F3F9"/>
          </w:tcPr>
          <w:p>
            <w:pPr>
              <w:spacing w:after="0"/>
              <w:rPr>
                <w:sz w:val="8"/>
                <w:szCs w:val="8"/>
                <w:color w:val="auto"/>
              </w:rPr>
            </w:pPr>
          </w:p>
        </w:tc>
        <w:tc>
          <w:tcPr>
            <w:tcW w:w="860" w:type="dxa"/>
            <w:vAlign w:val="bottom"/>
            <w:tcBorders>
              <w:bottom w:val="single" w:sz="8" w:color="auto"/>
            </w:tcBorders>
            <w:gridSpan w:val="2"/>
            <w:shd w:val="clear" w:color="auto" w:fill="F1F3F9"/>
          </w:tcPr>
          <w:p>
            <w:pPr>
              <w:jc w:val="center"/>
              <w:ind w:left="32"/>
              <w:spacing w:after="0" w:line="97" w:lineRule="exact"/>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97"/>
        </w:trPr>
        <w:tc>
          <w:tcPr>
            <w:tcW w:w="6460" w:type="dxa"/>
            <w:vAlign w:val="bottom"/>
            <w:tcBorders>
              <w:bottom w:val="single" w:sz="8" w:color="auto"/>
            </w:tcBorders>
            <w:shd w:val="clear" w:color="auto" w:fill="D6DAEE"/>
          </w:tcPr>
          <w:p>
            <w:pPr>
              <w:ind w:left="60"/>
              <w:spacing w:after="0" w:line="97" w:lineRule="exact"/>
              <w:rPr>
                <w:sz w:val="20"/>
                <w:szCs w:val="20"/>
                <w:color w:val="auto"/>
              </w:rPr>
            </w:pPr>
            <w:r>
              <w:rPr>
                <w:rFonts w:ascii="Arial" w:cs="Arial" w:eastAsia="Arial" w:hAnsi="Arial"/>
                <w:sz w:val="10"/>
                <w:szCs w:val="10"/>
                <w:color w:val="auto"/>
              </w:rPr>
              <w:t>Options</w:t>
            </w:r>
          </w:p>
        </w:tc>
        <w:tc>
          <w:tcPr>
            <w:tcW w:w="500" w:type="dxa"/>
            <w:vAlign w:val="bottom"/>
            <w:tcBorders>
              <w:bottom w:val="single" w:sz="8" w:color="auto"/>
            </w:tcBorders>
            <w:shd w:val="clear" w:color="auto" w:fill="D6DAEE"/>
          </w:tcPr>
          <w:p>
            <w:pPr>
              <w:spacing w:after="0"/>
              <w:rPr>
                <w:sz w:val="8"/>
                <w:szCs w:val="8"/>
                <w:color w:val="auto"/>
              </w:rPr>
            </w:pPr>
          </w:p>
        </w:tc>
        <w:tc>
          <w:tcPr>
            <w:tcW w:w="860" w:type="dxa"/>
            <w:vAlign w:val="bottom"/>
            <w:tcBorders>
              <w:bottom w:val="single" w:sz="8" w:color="auto"/>
            </w:tcBorders>
            <w:gridSpan w:val="2"/>
            <w:shd w:val="clear" w:color="auto" w:fill="D6DAEE"/>
          </w:tcPr>
          <w:p>
            <w:pPr>
              <w:jc w:val="center"/>
              <w:ind w:left="12"/>
              <w:spacing w:after="0" w:line="97" w:lineRule="exact"/>
              <w:rPr>
                <w:sz w:val="20"/>
                <w:szCs w:val="20"/>
                <w:color w:val="auto"/>
              </w:rPr>
            </w:pPr>
            <w:r>
              <w:rPr>
                <w:rFonts w:ascii="Arial" w:cs="Arial" w:eastAsia="Arial" w:hAnsi="Arial"/>
                <w:sz w:val="10"/>
                <w:szCs w:val="10"/>
                <w:color w:val="auto"/>
                <w:w w:val="95"/>
              </w:rPr>
              <w:t>5,931</w:t>
            </w: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60" w:type="dxa"/>
            <w:vAlign w:val="bottom"/>
            <w:shd w:val="clear" w:color="auto" w:fill="105BAB"/>
          </w:tcPr>
          <w:p>
            <w:pPr>
              <w:jc w:val="center"/>
              <w:ind w:right="292"/>
              <w:spacing w:after="0" w:line="108" w:lineRule="exact"/>
              <w:rPr>
                <w:sz w:val="20"/>
                <w:szCs w:val="20"/>
                <w:color w:val="auto"/>
              </w:rPr>
            </w:pPr>
            <w:r>
              <w:rPr>
                <w:rFonts w:ascii="Arial" w:cs="Arial" w:eastAsia="Arial" w:hAnsi="Arial"/>
                <w:sz w:val="10"/>
                <w:szCs w:val="10"/>
                <w:b w:val="1"/>
                <w:bCs w:val="1"/>
                <w:color w:val="FFFFFE"/>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88265</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788" w:space="720"/>
            <w:col w:w="7980"/>
          </w:cols>
          <w:pgMar w:left="212" w:top="142" w:right="199" w:bottom="1440" w:gutter="0" w:footer="0" w:header="0"/>
          <w:type w:val="continuous"/>
        </w:sectPr>
      </w:pPr>
    </w:p>
    <w:bookmarkStart w:id="30" w:name="page31"/>
    <w:bookmarkEnd w:id="30"/>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BOARD COMMITTEES</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1"/>
          <w:szCs w:val="11"/>
          <w:b w:val="1"/>
          <w:bCs w:val="1"/>
          <w:color w:val="auto"/>
        </w:rPr>
        <w:t>www.regeneron.com</w:t>
      </w:r>
      <w:r>
        <w:rPr>
          <w:rFonts w:ascii="Arial" w:cs="Arial" w:eastAsia="Arial" w:hAnsi="Arial"/>
          <w:sz w:val="11"/>
          <w:szCs w:val="11"/>
          <w:color w:val="auto"/>
        </w:rPr>
        <w:t xml:space="preserve"> under the "Corporate Governance" heading on the "Investors &amp; Media" page.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We show below information on the membership, key functions, and number of meetings of each board committee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2459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245935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105BAB"/>
        </w:rPr>
        <w:t>AUDIT COMMITTEE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105BAB"/>
        </w:rPr>
        <w:t>Members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George L. Sing, </w:t>
      </w:r>
      <w:r>
        <w:rPr>
          <w:rFonts w:ascii="Arial" w:cs="Arial" w:eastAsia="Arial" w:hAnsi="Arial"/>
          <w:sz w:val="10"/>
          <w:szCs w:val="10"/>
          <w:i w:val="1"/>
          <w:iCs w:val="1"/>
          <w:color w:val="auto"/>
        </w:rPr>
        <w:t>Chairman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0"/>
          <w:szCs w:val="10"/>
          <w:color w:val="auto"/>
        </w:rPr>
        <w:t>Charles A. Baker</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color w:val="auto"/>
        </w:rPr>
        <w:t>N. Anthony Coles, M.D.</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0"/>
          <w:szCs w:val="10"/>
          <w:i w:val="1"/>
          <w:iCs w:val="1"/>
          <w:color w:val="auto"/>
        </w:rPr>
        <w:t>(since January 27, 2017)</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0"/>
          <w:szCs w:val="10"/>
          <w:color w:val="auto"/>
        </w:rPr>
        <w:t>Arthur F. Ryan</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8"/>
          <w:szCs w:val="8"/>
          <w:b w:val="1"/>
          <w:bCs w:val="1"/>
          <w:color w:val="105BAB"/>
        </w:rPr>
        <w:t>Number of Meetings Held in 2017</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b w:val="1"/>
          <w:bCs w:val="1"/>
          <w:color w:val="105BAB"/>
        </w:rPr>
        <w:t>Key Functions</w:t>
      </w:r>
    </w:p>
    <w:p>
      <w:pPr>
        <w:spacing w:after="0" w:line="112" w:lineRule="exact"/>
        <w:rPr>
          <w:sz w:val="20"/>
          <w:szCs w:val="20"/>
          <w:color w:val="auto"/>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Select the independent registered public accounting firm, review and approve its engagement letter, and monitor its independence and performance.</w:t>
      </w:r>
    </w:p>
    <w:p>
      <w:pPr>
        <w:spacing w:after="0" w:line="132"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Review the overall scope and plans for the annual audit by the independent registered public accounting firm.</w:t>
      </w:r>
    </w:p>
    <w:p>
      <w:pPr>
        <w:spacing w:after="0" w:line="123" w:lineRule="exact"/>
        <w:rPr>
          <w:rFonts w:ascii="Arial" w:cs="Arial" w:eastAsia="Arial" w:hAnsi="Arial"/>
          <w:sz w:val="10"/>
          <w:szCs w:val="10"/>
          <w:color w:val="105BAB"/>
        </w:rPr>
      </w:pPr>
    </w:p>
    <w:p>
      <w:pPr>
        <w:ind w:left="100" w:right="140" w:hanging="93"/>
        <w:spacing w:after="0" w:line="239" w:lineRule="auto"/>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Approve performance of non-audit services by the independent registered public accounting firm and evaluate the performance and independence of the independent registered public accounting firm.</w:t>
      </w:r>
    </w:p>
    <w:p>
      <w:pPr>
        <w:spacing w:after="0" w:line="130"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Review and approve the Company's periodic financial statements and the results of the year-end audit.</w:t>
      </w:r>
    </w:p>
    <w:p>
      <w:pPr>
        <w:spacing w:after="0" w:line="132"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Review and discuss the adequacy and effectiveness of the Company's accounting and internal control policies and procedures.</w:t>
      </w:r>
    </w:p>
    <w:p>
      <w:pPr>
        <w:spacing w:after="0" w:line="123" w:lineRule="exact"/>
        <w:rPr>
          <w:rFonts w:ascii="Arial" w:cs="Arial" w:eastAsia="Arial" w:hAnsi="Arial"/>
          <w:sz w:val="10"/>
          <w:szCs w:val="10"/>
          <w:color w:val="105BAB"/>
        </w:rPr>
      </w:pPr>
    </w:p>
    <w:p>
      <w:pPr>
        <w:ind w:left="100" w:hanging="93"/>
        <w:spacing w:after="0" w:line="239" w:lineRule="auto"/>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130"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Review the independent registered public accounting firm's recommendations concerning the Company's financial practices and procedures.</w:t>
      </w:r>
    </w:p>
    <w:p>
      <w:pPr>
        <w:spacing w:after="0" w:line="132"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Oversee the Company's risk management program.</w:t>
      </w:r>
    </w:p>
    <w:p>
      <w:pPr>
        <w:spacing w:after="0" w:line="123"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Discuss with management the Company's major financial risk exposures and the steps management has taken to monitor and control such exposures.</w:t>
      </w:r>
    </w:p>
    <w:p>
      <w:pPr>
        <w:spacing w:after="0" w:line="132" w:lineRule="exact"/>
        <w:rPr>
          <w:rFonts w:ascii="Arial" w:cs="Arial" w:eastAsia="Arial" w:hAnsi="Arial"/>
          <w:sz w:val="10"/>
          <w:szCs w:val="10"/>
          <w:color w:val="105BAB"/>
        </w:rPr>
      </w:pPr>
    </w:p>
    <w:p>
      <w:pPr>
        <w:ind w:left="100" w:right="240" w:hanging="93"/>
        <w:spacing w:after="0" w:line="239" w:lineRule="auto"/>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130"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Review and approve any related person transaction.</w:t>
      </w:r>
    </w:p>
    <w:p>
      <w:pPr>
        <w:spacing w:after="0" w:line="123" w:lineRule="exact"/>
        <w:rPr>
          <w:rFonts w:ascii="Arial" w:cs="Arial" w:eastAsia="Arial" w:hAnsi="Arial"/>
          <w:sz w:val="10"/>
          <w:szCs w:val="10"/>
          <w:color w:val="105BAB"/>
        </w:rPr>
      </w:pPr>
    </w:p>
    <w:p>
      <w:pPr>
        <w:ind w:left="100" w:hanging="93"/>
        <w:spacing w:after="0"/>
        <w:tabs>
          <w:tab w:leader="none" w:pos="100" w:val="left"/>
        </w:tabs>
        <w:numPr>
          <w:ilvl w:val="0"/>
          <w:numId w:val="25"/>
        </w:numPr>
        <w:rPr>
          <w:rFonts w:ascii="Arial" w:cs="Arial" w:eastAsia="Arial" w:hAnsi="Arial"/>
          <w:sz w:val="10"/>
          <w:szCs w:val="10"/>
          <w:color w:val="105BAB"/>
        </w:rPr>
      </w:pPr>
      <w:r>
        <w:rPr>
          <w:rFonts w:ascii="Arial" w:cs="Arial" w:eastAsia="Arial" w:hAnsi="Arial"/>
          <w:sz w:val="12"/>
          <w:szCs w:val="12"/>
          <w:color w:val="auto"/>
        </w:rPr>
        <w:t>Prepare an annual report of the Audit Committee for inclusion in the Company's proxy statement.</w:t>
      </w:r>
    </w:p>
    <w:p>
      <w:pPr>
        <w:spacing w:after="0" w:line="139" w:lineRule="exact"/>
        <w:rPr>
          <w:sz w:val="20"/>
          <w:szCs w:val="20"/>
          <w:color w:val="auto"/>
        </w:rPr>
      </w:pPr>
    </w:p>
    <w:p>
      <w:pPr>
        <w:sectPr>
          <w:pgSz w:w="11900" w:h="16838" w:orient="portrait"/>
          <w:cols w:equalWidth="0" w:num="2">
            <w:col w:w="1940" w:space="720"/>
            <w:col w:w="8800"/>
          </w:cols>
          <w:pgMar w:left="220" w:top="142" w:right="219" w:bottom="1440" w:gutter="0" w:footer="0" w:header="0"/>
          <w:type w:val="continuous"/>
        </w:sectPr>
      </w:pPr>
    </w:p>
    <w:p>
      <w:pPr>
        <w:ind w:left="340"/>
        <w:spacing w:after="0"/>
        <w:rPr>
          <w:sz w:val="20"/>
          <w:szCs w:val="20"/>
          <w:color w:val="auto"/>
        </w:rPr>
      </w:pPr>
      <w:r>
        <w:rPr>
          <w:rFonts w:ascii="Arial" w:cs="Arial" w:eastAsia="Arial" w:hAnsi="Arial"/>
          <w:sz w:val="8"/>
          <w:szCs w:val="8"/>
          <w:b w:val="1"/>
          <w:bCs w:val="1"/>
          <w:color w:val="FFFFF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8575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type w:val="continuous"/>
        </w:sectPr>
      </w:pPr>
    </w:p>
    <w:bookmarkStart w:id="31" w:name="page32"/>
    <w:bookmarkEnd w:id="3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280" w:type="dxa"/>
            <w:vAlign w:val="bottom"/>
            <w:tcBorders>
              <w:top w:val="single" w:sz="8" w:color="105BAB"/>
            </w:tcBorders>
            <w:shd w:val="clear" w:color="auto" w:fill="D6DAEE"/>
          </w:tcPr>
          <w:p>
            <w:pPr>
              <w:ind w:left="40"/>
              <w:spacing w:after="0"/>
              <w:rPr>
                <w:sz w:val="20"/>
                <w:szCs w:val="20"/>
                <w:color w:val="auto"/>
              </w:rPr>
            </w:pPr>
            <w:r>
              <w:rPr>
                <w:rFonts w:ascii="Arial" w:cs="Arial" w:eastAsia="Arial" w:hAnsi="Arial"/>
                <w:sz w:val="16"/>
                <w:szCs w:val="16"/>
                <w:color w:val="105BAB"/>
              </w:rPr>
              <w:t>COMPENSATION</w:t>
            </w:r>
          </w:p>
        </w:tc>
        <w:tc>
          <w:tcPr>
            <w:tcW w:w="9200" w:type="dxa"/>
            <w:vAlign w:val="bottom"/>
            <w:tcBorders>
              <w:top w:val="single" w:sz="8" w:color="105BAB"/>
            </w:tcBorders>
            <w:gridSpan w:val="2"/>
            <w:shd w:val="clear" w:color="auto" w:fill="D6DAEE"/>
          </w:tcPr>
          <w:p>
            <w:pPr>
              <w:ind w:left="100"/>
              <w:spacing w:after="0"/>
              <w:rPr>
                <w:sz w:val="20"/>
                <w:szCs w:val="20"/>
                <w:color w:val="auto"/>
              </w:rPr>
            </w:pPr>
            <w:r>
              <w:rPr>
                <w:rFonts w:ascii="Arial" w:cs="Arial" w:eastAsia="Arial" w:hAnsi="Arial"/>
                <w:sz w:val="10"/>
                <w:szCs w:val="10"/>
                <w:b w:val="1"/>
                <w:bCs w:val="1"/>
                <w:color w:val="105BAB"/>
              </w:rPr>
              <w:t>Key Functions</w:t>
            </w:r>
          </w:p>
        </w:tc>
        <w:tc>
          <w:tcPr>
            <w:tcW w:w="0" w:type="dxa"/>
            <w:vAlign w:val="bottom"/>
          </w:tcPr>
          <w:p>
            <w:pPr>
              <w:spacing w:after="0"/>
              <w:rPr>
                <w:sz w:val="1"/>
                <w:szCs w:val="1"/>
                <w:color w:val="auto"/>
              </w:rPr>
            </w:pPr>
          </w:p>
        </w:tc>
      </w:tr>
      <w:tr>
        <w:trPr>
          <w:trHeight w:val="226"/>
        </w:trPr>
        <w:tc>
          <w:tcPr>
            <w:tcW w:w="2280" w:type="dxa"/>
            <w:vAlign w:val="bottom"/>
            <w:shd w:val="clear" w:color="auto" w:fill="D6DAEE"/>
          </w:tcPr>
          <w:p>
            <w:pPr>
              <w:spacing w:after="0"/>
              <w:rPr>
                <w:sz w:val="20"/>
                <w:szCs w:val="20"/>
                <w:color w:val="auto"/>
              </w:rPr>
            </w:pPr>
            <w:r>
              <w:rPr>
                <w:rFonts w:ascii="Arial" w:cs="Arial" w:eastAsia="Arial" w:hAnsi="Arial"/>
                <w:sz w:val="16"/>
                <w:szCs w:val="16"/>
                <w:color w:val="105BAB"/>
              </w:rPr>
              <w:t>COMMITTEE</w:t>
            </w:r>
          </w:p>
        </w:tc>
        <w:tc>
          <w:tcPr>
            <w:tcW w:w="160" w:type="dxa"/>
            <w:vAlign w:val="bottom"/>
            <w:shd w:val="clear" w:color="auto" w:fill="D6DAEE"/>
          </w:tcPr>
          <w:p>
            <w:pPr>
              <w:ind w:left="100"/>
              <w:spacing w:after="0"/>
              <w:rPr>
                <w:sz w:val="20"/>
                <w:szCs w:val="20"/>
                <w:color w:val="auto"/>
              </w:rPr>
            </w:pPr>
            <w:r>
              <w:rPr>
                <w:rFonts w:ascii="Arial" w:cs="Arial" w:eastAsia="Arial" w:hAnsi="Arial"/>
                <w:sz w:val="10"/>
                <w:szCs w:val="10"/>
                <w:color w:val="105BAB"/>
              </w:rPr>
              <w:t>•</w:t>
            </w:r>
          </w:p>
        </w:tc>
        <w:tc>
          <w:tcPr>
            <w:tcW w:w="9040" w:type="dxa"/>
            <w:vAlign w:val="bottom"/>
            <w:shd w:val="clear" w:color="auto" w:fill="D6DAEE"/>
          </w:tcPr>
          <w:p>
            <w:pPr>
              <w:ind w:left="20"/>
              <w:spacing w:after="0"/>
              <w:rPr>
                <w:sz w:val="20"/>
                <w:szCs w:val="20"/>
                <w:color w:val="auto"/>
              </w:rPr>
            </w:pPr>
            <w:r>
              <w:rPr>
                <w:rFonts w:ascii="Arial" w:cs="Arial" w:eastAsia="Arial" w:hAnsi="Arial"/>
                <w:sz w:val="12"/>
                <w:szCs w:val="12"/>
                <w:color w:val="auto"/>
              </w:rPr>
              <w:t>Evaluate the performance of the Chief Executive Officer and other executive officers of the Company.</w:t>
            </w:r>
          </w:p>
        </w:tc>
        <w:tc>
          <w:tcPr>
            <w:tcW w:w="0" w:type="dxa"/>
            <w:vAlign w:val="bottom"/>
          </w:tcPr>
          <w:p>
            <w:pPr>
              <w:spacing w:after="0"/>
              <w:rPr>
                <w:sz w:val="1"/>
                <w:szCs w:val="1"/>
                <w:color w:val="auto"/>
              </w:rPr>
            </w:pPr>
          </w:p>
        </w:tc>
      </w:tr>
      <w:tr>
        <w:trPr>
          <w:trHeight w:val="270"/>
        </w:trPr>
        <w:tc>
          <w:tcPr>
            <w:tcW w:w="2280" w:type="dxa"/>
            <w:vAlign w:val="bottom"/>
            <w:shd w:val="clear" w:color="auto" w:fill="D6DAEE"/>
          </w:tcPr>
          <w:p>
            <w:pPr>
              <w:ind w:left="40"/>
              <w:spacing w:after="0"/>
              <w:rPr>
                <w:sz w:val="20"/>
                <w:szCs w:val="20"/>
                <w:color w:val="auto"/>
              </w:rPr>
            </w:pPr>
            <w:r>
              <w:rPr>
                <w:rFonts w:ascii="Arial" w:cs="Arial" w:eastAsia="Arial" w:hAnsi="Arial"/>
                <w:sz w:val="10"/>
                <w:szCs w:val="10"/>
                <w:b w:val="1"/>
                <w:bCs w:val="1"/>
                <w:color w:val="105BAB"/>
              </w:rPr>
              <w:t>Members</w:t>
            </w:r>
          </w:p>
        </w:tc>
        <w:tc>
          <w:tcPr>
            <w:tcW w:w="160" w:type="dxa"/>
            <w:vAlign w:val="bottom"/>
            <w:shd w:val="clear" w:color="auto" w:fill="D6DAEE"/>
          </w:tcPr>
          <w:p>
            <w:pPr>
              <w:ind w:left="100"/>
              <w:spacing w:after="0"/>
              <w:rPr>
                <w:sz w:val="20"/>
                <w:szCs w:val="20"/>
                <w:color w:val="auto"/>
              </w:rPr>
            </w:pPr>
            <w:r>
              <w:rPr>
                <w:rFonts w:ascii="Arial" w:cs="Arial" w:eastAsia="Arial" w:hAnsi="Arial"/>
                <w:sz w:val="10"/>
                <w:szCs w:val="10"/>
                <w:color w:val="105BAB"/>
              </w:rPr>
              <w:t>•</w:t>
            </w:r>
          </w:p>
        </w:tc>
        <w:tc>
          <w:tcPr>
            <w:tcW w:w="9040" w:type="dxa"/>
            <w:vAlign w:val="bottom"/>
            <w:shd w:val="clear" w:color="auto" w:fill="D6DAEE"/>
          </w:tcPr>
          <w:p>
            <w:pPr>
              <w:ind w:left="20"/>
              <w:spacing w:after="0"/>
              <w:rPr>
                <w:sz w:val="20"/>
                <w:szCs w:val="20"/>
                <w:color w:val="auto"/>
              </w:rPr>
            </w:pPr>
            <w:r>
              <w:rPr>
                <w:rFonts w:ascii="Arial" w:cs="Arial" w:eastAsia="Arial" w:hAnsi="Arial"/>
                <w:sz w:val="12"/>
                <w:szCs w:val="12"/>
                <w:color w:val="auto"/>
              </w:rPr>
              <w:t>Approve the total compensation budget for all Company employees.</w:t>
            </w:r>
          </w:p>
        </w:tc>
        <w:tc>
          <w:tcPr>
            <w:tcW w:w="0" w:type="dxa"/>
            <w:vAlign w:val="bottom"/>
          </w:tcPr>
          <w:p>
            <w:pPr>
              <w:spacing w:after="0"/>
              <w:rPr>
                <w:sz w:val="1"/>
                <w:szCs w:val="1"/>
                <w:color w:val="auto"/>
              </w:rPr>
            </w:pPr>
          </w:p>
        </w:tc>
      </w:tr>
      <w:tr>
        <w:trPr>
          <w:trHeight w:val="174"/>
        </w:trPr>
        <w:tc>
          <w:tcPr>
            <w:tcW w:w="2280" w:type="dxa"/>
            <w:vAlign w:val="bottom"/>
            <w:shd w:val="clear" w:color="auto" w:fill="D6DAEE"/>
          </w:tcPr>
          <w:p>
            <w:pPr>
              <w:ind w:left="40"/>
              <w:spacing w:after="0"/>
              <w:rPr>
                <w:sz w:val="20"/>
                <w:szCs w:val="20"/>
                <w:color w:val="auto"/>
              </w:rPr>
            </w:pPr>
            <w:r>
              <w:rPr>
                <w:rFonts w:ascii="Arial" w:cs="Arial" w:eastAsia="Arial" w:hAnsi="Arial"/>
                <w:sz w:val="10"/>
                <w:szCs w:val="10"/>
                <w:color w:val="auto"/>
              </w:rPr>
              <w:t xml:space="preserve">Christine A. Poon, </w:t>
            </w:r>
            <w:r>
              <w:rPr>
                <w:rFonts w:ascii="Arial" w:cs="Arial" w:eastAsia="Arial" w:hAnsi="Arial"/>
                <w:sz w:val="10"/>
                <w:szCs w:val="10"/>
                <w:i w:val="1"/>
                <w:iCs w:val="1"/>
                <w:color w:val="auto"/>
              </w:rPr>
              <w:t>Chairperson</w:t>
            </w:r>
          </w:p>
        </w:tc>
        <w:tc>
          <w:tcPr>
            <w:tcW w:w="160" w:type="dxa"/>
            <w:vAlign w:val="bottom"/>
            <w:vMerge w:val="restart"/>
            <w:shd w:val="clear" w:color="auto" w:fill="D6DAEE"/>
          </w:tcPr>
          <w:p>
            <w:pPr>
              <w:ind w:left="100"/>
              <w:spacing w:after="0"/>
              <w:rPr>
                <w:sz w:val="20"/>
                <w:szCs w:val="20"/>
                <w:color w:val="auto"/>
              </w:rPr>
            </w:pPr>
            <w:r>
              <w:rPr>
                <w:rFonts w:ascii="Arial" w:cs="Arial" w:eastAsia="Arial" w:hAnsi="Arial"/>
                <w:sz w:val="10"/>
                <w:szCs w:val="10"/>
                <w:color w:val="105BAB"/>
              </w:rPr>
              <w:t>•</w:t>
            </w:r>
          </w:p>
        </w:tc>
        <w:tc>
          <w:tcPr>
            <w:tcW w:w="9040" w:type="dxa"/>
            <w:vAlign w:val="bottom"/>
            <w:vMerge w:val="restart"/>
            <w:shd w:val="clear" w:color="auto" w:fill="D6DAEE"/>
          </w:tcPr>
          <w:p>
            <w:pPr>
              <w:ind w:left="20"/>
              <w:spacing w:after="0"/>
              <w:rPr>
                <w:sz w:val="20"/>
                <w:szCs w:val="20"/>
                <w:color w:val="auto"/>
              </w:rPr>
            </w:pPr>
            <w:r>
              <w:rPr>
                <w:rFonts w:ascii="Arial" w:cs="Arial" w:eastAsia="Arial" w:hAnsi="Arial"/>
                <w:sz w:val="12"/>
                <w:szCs w:val="12"/>
                <w:color w:val="auto"/>
              </w:rPr>
              <w:t>Oversee the Company's compensation and benefit philosophy and programs generally.</w:t>
            </w:r>
          </w:p>
        </w:tc>
        <w:tc>
          <w:tcPr>
            <w:tcW w:w="0" w:type="dxa"/>
            <w:vAlign w:val="bottom"/>
          </w:tcPr>
          <w:p>
            <w:pPr>
              <w:spacing w:after="0"/>
              <w:rPr>
                <w:sz w:val="1"/>
                <w:szCs w:val="1"/>
                <w:color w:val="auto"/>
              </w:rPr>
            </w:pPr>
          </w:p>
        </w:tc>
      </w:tr>
      <w:tr>
        <w:trPr>
          <w:trHeight w:val="87"/>
        </w:trPr>
        <w:tc>
          <w:tcPr>
            <w:tcW w:w="2280" w:type="dxa"/>
            <w:vAlign w:val="bottom"/>
            <w:shd w:val="clear" w:color="auto" w:fill="D6DAEE"/>
          </w:tcPr>
          <w:p>
            <w:pPr>
              <w:spacing w:after="0"/>
              <w:rPr>
                <w:sz w:val="7"/>
                <w:szCs w:val="7"/>
                <w:color w:val="auto"/>
              </w:rPr>
            </w:pPr>
          </w:p>
        </w:tc>
        <w:tc>
          <w:tcPr>
            <w:tcW w:w="160" w:type="dxa"/>
            <w:vAlign w:val="bottom"/>
            <w:vMerge w:val="continue"/>
            <w:shd w:val="clear" w:color="auto" w:fill="D6DAEE"/>
          </w:tcPr>
          <w:p>
            <w:pPr>
              <w:spacing w:after="0"/>
              <w:rPr>
                <w:sz w:val="7"/>
                <w:szCs w:val="7"/>
                <w:color w:val="auto"/>
              </w:rPr>
            </w:pPr>
          </w:p>
        </w:tc>
        <w:tc>
          <w:tcPr>
            <w:tcW w:w="9040" w:type="dxa"/>
            <w:vAlign w:val="bottom"/>
            <w:vMerge w:val="continue"/>
            <w:shd w:val="clear" w:color="auto" w:fill="D6DAE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280" w:type="dxa"/>
            <w:vAlign w:val="bottom"/>
            <w:shd w:val="clear" w:color="auto" w:fill="D6DAEE"/>
          </w:tcPr>
          <w:p>
            <w:pPr>
              <w:ind w:left="40"/>
              <w:spacing w:after="0"/>
              <w:rPr>
                <w:sz w:val="20"/>
                <w:szCs w:val="20"/>
                <w:color w:val="auto"/>
              </w:rPr>
            </w:pPr>
            <w:r>
              <w:rPr>
                <w:rFonts w:ascii="Arial" w:cs="Arial" w:eastAsia="Arial" w:hAnsi="Arial"/>
                <w:sz w:val="10"/>
                <w:szCs w:val="10"/>
                <w:color w:val="auto"/>
              </w:rPr>
              <w:t>Charles A. Baker</w:t>
            </w:r>
          </w:p>
        </w:tc>
        <w:tc>
          <w:tcPr>
            <w:tcW w:w="160" w:type="dxa"/>
            <w:vAlign w:val="bottom"/>
            <w:shd w:val="clear" w:color="auto" w:fill="D6DAEE"/>
          </w:tcPr>
          <w:p>
            <w:pPr>
              <w:spacing w:after="0"/>
              <w:rPr>
                <w:sz w:val="11"/>
                <w:szCs w:val="11"/>
                <w:color w:val="auto"/>
              </w:rPr>
            </w:pPr>
          </w:p>
        </w:tc>
        <w:tc>
          <w:tcPr>
            <w:tcW w:w="9040" w:type="dxa"/>
            <w:vAlign w:val="bottom"/>
            <w:shd w:val="clear" w:color="auto" w:fill="D6DAE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80" w:type="dxa"/>
            <w:vAlign w:val="bottom"/>
            <w:vMerge w:val="restart"/>
            <w:shd w:val="clear" w:color="auto" w:fill="D6DAEE"/>
          </w:tcPr>
          <w:p>
            <w:pPr>
              <w:ind w:left="40"/>
              <w:spacing w:after="0"/>
              <w:rPr>
                <w:sz w:val="20"/>
                <w:szCs w:val="20"/>
                <w:color w:val="auto"/>
              </w:rPr>
            </w:pPr>
            <w:r>
              <w:rPr>
                <w:rFonts w:ascii="Arial" w:cs="Arial" w:eastAsia="Arial" w:hAnsi="Arial"/>
                <w:sz w:val="10"/>
                <w:szCs w:val="10"/>
                <w:color w:val="auto"/>
              </w:rPr>
              <w:t>Joseph L. Goldstein, M.D.</w:t>
            </w:r>
          </w:p>
        </w:tc>
        <w:tc>
          <w:tcPr>
            <w:tcW w:w="160" w:type="dxa"/>
            <w:vAlign w:val="bottom"/>
            <w:shd w:val="clear" w:color="auto" w:fill="D6DAEE"/>
          </w:tcPr>
          <w:p>
            <w:pPr>
              <w:ind w:left="100"/>
              <w:spacing w:after="0"/>
              <w:rPr>
                <w:sz w:val="20"/>
                <w:szCs w:val="20"/>
                <w:color w:val="auto"/>
              </w:rPr>
            </w:pPr>
            <w:r>
              <w:rPr>
                <w:rFonts w:ascii="Arial" w:cs="Arial" w:eastAsia="Arial" w:hAnsi="Arial"/>
                <w:sz w:val="10"/>
                <w:szCs w:val="10"/>
                <w:color w:val="105BAB"/>
              </w:rPr>
              <w:t>•</w:t>
            </w:r>
          </w:p>
        </w:tc>
        <w:tc>
          <w:tcPr>
            <w:tcW w:w="9040" w:type="dxa"/>
            <w:vAlign w:val="bottom"/>
            <w:shd w:val="clear" w:color="auto" w:fill="D6DAEE"/>
          </w:tcPr>
          <w:p>
            <w:pPr>
              <w:ind w:left="20"/>
              <w:spacing w:after="0" w:line="136" w:lineRule="exact"/>
              <w:rPr>
                <w:sz w:val="20"/>
                <w:szCs w:val="20"/>
                <w:color w:val="auto"/>
              </w:rPr>
            </w:pPr>
            <w:r>
              <w:rPr>
                <w:rFonts w:ascii="Arial" w:cs="Arial" w:eastAsia="Arial" w:hAnsi="Arial"/>
                <w:sz w:val="12"/>
                <w:szCs w:val="12"/>
                <w:color w:val="auto"/>
                <w:w w:val="97"/>
              </w:rPr>
              <w:t>Review and approve annually the corporate goals and objectives applicable to the compensation of the Chief Executive Officer and the goals and objectives of the Company's</w:t>
            </w:r>
          </w:p>
        </w:tc>
        <w:tc>
          <w:tcPr>
            <w:tcW w:w="0" w:type="dxa"/>
            <w:vAlign w:val="bottom"/>
          </w:tcPr>
          <w:p>
            <w:pPr>
              <w:spacing w:after="0"/>
              <w:rPr>
                <w:sz w:val="1"/>
                <w:szCs w:val="1"/>
                <w:color w:val="auto"/>
              </w:rPr>
            </w:pPr>
          </w:p>
        </w:tc>
      </w:tr>
      <w:tr>
        <w:trPr>
          <w:trHeight w:val="80"/>
        </w:trPr>
        <w:tc>
          <w:tcPr>
            <w:tcW w:w="2280" w:type="dxa"/>
            <w:vAlign w:val="bottom"/>
            <w:vMerge w:val="continue"/>
            <w:shd w:val="clear" w:color="auto" w:fill="D6DAEE"/>
          </w:tcPr>
          <w:p>
            <w:pPr>
              <w:spacing w:after="0"/>
              <w:rPr>
                <w:sz w:val="6"/>
                <w:szCs w:val="6"/>
                <w:color w:val="auto"/>
              </w:rPr>
            </w:pPr>
          </w:p>
        </w:tc>
        <w:tc>
          <w:tcPr>
            <w:tcW w:w="160" w:type="dxa"/>
            <w:vAlign w:val="bottom"/>
            <w:shd w:val="clear" w:color="auto" w:fill="D6DAEE"/>
          </w:tcPr>
          <w:p>
            <w:pPr>
              <w:spacing w:after="0"/>
              <w:rPr>
                <w:sz w:val="6"/>
                <w:szCs w:val="6"/>
                <w:color w:val="auto"/>
              </w:rPr>
            </w:pPr>
          </w:p>
        </w:tc>
        <w:tc>
          <w:tcPr>
            <w:tcW w:w="9040" w:type="dxa"/>
            <w:vAlign w:val="bottom"/>
            <w:vMerge w:val="restart"/>
            <w:shd w:val="clear" w:color="auto" w:fill="D6DAEE"/>
          </w:tcPr>
          <w:p>
            <w:pPr>
              <w:ind w:left="20"/>
              <w:spacing w:after="0"/>
              <w:rPr>
                <w:sz w:val="20"/>
                <w:szCs w:val="20"/>
                <w:color w:val="auto"/>
              </w:rPr>
            </w:pPr>
            <w:r>
              <w:rPr>
                <w:rFonts w:ascii="Arial" w:cs="Arial" w:eastAsia="Arial" w:hAnsi="Arial"/>
                <w:sz w:val="12"/>
                <w:szCs w:val="12"/>
                <w:color w:val="auto"/>
              </w:rPr>
              <w:t>executive compensation programs.</w:t>
            </w:r>
          </w:p>
        </w:tc>
        <w:tc>
          <w:tcPr>
            <w:tcW w:w="0" w:type="dxa"/>
            <w:vAlign w:val="bottom"/>
          </w:tcPr>
          <w:p>
            <w:pPr>
              <w:spacing w:after="0"/>
              <w:rPr>
                <w:sz w:val="1"/>
                <w:szCs w:val="1"/>
                <w:color w:val="auto"/>
              </w:rPr>
            </w:pPr>
          </w:p>
        </w:tc>
      </w:tr>
      <w:tr>
        <w:trPr>
          <w:trHeight w:val="60"/>
        </w:trPr>
        <w:tc>
          <w:tcPr>
            <w:tcW w:w="2280" w:type="dxa"/>
            <w:vAlign w:val="bottom"/>
            <w:shd w:val="clear" w:color="auto" w:fill="D6DAEE"/>
          </w:tcPr>
          <w:p>
            <w:pPr>
              <w:spacing w:after="0"/>
              <w:rPr>
                <w:sz w:val="5"/>
                <w:szCs w:val="5"/>
                <w:color w:val="auto"/>
              </w:rPr>
            </w:pPr>
          </w:p>
        </w:tc>
        <w:tc>
          <w:tcPr>
            <w:tcW w:w="160" w:type="dxa"/>
            <w:vAlign w:val="bottom"/>
            <w:shd w:val="clear" w:color="auto" w:fill="D6DAEE"/>
          </w:tcPr>
          <w:p>
            <w:pPr>
              <w:spacing w:after="0"/>
              <w:rPr>
                <w:sz w:val="5"/>
                <w:szCs w:val="5"/>
                <w:color w:val="auto"/>
              </w:rPr>
            </w:pPr>
          </w:p>
        </w:tc>
        <w:tc>
          <w:tcPr>
            <w:tcW w:w="9040" w:type="dxa"/>
            <w:vAlign w:val="bottom"/>
            <w:vMerge w:val="continue"/>
            <w:shd w:val="clear" w:color="auto" w:fill="D6DAE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D6DAEE"/>
          </w:tcPr>
          <w:p>
            <w:pPr>
              <w:ind w:left="40"/>
              <w:spacing w:after="0"/>
              <w:rPr>
                <w:sz w:val="20"/>
                <w:szCs w:val="20"/>
                <w:color w:val="auto"/>
              </w:rPr>
            </w:pPr>
            <w:r>
              <w:rPr>
                <w:rFonts w:ascii="Arial" w:cs="Arial" w:eastAsia="Arial" w:hAnsi="Arial"/>
                <w:sz w:val="10"/>
                <w:szCs w:val="10"/>
                <w:color w:val="auto"/>
              </w:rPr>
              <w:t>George L. Sing</w:t>
            </w:r>
          </w:p>
        </w:tc>
        <w:tc>
          <w:tcPr>
            <w:tcW w:w="160" w:type="dxa"/>
            <w:vAlign w:val="bottom"/>
            <w:vMerge w:val="restart"/>
            <w:shd w:val="clear" w:color="auto" w:fill="D6DAEE"/>
          </w:tcPr>
          <w:p>
            <w:pPr>
              <w:ind w:left="100"/>
              <w:spacing w:after="0"/>
              <w:rPr>
                <w:sz w:val="20"/>
                <w:szCs w:val="20"/>
                <w:color w:val="auto"/>
              </w:rPr>
            </w:pPr>
            <w:r>
              <w:rPr>
                <w:rFonts w:ascii="Arial" w:cs="Arial" w:eastAsia="Arial" w:hAnsi="Arial"/>
                <w:sz w:val="10"/>
                <w:szCs w:val="10"/>
                <w:color w:val="105BAB"/>
              </w:rPr>
              <w:t>•</w:t>
            </w:r>
          </w:p>
        </w:tc>
        <w:tc>
          <w:tcPr>
            <w:tcW w:w="9040" w:type="dxa"/>
            <w:vAlign w:val="bottom"/>
            <w:vMerge w:val="restart"/>
            <w:shd w:val="clear" w:color="auto" w:fill="D6DAEE"/>
          </w:tcPr>
          <w:p>
            <w:pPr>
              <w:ind w:left="20"/>
              <w:spacing w:after="0"/>
              <w:rPr>
                <w:sz w:val="20"/>
                <w:szCs w:val="20"/>
                <w:color w:val="auto"/>
              </w:rPr>
            </w:pPr>
            <w:r>
              <w:rPr>
                <w:rFonts w:ascii="Arial" w:cs="Arial" w:eastAsia="Arial" w:hAnsi="Arial"/>
                <w:sz w:val="12"/>
                <w:szCs w:val="12"/>
                <w:color w:val="auto"/>
              </w:rPr>
              <w:t>Review and approve the Compensation Discussion and Analysis to be included in the Company's proxy statement.</w:t>
            </w:r>
          </w:p>
        </w:tc>
        <w:tc>
          <w:tcPr>
            <w:tcW w:w="0" w:type="dxa"/>
            <w:vAlign w:val="bottom"/>
          </w:tcPr>
          <w:p>
            <w:pPr>
              <w:spacing w:after="0"/>
              <w:rPr>
                <w:sz w:val="1"/>
                <w:szCs w:val="1"/>
                <w:color w:val="auto"/>
              </w:rPr>
            </w:pPr>
          </w:p>
        </w:tc>
      </w:tr>
      <w:tr>
        <w:trPr>
          <w:trHeight w:val="114"/>
        </w:trPr>
        <w:tc>
          <w:tcPr>
            <w:tcW w:w="2280" w:type="dxa"/>
            <w:vAlign w:val="bottom"/>
            <w:vMerge w:val="restart"/>
            <w:shd w:val="clear" w:color="auto" w:fill="D6DAEE"/>
          </w:tcPr>
          <w:p>
            <w:pPr>
              <w:ind w:left="40"/>
              <w:spacing w:after="0"/>
              <w:rPr>
                <w:sz w:val="20"/>
                <w:szCs w:val="20"/>
                <w:color w:val="auto"/>
              </w:rPr>
            </w:pPr>
            <w:r>
              <w:rPr>
                <w:rFonts w:ascii="Arial" w:cs="Arial" w:eastAsia="Arial" w:hAnsi="Arial"/>
                <w:sz w:val="10"/>
                <w:szCs w:val="10"/>
                <w:b w:val="1"/>
                <w:bCs w:val="1"/>
                <w:color w:val="105BAB"/>
              </w:rPr>
              <w:t>Number of Meetings Held in 2017</w:t>
            </w:r>
          </w:p>
        </w:tc>
        <w:tc>
          <w:tcPr>
            <w:tcW w:w="160" w:type="dxa"/>
            <w:vAlign w:val="bottom"/>
            <w:vMerge w:val="continue"/>
            <w:shd w:val="clear" w:color="auto" w:fill="D6DAEE"/>
          </w:tcPr>
          <w:p>
            <w:pPr>
              <w:spacing w:after="0"/>
              <w:rPr>
                <w:sz w:val="9"/>
                <w:szCs w:val="9"/>
                <w:color w:val="auto"/>
              </w:rPr>
            </w:pPr>
          </w:p>
        </w:tc>
        <w:tc>
          <w:tcPr>
            <w:tcW w:w="9040" w:type="dxa"/>
            <w:vAlign w:val="bottom"/>
            <w:vMerge w:val="continue"/>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80" w:type="dxa"/>
            <w:vAlign w:val="bottom"/>
            <w:vMerge w:val="continue"/>
            <w:shd w:val="clear" w:color="auto" w:fill="D6DAEE"/>
          </w:tcPr>
          <w:p>
            <w:pPr>
              <w:spacing w:after="0"/>
              <w:rPr>
                <w:sz w:val="8"/>
                <w:szCs w:val="8"/>
                <w:color w:val="auto"/>
              </w:rPr>
            </w:pPr>
          </w:p>
        </w:tc>
        <w:tc>
          <w:tcPr>
            <w:tcW w:w="160" w:type="dxa"/>
            <w:vAlign w:val="bottom"/>
            <w:shd w:val="clear" w:color="auto" w:fill="D6DAEE"/>
          </w:tcPr>
          <w:p>
            <w:pPr>
              <w:spacing w:after="0"/>
              <w:rPr>
                <w:sz w:val="8"/>
                <w:szCs w:val="8"/>
                <w:color w:val="auto"/>
              </w:rPr>
            </w:pPr>
          </w:p>
        </w:tc>
        <w:tc>
          <w:tcPr>
            <w:tcW w:w="9040" w:type="dxa"/>
            <w:vAlign w:val="bottom"/>
            <w:shd w:val="clear" w:color="auto" w:fill="D6DAE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280" w:type="dxa"/>
            <w:vAlign w:val="bottom"/>
            <w:vMerge w:val="restart"/>
            <w:shd w:val="clear" w:color="auto" w:fill="D6DAEE"/>
          </w:tcPr>
          <w:p>
            <w:pPr>
              <w:ind w:left="4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D6DAEE"/>
          </w:tcPr>
          <w:p>
            <w:pPr>
              <w:ind w:left="100"/>
              <w:spacing w:after="0"/>
              <w:rPr>
                <w:sz w:val="20"/>
                <w:szCs w:val="20"/>
                <w:color w:val="auto"/>
              </w:rPr>
            </w:pPr>
            <w:r>
              <w:rPr>
                <w:rFonts w:ascii="Arial" w:cs="Arial" w:eastAsia="Arial" w:hAnsi="Arial"/>
                <w:sz w:val="10"/>
                <w:szCs w:val="10"/>
                <w:color w:val="105BAB"/>
              </w:rPr>
              <w:t>•</w:t>
            </w:r>
          </w:p>
        </w:tc>
        <w:tc>
          <w:tcPr>
            <w:tcW w:w="9040" w:type="dxa"/>
            <w:vAlign w:val="bottom"/>
            <w:shd w:val="clear" w:color="auto" w:fill="D6DAEE"/>
          </w:tcPr>
          <w:p>
            <w:pPr>
              <w:ind w:left="20"/>
              <w:spacing w:after="0"/>
              <w:rPr>
                <w:sz w:val="20"/>
                <w:szCs w:val="20"/>
                <w:color w:val="auto"/>
              </w:rPr>
            </w:pPr>
            <w:r>
              <w:rPr>
                <w:rFonts w:ascii="Arial" w:cs="Arial" w:eastAsia="Arial" w:hAnsi="Arial"/>
                <w:sz w:val="12"/>
                <w:szCs w:val="12"/>
                <w:color w:val="auto"/>
              </w:rPr>
              <w:t>Prepare an annual report of the Compensation Committee for inclusion in the Company's proxy statement.</w:t>
            </w:r>
          </w:p>
        </w:tc>
        <w:tc>
          <w:tcPr>
            <w:tcW w:w="0" w:type="dxa"/>
            <w:vAlign w:val="bottom"/>
          </w:tcPr>
          <w:p>
            <w:pPr>
              <w:spacing w:after="0"/>
              <w:rPr>
                <w:sz w:val="1"/>
                <w:szCs w:val="1"/>
                <w:color w:val="auto"/>
              </w:rPr>
            </w:pPr>
          </w:p>
        </w:tc>
      </w:tr>
      <w:tr>
        <w:trPr>
          <w:trHeight w:val="74"/>
        </w:trPr>
        <w:tc>
          <w:tcPr>
            <w:tcW w:w="2280" w:type="dxa"/>
            <w:vAlign w:val="bottom"/>
            <w:tcBorders>
              <w:bottom w:val="single" w:sz="8" w:color="105BAB"/>
            </w:tcBorders>
            <w:vMerge w:val="continue"/>
            <w:shd w:val="clear" w:color="auto" w:fill="D6DAEE"/>
          </w:tcPr>
          <w:p>
            <w:pPr>
              <w:spacing w:after="0"/>
              <w:rPr>
                <w:sz w:val="6"/>
                <w:szCs w:val="6"/>
                <w:color w:val="auto"/>
              </w:rPr>
            </w:pPr>
          </w:p>
        </w:tc>
        <w:tc>
          <w:tcPr>
            <w:tcW w:w="160" w:type="dxa"/>
            <w:vAlign w:val="bottom"/>
            <w:tcBorders>
              <w:bottom w:val="single" w:sz="8" w:color="105BAB"/>
            </w:tcBorders>
            <w:shd w:val="clear" w:color="auto" w:fill="D6DAEE"/>
          </w:tcPr>
          <w:p>
            <w:pPr>
              <w:spacing w:after="0"/>
              <w:rPr>
                <w:sz w:val="6"/>
                <w:szCs w:val="6"/>
                <w:color w:val="auto"/>
              </w:rPr>
            </w:pPr>
          </w:p>
        </w:tc>
        <w:tc>
          <w:tcPr>
            <w:tcW w:w="9040" w:type="dxa"/>
            <w:vAlign w:val="bottom"/>
            <w:tcBorders>
              <w:bottom w:val="single" w:sz="8" w:color="105BAB"/>
            </w:tcBorders>
            <w:shd w:val="clear" w:color="auto" w:fill="D6DAE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17443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174434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105" w:lineRule="exact"/>
        <w:rPr>
          <w:sz w:val="20"/>
          <w:szCs w:val="20"/>
          <w:color w:val="auto"/>
        </w:rPr>
      </w:pPr>
    </w:p>
    <w:p>
      <w:pPr>
        <w:ind w:left="60"/>
        <w:spacing w:after="0"/>
        <w:rPr>
          <w:sz w:val="20"/>
          <w:szCs w:val="20"/>
          <w:color w:val="auto"/>
        </w:rPr>
      </w:pPr>
      <w:r>
        <w:rPr>
          <w:rFonts w:ascii="Arial" w:cs="Arial" w:eastAsia="Arial" w:hAnsi="Arial"/>
          <w:sz w:val="16"/>
          <w:szCs w:val="16"/>
          <w:color w:val="105BAB"/>
        </w:rPr>
        <w:t>CORPORATE GOVERNANCE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105BAB"/>
        </w:rPr>
        <w:t>AND COMPLIANCE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105BAB"/>
        </w:rPr>
        <w:t>COMMITTEE</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105BAB"/>
        </w:rPr>
        <w:t>Members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Arthur F. Ryan, </w:t>
      </w:r>
      <w:r>
        <w:rPr>
          <w:rFonts w:ascii="Arial" w:cs="Arial" w:eastAsia="Arial" w:hAnsi="Arial"/>
          <w:sz w:val="10"/>
          <w:szCs w:val="10"/>
          <w:i w:val="1"/>
          <w:iCs w:val="1"/>
          <w:color w:val="auto"/>
        </w:rPr>
        <w:t>Chairman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0"/>
          <w:szCs w:val="10"/>
          <w:color w:val="auto"/>
        </w:rPr>
        <w:t>Bonnie L. Bassler, Ph.D.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color w:val="auto"/>
        </w:rPr>
        <w:t>Michael S. Brown, M.D.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color w:val="auto"/>
        </w:rPr>
        <w:t>Christine A. Poon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color w:val="auto"/>
        </w:rPr>
        <w:t>Huda Y. Zoghbi, M.D.</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105BAB"/>
        </w:rPr>
        <w:t>Number of Meetings Held in 2017</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
        <w:spacing w:after="0"/>
        <w:rPr>
          <w:sz w:val="20"/>
          <w:szCs w:val="20"/>
          <w:color w:val="auto"/>
        </w:rPr>
      </w:pPr>
      <w:r>
        <w:rPr>
          <w:rFonts w:ascii="Arial" w:cs="Arial" w:eastAsia="Arial" w:hAnsi="Arial"/>
          <w:sz w:val="10"/>
          <w:szCs w:val="10"/>
          <w:b w:val="1"/>
          <w:bCs w:val="1"/>
          <w:color w:val="105BAB"/>
        </w:rPr>
        <w:t>Key Functions</w:t>
      </w:r>
    </w:p>
    <w:p>
      <w:pPr>
        <w:spacing w:after="0" w:line="112" w:lineRule="exact"/>
        <w:rPr>
          <w:sz w:val="20"/>
          <w:szCs w:val="20"/>
          <w:color w:val="auto"/>
        </w:rPr>
      </w:pPr>
    </w:p>
    <w:p>
      <w:pPr>
        <w:ind w:left="81" w:hanging="81"/>
        <w:spacing w:after="0"/>
        <w:tabs>
          <w:tab w:leader="none" w:pos="81" w:val="left"/>
        </w:tabs>
        <w:numPr>
          <w:ilvl w:val="0"/>
          <w:numId w:val="26"/>
        </w:numPr>
        <w:rPr>
          <w:rFonts w:ascii="Arial" w:cs="Arial" w:eastAsia="Arial" w:hAnsi="Arial"/>
          <w:sz w:val="10"/>
          <w:szCs w:val="10"/>
          <w:color w:val="105BAB"/>
        </w:rPr>
      </w:pPr>
      <w:r>
        <w:rPr>
          <w:rFonts w:ascii="Arial" w:cs="Arial" w:eastAsia="Arial" w:hAnsi="Arial"/>
          <w:sz w:val="12"/>
          <w:szCs w:val="12"/>
          <w:color w:val="auto"/>
        </w:rPr>
        <w:t>Identify qualified individuals to become members of the board and recommend such candidates to the board.</w:t>
      </w:r>
    </w:p>
    <w:p>
      <w:pPr>
        <w:spacing w:after="0" w:line="132" w:lineRule="exact"/>
        <w:rPr>
          <w:rFonts w:ascii="Arial" w:cs="Arial" w:eastAsia="Arial" w:hAnsi="Arial"/>
          <w:sz w:val="10"/>
          <w:szCs w:val="10"/>
          <w:color w:val="105BAB"/>
        </w:rPr>
      </w:pPr>
    </w:p>
    <w:p>
      <w:pPr>
        <w:ind w:left="81" w:hanging="81"/>
        <w:spacing w:after="0"/>
        <w:tabs>
          <w:tab w:leader="none" w:pos="81" w:val="left"/>
        </w:tabs>
        <w:numPr>
          <w:ilvl w:val="0"/>
          <w:numId w:val="26"/>
        </w:numPr>
        <w:rPr>
          <w:rFonts w:ascii="Arial" w:cs="Arial" w:eastAsia="Arial" w:hAnsi="Arial"/>
          <w:sz w:val="9"/>
          <w:szCs w:val="9"/>
          <w:color w:val="105BAB"/>
        </w:rPr>
      </w:pPr>
      <w:r>
        <w:rPr>
          <w:rFonts w:ascii="Arial" w:cs="Arial" w:eastAsia="Arial" w:hAnsi="Arial"/>
          <w:sz w:val="11"/>
          <w:szCs w:val="11"/>
          <w:color w:val="auto"/>
        </w:rPr>
        <w:t>Assess the functioning of the board and its committees and make recommendations to the board concerning the appropriate size, function, and needs of the board.</w:t>
      </w:r>
    </w:p>
    <w:p>
      <w:pPr>
        <w:spacing w:after="0" w:line="134" w:lineRule="exact"/>
        <w:rPr>
          <w:rFonts w:ascii="Arial" w:cs="Arial" w:eastAsia="Arial" w:hAnsi="Arial"/>
          <w:sz w:val="9"/>
          <w:szCs w:val="9"/>
          <w:color w:val="105BAB"/>
        </w:rPr>
      </w:pPr>
    </w:p>
    <w:p>
      <w:pPr>
        <w:ind w:left="81" w:hanging="81"/>
        <w:spacing w:after="0"/>
        <w:tabs>
          <w:tab w:leader="none" w:pos="81" w:val="left"/>
        </w:tabs>
        <w:numPr>
          <w:ilvl w:val="0"/>
          <w:numId w:val="26"/>
        </w:numPr>
        <w:rPr>
          <w:rFonts w:ascii="Arial" w:cs="Arial" w:eastAsia="Arial" w:hAnsi="Arial"/>
          <w:sz w:val="10"/>
          <w:szCs w:val="10"/>
          <w:color w:val="105BAB"/>
        </w:rPr>
      </w:pPr>
      <w:r>
        <w:rPr>
          <w:rFonts w:ascii="Arial" w:cs="Arial" w:eastAsia="Arial" w:hAnsi="Arial"/>
          <w:sz w:val="12"/>
          <w:szCs w:val="12"/>
          <w:color w:val="auto"/>
        </w:rPr>
        <w:t>Make recommendations to the board regarding non-employee director compensation.</w:t>
      </w:r>
    </w:p>
    <w:p>
      <w:pPr>
        <w:spacing w:after="0" w:line="132" w:lineRule="exact"/>
        <w:rPr>
          <w:rFonts w:ascii="Arial" w:cs="Arial" w:eastAsia="Arial" w:hAnsi="Arial"/>
          <w:sz w:val="10"/>
          <w:szCs w:val="10"/>
          <w:color w:val="105BAB"/>
        </w:rPr>
      </w:pPr>
    </w:p>
    <w:p>
      <w:pPr>
        <w:ind w:left="81" w:hanging="81"/>
        <w:spacing w:after="0"/>
        <w:tabs>
          <w:tab w:leader="none" w:pos="81" w:val="left"/>
        </w:tabs>
        <w:numPr>
          <w:ilvl w:val="0"/>
          <w:numId w:val="26"/>
        </w:numPr>
        <w:rPr>
          <w:rFonts w:ascii="Arial" w:cs="Arial" w:eastAsia="Arial" w:hAnsi="Arial"/>
          <w:sz w:val="10"/>
          <w:szCs w:val="10"/>
          <w:color w:val="105BAB"/>
        </w:rPr>
      </w:pPr>
      <w:r>
        <w:rPr>
          <w:rFonts w:ascii="Arial" w:cs="Arial" w:eastAsia="Arial" w:hAnsi="Arial"/>
          <w:sz w:val="12"/>
          <w:szCs w:val="12"/>
          <w:color w:val="auto"/>
        </w:rPr>
        <w:t>Make recommendations to the board regarding corporate governance matters and practices.</w:t>
      </w:r>
    </w:p>
    <w:p>
      <w:pPr>
        <w:spacing w:after="0" w:line="132" w:lineRule="exact"/>
        <w:rPr>
          <w:rFonts w:ascii="Arial" w:cs="Arial" w:eastAsia="Arial" w:hAnsi="Arial"/>
          <w:sz w:val="10"/>
          <w:szCs w:val="10"/>
          <w:color w:val="105BAB"/>
        </w:rPr>
      </w:pPr>
    </w:p>
    <w:p>
      <w:pPr>
        <w:ind w:left="81" w:hanging="81"/>
        <w:spacing w:after="0"/>
        <w:tabs>
          <w:tab w:leader="none" w:pos="81" w:val="left"/>
        </w:tabs>
        <w:numPr>
          <w:ilvl w:val="0"/>
          <w:numId w:val="26"/>
        </w:numPr>
        <w:rPr>
          <w:rFonts w:ascii="Arial" w:cs="Arial" w:eastAsia="Arial" w:hAnsi="Arial"/>
          <w:sz w:val="10"/>
          <w:szCs w:val="10"/>
          <w:color w:val="105BAB"/>
        </w:rPr>
      </w:pPr>
      <w:r>
        <w:rPr>
          <w:rFonts w:ascii="Arial" w:cs="Arial" w:eastAsia="Arial" w:hAnsi="Arial"/>
          <w:sz w:val="12"/>
          <w:szCs w:val="12"/>
          <w:color w:val="auto"/>
        </w:rPr>
        <w:t>Oversee all aspects of the Company's comprehensive compliance program other than financial compliance.</w:t>
      </w:r>
    </w:p>
    <w:p>
      <w:pPr>
        <w:spacing w:after="0" w:line="1023" w:lineRule="exact"/>
        <w:rPr>
          <w:sz w:val="20"/>
          <w:szCs w:val="20"/>
          <w:color w:val="auto"/>
        </w:rPr>
      </w:pPr>
    </w:p>
    <w:p>
      <w:pPr>
        <w:sectPr>
          <w:pgSz w:w="11900" w:h="16838" w:orient="portrait"/>
          <w:cols w:equalWidth="0" w:num="2">
            <w:col w:w="2280" w:space="99"/>
            <w:col w:w="9101"/>
          </w:cols>
          <w:pgMar w:left="220" w:top="142" w:right="1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292340" cy="2070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2070735"/>
                    </a:xfrm>
                    <a:prstGeom prst="rect">
                      <a:avLst/>
                    </a:prstGeom>
                    <a:noFill/>
                  </pic:spPr>
                </pic:pic>
              </a:graphicData>
            </a:graphic>
          </wp:anchor>
        </w:drawing>
      </w:r>
    </w:p>
    <w:p>
      <w:pPr>
        <w:spacing w:after="0" w:line="89" w:lineRule="exact"/>
        <w:rPr>
          <w:sz w:val="20"/>
          <w:szCs w:val="20"/>
          <w:color w:val="auto"/>
        </w:rPr>
      </w:pPr>
    </w:p>
    <w:p>
      <w:pPr>
        <w:ind w:left="60"/>
        <w:spacing w:after="0"/>
        <w:tabs>
          <w:tab w:leader="none" w:pos="2360" w:val="left"/>
        </w:tabs>
        <w:rPr>
          <w:sz w:val="20"/>
          <w:szCs w:val="20"/>
          <w:color w:val="auto"/>
        </w:rPr>
      </w:pPr>
      <w:r>
        <w:rPr>
          <w:rFonts w:ascii="Arial" w:cs="Arial" w:eastAsia="Arial" w:hAnsi="Arial"/>
          <w:sz w:val="16"/>
          <w:szCs w:val="16"/>
          <w:color w:val="105BAB"/>
        </w:rPr>
        <w:t>TECHNOLOGY COMMITTEE</w:t>
      </w:r>
      <w:r>
        <w:rPr>
          <w:sz w:val="20"/>
          <w:szCs w:val="20"/>
          <w:color w:val="auto"/>
        </w:rPr>
        <w:tab/>
      </w:r>
      <w:r>
        <w:rPr>
          <w:rFonts w:ascii="Arial" w:cs="Arial" w:eastAsia="Arial" w:hAnsi="Arial"/>
          <w:sz w:val="8"/>
          <w:szCs w:val="8"/>
          <w:b w:val="1"/>
          <w:bCs w:val="1"/>
          <w:color w:val="105BAB"/>
        </w:rPr>
        <w:t>Key Functions</w:t>
      </w:r>
    </w:p>
    <w:p>
      <w:pPr>
        <w:sectPr>
          <w:pgSz w:w="11900" w:h="16838" w:orient="portrait"/>
          <w:cols w:equalWidth="0" w:num="1">
            <w:col w:w="11480"/>
          </w:cols>
          <w:pgMar w:left="220" w:top="142" w:right="19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105BAB"/>
        </w:rPr>
        <w:t>Members</w:t>
      </w:r>
    </w:p>
    <w:p>
      <w:pPr>
        <w:spacing w:after="0" w:line="103" w:lineRule="exact"/>
        <w:rPr>
          <w:sz w:val="20"/>
          <w:szCs w:val="20"/>
          <w:color w:val="auto"/>
        </w:rPr>
      </w:pPr>
    </w:p>
    <w:p>
      <w:pPr>
        <w:ind w:left="40" w:right="140"/>
        <w:spacing w:after="0" w:line="458" w:lineRule="auto"/>
        <w:rPr>
          <w:sz w:val="20"/>
          <w:szCs w:val="20"/>
          <w:color w:val="auto"/>
        </w:rPr>
      </w:pPr>
      <w:r>
        <w:rPr>
          <w:rFonts w:ascii="Arial" w:cs="Arial" w:eastAsia="Arial" w:hAnsi="Arial"/>
          <w:sz w:val="10"/>
          <w:szCs w:val="10"/>
          <w:color w:val="auto"/>
        </w:rPr>
        <w:t xml:space="preserve">Michael S. Brown, M.D., </w:t>
      </w:r>
      <w:r>
        <w:rPr>
          <w:rFonts w:ascii="Arial" w:cs="Arial" w:eastAsia="Arial" w:hAnsi="Arial"/>
          <w:sz w:val="10"/>
          <w:szCs w:val="10"/>
          <w:i w:val="1"/>
          <w:iCs w:val="1"/>
          <w:color w:val="auto"/>
        </w:rPr>
        <w:t>Chairman</w:t>
      </w:r>
      <w:r>
        <w:rPr>
          <w:rFonts w:ascii="Arial" w:cs="Arial" w:eastAsia="Arial" w:hAnsi="Arial"/>
          <w:sz w:val="10"/>
          <w:szCs w:val="10"/>
          <w:color w:val="auto"/>
        </w:rPr>
        <w:t xml:space="preserve"> Bonnie L. Bassler, Ph.D. Joseph L. Goldstein, M.D.</w:t>
      </w:r>
    </w:p>
    <w:p>
      <w:pPr>
        <w:ind w:left="40"/>
        <w:spacing w:after="0"/>
        <w:rPr>
          <w:sz w:val="20"/>
          <w:szCs w:val="20"/>
          <w:color w:val="auto"/>
        </w:rPr>
      </w:pPr>
      <w:r>
        <w:rPr>
          <w:rFonts w:ascii="Arial" w:cs="Arial" w:eastAsia="Arial" w:hAnsi="Arial"/>
          <w:sz w:val="10"/>
          <w:szCs w:val="10"/>
          <w:color w:val="auto"/>
        </w:rPr>
        <w:t>Marc Tessier-Lavigne, Ph.D.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0"/>
          <w:szCs w:val="10"/>
          <w:color w:val="auto"/>
        </w:rPr>
        <w:t>P. Roy Vagelos, M.D.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0"/>
          <w:szCs w:val="10"/>
          <w:color w:val="auto"/>
        </w:rPr>
        <w:t>Leonard S. Schleifer, M.D., Ph.D.</w:t>
      </w:r>
      <w:r>
        <w:rPr>
          <w:rFonts w:ascii="Arial" w:cs="Arial" w:eastAsia="Arial" w:hAnsi="Arial"/>
          <w:sz w:val="14"/>
          <w:szCs w:val="14"/>
          <w:color w:val="auto"/>
          <w:vertAlign w:val="superscript"/>
        </w:rPr>
        <w:t>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9"/>
          <w:szCs w:val="9"/>
          <w:color w:val="auto"/>
        </w:rPr>
        <w:t>George D. Yancopoulos, M.D., Ph.D.</w:t>
      </w:r>
      <w:r>
        <w:rPr>
          <w:rFonts w:ascii="Arial" w:cs="Arial" w:eastAsia="Arial" w:hAnsi="Arial"/>
          <w:sz w:val="13"/>
          <w:szCs w:val="13"/>
          <w:color w:val="auto"/>
          <w:vertAlign w:val="superscript"/>
        </w:rPr>
        <w:t>1</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0"/>
          <w:szCs w:val="10"/>
          <w:color w:val="auto"/>
        </w:rPr>
        <w:t>Huda Y. Zoghbi, M.D.</w:t>
      </w:r>
    </w:p>
    <w:p>
      <w:pPr>
        <w:spacing w:after="0" w:line="89" w:lineRule="exact"/>
        <w:rPr>
          <w:sz w:val="20"/>
          <w:szCs w:val="20"/>
          <w:color w:val="auto"/>
        </w:rPr>
      </w:pPr>
    </w:p>
    <w:p>
      <w:pPr>
        <w:ind w:left="40" w:right="120"/>
        <w:spacing w:after="0" w:line="478" w:lineRule="auto"/>
        <w:rPr>
          <w:sz w:val="20"/>
          <w:szCs w:val="20"/>
          <w:color w:val="auto"/>
        </w:rPr>
      </w:pPr>
      <w:r>
        <w:rPr>
          <w:rFonts w:ascii="Arial" w:cs="Arial" w:eastAsia="Arial" w:hAnsi="Arial"/>
          <w:sz w:val="10"/>
          <w:szCs w:val="10"/>
          <w:b w:val="1"/>
          <w:bCs w:val="1"/>
          <w:color w:val="105BAB"/>
        </w:rPr>
        <w:t xml:space="preserve">Number of Meetings Held in 2017 </w:t>
      </w:r>
      <w:r>
        <w:rPr>
          <w:rFonts w:ascii="Arial" w:cs="Arial" w:eastAsia="Arial" w:hAnsi="Arial"/>
          <w:sz w:val="11"/>
          <w:szCs w:val="11"/>
          <w:color w:val="000000"/>
        </w:rPr>
        <w:t>2</w:t>
      </w:r>
    </w:p>
    <w:p>
      <w:pPr>
        <w:spacing w:after="0" w:line="35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105BAB"/>
        </w:rPr>
        <w:t>1</w:t>
      </w:r>
      <w:r>
        <w:rPr>
          <w:sz w:val="20"/>
          <w:szCs w:val="20"/>
          <w:color w:val="auto"/>
        </w:rPr>
        <w:tab/>
      </w:r>
      <w:r>
        <w:rPr>
          <w:rFonts w:ascii="Arial" w:cs="Arial" w:eastAsia="Arial" w:hAnsi="Arial"/>
          <w:sz w:val="10"/>
          <w:szCs w:val="10"/>
          <w:i w:val="1"/>
          <w:iCs w:val="1"/>
          <w:color w:val="auto"/>
        </w:rPr>
        <w:t xml:space="preserve">Ex Officio </w:t>
      </w:r>
      <w:r>
        <w:rPr>
          <w:rFonts w:ascii="Arial" w:cs="Arial" w:eastAsia="Arial" w:hAnsi="Arial"/>
          <w:sz w:val="10"/>
          <w:szCs w:val="10"/>
          <w:color w:val="auto"/>
        </w:rPr>
        <w:t>Member.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0"/>
          <w:szCs w:val="10"/>
          <w:color w:val="105BAB"/>
        </w:rPr>
        <w:t xml:space="preserve">• </w:t>
      </w:r>
      <w:r>
        <w:rPr>
          <w:rFonts w:ascii="Arial" w:cs="Arial" w:eastAsia="Arial" w:hAnsi="Arial"/>
          <w:sz w:val="11"/>
          <w:szCs w:val="11"/>
          <w:color w:val="000000"/>
        </w:rPr>
        <w:t>Review and evaluate the Company's research and clinical development programs, plans,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340"/>
        <w:spacing w:after="0"/>
        <w:rPr>
          <w:sz w:val="20"/>
          <w:szCs w:val="20"/>
          <w:color w:val="auto"/>
        </w:rPr>
      </w:pPr>
      <w:r>
        <w:rPr>
          <w:rFonts w:ascii="Arial" w:cs="Arial" w:eastAsia="Arial" w:hAnsi="Arial"/>
          <w:sz w:val="10"/>
          <w:szCs w:val="10"/>
          <w:b w:val="1"/>
          <w:bCs w:val="1"/>
          <w:color w:val="FFFFF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-66675</wp:posOffset>
            </wp:positionV>
            <wp:extent cx="28575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89535</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660" w:space="720"/>
            <w:col w:w="9100"/>
          </w:cols>
          <w:pgMar w:left="220" w:top="142" w:right="199" w:bottom="1440" w:gutter="0" w:footer="0" w:header="0"/>
          <w:type w:val="continuous"/>
        </w:sectPr>
      </w:pPr>
    </w:p>
    <w:bookmarkStart w:id="32" w:name="page33"/>
    <w:bookmarkEnd w:id="32"/>
    <w:p>
      <w:pPr>
        <w:ind w:left="3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657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657860"/>
                    </a:xfrm>
                    <a:prstGeom prst="rect">
                      <a:avLst/>
                    </a:prstGeom>
                    <a:noFill/>
                  </pic:spPr>
                </pic:pic>
              </a:graphicData>
            </a:graphic>
          </wp:anchor>
        </w:drawing>
        <w:drawing>
          <wp:inline distT="0" distB="0" distL="0" distR="0">
            <wp:extent cx="68580" cy="46926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8"/>
          <w:szCs w:val="28"/>
          <w:color w:val="FFFFFE"/>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2923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00"/>
          </w:cols>
          <w:pgMar w:left="220" w:top="377" w:right="279" w:bottom="1440" w:gutter="0" w:footer="0" w:header="0"/>
        </w:sectPr>
      </w:pPr>
    </w:p>
    <w:p>
      <w:pPr>
        <w:spacing w:after="0" w:line="36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105BAB"/>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846455</wp:posOffset>
            </wp:positionV>
            <wp:extent cx="73215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105BAB"/>
        </w:rPr>
        <w:t>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MEETINGS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105BAB"/>
        </w:rPr>
        <w:t>ATTENDANCE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105BAB"/>
        </w:rPr>
        <w:t>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3215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7"/>
        <w:spacing w:after="0" w:line="269" w:lineRule="auto"/>
        <w:rPr>
          <w:sz w:val="20"/>
          <w:szCs w:val="20"/>
          <w:color w:val="auto"/>
        </w:rPr>
      </w:pPr>
      <w:r>
        <w:rPr>
          <w:rFonts w:ascii="Arial" w:cs="Arial" w:eastAsia="Arial" w:hAnsi="Arial"/>
          <w:sz w:val="11"/>
          <w:szCs w:val="11"/>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of Class I and Class III (before giving effect to the retirement of Charles A. Baker, as discussed below) and five members in Class II. The respective terms of the directors expire (in all cases, subject to the election and qualification of their successors and to their earlier death, resignation, or removal) as follows:</w:t>
      </w:r>
    </w:p>
    <w:p>
      <w:pPr>
        <w:spacing w:after="0" w:line="88" w:lineRule="exact"/>
        <w:rPr>
          <w:sz w:val="20"/>
          <w:szCs w:val="20"/>
          <w:color w:val="auto"/>
        </w:rPr>
      </w:pPr>
    </w:p>
    <w:p>
      <w:pPr>
        <w:ind w:left="87" w:hanging="87"/>
        <w:spacing w:after="0"/>
        <w:tabs>
          <w:tab w:leader="none" w:pos="87" w:val="left"/>
        </w:tabs>
        <w:numPr>
          <w:ilvl w:val="0"/>
          <w:numId w:val="27"/>
        </w:numPr>
        <w:rPr>
          <w:rFonts w:ascii="Arial" w:cs="Arial" w:eastAsia="Arial" w:hAnsi="Arial"/>
          <w:sz w:val="10"/>
          <w:szCs w:val="10"/>
          <w:color w:val="105BAB"/>
        </w:rPr>
      </w:pPr>
      <w:r>
        <w:rPr>
          <w:rFonts w:ascii="Arial" w:cs="Arial" w:eastAsia="Arial" w:hAnsi="Arial"/>
          <w:sz w:val="12"/>
          <w:szCs w:val="12"/>
          <w:color w:val="auto"/>
        </w:rPr>
        <w:t>The terms of the Class III Directors expire at the 2018 Annual Meeting;</w:t>
      </w:r>
    </w:p>
    <w:p>
      <w:pPr>
        <w:spacing w:after="0" w:line="132" w:lineRule="exact"/>
        <w:rPr>
          <w:rFonts w:ascii="Arial" w:cs="Arial" w:eastAsia="Arial" w:hAnsi="Arial"/>
          <w:sz w:val="10"/>
          <w:szCs w:val="10"/>
          <w:color w:val="105BAB"/>
        </w:rPr>
      </w:pPr>
    </w:p>
    <w:p>
      <w:pPr>
        <w:ind w:left="87" w:hanging="87"/>
        <w:spacing w:after="0"/>
        <w:tabs>
          <w:tab w:leader="none" w:pos="87" w:val="left"/>
        </w:tabs>
        <w:numPr>
          <w:ilvl w:val="0"/>
          <w:numId w:val="27"/>
        </w:numPr>
        <w:rPr>
          <w:rFonts w:ascii="Arial" w:cs="Arial" w:eastAsia="Arial" w:hAnsi="Arial"/>
          <w:sz w:val="10"/>
          <w:szCs w:val="10"/>
          <w:color w:val="105BAB"/>
        </w:rPr>
      </w:pPr>
      <w:r>
        <w:rPr>
          <w:rFonts w:ascii="Arial" w:cs="Arial" w:eastAsia="Arial" w:hAnsi="Arial"/>
          <w:sz w:val="12"/>
          <w:szCs w:val="12"/>
          <w:color w:val="auto"/>
        </w:rPr>
        <w:t>The terms of the Class I Directors expire at the 2019 Annual Meeting; and</w:t>
      </w:r>
    </w:p>
    <w:p>
      <w:pPr>
        <w:spacing w:after="0" w:line="123" w:lineRule="exact"/>
        <w:rPr>
          <w:rFonts w:ascii="Arial" w:cs="Arial" w:eastAsia="Arial" w:hAnsi="Arial"/>
          <w:sz w:val="10"/>
          <w:szCs w:val="10"/>
          <w:color w:val="105BAB"/>
        </w:rPr>
      </w:pPr>
    </w:p>
    <w:p>
      <w:pPr>
        <w:ind w:left="87" w:hanging="87"/>
        <w:spacing w:after="0"/>
        <w:tabs>
          <w:tab w:leader="none" w:pos="87" w:val="left"/>
        </w:tabs>
        <w:numPr>
          <w:ilvl w:val="0"/>
          <w:numId w:val="27"/>
        </w:numPr>
        <w:rPr>
          <w:rFonts w:ascii="Arial" w:cs="Arial" w:eastAsia="Arial" w:hAnsi="Arial"/>
          <w:sz w:val="10"/>
          <w:szCs w:val="10"/>
          <w:color w:val="105BAB"/>
        </w:rPr>
      </w:pPr>
      <w:r>
        <w:rPr>
          <w:rFonts w:ascii="Arial" w:cs="Arial" w:eastAsia="Arial" w:hAnsi="Arial"/>
          <w:sz w:val="12"/>
          <w:szCs w:val="12"/>
          <w:color w:val="auto"/>
        </w:rPr>
        <w:t>The terms of the Class II Directors expire at the 2020 Annual Meeting.</w:t>
      </w:r>
    </w:p>
    <w:p>
      <w:pPr>
        <w:spacing w:after="0" w:line="141" w:lineRule="exact"/>
        <w:rPr>
          <w:sz w:val="20"/>
          <w:szCs w:val="20"/>
          <w:color w:val="auto"/>
        </w:rPr>
      </w:pPr>
    </w:p>
    <w:p>
      <w:pPr>
        <w:ind w:left="7" w:right="20"/>
        <w:spacing w:after="0" w:line="239" w:lineRule="auto"/>
        <w:rPr>
          <w:sz w:val="20"/>
          <w:szCs w:val="20"/>
          <w:color w:val="auto"/>
        </w:rPr>
      </w:pPr>
      <w:r>
        <w:rPr>
          <w:rFonts w:ascii="Arial" w:cs="Arial" w:eastAsia="Arial" w:hAnsi="Arial"/>
          <w:sz w:val="12"/>
          <w:szCs w:val="12"/>
          <w:color w:val="auto"/>
        </w:rPr>
        <w:t>As previously reported, on January 15, 2018, Charles A. Baker notified the Company of his intention not to stand for re-election as a member of the board of directors when his current term expires and to retire from his position as a member of the board of directors effective as of the conclusion of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49160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91605" cy="5715"/>
                    </a:xfrm>
                    <a:prstGeom prst="rect">
                      <a:avLst/>
                    </a:prstGeom>
                    <a:noFill/>
                  </pic:spPr>
                </pic:pic>
              </a:graphicData>
            </a:graphic>
          </wp:anchor>
        </w:drawing>
      </w:r>
    </w:p>
    <w:p>
      <w:pPr>
        <w:spacing w:after="0" w:line="255" w:lineRule="exact"/>
        <w:rPr>
          <w:sz w:val="20"/>
          <w:szCs w:val="20"/>
          <w:color w:val="auto"/>
        </w:rPr>
      </w:pPr>
    </w:p>
    <w:p>
      <w:pPr>
        <w:jc w:val="both"/>
        <w:ind w:left="7" w:right="140"/>
        <w:spacing w:after="0" w:line="237" w:lineRule="auto"/>
        <w:rPr>
          <w:sz w:val="20"/>
          <w:szCs w:val="20"/>
          <w:color w:val="auto"/>
        </w:rPr>
      </w:pPr>
      <w:r>
        <w:rPr>
          <w:rFonts w:ascii="Arial" w:cs="Arial" w:eastAsia="Arial" w:hAnsi="Arial"/>
          <w:sz w:val="12"/>
          <w:szCs w:val="12"/>
          <w:color w:val="auto"/>
        </w:rPr>
        <w:t>The board held six regular meetings in 2017. All directors attended at least 75% of the total number of meetings of the board and committees of the board on which they served. According to the Regeneron Board of Directors Corporate Governance Guidelines, board members are expected to attend the Company's Annual Meeting of Shareholders. All of the directors then in office (other than Dr. Vagelos, who was not able to attend due to a medical emergency involving a family member) attended our 2017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545465</wp:posOffset>
            </wp:positionV>
            <wp:extent cx="649160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91605" cy="5715"/>
                    </a:xfrm>
                    <a:prstGeom prst="rect">
                      <a:avLst/>
                    </a:prstGeom>
                    <a:noFill/>
                  </pic:spPr>
                </pic:pic>
              </a:graphicData>
            </a:graphic>
          </wp:anchor>
        </w:drawing>
      </w:r>
    </w:p>
    <w:p>
      <w:pPr>
        <w:spacing w:after="0" w:line="916" w:lineRule="exact"/>
        <w:rPr>
          <w:sz w:val="20"/>
          <w:szCs w:val="20"/>
          <w:color w:val="auto"/>
        </w:rPr>
      </w:pPr>
    </w:p>
    <w:p>
      <w:pPr>
        <w:sectPr>
          <w:pgSz w:w="11900" w:h="16838" w:orient="portrait"/>
          <w:cols w:equalWidth="0" w:num="2">
            <w:col w:w="1080" w:space="173"/>
            <w:col w:w="10147"/>
          </w:cols>
          <w:pgMar w:left="220" w:top="377" w:right="279" w:bottom="1440" w:gutter="0" w:footer="0" w:header="0"/>
          <w:type w:val="continuous"/>
        </w:sectPr>
      </w:pPr>
    </w:p>
    <w:p>
      <w:pPr>
        <w:spacing w:after="0" w:line="84" w:lineRule="exact"/>
        <w:rPr>
          <w:sz w:val="20"/>
          <w:szCs w:val="20"/>
          <w:color w:val="auto"/>
        </w:rPr>
      </w:pPr>
    </w:p>
    <w:p>
      <w:pPr>
        <w:spacing w:after="0" w:line="249" w:lineRule="auto"/>
        <w:rPr>
          <w:sz w:val="20"/>
          <w:szCs w:val="20"/>
          <w:color w:val="auto"/>
        </w:rPr>
      </w:pPr>
      <w:r>
        <w:rPr>
          <w:rFonts w:ascii="Arial" w:cs="Arial" w:eastAsia="Arial" w:hAnsi="Arial"/>
          <w:sz w:val="16"/>
          <w:szCs w:val="16"/>
          <w:color w:val="105BAB"/>
        </w:rPr>
        <w:t>PROCEDURES RELATING TO NOMINEES; BOARD SUCCESSION PLANNING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7" w:right="380"/>
        <w:spacing w:after="0" w:line="237" w:lineRule="auto"/>
        <w:rPr>
          <w:sz w:val="20"/>
          <w:szCs w:val="20"/>
          <w:color w:val="auto"/>
        </w:rPr>
      </w:pPr>
      <w:r>
        <w:rPr>
          <w:rFonts w:ascii="Arial" w:cs="Arial" w:eastAsia="Arial" w:hAnsi="Arial"/>
          <w:sz w:val="12"/>
          <w:szCs w:val="12"/>
          <w:color w:val="auto"/>
        </w:rPr>
        <w:t xml:space="preserve">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cs="Arial" w:eastAsia="Arial" w:hAnsi="Arial"/>
          <w:sz w:val="12"/>
          <w:szCs w:val="12"/>
          <w:b w:val="1"/>
          <w:bCs w:val="1"/>
          <w:color w:val="auto"/>
        </w:rPr>
        <w:t>www.regeneron.com</w:t>
      </w:r>
      <w:r>
        <w:rPr>
          <w:rFonts w:ascii="Arial" w:cs="Arial" w:eastAsia="Arial" w:hAnsi="Arial"/>
          <w:sz w:val="12"/>
          <w:szCs w:val="12"/>
          <w:color w:val="auto"/>
        </w:rPr>
        <w:t xml:space="preserve"> under the "Corporate Governance" heading on the "Investors &amp; Media" page.</w:t>
      </w:r>
    </w:p>
    <w:p>
      <w:pPr>
        <w:spacing w:after="0" w:line="141" w:lineRule="exact"/>
        <w:rPr>
          <w:sz w:val="20"/>
          <w:szCs w:val="20"/>
          <w:color w:val="auto"/>
        </w:rPr>
      </w:pPr>
    </w:p>
    <w:p>
      <w:pPr>
        <w:jc w:val="both"/>
        <w:ind w:left="7" w:right="60"/>
        <w:spacing w:after="0" w:line="256" w:lineRule="auto"/>
        <w:rPr>
          <w:sz w:val="20"/>
          <w:szCs w:val="20"/>
          <w:color w:val="auto"/>
        </w:rPr>
      </w:pPr>
      <w:r>
        <w:rPr>
          <w:rFonts w:ascii="Arial" w:cs="Arial" w:eastAsia="Arial" w:hAnsi="Arial"/>
          <w:sz w:val="11"/>
          <w:szCs w:val="11"/>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w:t>
      </w:r>
    </w:p>
    <w:p>
      <w:pPr>
        <w:spacing w:after="0" w:line="1" w:lineRule="exact"/>
        <w:rPr>
          <w:sz w:val="20"/>
          <w:szCs w:val="20"/>
          <w:color w:val="auto"/>
        </w:rPr>
      </w:pPr>
    </w:p>
    <w:p>
      <w:pPr>
        <w:ind w:left="7" w:right="240" w:hanging="7"/>
        <w:spacing w:after="0" w:line="239" w:lineRule="auto"/>
        <w:tabs>
          <w:tab w:leader="none" w:pos="183" w:val="left"/>
        </w:tabs>
        <w:numPr>
          <w:ilvl w:val="0"/>
          <w:numId w:val="28"/>
        </w:numPr>
        <w:rPr>
          <w:rFonts w:ascii="Arial" w:cs="Arial" w:eastAsia="Arial" w:hAnsi="Arial"/>
          <w:sz w:val="12"/>
          <w:szCs w:val="12"/>
          <w:color w:val="auto"/>
        </w:rPr>
      </w:pPr>
      <w:r>
        <w:rPr>
          <w:rFonts w:ascii="Arial" w:cs="Arial" w:eastAsia="Arial" w:hAnsi="Arial"/>
          <w:sz w:val="12"/>
          <w:szCs w:val="12"/>
          <w:color w:val="auto"/>
        </w:rPr>
        <w:t>possesses a diverse background and experience, including with respect to race, age, and gender; and (8) such other factors as the Corporate Governance and Compliance Committee may determine from time to time.</w:t>
      </w:r>
    </w:p>
    <w:p>
      <w:pPr>
        <w:spacing w:after="0" w:line="139" w:lineRule="exact"/>
        <w:rPr>
          <w:sz w:val="20"/>
          <w:szCs w:val="20"/>
          <w:color w:val="auto"/>
        </w:rPr>
      </w:pPr>
    </w:p>
    <w:p>
      <w:pPr>
        <w:ind w:left="7" w:right="100"/>
        <w:spacing w:after="0" w:line="237" w:lineRule="auto"/>
        <w:rPr>
          <w:sz w:val="20"/>
          <w:szCs w:val="20"/>
          <w:color w:val="auto"/>
        </w:rPr>
      </w:pPr>
      <w:r>
        <w:rPr>
          <w:rFonts w:ascii="Arial" w:cs="Arial" w:eastAsia="Arial" w:hAnsi="Arial"/>
          <w:sz w:val="12"/>
          <w:szCs w:val="12"/>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w:t>
      </w:r>
    </w:p>
    <w:p>
      <w:pPr>
        <w:spacing w:after="0" w:line="129" w:lineRule="exact"/>
        <w:rPr>
          <w:sz w:val="20"/>
          <w:szCs w:val="20"/>
          <w:color w:val="auto"/>
        </w:rPr>
      </w:pPr>
    </w:p>
    <w:p>
      <w:pPr>
        <w:sectPr>
          <w:pgSz w:w="11900" w:h="16838" w:orient="portrait"/>
          <w:cols w:equalWidth="0" w:num="2">
            <w:col w:w="1140" w:space="113"/>
            <w:col w:w="10147"/>
          </w:cols>
          <w:pgMar w:left="220" w:top="377" w:right="279" w:bottom="1440" w:gutter="0" w:footer="0" w:header="0"/>
          <w:type w:val="continuous"/>
        </w:sectPr>
      </w:pPr>
    </w:p>
    <w:p>
      <w:pPr>
        <w:ind w:left="340"/>
        <w:spacing w:after="0"/>
        <w:rPr>
          <w:sz w:val="20"/>
          <w:szCs w:val="20"/>
          <w:color w:val="auto"/>
        </w:rPr>
      </w:pPr>
      <w:r>
        <w:rPr>
          <w:rFonts w:ascii="Arial" w:cs="Arial" w:eastAsia="Arial" w:hAnsi="Arial"/>
          <w:sz w:val="8"/>
          <w:szCs w:val="8"/>
          <w:b w:val="1"/>
          <w:bCs w:val="1"/>
          <w:color w:val="FFFFF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8575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7299325"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377" w:right="27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1976120</wp:posOffset>
            </wp:positionV>
            <wp:extent cx="82359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240"/>
        <w:spacing w:after="0" w:line="263" w:lineRule="auto"/>
        <w:rPr>
          <w:sz w:val="20"/>
          <w:szCs w:val="20"/>
          <w:color w:val="auto"/>
        </w:rPr>
      </w:pPr>
      <w:r>
        <w:rPr>
          <w:rFonts w:ascii="Arial" w:cs="Arial" w:eastAsia="Arial" w:hAnsi="Arial"/>
          <w:sz w:val="15"/>
          <w:szCs w:val="15"/>
          <w:color w:val="105BAB"/>
        </w:rPr>
        <w:t>BOARD AND COMMITTEE SELF-</w:t>
      </w:r>
    </w:p>
    <w:p>
      <w:pPr>
        <w:spacing w:after="0"/>
        <w:rPr>
          <w:sz w:val="20"/>
          <w:szCs w:val="20"/>
          <w:color w:val="auto"/>
        </w:rPr>
      </w:pPr>
      <w:r>
        <w:rPr>
          <w:rFonts w:ascii="Arial" w:cs="Arial" w:eastAsia="Arial" w:hAnsi="Arial"/>
          <w:sz w:val="15"/>
          <w:szCs w:val="15"/>
          <w:color w:val="105BAB"/>
        </w:rPr>
        <w:t>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82359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39" w:lineRule="auto"/>
        <w:rPr>
          <w:sz w:val="20"/>
          <w:szCs w:val="20"/>
          <w:color w:val="auto"/>
        </w:rPr>
      </w:pPr>
      <w:r>
        <w:rPr>
          <w:rFonts w:ascii="Arial" w:cs="Arial" w:eastAsia="Arial" w:hAnsi="Arial"/>
          <w:sz w:val="12"/>
          <w:szCs w:val="12"/>
          <w:color w:val="auto"/>
        </w:rPr>
        <w:t>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-312420</wp:posOffset>
            </wp:positionV>
            <wp:extent cx="7292340" cy="45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119"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139"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The Corporate Governance and Compliance Committee may employ a variety of methods for identifying and evaluating 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141" w:lineRule="exact"/>
        <w:rPr>
          <w:sz w:val="20"/>
          <w:szCs w:val="20"/>
          <w:color w:val="auto"/>
        </w:rPr>
      </w:pPr>
    </w:p>
    <w:p>
      <w:pPr>
        <w:ind w:right="160"/>
        <w:spacing w:after="0" w:line="237" w:lineRule="auto"/>
        <w:rPr>
          <w:sz w:val="20"/>
          <w:szCs w:val="20"/>
          <w:color w:val="auto"/>
        </w:rPr>
      </w:pPr>
      <w:r>
        <w:rPr>
          <w:rFonts w:ascii="Arial" w:cs="Arial" w:eastAsia="Arial" w:hAnsi="Arial"/>
          <w:sz w:val="12"/>
          <w:szCs w:val="12"/>
          <w:color w:val="auto"/>
        </w:rPr>
        <w:t>The Corporate Governance and Compliance Committee seeks to ensure that our board of directors as a whole possesses the mix of skills and experiences to provide effective oversight and guidance to management to execute on the Company's long-term strategy. The Committee also considers succession planning for board and committee chairs for purposes of continuity and to maintain relevant expertise and depth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640016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00165" cy="5715"/>
                    </a:xfrm>
                    <a:prstGeom prst="rect">
                      <a:avLst/>
                    </a:prstGeom>
                    <a:noFill/>
                  </pic:spPr>
                </pic:pic>
              </a:graphicData>
            </a:graphic>
          </wp:anchor>
        </w:drawing>
      </w:r>
    </w:p>
    <w:p>
      <w:pPr>
        <w:spacing w:after="0" w:line="256"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On an annual basis, the board of directors, the Audit Committee, the Compensation Committee, and the Corporate Governance and Compliance Committee conduct self-assessments to ensure effective performance and to identify opportunities for improvement. As part of the self-assessment process, directors consider various topics related to board and committee composition, structure, effectiveness, and responsibilities, as well as satisfaction with the schedule, materials, and discussion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40016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00165" cy="5715"/>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2">
            <w:col w:w="1200" w:space="200"/>
            <w:col w:w="10060"/>
          </w:cols>
          <w:pgMar w:left="220" w:top="655" w:right="219" w:bottom="1440" w:gutter="0" w:footer="0" w:header="0"/>
        </w:sectPr>
      </w:pPr>
    </w:p>
    <w:p>
      <w:pPr>
        <w:spacing w:after="0" w:line="96" w:lineRule="exact"/>
        <w:rPr>
          <w:sz w:val="20"/>
          <w:szCs w:val="20"/>
          <w:color w:val="auto"/>
        </w:rPr>
      </w:pPr>
    </w:p>
    <w:p>
      <w:pPr>
        <w:spacing w:after="0" w:line="246" w:lineRule="auto"/>
        <w:rPr>
          <w:sz w:val="20"/>
          <w:szCs w:val="20"/>
          <w:color w:val="auto"/>
        </w:rPr>
      </w:pPr>
      <w:r>
        <w:rPr>
          <w:rFonts w:ascii="Arial" w:cs="Arial" w:eastAsia="Arial" w:hAnsi="Arial"/>
          <w:sz w:val="16"/>
          <w:szCs w:val="16"/>
          <w:color w:val="105BAB"/>
        </w:rPr>
        <w:t>SHAREHOLDER RIGHTS TO REMOVE DIRECTORS FOR</w:t>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6"/>
          <w:szCs w:val="16"/>
          <w:color w:val="105BAB"/>
        </w:rPr>
        <w:t>CAUSE AND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8235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35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Regeneron's charter documents give shareholders the rights to (i) 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990600</wp:posOffset>
            </wp:positionV>
            <wp:extent cx="640016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00165" cy="5715"/>
                    </a:xfrm>
                    <a:prstGeom prst="rect">
                      <a:avLst/>
                    </a:prstGeom>
                    <a:noFill/>
                  </pic:spPr>
                </pic:pic>
              </a:graphicData>
            </a:graphic>
          </wp:anchor>
        </w:drawing>
      </w:r>
    </w:p>
    <w:p>
      <w:pPr>
        <w:spacing w:after="0" w:line="1635" w:lineRule="exact"/>
        <w:rPr>
          <w:sz w:val="20"/>
          <w:szCs w:val="20"/>
          <w:color w:val="auto"/>
        </w:rPr>
      </w:pPr>
    </w:p>
    <w:p>
      <w:pPr>
        <w:sectPr>
          <w:pgSz w:w="11900" w:h="16838" w:orient="portrait"/>
          <w:cols w:equalWidth="0" w:num="2">
            <w:col w:w="1220" w:space="180"/>
            <w:col w:w="10060"/>
          </w:cols>
          <w:pgMar w:left="220" w:top="655" w:right="219" w:bottom="1440" w:gutter="0" w:footer="0" w:header="0"/>
          <w:type w:val="continuous"/>
        </w:sectPr>
      </w:pPr>
    </w:p>
    <w:p>
      <w:pPr>
        <w:spacing w:after="0" w:line="66" w:lineRule="exact"/>
        <w:rPr>
          <w:sz w:val="20"/>
          <w:szCs w:val="20"/>
          <w:color w:val="auto"/>
        </w:rPr>
      </w:pPr>
    </w:p>
    <w:p>
      <w:pPr>
        <w:spacing w:after="0" w:line="260" w:lineRule="auto"/>
        <w:rPr>
          <w:sz w:val="20"/>
          <w:szCs w:val="20"/>
          <w:color w:val="auto"/>
        </w:rPr>
      </w:pPr>
      <w:r>
        <w:rPr>
          <w:rFonts w:ascii="Arial" w:cs="Arial" w:eastAsia="Arial" w:hAnsi="Arial"/>
          <w:sz w:val="16"/>
          <w:szCs w:val="16"/>
          <w:color w:val="105BAB"/>
        </w:rPr>
        <w:t>DIRECTOR INDEPENDENCE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80"/>
        <w:spacing w:after="0" w:line="237" w:lineRule="auto"/>
        <w:rPr>
          <w:sz w:val="20"/>
          <w:szCs w:val="20"/>
          <w:color w:val="auto"/>
        </w:rPr>
      </w:pPr>
      <w:r>
        <w:rPr>
          <w:rFonts w:ascii="Arial" w:cs="Arial" w:eastAsia="Arial" w:hAnsi="Arial"/>
          <w:sz w:val="12"/>
          <w:szCs w:val="12"/>
          <w:color w:val="auto"/>
        </w:rPr>
        <w:t>The board of directors has determined that each of the following currently serving directors is independent as defined in the listing standards of The NASDAQ Stock Market LLC and our Corporate Governance Guidelines: Charles A. Baker, Bonnie L. Bassler, Ph.D., Michael S. Brown, M.D., N. Anthony Coles, M.D., Joseph L. Goldstein, M.D., Christine A. Poon, Arthur F. Ryan, George L. Sing, Marc Tessier-Lavigne, Ph.D., and Huda Y. Zoghbi, M.D. These individuals are affiliated with numerous educational institutions, hospitals, charities, and corporations, as well as civic organizations and professional associations. The board of directors considered each of these relationships and</w:t>
      </w:r>
    </w:p>
    <w:p>
      <w:pPr>
        <w:spacing w:after="0" w:line="129" w:lineRule="exact"/>
        <w:rPr>
          <w:sz w:val="20"/>
          <w:szCs w:val="20"/>
          <w:color w:val="auto"/>
        </w:rPr>
      </w:pPr>
    </w:p>
    <w:p>
      <w:pPr>
        <w:ind w:left="9620"/>
        <w:spacing w:after="0"/>
        <w:rPr>
          <w:sz w:val="20"/>
          <w:szCs w:val="20"/>
          <w:color w:val="auto"/>
        </w:rPr>
      </w:pPr>
      <w:r>
        <w:rPr>
          <w:rFonts w:ascii="Arial" w:cs="Arial" w:eastAsia="Arial" w:hAnsi="Arial"/>
          <w:sz w:val="10"/>
          <w:szCs w:val="10"/>
          <w:b w:val="1"/>
          <w:bCs w:val="1"/>
          <w:color w:val="FFFFF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6112510</wp:posOffset>
            </wp:positionH>
            <wp:positionV relativeFrom="paragraph">
              <wp:posOffset>-66675</wp:posOffset>
            </wp:positionV>
            <wp:extent cx="28575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89535</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280" w:space="120"/>
            <w:col w:w="10060"/>
          </w:cols>
          <w:pgMar w:left="220" w:top="655" w:right="219" w:bottom="1440" w:gutter="0" w:footer="0" w:header="0"/>
          <w:type w:val="continuous"/>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1283970</wp:posOffset>
            </wp:positionV>
            <wp:extent cx="6578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105BAB"/>
        </w:rPr>
        <w:t>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LEADERSHIP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AND ROLE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RISK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 w:right="380"/>
        <w:spacing w:after="0" w:line="239" w:lineRule="auto"/>
        <w:rPr>
          <w:sz w:val="20"/>
          <w:szCs w:val="20"/>
          <w:color w:val="auto"/>
        </w:rPr>
      </w:pPr>
      <w:r>
        <w:rPr>
          <w:rFonts w:ascii="Arial" w:cs="Arial" w:eastAsia="Arial" w:hAnsi="Arial"/>
          <w:sz w:val="12"/>
          <w:szCs w:val="12"/>
          <w:color w:val="auto"/>
        </w:rPr>
        <w:t>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-312420</wp:posOffset>
            </wp:positionV>
            <wp:extent cx="7292340" cy="45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119" w:lineRule="exact"/>
        <w:rPr>
          <w:sz w:val="20"/>
          <w:szCs w:val="20"/>
          <w:color w:val="auto"/>
        </w:rPr>
      </w:pPr>
    </w:p>
    <w:p>
      <w:pPr>
        <w:ind w:left="4"/>
        <w:spacing w:after="0" w:line="239" w:lineRule="auto"/>
        <w:rPr>
          <w:sz w:val="20"/>
          <w:szCs w:val="20"/>
          <w:color w:val="auto"/>
        </w:rPr>
      </w:pPr>
      <w:r>
        <w:rPr>
          <w:rFonts w:ascii="Arial" w:cs="Arial" w:eastAsia="Arial" w:hAnsi="Arial"/>
          <w:sz w:val="12"/>
          <w:szCs w:val="12"/>
          <w:color w:val="auto"/>
        </w:rPr>
        <w:t>The board of directors has determined that each of the current members of the Audit Committee, Messrs. Baker, Ryan, and Sing and Dr. Coles, qualifies as an "audit committee financial expert" as that term is defined by SEC rules, and is independent as defined for audit committee members in the listing standards of The NASDAQ Stock Market LLC and SEC rules.</w:t>
      </w:r>
    </w:p>
    <w:p>
      <w:pPr>
        <w:spacing w:after="0" w:line="139" w:lineRule="exact"/>
        <w:rPr>
          <w:sz w:val="20"/>
          <w:szCs w:val="20"/>
          <w:color w:val="auto"/>
        </w:rPr>
      </w:pPr>
    </w:p>
    <w:p>
      <w:pPr>
        <w:ind w:left="4" w:right="380"/>
        <w:spacing w:after="0" w:line="269" w:lineRule="auto"/>
        <w:rPr>
          <w:sz w:val="20"/>
          <w:szCs w:val="20"/>
          <w:color w:val="auto"/>
        </w:rPr>
      </w:pPr>
      <w:r>
        <w:rPr>
          <w:rFonts w:ascii="Arial" w:cs="Arial" w:eastAsia="Arial" w:hAnsi="Arial"/>
          <w:sz w:val="11"/>
          <w:szCs w:val="11"/>
          <w:color w:val="auto"/>
        </w:rPr>
        <w:t>In addition, the board of directors has determined that each of the current members of the Compensation Committee, Ms. Poon, Messrs. Baker and Sing, and Dr. Goldstein, meets the additional independence criteria applicable to compensation committee members under the listing standards of The NASDAQ Stock Market LLC and qualifies as a "Non-Employee Director" pursuant to Rule 16b-3 under the Securities Exchange Act of 1934, as amended (the "Exchange Act"), and as an "outside director" within the meaning of Section 162(m)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65659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65900" cy="5715"/>
                    </a:xfrm>
                    <a:prstGeom prst="rect">
                      <a:avLst/>
                    </a:prstGeom>
                    <a:noFill/>
                  </pic:spPr>
                </pic:pic>
              </a:graphicData>
            </a:graphic>
          </wp:anchor>
        </w:drawing>
      </w:r>
    </w:p>
    <w:p>
      <w:pPr>
        <w:spacing w:after="0" w:line="239" w:lineRule="exact"/>
        <w:rPr>
          <w:sz w:val="20"/>
          <w:szCs w:val="20"/>
          <w:color w:val="auto"/>
        </w:rPr>
      </w:pPr>
    </w:p>
    <w:p>
      <w:pPr>
        <w:ind w:left="4" w:right="40"/>
        <w:spacing w:after="0" w:line="237" w:lineRule="auto"/>
        <w:rPr>
          <w:sz w:val="20"/>
          <w:szCs w:val="20"/>
          <w:color w:val="auto"/>
        </w:rPr>
      </w:pPr>
      <w:r>
        <w:rPr>
          <w:rFonts w:ascii="Arial" w:cs="Arial" w:eastAsia="Arial" w:hAnsi="Arial"/>
          <w:sz w:val="12"/>
          <w:szCs w:val="12"/>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board executes its oversight responsibility for risk management directly and through its Committees, as follows:</w:t>
      </w:r>
    </w:p>
    <w:p>
      <w:pPr>
        <w:spacing w:after="0" w:line="132" w:lineRule="exact"/>
        <w:rPr>
          <w:sz w:val="20"/>
          <w:szCs w:val="20"/>
          <w:color w:val="auto"/>
        </w:rPr>
      </w:pPr>
    </w:p>
    <w:p>
      <w:pPr>
        <w:ind w:left="84" w:right="60" w:hanging="84"/>
        <w:spacing w:after="0" w:line="237" w:lineRule="auto"/>
        <w:tabs>
          <w:tab w:leader="none" w:pos="84" w:val="left"/>
        </w:tabs>
        <w:numPr>
          <w:ilvl w:val="0"/>
          <w:numId w:val="29"/>
        </w:numPr>
        <w:rPr>
          <w:rFonts w:ascii="Arial" w:cs="Arial" w:eastAsia="Arial" w:hAnsi="Arial"/>
          <w:sz w:val="10"/>
          <w:szCs w:val="10"/>
          <w:color w:val="105BAB"/>
        </w:rPr>
      </w:pPr>
      <w:r>
        <w:rPr>
          <w:rFonts w:ascii="Arial" w:cs="Arial" w:eastAsia="Arial" w:hAnsi="Arial"/>
          <w:sz w:val="12"/>
          <w:szCs w:val="12"/>
          <w:color w:val="auto"/>
        </w:rPr>
        <w:t>The Audit Committee oversees the Company's risk management program. The risk management program focuses on the most significant risks the Company faces. The Company's Chief Audit Executive, who reports independently to the Committee, facilitates the risk management program. Audit Committee meetings include discussions of specific risk areas throughout the year, including, among others, those relating to cybersecurity, and reports from the Chief Audit Executive on the Company's enterprise risk profile on an annual basis.</w:t>
      </w:r>
    </w:p>
    <w:p>
      <w:pPr>
        <w:spacing w:after="0" w:line="122" w:lineRule="exact"/>
        <w:rPr>
          <w:rFonts w:ascii="Arial" w:cs="Arial" w:eastAsia="Arial" w:hAnsi="Arial"/>
          <w:sz w:val="10"/>
          <w:szCs w:val="10"/>
          <w:color w:val="105BAB"/>
        </w:rPr>
      </w:pPr>
    </w:p>
    <w:p>
      <w:pPr>
        <w:ind w:left="84" w:right="260" w:hanging="84"/>
        <w:spacing w:after="0" w:line="237" w:lineRule="auto"/>
        <w:tabs>
          <w:tab w:leader="none" w:pos="84" w:val="left"/>
        </w:tabs>
        <w:numPr>
          <w:ilvl w:val="0"/>
          <w:numId w:val="29"/>
        </w:numPr>
        <w:rPr>
          <w:rFonts w:ascii="Arial" w:cs="Arial" w:eastAsia="Arial" w:hAnsi="Arial"/>
          <w:sz w:val="10"/>
          <w:szCs w:val="10"/>
          <w:color w:val="105BAB"/>
        </w:rPr>
      </w:pPr>
      <w:r>
        <w:rPr>
          <w:rFonts w:ascii="Arial" w:cs="Arial" w:eastAsia="Arial" w:hAnsi="Arial"/>
          <w:sz w:val="12"/>
          <w:szCs w:val="12"/>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130" w:lineRule="exact"/>
        <w:rPr>
          <w:rFonts w:ascii="Arial" w:cs="Arial" w:eastAsia="Arial" w:hAnsi="Arial"/>
          <w:sz w:val="10"/>
          <w:szCs w:val="10"/>
          <w:color w:val="105BAB"/>
        </w:rPr>
      </w:pPr>
    </w:p>
    <w:p>
      <w:pPr>
        <w:ind w:left="84" w:right="240" w:hanging="84"/>
        <w:spacing w:after="0" w:line="237" w:lineRule="auto"/>
        <w:tabs>
          <w:tab w:leader="none" w:pos="84" w:val="left"/>
        </w:tabs>
        <w:numPr>
          <w:ilvl w:val="0"/>
          <w:numId w:val="29"/>
        </w:numPr>
        <w:rPr>
          <w:rFonts w:ascii="Arial" w:cs="Arial" w:eastAsia="Arial" w:hAnsi="Arial"/>
          <w:sz w:val="10"/>
          <w:szCs w:val="10"/>
          <w:color w:val="105BAB"/>
        </w:rPr>
      </w:pPr>
      <w:r>
        <w:rPr>
          <w:rFonts w:ascii="Arial" w:cs="Arial" w:eastAsia="Arial" w:hAnsi="Arial"/>
          <w:sz w:val="12"/>
          <w:szCs w:val="12"/>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243840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020" w:space="116"/>
            <w:col w:w="10344"/>
          </w:cols>
          <w:pgMar w:left="220" w:top="655" w:right="19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105BAB"/>
        </w:rPr>
        <w:drawing>
          <wp:anchor simplePos="0" relativeHeight="251657728" behindDoc="1" locked="0" layoutInCell="0" allowOverlap="1">
            <wp:simplePos x="0" y="0"/>
            <wp:positionH relativeFrom="page">
              <wp:posOffset>134620</wp:posOffset>
            </wp:positionH>
            <wp:positionV relativeFrom="page">
              <wp:posOffset>483235</wp:posOffset>
            </wp:positionV>
            <wp:extent cx="82931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9310" cy="5715"/>
                    </a:xfrm>
                    <a:prstGeom prst="rect">
                      <a:avLst/>
                    </a:prstGeom>
                    <a:noFill/>
                  </pic:spPr>
                </pic:pic>
              </a:graphicData>
            </a:graphic>
          </wp:anchor>
        </w:drawing>
        <w:t>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PROCESSES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PROCEDURES;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ROLE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CONSULTANTS</w:t>
      </w:r>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Arial" w:cs="Arial" w:eastAsia="Arial" w:hAnsi="Arial"/>
          <w:sz w:val="12"/>
          <w:szCs w:val="12"/>
          <w:color w:val="auto"/>
        </w:rPr>
        <w:t>The Compensation Committee is responsible for overseeing the Company's general compensation objectives and programs. We describe below under "Compensation-Related Matters— Compensation Discussion and Analysis—Our Compensation Processes" the role of the Compensation Committee, as well as the role of our executive officers, in decisions regarding executive compensation (particularly with respect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-540385</wp:posOffset>
            </wp:positionV>
            <wp:extent cx="7292340" cy="457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639445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94450" cy="5715"/>
                    </a:xfrm>
                    <a:prstGeom prst="rect">
                      <a:avLst/>
                    </a:prstGeom>
                    <a:noFill/>
                  </pic:spPr>
                </pic:pic>
              </a:graphicData>
            </a:graphic>
          </wp:anchor>
        </w:drawing>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1"/>
          <w:szCs w:val="11"/>
          <w:color w:val="auto"/>
        </w:rPr>
        <w:t>As discussed in greater detail under "Compensation-Related Matters—Compensation Discussion and Analysis—Our Compensation Processes—Independent Compensation Consultant," the Compensation Committee has the sole authority to retain its own third-party compensation consultants, and in 2017 utilized the services of Frederic W. Cook &amp; Co., Inc. ("Frederic W.</w:t>
      </w:r>
    </w:p>
    <w:p>
      <w:pPr>
        <w:spacing w:after="0" w:line="236" w:lineRule="auto"/>
        <w:rPr>
          <w:sz w:val="20"/>
          <w:szCs w:val="20"/>
          <w:color w:val="auto"/>
        </w:rPr>
      </w:pPr>
      <w:r>
        <w:rPr>
          <w:rFonts w:ascii="Arial" w:cs="Arial" w:eastAsia="Arial" w:hAnsi="Arial"/>
          <w:sz w:val="12"/>
          <w:szCs w:val="12"/>
          <w:color w:val="auto"/>
        </w:rPr>
        <w:t>Cook &amp; Co."), a compensation consultant. Advice and recommendations provided by Frederic W. Cook &amp; Co. may relate to both executive compensation (discussed in the section "Compensation-Related Matters" below) and director compensation matters (discussed in the subsection "Compensation of Directors" below). In addition, management retains another compensation consultant for its own use. In 2017,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Market Composite Data discussed in "Compensation-Related Matters—Compensation Discussion and Analysis" below); and assisting management in the development and analysis of executive compensation recommendations. Reports prepared by Radford that relate to executive compensation may also be shared with the Compensation Committee.</w:t>
      </w:r>
    </w:p>
    <w:p>
      <w:pPr>
        <w:spacing w:after="0" w:line="130" w:lineRule="exact"/>
        <w:rPr>
          <w:sz w:val="20"/>
          <w:szCs w:val="20"/>
          <w:color w:val="auto"/>
        </w:rPr>
      </w:pPr>
    </w:p>
    <w:p>
      <w:pPr>
        <w:ind w:left="9620"/>
        <w:spacing w:after="0"/>
        <w:rPr>
          <w:sz w:val="20"/>
          <w:szCs w:val="20"/>
          <w:color w:val="auto"/>
        </w:rPr>
      </w:pPr>
      <w:r>
        <w:rPr>
          <w:rFonts w:ascii="Arial" w:cs="Arial" w:eastAsia="Arial" w:hAnsi="Arial"/>
          <w:sz w:val="10"/>
          <w:szCs w:val="10"/>
          <w:b w:val="1"/>
          <w:bCs w:val="1"/>
          <w:color w:val="FFFFF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6112510</wp:posOffset>
            </wp:positionH>
            <wp:positionV relativeFrom="paragraph">
              <wp:posOffset>-66675</wp:posOffset>
            </wp:positionV>
            <wp:extent cx="28575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89535</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300" w:space="100"/>
            <w:col w:w="9940"/>
          </w:cols>
          <w:pgMar w:left="220" w:top="875" w:right="339" w:bottom="1440" w:gutter="0" w:footer="0" w:header="0"/>
        </w:sectPr>
      </w:pPr>
    </w:p>
    <w:bookmarkStart w:id="36" w:name="page37"/>
    <w:bookmarkEnd w:id="36"/>
    <w:p>
      <w:pPr>
        <w:ind w:left="368"/>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657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657860"/>
                    </a:xfrm>
                    <a:prstGeom prst="rect">
                      <a:avLst/>
                    </a:prstGeom>
                    <a:noFill/>
                  </pic:spPr>
                </pic:pic>
              </a:graphicData>
            </a:graphic>
          </wp:anchor>
        </w:drawing>
        <w:drawing>
          <wp:inline distT="0" distB="0" distL="0" distR="0">
            <wp:extent cx="68580" cy="46926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8"/>
          <w:szCs w:val="28"/>
          <w:color w:val="FFFFFE"/>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2923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377" w:right="219" w:bottom="1440" w:gutter="0" w:footer="0" w:header="0"/>
        </w:sectPr>
      </w:pPr>
    </w:p>
    <w:p>
      <w:pPr>
        <w:spacing w:after="0" w:line="367" w:lineRule="exact"/>
        <w:rPr>
          <w:sz w:val="20"/>
          <w:szCs w:val="20"/>
          <w:color w:val="auto"/>
        </w:rPr>
      </w:pPr>
    </w:p>
    <w:p>
      <w:pPr>
        <w:ind w:left="8"/>
        <w:spacing w:after="0"/>
        <w:rPr>
          <w:sz w:val="20"/>
          <w:szCs w:val="20"/>
          <w:color w:val="auto"/>
        </w:rPr>
      </w:pPr>
      <w:r>
        <w:rPr>
          <w:rFonts w:ascii="Arial" w:cs="Arial" w:eastAsia="Arial" w:hAnsi="Arial"/>
          <w:sz w:val="16"/>
          <w:szCs w:val="16"/>
          <w:color w:val="105BAB"/>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1606550</wp:posOffset>
            </wp:positionV>
            <wp:extent cx="82931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93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
        <w:spacing w:after="0" w:line="253" w:lineRule="auto"/>
        <w:rPr>
          <w:sz w:val="20"/>
          <w:szCs w:val="20"/>
          <w:color w:val="auto"/>
        </w:rPr>
      </w:pPr>
      <w:r>
        <w:rPr>
          <w:rFonts w:ascii="Arial" w:cs="Arial" w:eastAsia="Arial" w:hAnsi="Arial"/>
          <w:sz w:val="16"/>
          <w:szCs w:val="16"/>
          <w:color w:val="105BAB"/>
        </w:rPr>
        <w:t>CASH FEES AND MATCHING GIFT PROGRAM</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80"/>
        <w:spacing w:after="0" w:line="236" w:lineRule="auto"/>
        <w:rPr>
          <w:sz w:val="20"/>
          <w:szCs w:val="20"/>
          <w:color w:val="auto"/>
        </w:rPr>
      </w:pPr>
      <w:r>
        <w:rPr>
          <w:rFonts w:ascii="Arial" w:cs="Arial" w:eastAsia="Arial" w:hAnsi="Arial"/>
          <w:sz w:val="12"/>
          <w:szCs w:val="12"/>
          <w:color w:val="auto"/>
        </w:rPr>
        <w:t>The general philosophy we have applied to compensation of our non-employee directors and the Chairman of the Board is similar to the executive compensation philosophy outlined in "Compensation-Related Matters—Introduction" and "Compensation-Related Matters—Compensation Discussion and Analysis—Our Compensation Philosophy and Objectives" below. This philosophy places an emphasis on equity compensation in the form of stock options, which reward growth in stock price and align the directors' interests with those of our shareholders by providing value to the directors only if there is future stock price appreciation and not rendering any value to the directors if the stock price declines below the applicable exercise price. Similar to executive compensation, the emphasis on long-term incentives in the form of stock options has been a consistent part of Regeneron's director compensation philosophy and preceded the significant appreciation in Regeneron's stock price that began in early 2011.</w:t>
      </w:r>
    </w:p>
    <w:p>
      <w:pPr>
        <w:spacing w:after="0" w:line="132" w:lineRule="exact"/>
        <w:rPr>
          <w:sz w:val="20"/>
          <w:szCs w:val="20"/>
          <w:color w:val="auto"/>
        </w:rPr>
      </w:pPr>
    </w:p>
    <w:p>
      <w:pPr>
        <w:ind w:right="80"/>
        <w:spacing w:after="0" w:line="260" w:lineRule="auto"/>
        <w:rPr>
          <w:sz w:val="20"/>
          <w:szCs w:val="20"/>
          <w:color w:val="auto"/>
        </w:rPr>
      </w:pPr>
      <w:r>
        <w:rPr>
          <w:rFonts w:ascii="Arial" w:cs="Arial" w:eastAsia="Arial" w:hAnsi="Arial"/>
          <w:sz w:val="11"/>
          <w:szCs w:val="11"/>
          <w:color w:val="auto"/>
        </w:rPr>
        <w:t>Non-employee director compensation matters (including Regeneron's director compensation philosophy discussed above) are subject to periodic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demands on our directors, practices of similar companies in the biotechnology industry, and any comparative information provided by the compensation consultants of the Compensation Committee and management. The process governing the compensation arrangements of the Chairman of the Board is described under "Compensation Arrangements of the Chairman of the Board of Directors" below.</w:t>
      </w:r>
    </w:p>
    <w:p>
      <w:pPr>
        <w:spacing w:after="0" w:line="131" w:lineRule="exact"/>
        <w:rPr>
          <w:sz w:val="20"/>
          <w:szCs w:val="20"/>
          <w:color w:val="auto"/>
        </w:rPr>
      </w:pPr>
    </w:p>
    <w:p>
      <w:pPr>
        <w:ind w:right="40"/>
        <w:spacing w:after="0" w:line="237" w:lineRule="auto"/>
        <w:rPr>
          <w:sz w:val="20"/>
          <w:szCs w:val="20"/>
          <w:color w:val="auto"/>
        </w:rPr>
      </w:pPr>
      <w:r>
        <w:rPr>
          <w:rFonts w:ascii="Arial" w:cs="Arial" w:eastAsia="Arial" w:hAnsi="Arial"/>
          <w:sz w:val="12"/>
          <w:szCs w:val="12"/>
          <w:color w:val="auto"/>
        </w:rPr>
        <w:t>As discussed in greater detail below, the board of directors voluntarily reduced the number of shares underlying each of the five most recent annual stock option awards to the non-employee directors and the Chairman of the Board. Fifteen-percent decreases were effected with respect to non-employee director stock option awards in each of January 2014, 2015, 2016, and 2017 and a five-percent decrease was effected in January 2018, in each case as compared to the prior year's awards. The percentage reductions were similar to the reductions in annual awards to executive officers and other employees (including the Chairman of the Board) implemented in December of each respective preceding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639445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94450" cy="5715"/>
                    </a:xfrm>
                    <a:prstGeom prst="rect">
                      <a:avLst/>
                    </a:prstGeom>
                    <a:noFill/>
                  </pic:spPr>
                </pic:pic>
              </a:graphicData>
            </a:graphic>
          </wp:anchor>
        </w:drawing>
      </w:r>
    </w:p>
    <w:p>
      <w:pPr>
        <w:spacing w:after="0" w:line="255" w:lineRule="exact"/>
        <w:rPr>
          <w:sz w:val="20"/>
          <w:szCs w:val="20"/>
          <w:color w:val="auto"/>
        </w:rPr>
      </w:pPr>
    </w:p>
    <w:p>
      <w:pPr>
        <w:ind w:right="60"/>
        <w:spacing w:after="0" w:line="256" w:lineRule="auto"/>
        <w:rPr>
          <w:sz w:val="20"/>
          <w:szCs w:val="20"/>
          <w:color w:val="auto"/>
        </w:rPr>
      </w:pPr>
      <w:r>
        <w:rPr>
          <w:rFonts w:ascii="Arial" w:cs="Arial" w:eastAsia="Arial" w:hAnsi="Arial"/>
          <w:sz w:val="11"/>
          <w:szCs w:val="11"/>
          <w:color w:val="auto"/>
        </w:rPr>
        <w:t>A non-employee director receives an annual retainer of $55,000 and an annual committee retainer of $10,000 for each standing committee on which the director serves. In addition, each chairperson of the standing committees of the Company's board of directors receives an additional annual retainer of $10,000. Compared to cash compensation of non-employee directors in our</w:t>
      </w:r>
    </w:p>
    <w:p>
      <w:pPr>
        <w:spacing w:after="0" w:line="217" w:lineRule="auto"/>
        <w:rPr>
          <w:sz w:val="20"/>
          <w:szCs w:val="20"/>
          <w:color w:val="auto"/>
        </w:rPr>
      </w:pPr>
      <w:r>
        <w:rPr>
          <w:rFonts w:ascii="Arial" w:cs="Arial" w:eastAsia="Arial" w:hAnsi="Arial"/>
          <w:sz w:val="12"/>
          <w:szCs w:val="12"/>
          <w:color w:val="auto"/>
        </w:rPr>
        <w:t>Peer Group, our annual retainer for board service is below the 25th percentile and the additional retainers provided to our committee chairpersons are below the median.</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Non-employee directors are reimbursed for their actual expenses incurred in connection with their activities as directors, which included travel, hotel, and food and entertainment expenses.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of $5,000 per director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253365</wp:posOffset>
            </wp:positionV>
            <wp:extent cx="72923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88" w:space="120"/>
            <w:col w:w="10060"/>
          </w:cols>
          <w:pgMar w:left="212" w:top="377" w:right="219" w:bottom="1440" w:gutter="0" w:footer="0" w:header="0"/>
          <w:type w:val="continuous"/>
        </w:sectPr>
      </w:pPr>
    </w:p>
    <w:p>
      <w:pPr>
        <w:spacing w:after="0" w:line="211"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8"/>
          <w:szCs w:val="8"/>
          <w:color w:val="105BAB"/>
        </w:rPr>
      </w:pPr>
      <w:r>
        <w:rPr>
          <w:rFonts w:ascii="Arial" w:cs="Arial" w:eastAsia="Arial" w:hAnsi="Arial"/>
          <w:sz w:val="8"/>
          <w:szCs w:val="8"/>
          <w:color w:val="auto"/>
        </w:rPr>
        <w:t>Based on information reported by our Peer Group companies in 2017. See "Compensation-Related Matters—Compensation Discussion and Analysis—Our Compensation Processes—Peer Data" below for a list of the companies included in our Peer Group.</w:t>
      </w:r>
    </w:p>
    <w:p>
      <w:pPr>
        <w:spacing w:after="0" w:line="148" w:lineRule="exact"/>
        <w:rPr>
          <w:rFonts w:ascii="Arial" w:cs="Arial" w:eastAsia="Arial" w:hAnsi="Arial"/>
          <w:sz w:val="8"/>
          <w:szCs w:val="8"/>
          <w:color w:val="105BAB"/>
        </w:rPr>
      </w:pPr>
    </w:p>
    <w:p>
      <w:pPr>
        <w:ind w:left="348"/>
        <w:spacing w:after="0"/>
        <w:rPr>
          <w:rFonts w:ascii="Arial" w:cs="Arial" w:eastAsia="Arial" w:hAnsi="Arial"/>
          <w:sz w:val="8"/>
          <w:szCs w:val="8"/>
          <w:color w:val="105BAB"/>
        </w:rPr>
      </w:pPr>
      <w:r>
        <w:rPr>
          <w:rFonts w:ascii="Arial" w:cs="Arial" w:eastAsia="Arial" w:hAnsi="Arial"/>
          <w:sz w:val="10"/>
          <w:szCs w:val="10"/>
          <w:b w:val="1"/>
          <w:bCs w:val="1"/>
          <w:color w:val="FFFFF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377" w:right="219" w:bottom="1440" w:gutter="0" w:footer="0" w:header="0"/>
          <w:type w:val="continuous"/>
        </w:sectPr>
      </w:pPr>
    </w:p>
    <w:bookmarkStart w:id="37" w:name="page38"/>
    <w:bookmarkEnd w:id="37"/>
    <w:p>
      <w:pPr>
        <w:spacing w:after="0" w:line="294" w:lineRule="auto"/>
        <w:rPr>
          <w:sz w:val="20"/>
          <w:szCs w:val="20"/>
          <w:color w:val="auto"/>
        </w:rPr>
      </w:pPr>
      <w:r>
        <w:rPr>
          <w:rFonts w:ascii="Arial" w:cs="Arial" w:eastAsia="Arial" w:hAnsi="Arial"/>
          <w:sz w:val="15"/>
          <w:szCs w:val="15"/>
          <w:color w:val="105BAB"/>
        </w:rPr>
        <w:drawing>
          <wp:anchor simplePos="0" relativeHeight="251657728" behindDoc="1" locked="0" layoutInCell="0" allowOverlap="1">
            <wp:simplePos x="0" y="0"/>
            <wp:positionH relativeFrom="page">
              <wp:posOffset>134620</wp:posOffset>
            </wp:positionH>
            <wp:positionV relativeFrom="page">
              <wp:posOffset>483235</wp:posOffset>
            </wp:positionV>
            <wp:extent cx="8636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3600" cy="5715"/>
                    </a:xfrm>
                    <a:prstGeom prst="rect">
                      <a:avLst/>
                    </a:prstGeom>
                    <a:noFill/>
                  </pic:spPr>
                </pic:pic>
              </a:graphicData>
            </a:graphic>
          </wp:anchor>
        </w:drawing>
        <w:t>ANNUAL STOCK OPTION AWARDS</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Arial" w:cs="Arial" w:eastAsia="Arial" w:hAnsi="Arial"/>
          <w:sz w:val="11"/>
          <w:szCs w:val="11"/>
          <w:color w:val="auto"/>
        </w:rPr>
        <w:t>Pursuant to the terms of the Regeneron Pharmaceuticals, Inc. 2014 Long-Term Incentive Plan (as in effect prior to the amendment and restatement adopted in June 2017) and resolutions of the Plan administrator, the Compensation Committee, adopted on December 16, 2014, December 16, 2015, and December 16, 2016 (based in each case upon the recommendation of the Corporate Governance and Compliance Committee), each non-employee director received an automatic grant of a stock option to purchase common stock on the first business day of the immediately following year. As amended and restated and approved by the shareholders in June 2017, the Amended and Restated Regeneron Pharmaceuticals, Inc. 2014 Long-Term Incentive Plan imposes limits on non-employee director awards. The Amended and Restated Regeneron Pharmaceuticals, Inc. 2014 Long-Term Incentive Plan requires that during any calendar year commencing with the 2018 calendar year, the aggregate number of shares subject to one or more awards granted to a non-employee director in a year may not exceed 12,750 shares, except that during the first calendar year in which a non-employee director serves on the board of directors, such limit will be 34,000 shares. In addition, during any calendar year commencing with the 2018 calendar year, the aggregate number of shares subject to one or more awards granted to a non-employee director then serving as chairman of the board of directors in such year may not exceed 25,500 shares, except that during the first calendar year in which a non-employee director serves as chairman of the board of directors, such limit will be 68,000 shares. For purposes of applying this limit, the Plan treats a full-value award (</w:t>
      </w:r>
      <w:r>
        <w:rPr>
          <w:rFonts w:ascii="Arial" w:cs="Arial" w:eastAsia="Arial" w:hAnsi="Arial"/>
          <w:sz w:val="11"/>
          <w:szCs w:val="11"/>
          <w:i w:val="1"/>
          <w:iCs w:val="1"/>
          <w:color w:val="auto"/>
        </w:rPr>
        <w:t>i.e.,</w:t>
      </w:r>
      <w:r>
        <w:rPr>
          <w:rFonts w:ascii="Arial" w:cs="Arial" w:eastAsia="Arial" w:hAnsi="Arial"/>
          <w:sz w:val="11"/>
          <w:szCs w:val="11"/>
          <w:color w:val="auto"/>
        </w:rPr>
        <w:t xml:space="preserve"> an award other than a stock option or stock appreciation right) as an award of one and one-half (1.5) shares for each share actually subject to such award, and an award of a stock option or stock appreciation right as an award of one share for each share actually subject to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-1230630</wp:posOffset>
            </wp:positionV>
            <wp:extent cx="7292340" cy="457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-1024890</wp:posOffset>
            </wp:positionV>
            <wp:extent cx="636016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60160" cy="5715"/>
                    </a:xfrm>
                    <a:prstGeom prst="rect">
                      <a:avLst/>
                    </a:prstGeom>
                    <a:noFill/>
                  </pic:spPr>
                </pic:pic>
              </a:graphicData>
            </a:graphic>
          </wp:anchor>
        </w:drawing>
      </w:r>
    </w:p>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The exercise price of a non-employee director stock option is equal to the fair market value of a share of common stock on the date of grant (determined as the average of the high and low sales price per share of common stock on the NASDAQ Global Select Market on the date of grant or, if such date is not a trading day, on the last preceding date on which there was a sale of the Company's common stock on the NASDAQ Global Select Market). Stock options awarded to non-employee directors become exercisable as to one-third of the shares on the anniversary of the date of grant in each of the three subsequent calendar years, generally subject to continued service on the board, and generally expire ten years following the date of grant.</w:t>
      </w:r>
    </w:p>
    <w:p>
      <w:pPr>
        <w:spacing w:after="0" w:line="128"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We focus on the number of shares underlying option awards as a percentage of basic shares of common stock outstanding when making decisions on non-employee director equity awards. Among other things, we believe this dilution-based approach allows us to evaluate such grants on a consistent basis year-over-year, without fluctuations in the share price, and is aligned more closely with shareholder interests. In December 2017, similar to the reductions in annual awards to executive officers and other employees discussed in "Compensation-Related Matters— Compensation Discussion and Analysis" below, the Plan administrator, the Compensation Committee (based upon the recommendation of the Corporate Governance and Compliance Committee), reduced the grant of stock options to our non-employee directors by 5% as compared to the prior year's awards, from 7,830 shares to 7,439 shares of common stock underlying each such stock option. This reduction marked the fifth consecutive year of reductions, following the 15% reductions in each of the previous four years. The most recent reduced grants to our non-employee directors were made on January 2, 2018. Similar to the rationale for the reductions in annual awards to executive officers and other employees discussed in "Compensation-Related Matters—Compensation Discussion and Analysis" below, the impetus for the reductions in the automatic grants to the non-employee directors was to reduce the potential dilutive impact of these grants. Reductions implemented before December 2016 also took into account the increase in the Company stock price since the prior years' awards, with the resulting increases in the grant date fair values of the automatic grants (as determined according to the Black-Scholes model for valuing stock options).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To the extent they remain unvested and outstanding, stock options granted to a non-employee director continue to vest following the retirement of that director provided applicable conditions</w:t>
      </w:r>
    </w:p>
    <w:p>
      <w:pPr>
        <w:spacing w:after="0" w:line="142" w:lineRule="exact"/>
        <w:rPr>
          <w:sz w:val="20"/>
          <w:szCs w:val="20"/>
          <w:color w:val="auto"/>
        </w:rPr>
      </w:pPr>
    </w:p>
    <w:p>
      <w:pPr>
        <w:ind w:left="9560"/>
        <w:spacing w:after="0"/>
        <w:rPr>
          <w:sz w:val="20"/>
          <w:szCs w:val="20"/>
          <w:color w:val="auto"/>
        </w:rPr>
      </w:pPr>
      <w:r>
        <w:rPr>
          <w:rFonts w:ascii="Arial" w:cs="Arial" w:eastAsia="Arial" w:hAnsi="Arial"/>
          <w:sz w:val="10"/>
          <w:szCs w:val="10"/>
          <w:b w:val="1"/>
          <w:bCs w:val="1"/>
          <w:color w:val="FFFFF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-66675</wp:posOffset>
            </wp:positionV>
            <wp:extent cx="28575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-934720</wp:posOffset>
            </wp:positionH>
            <wp:positionV relativeFrom="paragraph">
              <wp:posOffset>89535</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340" w:space="120"/>
            <w:col w:w="10000"/>
          </w:cols>
          <w:pgMar w:left="220" w:top="875" w:right="21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946785</wp:posOffset>
            </wp:positionV>
            <wp:extent cx="955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55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3" w:lineRule="auto"/>
        <w:rPr>
          <w:sz w:val="20"/>
          <w:szCs w:val="20"/>
          <w:color w:val="auto"/>
        </w:rPr>
      </w:pPr>
      <w:r>
        <w:rPr>
          <w:rFonts w:ascii="Arial" w:cs="Arial" w:eastAsia="Arial" w:hAnsi="Arial"/>
          <w:sz w:val="16"/>
          <w:szCs w:val="16"/>
          <w:color w:val="105BAB"/>
        </w:rPr>
        <w:t>STOCK OPTION AWARDS TO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955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55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Arial" w:cs="Arial" w:eastAsia="Arial" w:hAnsi="Arial"/>
          <w:sz w:val="12"/>
          <w:szCs w:val="12"/>
          <w:color w:val="auto"/>
        </w:rPr>
        <w:t>relating to the length of the director's service and the director's age have been met. If a non-employee director's service as a member of the board is terminated as a result of his or her death, all of the director's stock options will immediately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-312420</wp:posOffset>
            </wp:positionV>
            <wp:extent cx="7292340" cy="457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13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To the extent they remain unvested and outstanding, stock options granted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626872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68720" cy="5715"/>
                    </a:xfrm>
                    <a:prstGeom prst="rect">
                      <a:avLst/>
                    </a:prstGeom>
                    <a:noFill/>
                  </pic:spPr>
                </pic:pic>
              </a:graphicData>
            </a:graphic>
          </wp:anchor>
        </w:drawing>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Each new non-employee director receives an initial stock option award to purchase a number of shares equal to 5/3rds of the number of shares of common stock underlying the most recent regular annual stock option award to a non-employee director; and, with respect to the annual stock option award to a non-employee director in respect of the first year of his or her service, the number of shares of common stock underlying such annual award are prorated based on the date as of which the non-employee director first becomes a member of the board of directors. These guidelines were adopted by the board of directors at the recommendation of the Corporate Governance and Compliance Committee after taking into account all factors deemed relevant, including those described under "Overview" above. The January 2017 pro-rated annual stock option awards to Drs. Bassler and Zoghbi and the January 2017 initial stock option award to Dr. Coles (each shown in the table below), as well as the January 2018 pro-rated annual stock option award to Dr. Coles (to be reported in the Director Compensation Table in the proxy statement for the 2019 annual shareholder meeting), followed these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26872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687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0"/>
            <w:col w:w="9860"/>
          </w:cols>
          <w:pgMar w:left="220" w:top="655" w:right="219" w:bottom="1440" w:gutter="0" w:footer="0" w:header="0"/>
        </w:sectPr>
      </w:pPr>
    </w:p>
    <w:p>
      <w:pPr>
        <w:spacing w:after="0" w:line="70" w:lineRule="exact"/>
        <w:rPr>
          <w:sz w:val="20"/>
          <w:szCs w:val="20"/>
          <w:color w:val="auto"/>
        </w:rPr>
      </w:pPr>
    </w:p>
    <w:p>
      <w:pPr>
        <w:spacing w:after="0" w:line="250" w:lineRule="auto"/>
        <w:rPr>
          <w:sz w:val="20"/>
          <w:szCs w:val="20"/>
          <w:color w:val="auto"/>
        </w:rPr>
      </w:pPr>
      <w:r>
        <w:rPr>
          <w:rFonts w:ascii="Arial" w:cs="Arial" w:eastAsia="Arial" w:hAnsi="Arial"/>
          <w:sz w:val="16"/>
          <w:szCs w:val="16"/>
          <w:color w:val="105BAB"/>
        </w:rPr>
        <w:t>COMPENSATION ARRANGEMENTS OF THE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40"/>
        <w:spacing w:after="0" w:line="237" w:lineRule="auto"/>
        <w:rPr>
          <w:sz w:val="20"/>
          <w:szCs w:val="20"/>
          <w:color w:val="auto"/>
        </w:rPr>
      </w:pPr>
      <w:r>
        <w:rPr>
          <w:rFonts w:ascii="Arial" w:cs="Arial" w:eastAsia="Arial" w:hAnsi="Arial"/>
          <w:sz w:val="12"/>
          <w:szCs w:val="12"/>
          <w:color w:val="auto"/>
        </w:rPr>
        <w:t>On December 31, 1998, we entered into an employment agreement with the Chairman of the board of directors, Dr. Vagelos. He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 (a) 125,000 shares or (b) 125% of the highest annual option award granted to an officer of the Company.</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1"/>
          <w:szCs w:val="11"/>
          <w:color w:val="auto"/>
        </w:rPr>
        <w:t>In 2011, the Compensation Committee determined that Dr. Vagelos's target grant would be equal to ten times the annual grant for a non-employee member of the board of directors, setting his target award at 150,000 shares of common stock underlying stock options. In each of December 2013, 2014, 2015, and 2016, the Compensation Committee reduced the award to</w:t>
      </w:r>
    </w:p>
    <w:p>
      <w:pPr>
        <w:spacing w:after="0" w:line="236" w:lineRule="auto"/>
        <w:rPr>
          <w:sz w:val="20"/>
          <w:szCs w:val="20"/>
          <w:color w:val="auto"/>
        </w:rPr>
      </w:pPr>
      <w:r>
        <w:rPr>
          <w:rFonts w:ascii="Arial" w:cs="Arial" w:eastAsia="Arial" w:hAnsi="Arial"/>
          <w:sz w:val="12"/>
          <w:szCs w:val="12"/>
          <w:color w:val="auto"/>
        </w:rPr>
        <w:t>Dr. Vagelos by 15% and in December 2017 by 5%, in each case based on the number of shares underlying the award as compared to the prior year's award. These reductions were in line with the reductions in the annual stock option awards to our executive officers and the reductions in the annual stock option awards to the non-employee directors described above. On December 12, 2017, the Compensation Committee granted Dr. Vagelos a stock option to purchase 74,390 shares of common stock, at an exercise price of $378.98 per share, the fair market value per share of our common stock on the date of grant (determined as the average of the high and low sales price per share of common stock on the NASDAQ Global Select Market on the date of grant). As in prior years, this award reflects, among other things, the key contributions that Dr. Vagelos makes as the Company continues to develop into a fully integrated biotech company with multiple class-leading products, as well as Dr. Vagelos's crucial role as a trusted advisor to the CEO, other senior managers, and the non-employee directors. It is also designed to incentivize further contributions and ensure Dr. Vagelos's continued service to the Company in the future.</w:t>
      </w:r>
    </w:p>
    <w:p>
      <w:pPr>
        <w:spacing w:after="0" w:line="140" w:lineRule="exact"/>
        <w:rPr>
          <w:sz w:val="20"/>
          <w:szCs w:val="20"/>
          <w:color w:val="auto"/>
        </w:rPr>
      </w:pPr>
    </w:p>
    <w:p>
      <w:pPr>
        <w:jc w:val="both"/>
        <w:ind w:right="140"/>
        <w:spacing w:after="0" w:line="237" w:lineRule="auto"/>
        <w:rPr>
          <w:sz w:val="20"/>
          <w:szCs w:val="20"/>
          <w:color w:val="auto"/>
        </w:rPr>
      </w:pPr>
      <w:r>
        <w:rPr>
          <w:rFonts w:ascii="Arial" w:cs="Arial" w:eastAsia="Arial" w:hAnsi="Arial"/>
          <w:sz w:val="12"/>
          <w:szCs w:val="12"/>
          <w:color w:val="auto"/>
        </w:rPr>
        <w:t>The 2017 stock option award granted to Dr. Vagelos vests ratably over four years subject to his continued service and contains change-of-control provisions consistent with those described above for stock option grants to non-employee directors. Pursuant to the terms of his employment agreement, if Dr. Vagelos dies or is disabled during the term of his employment, all stock options granted to him by the Company will immediately become vested and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244475</wp:posOffset>
            </wp:positionV>
            <wp:extent cx="729932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500" w:space="100"/>
            <w:col w:w="9860"/>
          </w:cols>
          <w:pgMar w:left="220" w:top="655" w:right="219" w:bottom="1440" w:gutter="0" w:footer="0" w:header="0"/>
          <w:type w:val="continuous"/>
        </w:sectPr>
      </w:pPr>
    </w:p>
    <w:bookmarkStart w:id="39" w:name="page40"/>
    <w:bookmarkEnd w:id="39"/>
    <w:p>
      <w:pPr>
        <w:ind w:left="1668" w:right="120"/>
        <w:spacing w:after="0" w:line="23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277495</wp:posOffset>
            </wp:positionV>
            <wp:extent cx="7292340" cy="45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45720"/>
                    </a:xfrm>
                    <a:prstGeom prst="rect">
                      <a:avLst/>
                    </a:prstGeom>
                    <a:noFill/>
                  </pic:spPr>
                </pic:pic>
              </a:graphicData>
            </a:graphic>
          </wp:anchor>
        </w:drawing>
        <w:t>The following table and explanatory footnotes provide information with respect to compensation paid to Dr. Vagelos and each non-employee director for their service in 2017 in accordance with the policies, plans, and employment agreement described above:</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660" w:type="dxa"/>
            <w:vAlign w:val="bottom"/>
            <w:tcBorders>
              <w:top w:val="single" w:sz="8" w:color="105BAB"/>
              <w:bottom w:val="single" w:sz="8" w:color="105BAB"/>
            </w:tcBorders>
          </w:tcPr>
          <w:p>
            <w:pPr>
              <w:ind w:left="3020"/>
              <w:spacing w:after="0"/>
              <w:rPr>
                <w:sz w:val="20"/>
                <w:szCs w:val="20"/>
                <w:color w:val="auto"/>
              </w:rPr>
            </w:pPr>
            <w:r>
              <w:rPr>
                <w:rFonts w:ascii="Arial" w:cs="Arial" w:eastAsia="Arial" w:hAnsi="Arial"/>
                <w:sz w:val="10"/>
                <w:szCs w:val="10"/>
                <w:b w:val="1"/>
                <w:bCs w:val="1"/>
                <w:color w:val="105BAB"/>
              </w:rPr>
              <w:t>A</w:t>
            </w:r>
          </w:p>
        </w:tc>
        <w:tc>
          <w:tcPr>
            <w:tcW w:w="2240" w:type="dxa"/>
            <w:vAlign w:val="bottom"/>
            <w:tcBorders>
              <w:top w:val="single" w:sz="8" w:color="105BAB"/>
              <w:bottom w:val="single" w:sz="8" w:color="105BAB"/>
            </w:tcBorders>
          </w:tcPr>
          <w:p>
            <w:pPr>
              <w:jc w:val="center"/>
              <w:ind w:left="1452"/>
              <w:spacing w:after="0"/>
              <w:rPr>
                <w:sz w:val="20"/>
                <w:szCs w:val="20"/>
                <w:color w:val="auto"/>
              </w:rPr>
            </w:pPr>
            <w:r>
              <w:rPr>
                <w:rFonts w:ascii="Arial" w:cs="Arial" w:eastAsia="Arial" w:hAnsi="Arial"/>
                <w:sz w:val="10"/>
                <w:szCs w:val="10"/>
                <w:b w:val="1"/>
                <w:bCs w:val="1"/>
                <w:color w:val="105BAB"/>
                <w:w w:val="82"/>
              </w:rPr>
              <w:t>B</w:t>
            </w:r>
          </w:p>
        </w:tc>
        <w:tc>
          <w:tcPr>
            <w:tcW w:w="50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2"/>
              </w:rPr>
              <w:t>C</w:t>
            </w:r>
          </w:p>
        </w:tc>
        <w:tc>
          <w:tcPr>
            <w:tcW w:w="70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D</w:t>
            </w:r>
          </w:p>
        </w:tc>
        <w:tc>
          <w:tcPr>
            <w:tcW w:w="82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E</w:t>
            </w:r>
          </w:p>
        </w:tc>
        <w:tc>
          <w:tcPr>
            <w:tcW w:w="104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F</w:t>
            </w:r>
          </w:p>
        </w:tc>
        <w:tc>
          <w:tcPr>
            <w:tcW w:w="82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G</w:t>
            </w:r>
          </w:p>
        </w:tc>
        <w:tc>
          <w:tcPr>
            <w:tcW w:w="560" w:type="dxa"/>
            <w:vAlign w:val="bottom"/>
            <w:tcBorders>
              <w:top w:val="single" w:sz="8" w:color="105BAB"/>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82"/>
              </w:rPr>
              <w:t>H</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105BAB"/>
                <w:w w:val="96"/>
              </w:rPr>
              <w:t>Change in pension</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3"/>
              </w:rPr>
              <w:t>value</w:t>
            </w: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and non-qualified</w:t>
            </w: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240" w:type="dxa"/>
            <w:vAlign w:val="bottom"/>
          </w:tcPr>
          <w:p>
            <w:pPr>
              <w:jc w:val="center"/>
              <w:ind w:left="1432"/>
              <w:spacing w:after="0" w:line="108" w:lineRule="exact"/>
              <w:rPr>
                <w:sz w:val="20"/>
                <w:szCs w:val="20"/>
                <w:color w:val="auto"/>
              </w:rPr>
            </w:pPr>
            <w:r>
              <w:rPr>
                <w:rFonts w:ascii="Arial" w:cs="Arial" w:eastAsia="Arial" w:hAnsi="Arial"/>
                <w:sz w:val="10"/>
                <w:szCs w:val="10"/>
                <w:b w:val="1"/>
                <w:bCs w:val="1"/>
                <w:color w:val="105BAB"/>
                <w:w w:val="95"/>
              </w:rPr>
              <w:t>Fees earned</w:t>
            </w:r>
          </w:p>
        </w:tc>
        <w:tc>
          <w:tcPr>
            <w:tcW w:w="5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105BAB"/>
                <w:w w:val="99"/>
              </w:rPr>
              <w:t>Option</w:t>
            </w: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Non-equity</w:t>
            </w: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deferred</w:t>
            </w: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2240" w:type="dxa"/>
            <w:vAlign w:val="bottom"/>
          </w:tcPr>
          <w:p>
            <w:pPr>
              <w:jc w:val="center"/>
              <w:ind w:left="1452"/>
              <w:spacing w:after="0" w:line="99" w:lineRule="exact"/>
              <w:rPr>
                <w:sz w:val="20"/>
                <w:szCs w:val="20"/>
                <w:color w:val="auto"/>
              </w:rPr>
            </w:pPr>
            <w:r>
              <w:rPr>
                <w:rFonts w:ascii="Arial" w:cs="Arial" w:eastAsia="Arial" w:hAnsi="Arial"/>
                <w:sz w:val="10"/>
                <w:szCs w:val="10"/>
                <w:b w:val="1"/>
                <w:bCs w:val="1"/>
                <w:color w:val="105BAB"/>
                <w:w w:val="93"/>
              </w:rPr>
              <w:t>or paid in</w:t>
            </w:r>
          </w:p>
        </w:tc>
        <w:tc>
          <w:tcPr>
            <w:tcW w:w="50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5"/>
              </w:rPr>
              <w:t>Stock</w:t>
            </w:r>
          </w:p>
        </w:tc>
        <w:tc>
          <w:tcPr>
            <w:tcW w:w="700" w:type="dxa"/>
            <w:vAlign w:val="bottom"/>
            <w:vMerge w:val="continue"/>
          </w:tcPr>
          <w:p>
            <w:pPr>
              <w:spacing w:after="0"/>
              <w:rPr>
                <w:sz w:val="8"/>
                <w:szCs w:val="8"/>
                <w:color w:val="auto"/>
              </w:rPr>
            </w:pPr>
          </w:p>
        </w:tc>
        <w:tc>
          <w:tcPr>
            <w:tcW w:w="82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5"/>
              </w:rPr>
              <w:t>incentive plan</w:t>
            </w: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4"/>
              </w:rPr>
              <w:t>compensation</w:t>
            </w:r>
          </w:p>
        </w:tc>
        <w:tc>
          <w:tcPr>
            <w:tcW w:w="82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3"/>
              </w:rPr>
              <w:t>All other</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240" w:type="dxa"/>
            <w:vAlign w:val="bottom"/>
          </w:tcPr>
          <w:p>
            <w:pPr>
              <w:jc w:val="center"/>
              <w:ind w:left="1452"/>
              <w:spacing w:after="0" w:line="108" w:lineRule="exact"/>
              <w:rPr>
                <w:sz w:val="20"/>
                <w:szCs w:val="20"/>
                <w:color w:val="auto"/>
              </w:rPr>
            </w:pPr>
            <w:r>
              <w:rPr>
                <w:rFonts w:ascii="Arial" w:cs="Arial" w:eastAsia="Arial" w:hAnsi="Arial"/>
                <w:sz w:val="10"/>
                <w:szCs w:val="10"/>
                <w:b w:val="1"/>
                <w:bCs w:val="1"/>
                <w:color w:val="105BAB"/>
                <w:w w:val="96"/>
              </w:rPr>
              <w:t>cash</w:t>
            </w:r>
          </w:p>
        </w:tc>
        <w:tc>
          <w:tcPr>
            <w:tcW w:w="5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awards</w:t>
            </w: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2"/>
              </w:rPr>
              <w:t>awards</w:t>
            </w: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compensation</w:t>
            </w: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earnings</w:t>
            </w: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7"/>
              </w:rPr>
              <w:t>compensation</w:t>
            </w:r>
          </w:p>
        </w:tc>
        <w:tc>
          <w:tcPr>
            <w:tcW w:w="560" w:type="dxa"/>
            <w:vAlign w:val="bottom"/>
          </w:tcPr>
          <w:p>
            <w:pPr>
              <w:jc w:val="center"/>
              <w:ind w:left="12"/>
              <w:spacing w:after="0" w:line="108" w:lineRule="exact"/>
              <w:rPr>
                <w:sz w:val="20"/>
                <w:szCs w:val="20"/>
                <w:color w:val="auto"/>
              </w:rPr>
            </w:pPr>
            <w:r>
              <w:rPr>
                <w:rFonts w:ascii="Arial" w:cs="Arial" w:eastAsia="Arial" w:hAnsi="Arial"/>
                <w:sz w:val="10"/>
                <w:szCs w:val="10"/>
                <w:b w:val="1"/>
                <w:bCs w:val="1"/>
                <w:color w:val="105BAB"/>
                <w:w w:val="91"/>
              </w:rPr>
              <w:t>Total</w:t>
            </w:r>
          </w:p>
        </w:tc>
        <w:tc>
          <w:tcPr>
            <w:tcW w:w="0" w:type="dxa"/>
            <w:vAlign w:val="bottom"/>
          </w:tcPr>
          <w:p>
            <w:pPr>
              <w:spacing w:after="0"/>
              <w:rPr>
                <w:sz w:val="1"/>
                <w:szCs w:val="1"/>
                <w:color w:val="auto"/>
              </w:rPr>
            </w:pPr>
          </w:p>
        </w:tc>
      </w:tr>
      <w:tr>
        <w:trPr>
          <w:trHeight w:val="126"/>
        </w:trPr>
        <w:tc>
          <w:tcPr>
            <w:tcW w:w="4660" w:type="dxa"/>
            <w:vAlign w:val="bottom"/>
            <w:tcBorders>
              <w:bottom w:val="single" w:sz="8" w:color="105BAB"/>
            </w:tcBorders>
          </w:tcPr>
          <w:p>
            <w:pPr>
              <w:spacing w:after="0"/>
              <w:rPr>
                <w:sz w:val="20"/>
                <w:szCs w:val="20"/>
                <w:color w:val="auto"/>
              </w:rPr>
            </w:pPr>
            <w:r>
              <w:rPr>
                <w:rFonts w:ascii="Arial" w:cs="Arial" w:eastAsia="Arial" w:hAnsi="Arial"/>
                <w:sz w:val="10"/>
                <w:szCs w:val="10"/>
                <w:b w:val="1"/>
                <w:bCs w:val="1"/>
                <w:color w:val="105BAB"/>
              </w:rPr>
              <w:t>Name</w:t>
            </w:r>
          </w:p>
        </w:tc>
        <w:tc>
          <w:tcPr>
            <w:tcW w:w="2240" w:type="dxa"/>
            <w:vAlign w:val="bottom"/>
            <w:tcBorders>
              <w:bottom w:val="single" w:sz="8" w:color="105BAB"/>
            </w:tcBorders>
          </w:tcPr>
          <w:p>
            <w:pPr>
              <w:jc w:val="center"/>
              <w:ind w:left="1432"/>
              <w:spacing w:after="0"/>
              <w:rPr>
                <w:sz w:val="20"/>
                <w:szCs w:val="20"/>
                <w:color w:val="auto"/>
              </w:rPr>
            </w:pPr>
            <w:r>
              <w:rPr>
                <w:rFonts w:ascii="Arial" w:cs="Arial" w:eastAsia="Arial" w:hAnsi="Arial"/>
                <w:sz w:val="10"/>
                <w:szCs w:val="10"/>
                <w:b w:val="1"/>
                <w:bCs w:val="1"/>
                <w:color w:val="105BAB"/>
                <w:w w:val="97"/>
              </w:rPr>
              <w:t>($)</w:t>
            </w:r>
          </w:p>
        </w:tc>
        <w:tc>
          <w:tcPr>
            <w:tcW w:w="50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w:t>
            </w:r>
          </w:p>
        </w:tc>
        <w:tc>
          <w:tcPr>
            <w:tcW w:w="700" w:type="dxa"/>
            <w:vAlign w:val="bottom"/>
            <w:tcBorders>
              <w:bottom w:val="single" w:sz="8" w:color="105BAB"/>
            </w:tcBorders>
          </w:tcPr>
          <w:p>
            <w:pPr>
              <w:jc w:val="center"/>
              <w:spacing w:after="0" w:line="126" w:lineRule="exact"/>
              <w:rPr>
                <w:sz w:val="20"/>
                <w:szCs w:val="20"/>
                <w:color w:val="auto"/>
              </w:rPr>
            </w:pPr>
            <w:r>
              <w:rPr>
                <w:rFonts w:ascii="Arial" w:cs="Arial" w:eastAsia="Arial" w:hAnsi="Arial"/>
                <w:sz w:val="10"/>
                <w:szCs w:val="10"/>
                <w:b w:val="1"/>
                <w:bCs w:val="1"/>
                <w:color w:val="105BAB"/>
                <w:w w:val="86"/>
              </w:rPr>
              <w:t>($)</w:t>
            </w:r>
            <w:r>
              <w:rPr>
                <w:rFonts w:ascii="Arial" w:cs="Arial" w:eastAsia="Arial" w:hAnsi="Arial"/>
                <w:sz w:val="14"/>
                <w:szCs w:val="14"/>
                <w:b w:val="1"/>
                <w:bCs w:val="1"/>
                <w:color w:val="105BAB"/>
                <w:w w:val="86"/>
                <w:vertAlign w:val="superscript"/>
              </w:rPr>
              <w:t>1, 2</w:t>
            </w:r>
          </w:p>
        </w:tc>
        <w:tc>
          <w:tcPr>
            <w:tcW w:w="82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w:t>
            </w:r>
          </w:p>
        </w:tc>
        <w:tc>
          <w:tcPr>
            <w:tcW w:w="104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w:t>
            </w:r>
          </w:p>
        </w:tc>
        <w:tc>
          <w:tcPr>
            <w:tcW w:w="82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w:t>
            </w:r>
          </w:p>
        </w:tc>
        <w:tc>
          <w:tcPr>
            <w:tcW w:w="560" w:type="dxa"/>
            <w:vAlign w:val="bottom"/>
            <w:tcBorders>
              <w:bottom w:val="single" w:sz="8" w:color="105BAB"/>
            </w:tcBorders>
          </w:tcPr>
          <w:p>
            <w:pPr>
              <w:jc w:val="center"/>
              <w:ind w:left="12"/>
              <w:spacing w:after="0"/>
              <w:rPr>
                <w:sz w:val="20"/>
                <w:szCs w:val="20"/>
                <w:color w:val="auto"/>
              </w:rPr>
            </w:pPr>
            <w:r>
              <w:rPr>
                <w:rFonts w:ascii="Arial" w:cs="Arial" w:eastAsia="Arial" w:hAnsi="Arial"/>
                <w:sz w:val="10"/>
                <w:szCs w:val="10"/>
                <w:b w:val="1"/>
                <w:bCs w:val="1"/>
                <w:color w:val="105BAB"/>
                <w:w w:val="81"/>
              </w:rPr>
              <w:t>($)</w:t>
            </w:r>
          </w:p>
        </w:tc>
        <w:tc>
          <w:tcPr>
            <w:tcW w:w="0" w:type="dxa"/>
            <w:vAlign w:val="bottom"/>
          </w:tcPr>
          <w:p>
            <w:pPr>
              <w:spacing w:after="0"/>
              <w:rPr>
                <w:sz w:val="1"/>
                <w:szCs w:val="1"/>
                <w:color w:val="auto"/>
              </w:rPr>
            </w:pPr>
          </w:p>
        </w:tc>
      </w:tr>
      <w:tr>
        <w:trPr>
          <w:trHeight w:val="107"/>
        </w:trPr>
        <w:tc>
          <w:tcPr>
            <w:tcW w:w="4660" w:type="dxa"/>
            <w:vAlign w:val="bottom"/>
            <w:shd w:val="clear" w:color="auto" w:fill="F1F3F9"/>
          </w:tcPr>
          <w:p>
            <w:pPr>
              <w:spacing w:after="0"/>
              <w:rPr>
                <w:sz w:val="9"/>
                <w:szCs w:val="9"/>
                <w:color w:val="auto"/>
              </w:rPr>
            </w:pPr>
          </w:p>
        </w:tc>
        <w:tc>
          <w:tcPr>
            <w:tcW w:w="2240" w:type="dxa"/>
            <w:vAlign w:val="bottom"/>
            <w:vMerge w:val="restart"/>
            <w:shd w:val="clear" w:color="auto" w:fill="F1F3F9"/>
          </w:tcPr>
          <w:p>
            <w:pPr>
              <w:jc w:val="center"/>
              <w:ind w:left="1452"/>
              <w:spacing w:after="0"/>
              <w:rPr>
                <w:sz w:val="20"/>
                <w:szCs w:val="20"/>
                <w:color w:val="auto"/>
              </w:rPr>
            </w:pPr>
            <w:r>
              <w:rPr>
                <w:rFonts w:ascii="Arial" w:cs="Arial" w:eastAsia="Arial" w:hAnsi="Arial"/>
                <w:sz w:val="10"/>
                <w:szCs w:val="10"/>
                <w:color w:val="auto"/>
                <w:w w:val="97"/>
              </w:rPr>
              <w:t>75,000</w:t>
            </w:r>
          </w:p>
        </w:tc>
        <w:tc>
          <w:tcPr>
            <w:tcW w:w="50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F1F3F9"/>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1,307,211</w:t>
            </w:r>
          </w:p>
        </w:tc>
        <w:tc>
          <w:tcPr>
            <w:tcW w:w="0" w:type="dxa"/>
            <w:vAlign w:val="bottom"/>
          </w:tcPr>
          <w:p>
            <w:pPr>
              <w:spacing w:after="0"/>
              <w:rPr>
                <w:sz w:val="1"/>
                <w:szCs w:val="1"/>
                <w:color w:val="auto"/>
              </w:rPr>
            </w:pPr>
          </w:p>
        </w:tc>
      </w:tr>
      <w:tr>
        <w:trPr>
          <w:trHeight w:val="107"/>
        </w:trPr>
        <w:tc>
          <w:tcPr>
            <w:tcW w:w="4660" w:type="dxa"/>
            <w:vAlign w:val="bottom"/>
            <w:tcBorders>
              <w:bottom w:val="single" w:sz="8" w:color="auto"/>
            </w:tcBorders>
            <w:shd w:val="clear" w:color="auto" w:fill="F1F3F9"/>
          </w:tcPr>
          <w:p>
            <w:pPr>
              <w:spacing w:after="0" w:line="107" w:lineRule="exact"/>
              <w:rPr>
                <w:sz w:val="20"/>
                <w:szCs w:val="20"/>
                <w:color w:val="auto"/>
              </w:rPr>
            </w:pPr>
            <w:r>
              <w:rPr>
                <w:rFonts w:ascii="Arial" w:cs="Arial" w:eastAsia="Arial" w:hAnsi="Arial"/>
                <w:sz w:val="10"/>
                <w:szCs w:val="10"/>
                <w:color w:val="auto"/>
              </w:rPr>
              <w:t>Charles A. Baker</w:t>
            </w:r>
          </w:p>
        </w:tc>
        <w:tc>
          <w:tcPr>
            <w:tcW w:w="2240" w:type="dxa"/>
            <w:vAlign w:val="bottom"/>
            <w:tcBorders>
              <w:bottom w:val="single" w:sz="8" w:color="auto"/>
            </w:tcBorders>
            <w:vMerge w:val="continue"/>
            <w:shd w:val="clear" w:color="auto" w:fill="F1F3F9"/>
          </w:tcPr>
          <w:p>
            <w:pPr>
              <w:spacing w:after="0"/>
              <w:rPr>
                <w:sz w:val="9"/>
                <w:szCs w:val="9"/>
                <w:color w:val="auto"/>
              </w:rPr>
            </w:pPr>
          </w:p>
        </w:tc>
        <w:tc>
          <w:tcPr>
            <w:tcW w:w="500" w:type="dxa"/>
            <w:vAlign w:val="bottom"/>
            <w:tcBorders>
              <w:bottom w:val="single" w:sz="8" w:color="auto"/>
            </w:tcBorders>
            <w:shd w:val="clear" w:color="auto" w:fill="F1F3F9"/>
          </w:tcPr>
          <w:p>
            <w:pPr>
              <w:spacing w:after="0"/>
              <w:rPr>
                <w:sz w:val="9"/>
                <w:szCs w:val="9"/>
                <w:color w:val="auto"/>
              </w:rPr>
            </w:pPr>
          </w:p>
        </w:tc>
        <w:tc>
          <w:tcPr>
            <w:tcW w:w="700" w:type="dxa"/>
            <w:vAlign w:val="bottom"/>
            <w:tcBorders>
              <w:bottom w:val="single" w:sz="8" w:color="auto"/>
            </w:tcBorders>
            <w:vMerge w:val="continue"/>
            <w:shd w:val="clear" w:color="auto" w:fill="F1F3F9"/>
          </w:tcPr>
          <w:p>
            <w:pPr>
              <w:spacing w:after="0"/>
              <w:rPr>
                <w:sz w:val="9"/>
                <w:szCs w:val="9"/>
                <w:color w:val="auto"/>
              </w:rPr>
            </w:pPr>
          </w:p>
        </w:tc>
        <w:tc>
          <w:tcPr>
            <w:tcW w:w="820" w:type="dxa"/>
            <w:vAlign w:val="bottom"/>
            <w:tcBorders>
              <w:bottom w:val="single" w:sz="8" w:color="auto"/>
            </w:tcBorders>
            <w:shd w:val="clear" w:color="auto" w:fill="F1F3F9"/>
          </w:tcPr>
          <w:p>
            <w:pPr>
              <w:spacing w:after="0"/>
              <w:rPr>
                <w:sz w:val="9"/>
                <w:szCs w:val="9"/>
                <w:color w:val="auto"/>
              </w:rPr>
            </w:pPr>
          </w:p>
        </w:tc>
        <w:tc>
          <w:tcPr>
            <w:tcW w:w="1040" w:type="dxa"/>
            <w:vAlign w:val="bottom"/>
            <w:tcBorders>
              <w:bottom w:val="single" w:sz="8" w:color="auto"/>
            </w:tcBorders>
            <w:shd w:val="clear" w:color="auto" w:fill="F1F3F9"/>
          </w:tcPr>
          <w:p>
            <w:pPr>
              <w:spacing w:after="0"/>
              <w:rPr>
                <w:sz w:val="9"/>
                <w:szCs w:val="9"/>
                <w:color w:val="auto"/>
              </w:rPr>
            </w:pPr>
          </w:p>
        </w:tc>
        <w:tc>
          <w:tcPr>
            <w:tcW w:w="820" w:type="dxa"/>
            <w:vAlign w:val="bottom"/>
            <w:tcBorders>
              <w:bottom w:val="single" w:sz="8" w:color="auto"/>
            </w:tcBorders>
            <w:shd w:val="clear" w:color="auto" w:fill="F1F3F9"/>
          </w:tcPr>
          <w:p>
            <w:pPr>
              <w:spacing w:after="0"/>
              <w:rPr>
                <w:sz w:val="9"/>
                <w:szCs w:val="9"/>
                <w:color w:val="auto"/>
              </w:rPr>
            </w:pPr>
          </w:p>
        </w:tc>
        <w:tc>
          <w:tcPr>
            <w:tcW w:w="560" w:type="dxa"/>
            <w:vAlign w:val="bottom"/>
            <w:tcBorders>
              <w:bottom w:val="single" w:sz="8" w:color="auto"/>
            </w:tcBorders>
            <w:vMerge w:val="continue"/>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660" w:type="dxa"/>
            <w:vAlign w:val="bottom"/>
            <w:vMerge w:val="restart"/>
            <w:shd w:val="clear" w:color="auto" w:fill="D6DAEE"/>
          </w:tcPr>
          <w:p>
            <w:pPr>
              <w:spacing w:after="0"/>
              <w:rPr>
                <w:sz w:val="20"/>
                <w:szCs w:val="20"/>
                <w:color w:val="auto"/>
              </w:rPr>
            </w:pPr>
            <w:r>
              <w:rPr>
                <w:rFonts w:ascii="Arial" w:cs="Arial" w:eastAsia="Arial" w:hAnsi="Arial"/>
                <w:sz w:val="10"/>
                <w:szCs w:val="10"/>
                <w:color w:val="auto"/>
              </w:rPr>
              <w:t>Bonnie L. Bassler, Ph.D.</w:t>
            </w:r>
          </w:p>
        </w:tc>
        <w:tc>
          <w:tcPr>
            <w:tcW w:w="2240" w:type="dxa"/>
            <w:vAlign w:val="bottom"/>
            <w:vMerge w:val="restart"/>
            <w:shd w:val="clear" w:color="auto" w:fill="D6DAEE"/>
          </w:tcPr>
          <w:p>
            <w:pPr>
              <w:jc w:val="center"/>
              <w:ind w:left="1452"/>
              <w:spacing w:after="0"/>
              <w:rPr>
                <w:sz w:val="20"/>
                <w:szCs w:val="20"/>
                <w:color w:val="auto"/>
              </w:rPr>
            </w:pPr>
            <w:r>
              <w:rPr>
                <w:rFonts w:ascii="Arial" w:cs="Arial" w:eastAsia="Arial" w:hAnsi="Arial"/>
                <w:sz w:val="10"/>
                <w:szCs w:val="10"/>
                <w:color w:val="auto"/>
                <w:w w:val="97"/>
              </w:rPr>
              <w:t>75,000</w:t>
            </w:r>
          </w:p>
        </w:tc>
        <w:tc>
          <w:tcPr>
            <w:tcW w:w="50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D6DAEE"/>
          </w:tcPr>
          <w:p>
            <w:pPr>
              <w:jc w:val="right"/>
              <w:ind w:right="72"/>
              <w:spacing w:after="0"/>
              <w:rPr>
                <w:sz w:val="20"/>
                <w:szCs w:val="20"/>
                <w:color w:val="auto"/>
              </w:rPr>
            </w:pPr>
            <w:r>
              <w:rPr>
                <w:rFonts w:ascii="Arial" w:cs="Arial" w:eastAsia="Arial" w:hAnsi="Arial"/>
                <w:sz w:val="10"/>
                <w:szCs w:val="10"/>
                <w:color w:val="auto"/>
              </w:rPr>
              <w:t>383,656</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D6DAEE"/>
          </w:tcPr>
          <w:p>
            <w:pPr>
              <w:jc w:val="right"/>
              <w:spacing w:after="0"/>
              <w:rPr>
                <w:sz w:val="20"/>
                <w:szCs w:val="20"/>
                <w:color w:val="auto"/>
              </w:rPr>
            </w:pPr>
            <w:r>
              <w:rPr>
                <w:rFonts w:ascii="Arial" w:cs="Arial" w:eastAsia="Arial" w:hAnsi="Arial"/>
                <w:sz w:val="10"/>
                <w:szCs w:val="10"/>
                <w:color w:val="auto"/>
              </w:rPr>
              <w:t>458,656</w:t>
            </w:r>
          </w:p>
        </w:tc>
        <w:tc>
          <w:tcPr>
            <w:tcW w:w="0" w:type="dxa"/>
            <w:vAlign w:val="bottom"/>
          </w:tcPr>
          <w:p>
            <w:pPr>
              <w:spacing w:after="0"/>
              <w:rPr>
                <w:sz w:val="1"/>
                <w:szCs w:val="1"/>
                <w:color w:val="auto"/>
              </w:rPr>
            </w:pPr>
          </w:p>
        </w:tc>
      </w:tr>
      <w:tr>
        <w:trPr>
          <w:trHeight w:val="98"/>
        </w:trPr>
        <w:tc>
          <w:tcPr>
            <w:tcW w:w="4660" w:type="dxa"/>
            <w:vAlign w:val="bottom"/>
            <w:tcBorders>
              <w:bottom w:val="single" w:sz="8" w:color="auto"/>
            </w:tcBorders>
            <w:vMerge w:val="continue"/>
            <w:shd w:val="clear" w:color="auto" w:fill="D6DAEE"/>
          </w:tcPr>
          <w:p>
            <w:pPr>
              <w:spacing w:after="0"/>
              <w:rPr>
                <w:sz w:val="8"/>
                <w:szCs w:val="8"/>
                <w:color w:val="auto"/>
              </w:rPr>
            </w:pPr>
          </w:p>
        </w:tc>
        <w:tc>
          <w:tcPr>
            <w:tcW w:w="2240" w:type="dxa"/>
            <w:vAlign w:val="bottom"/>
            <w:tcBorders>
              <w:bottom w:val="single" w:sz="8" w:color="auto"/>
            </w:tcBorders>
            <w:vMerge w:val="continue"/>
            <w:shd w:val="clear" w:color="auto" w:fill="D6DAEE"/>
          </w:tcPr>
          <w:p>
            <w:pPr>
              <w:spacing w:after="0"/>
              <w:rPr>
                <w:sz w:val="8"/>
                <w:szCs w:val="8"/>
                <w:color w:val="auto"/>
              </w:rPr>
            </w:pPr>
          </w:p>
        </w:tc>
        <w:tc>
          <w:tcPr>
            <w:tcW w:w="500" w:type="dxa"/>
            <w:vAlign w:val="bottom"/>
            <w:tcBorders>
              <w:bottom w:val="single" w:sz="8" w:color="auto"/>
            </w:tcBorders>
            <w:shd w:val="clear" w:color="auto" w:fill="D6DAEE"/>
          </w:tcPr>
          <w:p>
            <w:pPr>
              <w:spacing w:after="0"/>
              <w:rPr>
                <w:sz w:val="8"/>
                <w:szCs w:val="8"/>
                <w:color w:val="auto"/>
              </w:rPr>
            </w:pPr>
          </w:p>
        </w:tc>
        <w:tc>
          <w:tcPr>
            <w:tcW w:w="700" w:type="dxa"/>
            <w:vAlign w:val="bottom"/>
            <w:tcBorders>
              <w:bottom w:val="single" w:sz="8" w:color="auto"/>
            </w:tcBorders>
            <w:vMerge w:val="continue"/>
            <w:shd w:val="clear" w:color="auto" w:fill="D6DAEE"/>
          </w:tcPr>
          <w:p>
            <w:pPr>
              <w:spacing w:after="0"/>
              <w:rPr>
                <w:sz w:val="8"/>
                <w:szCs w:val="8"/>
                <w:color w:val="auto"/>
              </w:rPr>
            </w:pPr>
          </w:p>
        </w:tc>
        <w:tc>
          <w:tcPr>
            <w:tcW w:w="820" w:type="dxa"/>
            <w:vAlign w:val="bottom"/>
            <w:tcBorders>
              <w:bottom w:val="single" w:sz="8" w:color="auto"/>
            </w:tcBorders>
            <w:shd w:val="clear" w:color="auto" w:fill="D6DAEE"/>
          </w:tcPr>
          <w:p>
            <w:pPr>
              <w:spacing w:after="0"/>
              <w:rPr>
                <w:sz w:val="8"/>
                <w:szCs w:val="8"/>
                <w:color w:val="auto"/>
              </w:rPr>
            </w:pPr>
          </w:p>
        </w:tc>
        <w:tc>
          <w:tcPr>
            <w:tcW w:w="1040" w:type="dxa"/>
            <w:vAlign w:val="bottom"/>
            <w:tcBorders>
              <w:bottom w:val="single" w:sz="8" w:color="auto"/>
            </w:tcBorders>
            <w:shd w:val="clear" w:color="auto" w:fill="D6DAEE"/>
          </w:tcPr>
          <w:p>
            <w:pPr>
              <w:spacing w:after="0"/>
              <w:rPr>
                <w:sz w:val="8"/>
                <w:szCs w:val="8"/>
                <w:color w:val="auto"/>
              </w:rPr>
            </w:pPr>
          </w:p>
        </w:tc>
        <w:tc>
          <w:tcPr>
            <w:tcW w:w="820" w:type="dxa"/>
            <w:vAlign w:val="bottom"/>
            <w:tcBorders>
              <w:bottom w:val="single" w:sz="8" w:color="auto"/>
            </w:tcBorders>
            <w:shd w:val="clear" w:color="auto" w:fill="D6DAEE"/>
          </w:tcPr>
          <w:p>
            <w:pPr>
              <w:spacing w:after="0"/>
              <w:rPr>
                <w:sz w:val="8"/>
                <w:szCs w:val="8"/>
                <w:color w:val="auto"/>
              </w:rPr>
            </w:pPr>
          </w:p>
        </w:tc>
        <w:tc>
          <w:tcPr>
            <w:tcW w:w="560" w:type="dxa"/>
            <w:vAlign w:val="bottom"/>
            <w:tcBorders>
              <w:bottom w:val="single" w:sz="8" w:color="auto"/>
            </w:tcBorders>
            <w:vMerge w:val="continue"/>
            <w:shd w:val="clear" w:color="auto" w:fill="D6DAE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660" w:type="dxa"/>
            <w:vAlign w:val="bottom"/>
            <w:shd w:val="clear" w:color="auto" w:fill="F1F3F9"/>
          </w:tcPr>
          <w:p>
            <w:pPr>
              <w:spacing w:after="0"/>
              <w:rPr>
                <w:sz w:val="9"/>
                <w:szCs w:val="9"/>
                <w:color w:val="auto"/>
              </w:rPr>
            </w:pPr>
          </w:p>
        </w:tc>
        <w:tc>
          <w:tcPr>
            <w:tcW w:w="2240" w:type="dxa"/>
            <w:vAlign w:val="bottom"/>
            <w:vMerge w:val="restart"/>
            <w:shd w:val="clear" w:color="auto" w:fill="F1F3F9"/>
          </w:tcPr>
          <w:p>
            <w:pPr>
              <w:jc w:val="center"/>
              <w:ind w:left="1452"/>
              <w:spacing w:after="0"/>
              <w:rPr>
                <w:sz w:val="20"/>
                <w:szCs w:val="20"/>
                <w:color w:val="auto"/>
              </w:rPr>
            </w:pPr>
            <w:r>
              <w:rPr>
                <w:rFonts w:ascii="Arial" w:cs="Arial" w:eastAsia="Arial" w:hAnsi="Arial"/>
                <w:sz w:val="10"/>
                <w:szCs w:val="10"/>
                <w:color w:val="auto"/>
                <w:w w:val="97"/>
              </w:rPr>
              <w:t>85,000</w:t>
            </w:r>
          </w:p>
        </w:tc>
        <w:tc>
          <w:tcPr>
            <w:tcW w:w="50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F1F3F9"/>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vMerge w:val="restart"/>
            <w:shd w:val="clear" w:color="auto" w:fill="F1F3F9"/>
          </w:tcPr>
          <w:p>
            <w:pPr>
              <w:jc w:val="right"/>
              <w:ind w:right="152"/>
              <w:spacing w:after="0"/>
              <w:rPr>
                <w:sz w:val="20"/>
                <w:szCs w:val="20"/>
                <w:color w:val="auto"/>
              </w:rPr>
            </w:pPr>
            <w:r>
              <w:rPr>
                <w:rFonts w:ascii="Arial" w:cs="Arial" w:eastAsia="Arial" w:hAnsi="Arial"/>
                <w:sz w:val="10"/>
                <w:szCs w:val="10"/>
                <w:color w:val="auto"/>
              </w:rPr>
              <w:t>4,000</w:t>
            </w:r>
            <w:r>
              <w:rPr>
                <w:rFonts w:ascii="Arial" w:cs="Arial" w:eastAsia="Arial" w:hAnsi="Arial"/>
                <w:sz w:val="14"/>
                <w:szCs w:val="14"/>
                <w:color w:val="auto"/>
                <w:vertAlign w:val="superscript"/>
              </w:rPr>
              <w:t>5</w:t>
            </w:r>
          </w:p>
        </w:tc>
        <w:tc>
          <w:tcPr>
            <w:tcW w:w="56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1,321,211</w:t>
            </w:r>
          </w:p>
        </w:tc>
        <w:tc>
          <w:tcPr>
            <w:tcW w:w="0" w:type="dxa"/>
            <w:vAlign w:val="bottom"/>
          </w:tcPr>
          <w:p>
            <w:pPr>
              <w:spacing w:after="0"/>
              <w:rPr>
                <w:sz w:val="1"/>
                <w:szCs w:val="1"/>
                <w:color w:val="auto"/>
              </w:rPr>
            </w:pPr>
          </w:p>
        </w:tc>
      </w:tr>
      <w:tr>
        <w:trPr>
          <w:trHeight w:val="116"/>
        </w:trPr>
        <w:tc>
          <w:tcPr>
            <w:tcW w:w="4660" w:type="dxa"/>
            <w:vAlign w:val="bottom"/>
            <w:tcBorders>
              <w:bottom w:val="single" w:sz="8" w:color="auto"/>
            </w:tcBorders>
            <w:shd w:val="clear" w:color="auto" w:fill="F1F3F9"/>
          </w:tcPr>
          <w:p>
            <w:pPr>
              <w:spacing w:after="0"/>
              <w:rPr>
                <w:sz w:val="20"/>
                <w:szCs w:val="20"/>
                <w:color w:val="auto"/>
              </w:rPr>
            </w:pPr>
            <w:r>
              <w:rPr>
                <w:rFonts w:ascii="Arial" w:cs="Arial" w:eastAsia="Arial" w:hAnsi="Arial"/>
                <w:sz w:val="10"/>
                <w:szCs w:val="10"/>
                <w:color w:val="auto"/>
              </w:rPr>
              <w:t>Michael S. Brown, M.D.</w:t>
            </w:r>
          </w:p>
        </w:tc>
        <w:tc>
          <w:tcPr>
            <w:tcW w:w="2240" w:type="dxa"/>
            <w:vAlign w:val="bottom"/>
            <w:tcBorders>
              <w:bottom w:val="single" w:sz="8" w:color="auto"/>
            </w:tcBorders>
            <w:vMerge w:val="continue"/>
            <w:shd w:val="clear" w:color="auto" w:fill="F1F3F9"/>
          </w:tcPr>
          <w:p>
            <w:pPr>
              <w:spacing w:after="0"/>
              <w:rPr>
                <w:sz w:val="10"/>
                <w:szCs w:val="10"/>
                <w:color w:val="auto"/>
              </w:rPr>
            </w:pPr>
          </w:p>
        </w:tc>
        <w:tc>
          <w:tcPr>
            <w:tcW w:w="500" w:type="dxa"/>
            <w:vAlign w:val="bottom"/>
            <w:tcBorders>
              <w:bottom w:val="single" w:sz="8" w:color="auto"/>
            </w:tcBorders>
            <w:shd w:val="clear" w:color="auto" w:fill="F1F3F9"/>
          </w:tcPr>
          <w:p>
            <w:pPr>
              <w:spacing w:after="0"/>
              <w:rPr>
                <w:sz w:val="10"/>
                <w:szCs w:val="10"/>
                <w:color w:val="auto"/>
              </w:rPr>
            </w:pPr>
          </w:p>
        </w:tc>
        <w:tc>
          <w:tcPr>
            <w:tcW w:w="700" w:type="dxa"/>
            <w:vAlign w:val="bottom"/>
            <w:tcBorders>
              <w:bottom w:val="single" w:sz="8" w:color="auto"/>
            </w:tcBorders>
            <w:vMerge w:val="continue"/>
            <w:shd w:val="clear" w:color="auto" w:fill="F1F3F9"/>
          </w:tcPr>
          <w:p>
            <w:pPr>
              <w:spacing w:after="0"/>
              <w:rPr>
                <w:sz w:val="10"/>
                <w:szCs w:val="10"/>
                <w:color w:val="auto"/>
              </w:rPr>
            </w:pPr>
          </w:p>
        </w:tc>
        <w:tc>
          <w:tcPr>
            <w:tcW w:w="820" w:type="dxa"/>
            <w:vAlign w:val="bottom"/>
            <w:tcBorders>
              <w:bottom w:val="single" w:sz="8" w:color="auto"/>
            </w:tcBorders>
            <w:shd w:val="clear" w:color="auto" w:fill="F1F3F9"/>
          </w:tcPr>
          <w:p>
            <w:pPr>
              <w:spacing w:after="0"/>
              <w:rPr>
                <w:sz w:val="10"/>
                <w:szCs w:val="10"/>
                <w:color w:val="auto"/>
              </w:rPr>
            </w:pPr>
          </w:p>
        </w:tc>
        <w:tc>
          <w:tcPr>
            <w:tcW w:w="1040" w:type="dxa"/>
            <w:vAlign w:val="bottom"/>
            <w:tcBorders>
              <w:bottom w:val="single" w:sz="8" w:color="auto"/>
            </w:tcBorders>
            <w:shd w:val="clear" w:color="auto" w:fill="F1F3F9"/>
          </w:tcPr>
          <w:p>
            <w:pPr>
              <w:spacing w:after="0"/>
              <w:rPr>
                <w:sz w:val="10"/>
                <w:szCs w:val="10"/>
                <w:color w:val="auto"/>
              </w:rPr>
            </w:pPr>
          </w:p>
        </w:tc>
        <w:tc>
          <w:tcPr>
            <w:tcW w:w="820" w:type="dxa"/>
            <w:vAlign w:val="bottom"/>
            <w:tcBorders>
              <w:bottom w:val="single" w:sz="8" w:color="auto"/>
            </w:tcBorders>
            <w:vMerge w:val="continue"/>
            <w:shd w:val="clear" w:color="auto" w:fill="F1F3F9"/>
          </w:tcPr>
          <w:p>
            <w:pPr>
              <w:spacing w:after="0"/>
              <w:rPr>
                <w:sz w:val="10"/>
                <w:szCs w:val="10"/>
                <w:color w:val="auto"/>
              </w:rPr>
            </w:pPr>
          </w:p>
        </w:tc>
        <w:tc>
          <w:tcPr>
            <w:tcW w:w="560" w:type="dxa"/>
            <w:vAlign w:val="bottom"/>
            <w:tcBorders>
              <w:bottom w:val="single" w:sz="8" w:color="auto"/>
            </w:tcBorders>
            <w:vMerge w:val="continue"/>
            <w:shd w:val="clear" w:color="auto" w:fill="F1F3F9"/>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660" w:type="dxa"/>
            <w:vAlign w:val="bottom"/>
            <w:vMerge w:val="restart"/>
            <w:shd w:val="clear" w:color="auto" w:fill="D6DAEE"/>
          </w:tcPr>
          <w:p>
            <w:pPr>
              <w:spacing w:after="0"/>
              <w:rPr>
                <w:sz w:val="20"/>
                <w:szCs w:val="20"/>
                <w:color w:val="auto"/>
              </w:rPr>
            </w:pPr>
            <w:r>
              <w:rPr>
                <w:rFonts w:ascii="Arial" w:cs="Arial" w:eastAsia="Arial" w:hAnsi="Arial"/>
                <w:sz w:val="10"/>
                <w:szCs w:val="10"/>
                <w:color w:val="auto"/>
              </w:rPr>
              <w:t>N. Anthony Coles, M.D.</w:t>
            </w:r>
            <w:r>
              <w:rPr>
                <w:rFonts w:ascii="Arial" w:cs="Arial" w:eastAsia="Arial" w:hAnsi="Arial"/>
                <w:sz w:val="14"/>
                <w:szCs w:val="14"/>
                <w:color w:val="auto"/>
                <w:vertAlign w:val="superscript"/>
              </w:rPr>
              <w:t>3</w:t>
            </w:r>
          </w:p>
        </w:tc>
        <w:tc>
          <w:tcPr>
            <w:tcW w:w="2240" w:type="dxa"/>
            <w:vAlign w:val="bottom"/>
            <w:vMerge w:val="restart"/>
            <w:shd w:val="clear" w:color="auto" w:fill="D6DAEE"/>
          </w:tcPr>
          <w:p>
            <w:pPr>
              <w:jc w:val="center"/>
              <w:ind w:left="1452"/>
              <w:spacing w:after="0"/>
              <w:rPr>
                <w:sz w:val="20"/>
                <w:szCs w:val="20"/>
                <w:color w:val="auto"/>
              </w:rPr>
            </w:pPr>
            <w:r>
              <w:rPr>
                <w:rFonts w:ascii="Arial" w:cs="Arial" w:eastAsia="Arial" w:hAnsi="Arial"/>
                <w:sz w:val="10"/>
                <w:szCs w:val="10"/>
                <w:color w:val="auto"/>
                <w:w w:val="97"/>
              </w:rPr>
              <w:t>60,306</w:t>
            </w:r>
          </w:p>
        </w:tc>
        <w:tc>
          <w:tcPr>
            <w:tcW w:w="50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D6DAEE"/>
          </w:tcPr>
          <w:p>
            <w:pPr>
              <w:jc w:val="right"/>
              <w:ind w:right="32"/>
              <w:spacing w:after="0"/>
              <w:rPr>
                <w:sz w:val="20"/>
                <w:szCs w:val="20"/>
                <w:color w:val="auto"/>
              </w:rPr>
            </w:pPr>
            <w:r>
              <w:rPr>
                <w:rFonts w:ascii="Arial" w:cs="Arial" w:eastAsia="Arial" w:hAnsi="Arial"/>
                <w:sz w:val="10"/>
                <w:szCs w:val="10"/>
                <w:color w:val="auto"/>
              </w:rPr>
              <w:t>1,883,477</w:t>
            </w:r>
            <w:r>
              <w:rPr>
                <w:rFonts w:ascii="Arial" w:cs="Arial" w:eastAsia="Arial" w:hAnsi="Arial"/>
                <w:sz w:val="14"/>
                <w:szCs w:val="14"/>
                <w:color w:val="auto"/>
                <w:vertAlign w:val="superscript"/>
              </w:rPr>
              <w:t>4</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D6DAEE"/>
          </w:tcPr>
          <w:p>
            <w:pPr>
              <w:jc w:val="right"/>
              <w:spacing w:after="0"/>
              <w:rPr>
                <w:sz w:val="20"/>
                <w:szCs w:val="20"/>
                <w:color w:val="auto"/>
              </w:rPr>
            </w:pPr>
            <w:r>
              <w:rPr>
                <w:rFonts w:ascii="Arial" w:cs="Arial" w:eastAsia="Arial" w:hAnsi="Arial"/>
                <w:sz w:val="10"/>
                <w:szCs w:val="10"/>
                <w:color w:val="auto"/>
              </w:rPr>
              <w:t>1,943,783</w:t>
            </w:r>
          </w:p>
        </w:tc>
        <w:tc>
          <w:tcPr>
            <w:tcW w:w="0" w:type="dxa"/>
            <w:vAlign w:val="bottom"/>
          </w:tcPr>
          <w:p>
            <w:pPr>
              <w:spacing w:after="0"/>
              <w:rPr>
                <w:sz w:val="1"/>
                <w:szCs w:val="1"/>
                <w:color w:val="auto"/>
              </w:rPr>
            </w:pPr>
          </w:p>
        </w:tc>
      </w:tr>
      <w:tr>
        <w:trPr>
          <w:trHeight w:val="116"/>
        </w:trPr>
        <w:tc>
          <w:tcPr>
            <w:tcW w:w="4660" w:type="dxa"/>
            <w:vAlign w:val="bottom"/>
            <w:tcBorders>
              <w:bottom w:val="single" w:sz="8" w:color="auto"/>
            </w:tcBorders>
            <w:vMerge w:val="continue"/>
            <w:shd w:val="clear" w:color="auto" w:fill="D6DAEE"/>
          </w:tcPr>
          <w:p>
            <w:pPr>
              <w:spacing w:after="0"/>
              <w:rPr>
                <w:sz w:val="10"/>
                <w:szCs w:val="10"/>
                <w:color w:val="auto"/>
              </w:rPr>
            </w:pPr>
          </w:p>
        </w:tc>
        <w:tc>
          <w:tcPr>
            <w:tcW w:w="2240" w:type="dxa"/>
            <w:vAlign w:val="bottom"/>
            <w:tcBorders>
              <w:bottom w:val="single" w:sz="8" w:color="auto"/>
            </w:tcBorders>
            <w:vMerge w:val="continue"/>
            <w:shd w:val="clear" w:color="auto" w:fill="D6DAEE"/>
          </w:tcPr>
          <w:p>
            <w:pPr>
              <w:spacing w:after="0"/>
              <w:rPr>
                <w:sz w:val="10"/>
                <w:szCs w:val="10"/>
                <w:color w:val="auto"/>
              </w:rPr>
            </w:pPr>
          </w:p>
        </w:tc>
        <w:tc>
          <w:tcPr>
            <w:tcW w:w="500" w:type="dxa"/>
            <w:vAlign w:val="bottom"/>
            <w:tcBorders>
              <w:bottom w:val="single" w:sz="8" w:color="auto"/>
            </w:tcBorders>
            <w:shd w:val="clear" w:color="auto" w:fill="D6DAEE"/>
          </w:tcPr>
          <w:p>
            <w:pPr>
              <w:spacing w:after="0"/>
              <w:rPr>
                <w:sz w:val="10"/>
                <w:szCs w:val="10"/>
                <w:color w:val="auto"/>
              </w:rPr>
            </w:pPr>
          </w:p>
        </w:tc>
        <w:tc>
          <w:tcPr>
            <w:tcW w:w="700" w:type="dxa"/>
            <w:vAlign w:val="bottom"/>
            <w:tcBorders>
              <w:bottom w:val="single" w:sz="8" w:color="auto"/>
            </w:tcBorders>
            <w:vMerge w:val="continue"/>
            <w:shd w:val="clear" w:color="auto" w:fill="D6DAEE"/>
          </w:tcPr>
          <w:p>
            <w:pPr>
              <w:spacing w:after="0"/>
              <w:rPr>
                <w:sz w:val="10"/>
                <w:szCs w:val="10"/>
                <w:color w:val="auto"/>
              </w:rPr>
            </w:pPr>
          </w:p>
        </w:tc>
        <w:tc>
          <w:tcPr>
            <w:tcW w:w="820" w:type="dxa"/>
            <w:vAlign w:val="bottom"/>
            <w:tcBorders>
              <w:bottom w:val="single" w:sz="8" w:color="auto"/>
            </w:tcBorders>
            <w:shd w:val="clear" w:color="auto" w:fill="D6DAEE"/>
          </w:tcPr>
          <w:p>
            <w:pPr>
              <w:spacing w:after="0"/>
              <w:rPr>
                <w:sz w:val="10"/>
                <w:szCs w:val="10"/>
                <w:color w:val="auto"/>
              </w:rPr>
            </w:pPr>
          </w:p>
        </w:tc>
        <w:tc>
          <w:tcPr>
            <w:tcW w:w="1040" w:type="dxa"/>
            <w:vAlign w:val="bottom"/>
            <w:tcBorders>
              <w:bottom w:val="single" w:sz="8" w:color="auto"/>
            </w:tcBorders>
            <w:shd w:val="clear" w:color="auto" w:fill="D6DAEE"/>
          </w:tcPr>
          <w:p>
            <w:pPr>
              <w:spacing w:after="0"/>
              <w:rPr>
                <w:sz w:val="10"/>
                <w:szCs w:val="10"/>
                <w:color w:val="auto"/>
              </w:rPr>
            </w:pPr>
          </w:p>
        </w:tc>
        <w:tc>
          <w:tcPr>
            <w:tcW w:w="820" w:type="dxa"/>
            <w:vAlign w:val="bottom"/>
            <w:tcBorders>
              <w:bottom w:val="single" w:sz="8" w:color="auto"/>
            </w:tcBorders>
            <w:shd w:val="clear" w:color="auto" w:fill="D6DAEE"/>
          </w:tcPr>
          <w:p>
            <w:pPr>
              <w:spacing w:after="0"/>
              <w:rPr>
                <w:sz w:val="10"/>
                <w:szCs w:val="10"/>
                <w:color w:val="auto"/>
              </w:rPr>
            </w:pPr>
          </w:p>
        </w:tc>
        <w:tc>
          <w:tcPr>
            <w:tcW w:w="560" w:type="dxa"/>
            <w:vAlign w:val="bottom"/>
            <w:tcBorders>
              <w:bottom w:val="single" w:sz="8" w:color="auto"/>
            </w:tcBorders>
            <w:vMerge w:val="continue"/>
            <w:shd w:val="clear" w:color="auto" w:fill="D6DAE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660" w:type="dxa"/>
            <w:vAlign w:val="bottom"/>
            <w:vMerge w:val="restart"/>
            <w:shd w:val="clear" w:color="auto" w:fill="F1F3F9"/>
          </w:tcPr>
          <w:p>
            <w:pPr>
              <w:spacing w:after="0"/>
              <w:rPr>
                <w:sz w:val="20"/>
                <w:szCs w:val="20"/>
                <w:color w:val="auto"/>
              </w:rPr>
            </w:pPr>
            <w:r>
              <w:rPr>
                <w:rFonts w:ascii="Arial" w:cs="Arial" w:eastAsia="Arial" w:hAnsi="Arial"/>
                <w:sz w:val="10"/>
                <w:szCs w:val="10"/>
                <w:color w:val="auto"/>
              </w:rPr>
              <w:t>Joseph L. Goldstein, M.D.</w:t>
            </w:r>
          </w:p>
        </w:tc>
        <w:tc>
          <w:tcPr>
            <w:tcW w:w="2240" w:type="dxa"/>
            <w:vAlign w:val="bottom"/>
            <w:vMerge w:val="restart"/>
            <w:shd w:val="clear" w:color="auto" w:fill="F1F3F9"/>
          </w:tcPr>
          <w:p>
            <w:pPr>
              <w:jc w:val="center"/>
              <w:ind w:left="1452"/>
              <w:spacing w:after="0"/>
              <w:rPr>
                <w:sz w:val="20"/>
                <w:szCs w:val="20"/>
                <w:color w:val="auto"/>
              </w:rPr>
            </w:pPr>
            <w:r>
              <w:rPr>
                <w:rFonts w:ascii="Arial" w:cs="Arial" w:eastAsia="Arial" w:hAnsi="Arial"/>
                <w:sz w:val="10"/>
                <w:szCs w:val="10"/>
                <w:color w:val="auto"/>
                <w:w w:val="97"/>
              </w:rPr>
              <w:t>75,000</w:t>
            </w:r>
          </w:p>
        </w:tc>
        <w:tc>
          <w:tcPr>
            <w:tcW w:w="50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F1F3F9"/>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1,307,211</w:t>
            </w:r>
          </w:p>
        </w:tc>
        <w:tc>
          <w:tcPr>
            <w:tcW w:w="0" w:type="dxa"/>
            <w:vAlign w:val="bottom"/>
          </w:tcPr>
          <w:p>
            <w:pPr>
              <w:spacing w:after="0"/>
              <w:rPr>
                <w:sz w:val="1"/>
                <w:szCs w:val="1"/>
                <w:color w:val="auto"/>
              </w:rPr>
            </w:pPr>
          </w:p>
        </w:tc>
      </w:tr>
      <w:tr>
        <w:trPr>
          <w:trHeight w:val="98"/>
        </w:trPr>
        <w:tc>
          <w:tcPr>
            <w:tcW w:w="4660" w:type="dxa"/>
            <w:vAlign w:val="bottom"/>
            <w:tcBorders>
              <w:bottom w:val="single" w:sz="8" w:color="auto"/>
            </w:tcBorders>
            <w:vMerge w:val="continue"/>
            <w:shd w:val="clear" w:color="auto" w:fill="F1F3F9"/>
          </w:tcPr>
          <w:p>
            <w:pPr>
              <w:spacing w:after="0"/>
              <w:rPr>
                <w:sz w:val="8"/>
                <w:szCs w:val="8"/>
                <w:color w:val="auto"/>
              </w:rPr>
            </w:pPr>
          </w:p>
        </w:tc>
        <w:tc>
          <w:tcPr>
            <w:tcW w:w="2240" w:type="dxa"/>
            <w:vAlign w:val="bottom"/>
            <w:tcBorders>
              <w:bottom w:val="single" w:sz="8" w:color="auto"/>
            </w:tcBorders>
            <w:vMerge w:val="continue"/>
            <w:shd w:val="clear" w:color="auto" w:fill="F1F3F9"/>
          </w:tcPr>
          <w:p>
            <w:pPr>
              <w:spacing w:after="0"/>
              <w:rPr>
                <w:sz w:val="8"/>
                <w:szCs w:val="8"/>
                <w:color w:val="auto"/>
              </w:rPr>
            </w:pPr>
          </w:p>
        </w:tc>
        <w:tc>
          <w:tcPr>
            <w:tcW w:w="500" w:type="dxa"/>
            <w:vAlign w:val="bottom"/>
            <w:tcBorders>
              <w:bottom w:val="single" w:sz="8" w:color="auto"/>
            </w:tcBorders>
            <w:shd w:val="clear" w:color="auto" w:fill="F1F3F9"/>
          </w:tcPr>
          <w:p>
            <w:pPr>
              <w:spacing w:after="0"/>
              <w:rPr>
                <w:sz w:val="8"/>
                <w:szCs w:val="8"/>
                <w:color w:val="auto"/>
              </w:rPr>
            </w:pPr>
          </w:p>
        </w:tc>
        <w:tc>
          <w:tcPr>
            <w:tcW w:w="700" w:type="dxa"/>
            <w:vAlign w:val="bottom"/>
            <w:tcBorders>
              <w:bottom w:val="single" w:sz="8" w:color="auto"/>
            </w:tcBorders>
            <w:vMerge w:val="continue"/>
            <w:shd w:val="clear" w:color="auto" w:fill="F1F3F9"/>
          </w:tcPr>
          <w:p>
            <w:pPr>
              <w:spacing w:after="0"/>
              <w:rPr>
                <w:sz w:val="8"/>
                <w:szCs w:val="8"/>
                <w:color w:val="auto"/>
              </w:rPr>
            </w:pPr>
          </w:p>
        </w:tc>
        <w:tc>
          <w:tcPr>
            <w:tcW w:w="820" w:type="dxa"/>
            <w:vAlign w:val="bottom"/>
            <w:tcBorders>
              <w:bottom w:val="single" w:sz="8" w:color="auto"/>
            </w:tcBorders>
            <w:shd w:val="clear" w:color="auto" w:fill="F1F3F9"/>
          </w:tcPr>
          <w:p>
            <w:pPr>
              <w:spacing w:after="0"/>
              <w:rPr>
                <w:sz w:val="8"/>
                <w:szCs w:val="8"/>
                <w:color w:val="auto"/>
              </w:rPr>
            </w:pPr>
          </w:p>
        </w:tc>
        <w:tc>
          <w:tcPr>
            <w:tcW w:w="1040" w:type="dxa"/>
            <w:vAlign w:val="bottom"/>
            <w:tcBorders>
              <w:bottom w:val="single" w:sz="8" w:color="auto"/>
            </w:tcBorders>
            <w:shd w:val="clear" w:color="auto" w:fill="F1F3F9"/>
          </w:tcPr>
          <w:p>
            <w:pPr>
              <w:spacing w:after="0"/>
              <w:rPr>
                <w:sz w:val="8"/>
                <w:szCs w:val="8"/>
                <w:color w:val="auto"/>
              </w:rPr>
            </w:pPr>
          </w:p>
        </w:tc>
        <w:tc>
          <w:tcPr>
            <w:tcW w:w="820" w:type="dxa"/>
            <w:vAlign w:val="bottom"/>
            <w:tcBorders>
              <w:bottom w:val="single" w:sz="8" w:color="auto"/>
            </w:tcBorders>
            <w:shd w:val="clear" w:color="auto" w:fill="F1F3F9"/>
          </w:tcPr>
          <w:p>
            <w:pPr>
              <w:spacing w:after="0"/>
              <w:rPr>
                <w:sz w:val="8"/>
                <w:szCs w:val="8"/>
                <w:color w:val="auto"/>
              </w:rPr>
            </w:pPr>
          </w:p>
        </w:tc>
        <w:tc>
          <w:tcPr>
            <w:tcW w:w="560" w:type="dxa"/>
            <w:vAlign w:val="bottom"/>
            <w:tcBorders>
              <w:bottom w:val="single" w:sz="8" w:color="auto"/>
            </w:tcBorders>
            <w:vMerge w:val="continue"/>
            <w:shd w:val="clear" w:color="auto" w:fill="F1F3F9"/>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660" w:type="dxa"/>
            <w:vAlign w:val="bottom"/>
            <w:vMerge w:val="restart"/>
            <w:shd w:val="clear" w:color="auto" w:fill="D6DAEE"/>
          </w:tcPr>
          <w:p>
            <w:pPr>
              <w:spacing w:after="0"/>
              <w:rPr>
                <w:sz w:val="20"/>
                <w:szCs w:val="20"/>
                <w:color w:val="auto"/>
              </w:rPr>
            </w:pPr>
            <w:r>
              <w:rPr>
                <w:rFonts w:ascii="Arial" w:cs="Arial" w:eastAsia="Arial" w:hAnsi="Arial"/>
                <w:sz w:val="10"/>
                <w:szCs w:val="10"/>
                <w:color w:val="auto"/>
              </w:rPr>
              <w:t>Christine A. Poon</w:t>
            </w:r>
          </w:p>
        </w:tc>
        <w:tc>
          <w:tcPr>
            <w:tcW w:w="2240" w:type="dxa"/>
            <w:vAlign w:val="bottom"/>
            <w:vMerge w:val="restart"/>
            <w:shd w:val="clear" w:color="auto" w:fill="D6DAEE"/>
          </w:tcPr>
          <w:p>
            <w:pPr>
              <w:jc w:val="center"/>
              <w:ind w:left="1452"/>
              <w:spacing w:after="0"/>
              <w:rPr>
                <w:sz w:val="20"/>
                <w:szCs w:val="20"/>
                <w:color w:val="auto"/>
              </w:rPr>
            </w:pPr>
            <w:r>
              <w:rPr>
                <w:rFonts w:ascii="Arial" w:cs="Arial" w:eastAsia="Arial" w:hAnsi="Arial"/>
                <w:sz w:val="10"/>
                <w:szCs w:val="10"/>
                <w:color w:val="auto"/>
                <w:w w:val="97"/>
              </w:rPr>
              <w:t>85,000</w:t>
            </w:r>
          </w:p>
        </w:tc>
        <w:tc>
          <w:tcPr>
            <w:tcW w:w="50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D6DAEE"/>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D6DAEE"/>
          </w:tcPr>
          <w:p>
            <w:pPr>
              <w:jc w:val="right"/>
              <w:spacing w:after="0"/>
              <w:rPr>
                <w:sz w:val="20"/>
                <w:szCs w:val="20"/>
                <w:color w:val="auto"/>
              </w:rPr>
            </w:pPr>
            <w:r>
              <w:rPr>
                <w:rFonts w:ascii="Arial" w:cs="Arial" w:eastAsia="Arial" w:hAnsi="Arial"/>
                <w:sz w:val="10"/>
                <w:szCs w:val="10"/>
                <w:color w:val="auto"/>
              </w:rPr>
              <w:t>1,317,211</w:t>
            </w:r>
          </w:p>
        </w:tc>
        <w:tc>
          <w:tcPr>
            <w:tcW w:w="0" w:type="dxa"/>
            <w:vAlign w:val="bottom"/>
          </w:tcPr>
          <w:p>
            <w:pPr>
              <w:spacing w:after="0"/>
              <w:rPr>
                <w:sz w:val="1"/>
                <w:szCs w:val="1"/>
                <w:color w:val="auto"/>
              </w:rPr>
            </w:pPr>
          </w:p>
        </w:tc>
      </w:tr>
      <w:tr>
        <w:trPr>
          <w:trHeight w:val="98"/>
        </w:trPr>
        <w:tc>
          <w:tcPr>
            <w:tcW w:w="4660" w:type="dxa"/>
            <w:vAlign w:val="bottom"/>
            <w:tcBorders>
              <w:bottom w:val="single" w:sz="8" w:color="auto"/>
            </w:tcBorders>
            <w:vMerge w:val="continue"/>
            <w:shd w:val="clear" w:color="auto" w:fill="D6DAEE"/>
          </w:tcPr>
          <w:p>
            <w:pPr>
              <w:spacing w:after="0"/>
              <w:rPr>
                <w:sz w:val="8"/>
                <w:szCs w:val="8"/>
                <w:color w:val="auto"/>
              </w:rPr>
            </w:pPr>
          </w:p>
        </w:tc>
        <w:tc>
          <w:tcPr>
            <w:tcW w:w="2240" w:type="dxa"/>
            <w:vAlign w:val="bottom"/>
            <w:tcBorders>
              <w:bottom w:val="single" w:sz="8" w:color="auto"/>
            </w:tcBorders>
            <w:vMerge w:val="continue"/>
            <w:shd w:val="clear" w:color="auto" w:fill="D6DAEE"/>
          </w:tcPr>
          <w:p>
            <w:pPr>
              <w:spacing w:after="0"/>
              <w:rPr>
                <w:sz w:val="8"/>
                <w:szCs w:val="8"/>
                <w:color w:val="auto"/>
              </w:rPr>
            </w:pPr>
          </w:p>
        </w:tc>
        <w:tc>
          <w:tcPr>
            <w:tcW w:w="500" w:type="dxa"/>
            <w:vAlign w:val="bottom"/>
            <w:tcBorders>
              <w:bottom w:val="single" w:sz="8" w:color="auto"/>
            </w:tcBorders>
            <w:shd w:val="clear" w:color="auto" w:fill="D6DAEE"/>
          </w:tcPr>
          <w:p>
            <w:pPr>
              <w:spacing w:after="0"/>
              <w:rPr>
                <w:sz w:val="8"/>
                <w:szCs w:val="8"/>
                <w:color w:val="auto"/>
              </w:rPr>
            </w:pPr>
          </w:p>
        </w:tc>
        <w:tc>
          <w:tcPr>
            <w:tcW w:w="700" w:type="dxa"/>
            <w:vAlign w:val="bottom"/>
            <w:tcBorders>
              <w:bottom w:val="single" w:sz="8" w:color="auto"/>
            </w:tcBorders>
            <w:vMerge w:val="continue"/>
            <w:shd w:val="clear" w:color="auto" w:fill="D6DAEE"/>
          </w:tcPr>
          <w:p>
            <w:pPr>
              <w:spacing w:after="0"/>
              <w:rPr>
                <w:sz w:val="8"/>
                <w:szCs w:val="8"/>
                <w:color w:val="auto"/>
              </w:rPr>
            </w:pPr>
          </w:p>
        </w:tc>
        <w:tc>
          <w:tcPr>
            <w:tcW w:w="820" w:type="dxa"/>
            <w:vAlign w:val="bottom"/>
            <w:tcBorders>
              <w:bottom w:val="single" w:sz="8" w:color="auto"/>
            </w:tcBorders>
            <w:shd w:val="clear" w:color="auto" w:fill="D6DAEE"/>
          </w:tcPr>
          <w:p>
            <w:pPr>
              <w:spacing w:after="0"/>
              <w:rPr>
                <w:sz w:val="8"/>
                <w:szCs w:val="8"/>
                <w:color w:val="auto"/>
              </w:rPr>
            </w:pPr>
          </w:p>
        </w:tc>
        <w:tc>
          <w:tcPr>
            <w:tcW w:w="1040" w:type="dxa"/>
            <w:vAlign w:val="bottom"/>
            <w:tcBorders>
              <w:bottom w:val="single" w:sz="8" w:color="auto"/>
            </w:tcBorders>
            <w:shd w:val="clear" w:color="auto" w:fill="D6DAEE"/>
          </w:tcPr>
          <w:p>
            <w:pPr>
              <w:spacing w:after="0"/>
              <w:rPr>
                <w:sz w:val="8"/>
                <w:szCs w:val="8"/>
                <w:color w:val="auto"/>
              </w:rPr>
            </w:pPr>
          </w:p>
        </w:tc>
        <w:tc>
          <w:tcPr>
            <w:tcW w:w="820" w:type="dxa"/>
            <w:vAlign w:val="bottom"/>
            <w:tcBorders>
              <w:bottom w:val="single" w:sz="8" w:color="auto"/>
            </w:tcBorders>
            <w:shd w:val="clear" w:color="auto" w:fill="D6DAEE"/>
          </w:tcPr>
          <w:p>
            <w:pPr>
              <w:spacing w:after="0"/>
              <w:rPr>
                <w:sz w:val="8"/>
                <w:szCs w:val="8"/>
                <w:color w:val="auto"/>
              </w:rPr>
            </w:pPr>
          </w:p>
        </w:tc>
        <w:tc>
          <w:tcPr>
            <w:tcW w:w="560" w:type="dxa"/>
            <w:vAlign w:val="bottom"/>
            <w:tcBorders>
              <w:bottom w:val="single" w:sz="8" w:color="auto"/>
            </w:tcBorders>
            <w:vMerge w:val="continue"/>
            <w:shd w:val="clear" w:color="auto" w:fill="D6DAE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660" w:type="dxa"/>
            <w:vAlign w:val="bottom"/>
            <w:vMerge w:val="restart"/>
            <w:shd w:val="clear" w:color="auto" w:fill="F1F3F9"/>
          </w:tcPr>
          <w:p>
            <w:pPr>
              <w:spacing w:after="0"/>
              <w:rPr>
                <w:sz w:val="20"/>
                <w:szCs w:val="20"/>
                <w:color w:val="auto"/>
              </w:rPr>
            </w:pPr>
            <w:r>
              <w:rPr>
                <w:rFonts w:ascii="Arial" w:cs="Arial" w:eastAsia="Arial" w:hAnsi="Arial"/>
                <w:sz w:val="10"/>
                <w:szCs w:val="10"/>
                <w:color w:val="auto"/>
              </w:rPr>
              <w:t>Arthur F. Ryan</w:t>
            </w:r>
          </w:p>
        </w:tc>
        <w:tc>
          <w:tcPr>
            <w:tcW w:w="2240" w:type="dxa"/>
            <w:vAlign w:val="bottom"/>
            <w:vMerge w:val="restart"/>
            <w:shd w:val="clear" w:color="auto" w:fill="F1F3F9"/>
          </w:tcPr>
          <w:p>
            <w:pPr>
              <w:jc w:val="center"/>
              <w:ind w:left="1452"/>
              <w:spacing w:after="0"/>
              <w:rPr>
                <w:sz w:val="20"/>
                <w:szCs w:val="20"/>
                <w:color w:val="auto"/>
              </w:rPr>
            </w:pPr>
            <w:r>
              <w:rPr>
                <w:rFonts w:ascii="Arial" w:cs="Arial" w:eastAsia="Arial" w:hAnsi="Arial"/>
                <w:sz w:val="10"/>
                <w:szCs w:val="10"/>
                <w:color w:val="auto"/>
                <w:w w:val="97"/>
              </w:rPr>
              <w:t>85,000</w:t>
            </w:r>
          </w:p>
        </w:tc>
        <w:tc>
          <w:tcPr>
            <w:tcW w:w="50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F1F3F9"/>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1,317,211</w:t>
            </w:r>
          </w:p>
        </w:tc>
        <w:tc>
          <w:tcPr>
            <w:tcW w:w="0" w:type="dxa"/>
            <w:vAlign w:val="bottom"/>
          </w:tcPr>
          <w:p>
            <w:pPr>
              <w:spacing w:after="0"/>
              <w:rPr>
                <w:sz w:val="1"/>
                <w:szCs w:val="1"/>
                <w:color w:val="auto"/>
              </w:rPr>
            </w:pPr>
          </w:p>
        </w:tc>
      </w:tr>
      <w:tr>
        <w:trPr>
          <w:trHeight w:val="98"/>
        </w:trPr>
        <w:tc>
          <w:tcPr>
            <w:tcW w:w="4660" w:type="dxa"/>
            <w:vAlign w:val="bottom"/>
            <w:tcBorders>
              <w:bottom w:val="single" w:sz="8" w:color="auto"/>
            </w:tcBorders>
            <w:vMerge w:val="continue"/>
            <w:shd w:val="clear" w:color="auto" w:fill="F1F3F9"/>
          </w:tcPr>
          <w:p>
            <w:pPr>
              <w:spacing w:after="0"/>
              <w:rPr>
                <w:sz w:val="8"/>
                <w:szCs w:val="8"/>
                <w:color w:val="auto"/>
              </w:rPr>
            </w:pPr>
          </w:p>
        </w:tc>
        <w:tc>
          <w:tcPr>
            <w:tcW w:w="2240" w:type="dxa"/>
            <w:vAlign w:val="bottom"/>
            <w:tcBorders>
              <w:bottom w:val="single" w:sz="8" w:color="auto"/>
            </w:tcBorders>
            <w:vMerge w:val="continue"/>
            <w:shd w:val="clear" w:color="auto" w:fill="F1F3F9"/>
          </w:tcPr>
          <w:p>
            <w:pPr>
              <w:spacing w:after="0"/>
              <w:rPr>
                <w:sz w:val="8"/>
                <w:szCs w:val="8"/>
                <w:color w:val="auto"/>
              </w:rPr>
            </w:pPr>
          </w:p>
        </w:tc>
        <w:tc>
          <w:tcPr>
            <w:tcW w:w="500" w:type="dxa"/>
            <w:vAlign w:val="bottom"/>
            <w:tcBorders>
              <w:bottom w:val="single" w:sz="8" w:color="auto"/>
            </w:tcBorders>
            <w:shd w:val="clear" w:color="auto" w:fill="F1F3F9"/>
          </w:tcPr>
          <w:p>
            <w:pPr>
              <w:spacing w:after="0"/>
              <w:rPr>
                <w:sz w:val="8"/>
                <w:szCs w:val="8"/>
                <w:color w:val="auto"/>
              </w:rPr>
            </w:pPr>
          </w:p>
        </w:tc>
        <w:tc>
          <w:tcPr>
            <w:tcW w:w="700" w:type="dxa"/>
            <w:vAlign w:val="bottom"/>
            <w:tcBorders>
              <w:bottom w:val="single" w:sz="8" w:color="auto"/>
            </w:tcBorders>
            <w:vMerge w:val="continue"/>
            <w:shd w:val="clear" w:color="auto" w:fill="F1F3F9"/>
          </w:tcPr>
          <w:p>
            <w:pPr>
              <w:spacing w:after="0"/>
              <w:rPr>
                <w:sz w:val="8"/>
                <w:szCs w:val="8"/>
                <w:color w:val="auto"/>
              </w:rPr>
            </w:pPr>
          </w:p>
        </w:tc>
        <w:tc>
          <w:tcPr>
            <w:tcW w:w="820" w:type="dxa"/>
            <w:vAlign w:val="bottom"/>
            <w:tcBorders>
              <w:bottom w:val="single" w:sz="8" w:color="auto"/>
            </w:tcBorders>
            <w:shd w:val="clear" w:color="auto" w:fill="F1F3F9"/>
          </w:tcPr>
          <w:p>
            <w:pPr>
              <w:spacing w:after="0"/>
              <w:rPr>
                <w:sz w:val="8"/>
                <w:szCs w:val="8"/>
                <w:color w:val="auto"/>
              </w:rPr>
            </w:pPr>
          </w:p>
        </w:tc>
        <w:tc>
          <w:tcPr>
            <w:tcW w:w="1040" w:type="dxa"/>
            <w:vAlign w:val="bottom"/>
            <w:tcBorders>
              <w:bottom w:val="single" w:sz="8" w:color="auto"/>
            </w:tcBorders>
            <w:shd w:val="clear" w:color="auto" w:fill="F1F3F9"/>
          </w:tcPr>
          <w:p>
            <w:pPr>
              <w:spacing w:after="0"/>
              <w:rPr>
                <w:sz w:val="8"/>
                <w:szCs w:val="8"/>
                <w:color w:val="auto"/>
              </w:rPr>
            </w:pPr>
          </w:p>
        </w:tc>
        <w:tc>
          <w:tcPr>
            <w:tcW w:w="820" w:type="dxa"/>
            <w:vAlign w:val="bottom"/>
            <w:tcBorders>
              <w:bottom w:val="single" w:sz="8" w:color="auto"/>
            </w:tcBorders>
            <w:shd w:val="clear" w:color="auto" w:fill="F1F3F9"/>
          </w:tcPr>
          <w:p>
            <w:pPr>
              <w:spacing w:after="0"/>
              <w:rPr>
                <w:sz w:val="8"/>
                <w:szCs w:val="8"/>
                <w:color w:val="auto"/>
              </w:rPr>
            </w:pPr>
          </w:p>
        </w:tc>
        <w:tc>
          <w:tcPr>
            <w:tcW w:w="560" w:type="dxa"/>
            <w:vAlign w:val="bottom"/>
            <w:tcBorders>
              <w:bottom w:val="single" w:sz="8" w:color="auto"/>
            </w:tcBorders>
            <w:vMerge w:val="continue"/>
            <w:shd w:val="clear" w:color="auto" w:fill="F1F3F9"/>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660" w:type="dxa"/>
            <w:vAlign w:val="bottom"/>
            <w:vMerge w:val="restart"/>
            <w:shd w:val="clear" w:color="auto" w:fill="D6DAEE"/>
          </w:tcPr>
          <w:p>
            <w:pPr>
              <w:spacing w:after="0"/>
              <w:rPr>
                <w:sz w:val="20"/>
                <w:szCs w:val="20"/>
                <w:color w:val="auto"/>
              </w:rPr>
            </w:pPr>
            <w:r>
              <w:rPr>
                <w:rFonts w:ascii="Arial" w:cs="Arial" w:eastAsia="Arial" w:hAnsi="Arial"/>
                <w:sz w:val="10"/>
                <w:szCs w:val="10"/>
                <w:color w:val="auto"/>
              </w:rPr>
              <w:t>George L. Sing</w:t>
            </w:r>
          </w:p>
        </w:tc>
        <w:tc>
          <w:tcPr>
            <w:tcW w:w="2240" w:type="dxa"/>
            <w:vAlign w:val="bottom"/>
            <w:vMerge w:val="restart"/>
            <w:shd w:val="clear" w:color="auto" w:fill="D6DAEE"/>
          </w:tcPr>
          <w:p>
            <w:pPr>
              <w:jc w:val="center"/>
              <w:ind w:left="1452"/>
              <w:spacing w:after="0"/>
              <w:rPr>
                <w:sz w:val="20"/>
                <w:szCs w:val="20"/>
                <w:color w:val="auto"/>
              </w:rPr>
            </w:pPr>
            <w:r>
              <w:rPr>
                <w:rFonts w:ascii="Arial" w:cs="Arial" w:eastAsia="Arial" w:hAnsi="Arial"/>
                <w:sz w:val="10"/>
                <w:szCs w:val="10"/>
                <w:color w:val="auto"/>
                <w:w w:val="97"/>
              </w:rPr>
              <w:t>85,000</w:t>
            </w:r>
          </w:p>
        </w:tc>
        <w:tc>
          <w:tcPr>
            <w:tcW w:w="50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D6DAEE"/>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560" w:type="dxa"/>
            <w:vAlign w:val="bottom"/>
            <w:vMerge w:val="restart"/>
            <w:shd w:val="clear" w:color="auto" w:fill="D6DAEE"/>
          </w:tcPr>
          <w:p>
            <w:pPr>
              <w:jc w:val="right"/>
              <w:spacing w:after="0"/>
              <w:rPr>
                <w:sz w:val="20"/>
                <w:szCs w:val="20"/>
                <w:color w:val="auto"/>
              </w:rPr>
            </w:pPr>
            <w:r>
              <w:rPr>
                <w:rFonts w:ascii="Arial" w:cs="Arial" w:eastAsia="Arial" w:hAnsi="Arial"/>
                <w:sz w:val="10"/>
                <w:szCs w:val="10"/>
                <w:color w:val="auto"/>
              </w:rPr>
              <w:t>1,317,211</w:t>
            </w:r>
          </w:p>
        </w:tc>
        <w:tc>
          <w:tcPr>
            <w:tcW w:w="0" w:type="dxa"/>
            <w:vAlign w:val="bottom"/>
          </w:tcPr>
          <w:p>
            <w:pPr>
              <w:spacing w:after="0"/>
              <w:rPr>
                <w:sz w:val="1"/>
                <w:szCs w:val="1"/>
                <w:color w:val="auto"/>
              </w:rPr>
            </w:pPr>
          </w:p>
        </w:tc>
      </w:tr>
      <w:tr>
        <w:trPr>
          <w:trHeight w:val="98"/>
        </w:trPr>
        <w:tc>
          <w:tcPr>
            <w:tcW w:w="4660" w:type="dxa"/>
            <w:vAlign w:val="bottom"/>
            <w:tcBorders>
              <w:bottom w:val="single" w:sz="8" w:color="auto"/>
            </w:tcBorders>
            <w:vMerge w:val="continue"/>
            <w:shd w:val="clear" w:color="auto" w:fill="D6DAEE"/>
          </w:tcPr>
          <w:p>
            <w:pPr>
              <w:spacing w:after="0"/>
              <w:rPr>
                <w:sz w:val="8"/>
                <w:szCs w:val="8"/>
                <w:color w:val="auto"/>
              </w:rPr>
            </w:pPr>
          </w:p>
        </w:tc>
        <w:tc>
          <w:tcPr>
            <w:tcW w:w="2240" w:type="dxa"/>
            <w:vAlign w:val="bottom"/>
            <w:tcBorders>
              <w:bottom w:val="single" w:sz="8" w:color="auto"/>
            </w:tcBorders>
            <w:vMerge w:val="continue"/>
            <w:shd w:val="clear" w:color="auto" w:fill="D6DAEE"/>
          </w:tcPr>
          <w:p>
            <w:pPr>
              <w:spacing w:after="0"/>
              <w:rPr>
                <w:sz w:val="8"/>
                <w:szCs w:val="8"/>
                <w:color w:val="auto"/>
              </w:rPr>
            </w:pPr>
          </w:p>
        </w:tc>
        <w:tc>
          <w:tcPr>
            <w:tcW w:w="500" w:type="dxa"/>
            <w:vAlign w:val="bottom"/>
            <w:tcBorders>
              <w:bottom w:val="single" w:sz="8" w:color="auto"/>
            </w:tcBorders>
            <w:shd w:val="clear" w:color="auto" w:fill="D6DAEE"/>
          </w:tcPr>
          <w:p>
            <w:pPr>
              <w:spacing w:after="0"/>
              <w:rPr>
                <w:sz w:val="8"/>
                <w:szCs w:val="8"/>
                <w:color w:val="auto"/>
              </w:rPr>
            </w:pPr>
          </w:p>
        </w:tc>
        <w:tc>
          <w:tcPr>
            <w:tcW w:w="700" w:type="dxa"/>
            <w:vAlign w:val="bottom"/>
            <w:tcBorders>
              <w:bottom w:val="single" w:sz="8" w:color="auto"/>
            </w:tcBorders>
            <w:vMerge w:val="continue"/>
            <w:shd w:val="clear" w:color="auto" w:fill="D6DAEE"/>
          </w:tcPr>
          <w:p>
            <w:pPr>
              <w:spacing w:after="0"/>
              <w:rPr>
                <w:sz w:val="8"/>
                <w:szCs w:val="8"/>
                <w:color w:val="auto"/>
              </w:rPr>
            </w:pPr>
          </w:p>
        </w:tc>
        <w:tc>
          <w:tcPr>
            <w:tcW w:w="820" w:type="dxa"/>
            <w:vAlign w:val="bottom"/>
            <w:tcBorders>
              <w:bottom w:val="single" w:sz="8" w:color="auto"/>
            </w:tcBorders>
            <w:shd w:val="clear" w:color="auto" w:fill="D6DAEE"/>
          </w:tcPr>
          <w:p>
            <w:pPr>
              <w:spacing w:after="0"/>
              <w:rPr>
                <w:sz w:val="8"/>
                <w:szCs w:val="8"/>
                <w:color w:val="auto"/>
              </w:rPr>
            </w:pPr>
          </w:p>
        </w:tc>
        <w:tc>
          <w:tcPr>
            <w:tcW w:w="1040" w:type="dxa"/>
            <w:vAlign w:val="bottom"/>
            <w:tcBorders>
              <w:bottom w:val="single" w:sz="8" w:color="auto"/>
            </w:tcBorders>
            <w:shd w:val="clear" w:color="auto" w:fill="D6DAEE"/>
          </w:tcPr>
          <w:p>
            <w:pPr>
              <w:spacing w:after="0"/>
              <w:rPr>
                <w:sz w:val="8"/>
                <w:szCs w:val="8"/>
                <w:color w:val="auto"/>
              </w:rPr>
            </w:pPr>
          </w:p>
        </w:tc>
        <w:tc>
          <w:tcPr>
            <w:tcW w:w="820" w:type="dxa"/>
            <w:vAlign w:val="bottom"/>
            <w:tcBorders>
              <w:bottom w:val="single" w:sz="8" w:color="auto"/>
            </w:tcBorders>
            <w:shd w:val="clear" w:color="auto" w:fill="D6DAEE"/>
          </w:tcPr>
          <w:p>
            <w:pPr>
              <w:spacing w:after="0"/>
              <w:rPr>
                <w:sz w:val="8"/>
                <w:szCs w:val="8"/>
                <w:color w:val="auto"/>
              </w:rPr>
            </w:pPr>
          </w:p>
        </w:tc>
        <w:tc>
          <w:tcPr>
            <w:tcW w:w="560" w:type="dxa"/>
            <w:vAlign w:val="bottom"/>
            <w:tcBorders>
              <w:bottom w:val="single" w:sz="8" w:color="auto"/>
            </w:tcBorders>
            <w:vMerge w:val="continue"/>
            <w:shd w:val="clear" w:color="auto" w:fill="D6DAE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660" w:type="dxa"/>
            <w:vAlign w:val="bottom"/>
            <w:shd w:val="clear" w:color="auto" w:fill="F1F3F9"/>
          </w:tcPr>
          <w:p>
            <w:pPr>
              <w:spacing w:after="0"/>
              <w:rPr>
                <w:sz w:val="9"/>
                <w:szCs w:val="9"/>
                <w:color w:val="auto"/>
              </w:rPr>
            </w:pPr>
          </w:p>
        </w:tc>
        <w:tc>
          <w:tcPr>
            <w:tcW w:w="2240" w:type="dxa"/>
            <w:vAlign w:val="bottom"/>
            <w:vMerge w:val="restart"/>
            <w:shd w:val="clear" w:color="auto" w:fill="F1F3F9"/>
          </w:tcPr>
          <w:p>
            <w:pPr>
              <w:jc w:val="center"/>
              <w:ind w:left="1452"/>
              <w:spacing w:after="0"/>
              <w:rPr>
                <w:sz w:val="20"/>
                <w:szCs w:val="20"/>
                <w:color w:val="auto"/>
              </w:rPr>
            </w:pPr>
            <w:r>
              <w:rPr>
                <w:rFonts w:ascii="Arial" w:cs="Arial" w:eastAsia="Arial" w:hAnsi="Arial"/>
                <w:sz w:val="10"/>
                <w:szCs w:val="10"/>
                <w:color w:val="auto"/>
                <w:w w:val="97"/>
              </w:rPr>
              <w:t>65,000</w:t>
            </w:r>
          </w:p>
        </w:tc>
        <w:tc>
          <w:tcPr>
            <w:tcW w:w="50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F1F3F9"/>
          </w:tcPr>
          <w:p>
            <w:pPr>
              <w:jc w:val="right"/>
              <w:ind w:right="72"/>
              <w:spacing w:after="0"/>
              <w:rPr>
                <w:sz w:val="20"/>
                <w:szCs w:val="20"/>
                <w:color w:val="auto"/>
              </w:rPr>
            </w:pPr>
            <w:r>
              <w:rPr>
                <w:rFonts w:ascii="Arial" w:cs="Arial" w:eastAsia="Arial" w:hAnsi="Arial"/>
                <w:sz w:val="10"/>
                <w:szCs w:val="10"/>
                <w:color w:val="auto"/>
              </w:rPr>
              <w:t>1,232,211</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vMerge w:val="restart"/>
            <w:shd w:val="clear" w:color="auto" w:fill="F1F3F9"/>
          </w:tcPr>
          <w:p>
            <w:pPr>
              <w:jc w:val="right"/>
              <w:ind w:right="152"/>
              <w:spacing w:after="0"/>
              <w:rPr>
                <w:sz w:val="20"/>
                <w:szCs w:val="20"/>
                <w:color w:val="auto"/>
              </w:rPr>
            </w:pPr>
            <w:r>
              <w:rPr>
                <w:rFonts w:ascii="Arial" w:cs="Arial" w:eastAsia="Arial" w:hAnsi="Arial"/>
                <w:sz w:val="10"/>
                <w:szCs w:val="10"/>
                <w:color w:val="auto"/>
              </w:rPr>
              <w:t>5,000</w:t>
            </w:r>
            <w:r>
              <w:rPr>
                <w:rFonts w:ascii="Arial" w:cs="Arial" w:eastAsia="Arial" w:hAnsi="Arial"/>
                <w:sz w:val="14"/>
                <w:szCs w:val="14"/>
                <w:color w:val="auto"/>
                <w:vertAlign w:val="superscript"/>
              </w:rPr>
              <w:t>5</w:t>
            </w:r>
          </w:p>
        </w:tc>
        <w:tc>
          <w:tcPr>
            <w:tcW w:w="56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1,302,211</w:t>
            </w:r>
          </w:p>
        </w:tc>
        <w:tc>
          <w:tcPr>
            <w:tcW w:w="0" w:type="dxa"/>
            <w:vAlign w:val="bottom"/>
          </w:tcPr>
          <w:p>
            <w:pPr>
              <w:spacing w:after="0"/>
              <w:rPr>
                <w:sz w:val="1"/>
                <w:szCs w:val="1"/>
                <w:color w:val="auto"/>
              </w:rPr>
            </w:pPr>
          </w:p>
        </w:tc>
      </w:tr>
      <w:tr>
        <w:trPr>
          <w:trHeight w:val="116"/>
        </w:trPr>
        <w:tc>
          <w:tcPr>
            <w:tcW w:w="4660" w:type="dxa"/>
            <w:vAlign w:val="bottom"/>
            <w:tcBorders>
              <w:bottom w:val="single" w:sz="8" w:color="auto"/>
            </w:tcBorders>
            <w:shd w:val="clear" w:color="auto" w:fill="F1F3F9"/>
          </w:tcPr>
          <w:p>
            <w:pPr>
              <w:spacing w:after="0"/>
              <w:rPr>
                <w:sz w:val="20"/>
                <w:szCs w:val="20"/>
                <w:color w:val="auto"/>
              </w:rPr>
            </w:pPr>
            <w:r>
              <w:rPr>
                <w:rFonts w:ascii="Arial" w:cs="Arial" w:eastAsia="Arial" w:hAnsi="Arial"/>
                <w:sz w:val="10"/>
                <w:szCs w:val="10"/>
                <w:color w:val="auto"/>
              </w:rPr>
              <w:t>Marc Tessier-Lavigne, Ph.D.</w:t>
            </w:r>
          </w:p>
        </w:tc>
        <w:tc>
          <w:tcPr>
            <w:tcW w:w="2240" w:type="dxa"/>
            <w:vAlign w:val="bottom"/>
            <w:tcBorders>
              <w:bottom w:val="single" w:sz="8" w:color="auto"/>
            </w:tcBorders>
            <w:vMerge w:val="continue"/>
            <w:shd w:val="clear" w:color="auto" w:fill="F1F3F9"/>
          </w:tcPr>
          <w:p>
            <w:pPr>
              <w:spacing w:after="0"/>
              <w:rPr>
                <w:sz w:val="10"/>
                <w:szCs w:val="10"/>
                <w:color w:val="auto"/>
              </w:rPr>
            </w:pPr>
          </w:p>
        </w:tc>
        <w:tc>
          <w:tcPr>
            <w:tcW w:w="500" w:type="dxa"/>
            <w:vAlign w:val="bottom"/>
            <w:tcBorders>
              <w:bottom w:val="single" w:sz="8" w:color="auto"/>
            </w:tcBorders>
            <w:shd w:val="clear" w:color="auto" w:fill="F1F3F9"/>
          </w:tcPr>
          <w:p>
            <w:pPr>
              <w:spacing w:after="0"/>
              <w:rPr>
                <w:sz w:val="10"/>
                <w:szCs w:val="10"/>
                <w:color w:val="auto"/>
              </w:rPr>
            </w:pPr>
          </w:p>
        </w:tc>
        <w:tc>
          <w:tcPr>
            <w:tcW w:w="700" w:type="dxa"/>
            <w:vAlign w:val="bottom"/>
            <w:tcBorders>
              <w:bottom w:val="single" w:sz="8" w:color="auto"/>
            </w:tcBorders>
            <w:vMerge w:val="continue"/>
            <w:shd w:val="clear" w:color="auto" w:fill="F1F3F9"/>
          </w:tcPr>
          <w:p>
            <w:pPr>
              <w:spacing w:after="0"/>
              <w:rPr>
                <w:sz w:val="10"/>
                <w:szCs w:val="10"/>
                <w:color w:val="auto"/>
              </w:rPr>
            </w:pPr>
          </w:p>
        </w:tc>
        <w:tc>
          <w:tcPr>
            <w:tcW w:w="820" w:type="dxa"/>
            <w:vAlign w:val="bottom"/>
            <w:tcBorders>
              <w:bottom w:val="single" w:sz="8" w:color="auto"/>
            </w:tcBorders>
            <w:shd w:val="clear" w:color="auto" w:fill="F1F3F9"/>
          </w:tcPr>
          <w:p>
            <w:pPr>
              <w:spacing w:after="0"/>
              <w:rPr>
                <w:sz w:val="10"/>
                <w:szCs w:val="10"/>
                <w:color w:val="auto"/>
              </w:rPr>
            </w:pPr>
          </w:p>
        </w:tc>
        <w:tc>
          <w:tcPr>
            <w:tcW w:w="1040" w:type="dxa"/>
            <w:vAlign w:val="bottom"/>
            <w:tcBorders>
              <w:bottom w:val="single" w:sz="8" w:color="auto"/>
            </w:tcBorders>
            <w:shd w:val="clear" w:color="auto" w:fill="F1F3F9"/>
          </w:tcPr>
          <w:p>
            <w:pPr>
              <w:spacing w:after="0"/>
              <w:rPr>
                <w:sz w:val="10"/>
                <w:szCs w:val="10"/>
                <w:color w:val="auto"/>
              </w:rPr>
            </w:pPr>
          </w:p>
        </w:tc>
        <w:tc>
          <w:tcPr>
            <w:tcW w:w="820" w:type="dxa"/>
            <w:vAlign w:val="bottom"/>
            <w:tcBorders>
              <w:bottom w:val="single" w:sz="8" w:color="auto"/>
            </w:tcBorders>
            <w:vMerge w:val="continue"/>
            <w:shd w:val="clear" w:color="auto" w:fill="F1F3F9"/>
          </w:tcPr>
          <w:p>
            <w:pPr>
              <w:spacing w:after="0"/>
              <w:rPr>
                <w:sz w:val="10"/>
                <w:szCs w:val="10"/>
                <w:color w:val="auto"/>
              </w:rPr>
            </w:pPr>
          </w:p>
        </w:tc>
        <w:tc>
          <w:tcPr>
            <w:tcW w:w="560" w:type="dxa"/>
            <w:vAlign w:val="bottom"/>
            <w:tcBorders>
              <w:bottom w:val="single" w:sz="8" w:color="auto"/>
            </w:tcBorders>
            <w:vMerge w:val="continue"/>
            <w:shd w:val="clear" w:color="auto" w:fill="F1F3F9"/>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660" w:type="dxa"/>
            <w:vAlign w:val="bottom"/>
            <w:shd w:val="clear" w:color="auto" w:fill="D6DAEE"/>
          </w:tcPr>
          <w:p>
            <w:pPr>
              <w:spacing w:after="0"/>
              <w:rPr>
                <w:sz w:val="9"/>
                <w:szCs w:val="9"/>
                <w:color w:val="auto"/>
              </w:rPr>
            </w:pPr>
          </w:p>
        </w:tc>
        <w:tc>
          <w:tcPr>
            <w:tcW w:w="2240" w:type="dxa"/>
            <w:vAlign w:val="bottom"/>
            <w:shd w:val="clear" w:color="auto" w:fill="D6DAEE"/>
          </w:tcPr>
          <w:p>
            <w:pPr>
              <w:jc w:val="center"/>
              <w:ind w:left="1452"/>
              <w:spacing w:after="0" w:line="107" w:lineRule="exact"/>
              <w:rPr>
                <w:sz w:val="20"/>
                <w:szCs w:val="20"/>
                <w:color w:val="auto"/>
              </w:rPr>
            </w:pPr>
            <w:r>
              <w:rPr>
                <w:rFonts w:ascii="Arial" w:cs="Arial" w:eastAsia="Arial" w:hAnsi="Arial"/>
                <w:sz w:val="10"/>
                <w:szCs w:val="10"/>
                <w:color w:val="auto"/>
                <w:w w:val="99"/>
              </w:rPr>
              <w:t>—</w:t>
            </w:r>
          </w:p>
        </w:tc>
        <w:tc>
          <w:tcPr>
            <w:tcW w:w="50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D6DAEE"/>
          </w:tcPr>
          <w:p>
            <w:pPr>
              <w:jc w:val="right"/>
              <w:ind w:right="72"/>
              <w:spacing w:after="0"/>
              <w:rPr>
                <w:sz w:val="20"/>
                <w:szCs w:val="20"/>
                <w:color w:val="auto"/>
              </w:rPr>
            </w:pPr>
            <w:r>
              <w:rPr>
                <w:rFonts w:ascii="Arial" w:cs="Arial" w:eastAsia="Arial" w:hAnsi="Arial"/>
                <w:sz w:val="10"/>
                <w:szCs w:val="10"/>
                <w:color w:val="auto"/>
              </w:rPr>
              <w:t>11,716,441</w:t>
            </w:r>
          </w:p>
        </w:tc>
        <w:tc>
          <w:tcPr>
            <w:tcW w:w="82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D6DAEE"/>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vMerge w:val="restart"/>
            <w:shd w:val="clear" w:color="auto" w:fill="D6DAEE"/>
          </w:tcPr>
          <w:p>
            <w:pPr>
              <w:jc w:val="right"/>
              <w:ind w:right="152"/>
              <w:spacing w:after="0"/>
              <w:rPr>
                <w:sz w:val="20"/>
                <w:szCs w:val="20"/>
                <w:color w:val="auto"/>
              </w:rPr>
            </w:pPr>
            <w:r>
              <w:rPr>
                <w:rFonts w:ascii="Arial" w:cs="Arial" w:eastAsia="Arial" w:hAnsi="Arial"/>
                <w:sz w:val="10"/>
                <w:szCs w:val="10"/>
                <w:color w:val="auto"/>
              </w:rPr>
              <w:t>109,000</w:t>
            </w:r>
            <w:r>
              <w:rPr>
                <w:rFonts w:ascii="Arial" w:cs="Arial" w:eastAsia="Arial" w:hAnsi="Arial"/>
                <w:sz w:val="14"/>
                <w:szCs w:val="14"/>
                <w:color w:val="auto"/>
                <w:vertAlign w:val="superscript"/>
              </w:rPr>
              <w:t>6</w:t>
            </w:r>
          </w:p>
        </w:tc>
        <w:tc>
          <w:tcPr>
            <w:tcW w:w="560" w:type="dxa"/>
            <w:vAlign w:val="bottom"/>
            <w:vMerge w:val="restart"/>
            <w:shd w:val="clear" w:color="auto" w:fill="D6DAEE"/>
          </w:tcPr>
          <w:p>
            <w:pPr>
              <w:jc w:val="right"/>
              <w:spacing w:after="0"/>
              <w:rPr>
                <w:sz w:val="20"/>
                <w:szCs w:val="20"/>
                <w:color w:val="auto"/>
              </w:rPr>
            </w:pPr>
            <w:r>
              <w:rPr>
                <w:rFonts w:ascii="Arial" w:cs="Arial" w:eastAsia="Arial" w:hAnsi="Arial"/>
                <w:sz w:val="10"/>
                <w:szCs w:val="10"/>
                <w:color w:val="auto"/>
              </w:rPr>
              <w:t>11,825,441</w:t>
            </w:r>
          </w:p>
        </w:tc>
        <w:tc>
          <w:tcPr>
            <w:tcW w:w="0" w:type="dxa"/>
            <w:vAlign w:val="bottom"/>
          </w:tcPr>
          <w:p>
            <w:pPr>
              <w:spacing w:after="0"/>
              <w:rPr>
                <w:sz w:val="1"/>
                <w:szCs w:val="1"/>
                <w:color w:val="auto"/>
              </w:rPr>
            </w:pPr>
          </w:p>
        </w:tc>
      </w:tr>
      <w:tr>
        <w:trPr>
          <w:trHeight w:val="116"/>
        </w:trPr>
        <w:tc>
          <w:tcPr>
            <w:tcW w:w="4660" w:type="dxa"/>
            <w:vAlign w:val="bottom"/>
            <w:tcBorders>
              <w:bottom w:val="single" w:sz="8" w:color="auto"/>
            </w:tcBorders>
            <w:shd w:val="clear" w:color="auto" w:fill="D6DAEE"/>
          </w:tcPr>
          <w:p>
            <w:pPr>
              <w:spacing w:after="0"/>
              <w:rPr>
                <w:sz w:val="20"/>
                <w:szCs w:val="20"/>
                <w:color w:val="auto"/>
              </w:rPr>
            </w:pPr>
            <w:r>
              <w:rPr>
                <w:rFonts w:ascii="Arial" w:cs="Arial" w:eastAsia="Arial" w:hAnsi="Arial"/>
                <w:sz w:val="10"/>
                <w:szCs w:val="10"/>
                <w:color w:val="auto"/>
              </w:rPr>
              <w:t>P. Roy Vagelos, M.D.</w:t>
            </w:r>
          </w:p>
        </w:tc>
        <w:tc>
          <w:tcPr>
            <w:tcW w:w="2240" w:type="dxa"/>
            <w:vAlign w:val="bottom"/>
            <w:tcBorders>
              <w:bottom w:val="single" w:sz="8" w:color="auto"/>
            </w:tcBorders>
            <w:shd w:val="clear" w:color="auto" w:fill="D6DAEE"/>
          </w:tcPr>
          <w:p>
            <w:pPr>
              <w:spacing w:after="0"/>
              <w:rPr>
                <w:sz w:val="10"/>
                <w:szCs w:val="10"/>
                <w:color w:val="auto"/>
              </w:rPr>
            </w:pPr>
          </w:p>
        </w:tc>
        <w:tc>
          <w:tcPr>
            <w:tcW w:w="500" w:type="dxa"/>
            <w:vAlign w:val="bottom"/>
            <w:tcBorders>
              <w:bottom w:val="single" w:sz="8" w:color="auto"/>
            </w:tcBorders>
            <w:shd w:val="clear" w:color="auto" w:fill="D6DAEE"/>
          </w:tcPr>
          <w:p>
            <w:pPr>
              <w:spacing w:after="0"/>
              <w:rPr>
                <w:sz w:val="10"/>
                <w:szCs w:val="10"/>
                <w:color w:val="auto"/>
              </w:rPr>
            </w:pPr>
          </w:p>
        </w:tc>
        <w:tc>
          <w:tcPr>
            <w:tcW w:w="700" w:type="dxa"/>
            <w:vAlign w:val="bottom"/>
            <w:tcBorders>
              <w:bottom w:val="single" w:sz="8" w:color="auto"/>
            </w:tcBorders>
            <w:vMerge w:val="continue"/>
            <w:shd w:val="clear" w:color="auto" w:fill="D6DAEE"/>
          </w:tcPr>
          <w:p>
            <w:pPr>
              <w:spacing w:after="0"/>
              <w:rPr>
                <w:sz w:val="10"/>
                <w:szCs w:val="10"/>
                <w:color w:val="auto"/>
              </w:rPr>
            </w:pPr>
          </w:p>
        </w:tc>
        <w:tc>
          <w:tcPr>
            <w:tcW w:w="820" w:type="dxa"/>
            <w:vAlign w:val="bottom"/>
            <w:tcBorders>
              <w:bottom w:val="single" w:sz="8" w:color="auto"/>
            </w:tcBorders>
            <w:shd w:val="clear" w:color="auto" w:fill="D6DAEE"/>
          </w:tcPr>
          <w:p>
            <w:pPr>
              <w:spacing w:after="0"/>
              <w:rPr>
                <w:sz w:val="10"/>
                <w:szCs w:val="10"/>
                <w:color w:val="auto"/>
              </w:rPr>
            </w:pPr>
          </w:p>
        </w:tc>
        <w:tc>
          <w:tcPr>
            <w:tcW w:w="1040" w:type="dxa"/>
            <w:vAlign w:val="bottom"/>
            <w:tcBorders>
              <w:bottom w:val="single" w:sz="8" w:color="auto"/>
            </w:tcBorders>
            <w:shd w:val="clear" w:color="auto" w:fill="D6DAEE"/>
          </w:tcPr>
          <w:p>
            <w:pPr>
              <w:spacing w:after="0"/>
              <w:rPr>
                <w:sz w:val="10"/>
                <w:szCs w:val="10"/>
                <w:color w:val="auto"/>
              </w:rPr>
            </w:pPr>
          </w:p>
        </w:tc>
        <w:tc>
          <w:tcPr>
            <w:tcW w:w="820" w:type="dxa"/>
            <w:vAlign w:val="bottom"/>
            <w:tcBorders>
              <w:bottom w:val="single" w:sz="8" w:color="auto"/>
            </w:tcBorders>
            <w:vMerge w:val="continue"/>
            <w:shd w:val="clear" w:color="auto" w:fill="D6DAEE"/>
          </w:tcPr>
          <w:p>
            <w:pPr>
              <w:spacing w:after="0"/>
              <w:rPr>
                <w:sz w:val="10"/>
                <w:szCs w:val="10"/>
                <w:color w:val="auto"/>
              </w:rPr>
            </w:pPr>
          </w:p>
        </w:tc>
        <w:tc>
          <w:tcPr>
            <w:tcW w:w="560" w:type="dxa"/>
            <w:vAlign w:val="bottom"/>
            <w:tcBorders>
              <w:bottom w:val="single" w:sz="8" w:color="auto"/>
            </w:tcBorders>
            <w:vMerge w:val="continue"/>
            <w:shd w:val="clear" w:color="auto" w:fill="D6DAE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660" w:type="dxa"/>
            <w:vAlign w:val="bottom"/>
            <w:shd w:val="clear" w:color="auto" w:fill="F1F3F9"/>
          </w:tcPr>
          <w:p>
            <w:pPr>
              <w:spacing w:after="0"/>
              <w:rPr>
                <w:sz w:val="9"/>
                <w:szCs w:val="9"/>
                <w:color w:val="auto"/>
              </w:rPr>
            </w:pPr>
          </w:p>
        </w:tc>
        <w:tc>
          <w:tcPr>
            <w:tcW w:w="2240" w:type="dxa"/>
            <w:vAlign w:val="bottom"/>
            <w:vMerge w:val="restart"/>
            <w:shd w:val="clear" w:color="auto" w:fill="F1F3F9"/>
          </w:tcPr>
          <w:p>
            <w:pPr>
              <w:jc w:val="center"/>
              <w:ind w:left="1452"/>
              <w:spacing w:after="0"/>
              <w:rPr>
                <w:sz w:val="20"/>
                <w:szCs w:val="20"/>
                <w:color w:val="auto"/>
              </w:rPr>
            </w:pPr>
            <w:r>
              <w:rPr>
                <w:rFonts w:ascii="Arial" w:cs="Arial" w:eastAsia="Arial" w:hAnsi="Arial"/>
                <w:sz w:val="10"/>
                <w:szCs w:val="10"/>
                <w:color w:val="auto"/>
                <w:w w:val="97"/>
              </w:rPr>
              <w:t>75,000</w:t>
            </w:r>
          </w:p>
        </w:tc>
        <w:tc>
          <w:tcPr>
            <w:tcW w:w="50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700" w:type="dxa"/>
            <w:vAlign w:val="bottom"/>
            <w:vMerge w:val="restart"/>
            <w:shd w:val="clear" w:color="auto" w:fill="F1F3F9"/>
          </w:tcPr>
          <w:p>
            <w:pPr>
              <w:jc w:val="right"/>
              <w:ind w:right="72"/>
              <w:spacing w:after="0"/>
              <w:rPr>
                <w:sz w:val="20"/>
                <w:szCs w:val="20"/>
                <w:color w:val="auto"/>
              </w:rPr>
            </w:pPr>
            <w:r>
              <w:rPr>
                <w:rFonts w:ascii="Arial" w:cs="Arial" w:eastAsia="Arial" w:hAnsi="Arial"/>
                <w:sz w:val="10"/>
                <w:szCs w:val="10"/>
                <w:color w:val="auto"/>
              </w:rPr>
              <w:t>383,656</w:t>
            </w:r>
          </w:p>
        </w:tc>
        <w:tc>
          <w:tcPr>
            <w:tcW w:w="82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1040" w:type="dxa"/>
            <w:vAlign w:val="bottom"/>
            <w:shd w:val="clear" w:color="auto" w:fill="F1F3F9"/>
          </w:tcPr>
          <w:p>
            <w:pPr>
              <w:jc w:val="center"/>
              <w:spacing w:after="0" w:line="107" w:lineRule="exact"/>
              <w:rPr>
                <w:sz w:val="20"/>
                <w:szCs w:val="20"/>
                <w:color w:val="auto"/>
              </w:rPr>
            </w:pPr>
            <w:r>
              <w:rPr>
                <w:rFonts w:ascii="Arial" w:cs="Arial" w:eastAsia="Arial" w:hAnsi="Arial"/>
                <w:sz w:val="10"/>
                <w:szCs w:val="10"/>
                <w:color w:val="auto"/>
                <w:w w:val="99"/>
              </w:rPr>
              <w:t>—</w:t>
            </w:r>
          </w:p>
        </w:tc>
        <w:tc>
          <w:tcPr>
            <w:tcW w:w="820" w:type="dxa"/>
            <w:vAlign w:val="bottom"/>
            <w:vMerge w:val="restart"/>
            <w:shd w:val="clear" w:color="auto" w:fill="F1F3F9"/>
          </w:tcPr>
          <w:p>
            <w:pPr>
              <w:jc w:val="right"/>
              <w:ind w:right="152"/>
              <w:spacing w:after="0"/>
              <w:rPr>
                <w:sz w:val="20"/>
                <w:szCs w:val="20"/>
                <w:color w:val="auto"/>
              </w:rPr>
            </w:pPr>
            <w:r>
              <w:rPr>
                <w:rFonts w:ascii="Arial" w:cs="Arial" w:eastAsia="Arial" w:hAnsi="Arial"/>
                <w:sz w:val="10"/>
                <w:szCs w:val="10"/>
                <w:color w:val="auto"/>
              </w:rPr>
              <w:t>5,000</w:t>
            </w:r>
            <w:r>
              <w:rPr>
                <w:rFonts w:ascii="Arial" w:cs="Arial" w:eastAsia="Arial" w:hAnsi="Arial"/>
                <w:sz w:val="14"/>
                <w:szCs w:val="14"/>
                <w:color w:val="auto"/>
                <w:vertAlign w:val="superscript"/>
              </w:rPr>
              <w:t>5</w:t>
            </w:r>
          </w:p>
        </w:tc>
        <w:tc>
          <w:tcPr>
            <w:tcW w:w="56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463,656</w:t>
            </w:r>
          </w:p>
        </w:tc>
        <w:tc>
          <w:tcPr>
            <w:tcW w:w="0" w:type="dxa"/>
            <w:vAlign w:val="bottom"/>
          </w:tcPr>
          <w:p>
            <w:pPr>
              <w:spacing w:after="0"/>
              <w:rPr>
                <w:sz w:val="1"/>
                <w:szCs w:val="1"/>
                <w:color w:val="auto"/>
              </w:rPr>
            </w:pPr>
          </w:p>
        </w:tc>
      </w:tr>
      <w:tr>
        <w:trPr>
          <w:trHeight w:val="116"/>
        </w:trPr>
        <w:tc>
          <w:tcPr>
            <w:tcW w:w="4660" w:type="dxa"/>
            <w:vAlign w:val="bottom"/>
            <w:tcBorders>
              <w:bottom w:val="single" w:sz="8" w:color="105BAB"/>
            </w:tcBorders>
            <w:shd w:val="clear" w:color="auto" w:fill="F1F3F9"/>
          </w:tcPr>
          <w:p>
            <w:pPr>
              <w:spacing w:after="0"/>
              <w:rPr>
                <w:sz w:val="20"/>
                <w:szCs w:val="20"/>
                <w:color w:val="auto"/>
              </w:rPr>
            </w:pPr>
            <w:r>
              <w:rPr>
                <w:rFonts w:ascii="Arial" w:cs="Arial" w:eastAsia="Arial" w:hAnsi="Arial"/>
                <w:sz w:val="10"/>
                <w:szCs w:val="10"/>
                <w:color w:val="auto"/>
              </w:rPr>
              <w:t>Huda Y. Zoghbi, M.D.</w:t>
            </w:r>
          </w:p>
        </w:tc>
        <w:tc>
          <w:tcPr>
            <w:tcW w:w="2240" w:type="dxa"/>
            <w:vAlign w:val="bottom"/>
            <w:tcBorders>
              <w:bottom w:val="single" w:sz="8" w:color="105BAB"/>
            </w:tcBorders>
            <w:vMerge w:val="continue"/>
            <w:shd w:val="clear" w:color="auto" w:fill="F1F3F9"/>
          </w:tcPr>
          <w:p>
            <w:pPr>
              <w:spacing w:after="0"/>
              <w:rPr>
                <w:sz w:val="10"/>
                <w:szCs w:val="10"/>
                <w:color w:val="auto"/>
              </w:rPr>
            </w:pPr>
          </w:p>
        </w:tc>
        <w:tc>
          <w:tcPr>
            <w:tcW w:w="500" w:type="dxa"/>
            <w:vAlign w:val="bottom"/>
            <w:tcBorders>
              <w:bottom w:val="single" w:sz="8" w:color="105BAB"/>
            </w:tcBorders>
            <w:shd w:val="clear" w:color="auto" w:fill="F1F3F9"/>
          </w:tcPr>
          <w:p>
            <w:pPr>
              <w:spacing w:after="0"/>
              <w:rPr>
                <w:sz w:val="10"/>
                <w:szCs w:val="10"/>
                <w:color w:val="auto"/>
              </w:rPr>
            </w:pPr>
          </w:p>
        </w:tc>
        <w:tc>
          <w:tcPr>
            <w:tcW w:w="700" w:type="dxa"/>
            <w:vAlign w:val="bottom"/>
            <w:tcBorders>
              <w:bottom w:val="single" w:sz="8" w:color="105BAB"/>
            </w:tcBorders>
            <w:vMerge w:val="continue"/>
            <w:shd w:val="clear" w:color="auto" w:fill="F1F3F9"/>
          </w:tcPr>
          <w:p>
            <w:pPr>
              <w:spacing w:after="0"/>
              <w:rPr>
                <w:sz w:val="10"/>
                <w:szCs w:val="10"/>
                <w:color w:val="auto"/>
              </w:rPr>
            </w:pPr>
          </w:p>
        </w:tc>
        <w:tc>
          <w:tcPr>
            <w:tcW w:w="820" w:type="dxa"/>
            <w:vAlign w:val="bottom"/>
            <w:tcBorders>
              <w:bottom w:val="single" w:sz="8" w:color="105BAB"/>
            </w:tcBorders>
            <w:shd w:val="clear" w:color="auto" w:fill="F1F3F9"/>
          </w:tcPr>
          <w:p>
            <w:pPr>
              <w:spacing w:after="0"/>
              <w:rPr>
                <w:sz w:val="10"/>
                <w:szCs w:val="10"/>
                <w:color w:val="auto"/>
              </w:rPr>
            </w:pPr>
          </w:p>
        </w:tc>
        <w:tc>
          <w:tcPr>
            <w:tcW w:w="1040" w:type="dxa"/>
            <w:vAlign w:val="bottom"/>
            <w:tcBorders>
              <w:bottom w:val="single" w:sz="8" w:color="105BAB"/>
            </w:tcBorders>
            <w:shd w:val="clear" w:color="auto" w:fill="F1F3F9"/>
          </w:tcPr>
          <w:p>
            <w:pPr>
              <w:spacing w:after="0"/>
              <w:rPr>
                <w:sz w:val="10"/>
                <w:szCs w:val="10"/>
                <w:color w:val="auto"/>
              </w:rPr>
            </w:pPr>
          </w:p>
        </w:tc>
        <w:tc>
          <w:tcPr>
            <w:tcW w:w="820" w:type="dxa"/>
            <w:vAlign w:val="bottom"/>
            <w:tcBorders>
              <w:bottom w:val="single" w:sz="8" w:color="105BAB"/>
            </w:tcBorders>
            <w:vMerge w:val="continue"/>
            <w:shd w:val="clear" w:color="auto" w:fill="F1F3F9"/>
          </w:tcPr>
          <w:p>
            <w:pPr>
              <w:spacing w:after="0"/>
              <w:rPr>
                <w:sz w:val="10"/>
                <w:szCs w:val="10"/>
                <w:color w:val="auto"/>
              </w:rPr>
            </w:pPr>
          </w:p>
        </w:tc>
        <w:tc>
          <w:tcPr>
            <w:tcW w:w="560" w:type="dxa"/>
            <w:vAlign w:val="bottom"/>
            <w:tcBorders>
              <w:bottom w:val="single" w:sz="8" w:color="105BAB"/>
            </w:tcBorders>
            <w:vMerge w:val="continue"/>
            <w:shd w:val="clear" w:color="auto" w:fill="F1F3F9"/>
          </w:tcPr>
          <w:p>
            <w:pPr>
              <w:spacing w:after="0"/>
              <w:rPr>
                <w:sz w:val="10"/>
                <w:szCs w:val="1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8" w:hanging="208"/>
        <w:spacing w:after="0" w:line="225" w:lineRule="auto"/>
        <w:tabs>
          <w:tab w:leader="none" w:pos="208" w:val="left"/>
        </w:tabs>
        <w:numPr>
          <w:ilvl w:val="0"/>
          <w:numId w:val="31"/>
        </w:numPr>
        <w:rPr>
          <w:rFonts w:ascii="Arial" w:cs="Arial" w:eastAsia="Arial" w:hAnsi="Arial"/>
          <w:sz w:val="10"/>
          <w:szCs w:val="10"/>
          <w:color w:val="105BAB"/>
        </w:rPr>
      </w:pPr>
      <w:r>
        <w:rPr>
          <w:rFonts w:ascii="Arial" w:cs="Arial" w:eastAsia="Arial" w:hAnsi="Arial"/>
          <w:sz w:val="10"/>
          <w:szCs w:val="10"/>
          <w:color w:val="auto"/>
        </w:rPr>
        <w:t>The amounts in column (d) reflect the aggregate grant date fair value of options awarded during the year ended December 31, 2017 pursuant to the Amended and Restated Regeneron Pharmaceuticals, Inc. 2014 Long-Term Incentive Plan or the Regeneron Pharmaceuticals, Inc. 2014 Long-Term Incentive Plan, as applicable. Assumptions used in the calculation of this amount do not take into account expected forfeitures and are otherwise described in Note 14 to the Company's audited financial statements for the fiscal year ended December 31, 2017 included in the 2017 Annual Report.</w:t>
      </w:r>
    </w:p>
    <w:p>
      <w:pPr>
        <w:spacing w:after="0" w:line="1" w:lineRule="exact"/>
        <w:rPr>
          <w:sz w:val="20"/>
          <w:szCs w:val="20"/>
          <w:color w:val="auto"/>
        </w:rPr>
      </w:pPr>
    </w:p>
    <w:p>
      <w:pPr>
        <w:ind w:left="208" w:hanging="208"/>
        <w:spacing w:after="0"/>
        <w:tabs>
          <w:tab w:leader="none" w:pos="208" w:val="left"/>
        </w:tabs>
        <w:numPr>
          <w:ilvl w:val="0"/>
          <w:numId w:val="32"/>
        </w:numPr>
        <w:rPr>
          <w:rFonts w:ascii="Arial" w:cs="Arial" w:eastAsia="Arial" w:hAnsi="Arial"/>
          <w:sz w:val="8"/>
          <w:szCs w:val="8"/>
          <w:color w:val="105BAB"/>
        </w:rPr>
      </w:pPr>
      <w:r>
        <w:rPr>
          <w:rFonts w:ascii="Arial" w:cs="Arial" w:eastAsia="Arial" w:hAnsi="Arial"/>
          <w:sz w:val="8"/>
          <w:szCs w:val="8"/>
          <w:color w:val="auto"/>
        </w:rPr>
        <w:t>At December 31, 2017, the non-employee directors and Dr. Vagelos had the following stock option awards outstanding: Mr. Baker: 100,630; Dr. Bassler: 17,791; Dr. Brown: 42,130; Dr. Coles: 13,050; Dr. Goldstein: 49,380; Ms. Poon: 110,160; Mr. Ryan: 41,380;</w:t>
      </w:r>
    </w:p>
    <w:p>
      <w:pPr>
        <w:spacing w:after="0" w:line="117"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0"/>
          <w:szCs w:val="10"/>
          <w:color w:val="105BAB"/>
        </w:rPr>
      </w:pPr>
      <w:r>
        <w:rPr>
          <w:rFonts w:ascii="Arial" w:cs="Arial" w:eastAsia="Arial" w:hAnsi="Arial"/>
          <w:sz w:val="10"/>
          <w:szCs w:val="10"/>
          <w:color w:val="auto"/>
        </w:rPr>
        <w:t>Dr. Coles was elected as a member of the board of directors on January 27, 2017; accordingly, his 2017 fees were prorated based on his election date.</w:t>
      </w:r>
    </w:p>
    <w:p>
      <w:pPr>
        <w:ind w:left="208" w:hanging="208"/>
        <w:spacing w:after="0" w:line="225" w:lineRule="auto"/>
        <w:tabs>
          <w:tab w:leader="none" w:pos="208" w:val="left"/>
        </w:tabs>
        <w:numPr>
          <w:ilvl w:val="0"/>
          <w:numId w:val="34"/>
        </w:numPr>
        <w:rPr>
          <w:rFonts w:ascii="Arial" w:cs="Arial" w:eastAsia="Arial" w:hAnsi="Arial"/>
          <w:sz w:val="10"/>
          <w:szCs w:val="10"/>
          <w:color w:val="105BAB"/>
        </w:rPr>
      </w:pPr>
      <w:r>
        <w:rPr>
          <w:rFonts w:ascii="Arial" w:cs="Arial" w:eastAsia="Arial" w:hAnsi="Arial"/>
          <w:sz w:val="10"/>
          <w:szCs w:val="10"/>
          <w:color w:val="auto"/>
        </w:rPr>
        <w:t>Consists of the aggregate grant date fair value of the initial option award granted to Dr. Coles upon his election to the board of directors on January 27, 2017.</w:t>
      </w:r>
    </w:p>
    <w:p>
      <w:pPr>
        <w:ind w:left="208" w:hanging="208"/>
        <w:spacing w:after="0" w:line="226" w:lineRule="auto"/>
        <w:tabs>
          <w:tab w:leader="none" w:pos="208" w:val="left"/>
        </w:tabs>
        <w:numPr>
          <w:ilvl w:val="0"/>
          <w:numId w:val="35"/>
        </w:numPr>
        <w:rPr>
          <w:rFonts w:ascii="Arial" w:cs="Arial" w:eastAsia="Arial" w:hAnsi="Arial"/>
          <w:sz w:val="10"/>
          <w:szCs w:val="10"/>
          <w:color w:val="105BAB"/>
        </w:rPr>
      </w:pPr>
      <w:r>
        <w:rPr>
          <w:rFonts w:ascii="Arial" w:cs="Arial" w:eastAsia="Arial" w:hAnsi="Arial"/>
          <w:sz w:val="10"/>
          <w:szCs w:val="10"/>
          <w:color w:val="auto"/>
        </w:rPr>
        <w:t>Consists of a Company contribution paid or payable on or before April 12, 2018 under the Regeneron Matching Gift Program in respect of charitable gifts made in 2017.</w:t>
      </w:r>
    </w:p>
    <w:p>
      <w:pPr>
        <w:ind w:left="208" w:right="200" w:hanging="208"/>
        <w:spacing w:after="0" w:line="232" w:lineRule="auto"/>
        <w:tabs>
          <w:tab w:leader="none" w:pos="208" w:val="left"/>
        </w:tabs>
        <w:numPr>
          <w:ilvl w:val="0"/>
          <w:numId w:val="36"/>
        </w:numPr>
        <w:rPr>
          <w:rFonts w:ascii="Arial" w:cs="Arial" w:eastAsia="Arial" w:hAnsi="Arial"/>
          <w:sz w:val="10"/>
          <w:szCs w:val="10"/>
          <w:color w:val="105BAB"/>
        </w:rPr>
      </w:pPr>
      <w:r>
        <w:rPr>
          <w:rFonts w:ascii="Arial" w:cs="Arial" w:eastAsia="Arial" w:hAnsi="Arial"/>
          <w:sz w:val="10"/>
          <w:szCs w:val="10"/>
          <w:color w:val="auto"/>
        </w:rPr>
        <w:t>Consists of (i) $100,000 for the salary paid pursuant to the terms of our employment agreement with Dr. Vagelos, (ii) $4,000 for 401(k) Savings Plan matching contributions in respect of 2017 paid in February 2018, and (iii) a $5,000 Company contribution paid or payable on or before April 12, 2018 under the Regeneron Matching Gift Program in respect of a charitable gift made in 2017.</w:t>
      </w:r>
    </w:p>
    <w:p>
      <w:pPr>
        <w:spacing w:after="0" w:line="126" w:lineRule="exact"/>
        <w:rPr>
          <w:sz w:val="20"/>
          <w:szCs w:val="20"/>
          <w:color w:val="auto"/>
        </w:rPr>
      </w:pPr>
    </w:p>
    <w:p>
      <w:pPr>
        <w:ind w:left="11028"/>
        <w:spacing w:after="0"/>
        <w:rPr>
          <w:sz w:val="20"/>
          <w:szCs w:val="20"/>
          <w:color w:val="auto"/>
        </w:rPr>
      </w:pPr>
      <w:r>
        <w:rPr>
          <w:rFonts w:ascii="Arial" w:cs="Arial" w:eastAsia="Arial" w:hAnsi="Arial"/>
          <w:sz w:val="10"/>
          <w:szCs w:val="10"/>
          <w:b w:val="1"/>
          <w:bCs w:val="1"/>
          <w:color w:val="FFFFF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655" w:right="23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88265</wp:posOffset>
            </wp:positionV>
            <wp:extent cx="5250180" cy="6794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50180" cy="679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7899"/>
        <w:spacing w:after="0"/>
        <w:rPr>
          <w:sz w:val="20"/>
          <w:szCs w:val="20"/>
          <w:color w:val="auto"/>
        </w:rPr>
      </w:pPr>
      <w:r>
        <w:rPr>
          <w:rFonts w:ascii="Arial" w:cs="Arial" w:eastAsia="Arial" w:hAnsi="Arial"/>
          <w:sz w:val="10"/>
          <w:szCs w:val="10"/>
          <w:b w:val="1"/>
          <w:bCs w:val="1"/>
          <w:color w:val="FFFFF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329565</wp:posOffset>
            </wp:positionV>
            <wp:extent cx="7299325"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2196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29"/>
          <w:szCs w:val="29"/>
          <w:color w:val="FFFFFE"/>
        </w:rPr>
        <w:t>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right="40"/>
        <w:spacing w:after="0" w:line="237" w:lineRule="auto"/>
        <w:rPr>
          <w:sz w:val="20"/>
          <w:szCs w:val="20"/>
          <w:color w:val="auto"/>
        </w:rPr>
      </w:pPr>
      <w:r>
        <w:rPr>
          <w:rFonts w:ascii="Arial" w:cs="Arial" w:eastAsia="Arial" w:hAnsi="Arial"/>
          <w:sz w:val="12"/>
          <w:szCs w:val="12"/>
          <w:color w:val="auto"/>
        </w:rPr>
        <w:t>All officers of the Company are appointed annually and serve at the pleasure of the board of directors. The names, positions, ages, and background of the Company's executive officers as of April 12, 2018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400050" cy="4292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0050" cy="429260"/>
                    </a:xfrm>
                    <a:prstGeom prst="rect">
                      <a:avLst/>
                    </a:prstGeom>
                    <a:noFill/>
                  </pic:spPr>
                </pic:pic>
              </a:graphicData>
            </a:graphic>
          </wp:anchor>
        </w:drawing>
      </w:r>
    </w:p>
    <w:p>
      <w:pPr>
        <w:spacing w:after="0" w:line="341" w:lineRule="exact"/>
        <w:rPr>
          <w:sz w:val="20"/>
          <w:szCs w:val="20"/>
          <w:color w:val="auto"/>
        </w:rPr>
      </w:pPr>
    </w:p>
    <w:p>
      <w:pPr>
        <w:ind w:left="780" w:right="100"/>
        <w:spacing w:after="0" w:line="248" w:lineRule="auto"/>
        <w:rPr>
          <w:sz w:val="20"/>
          <w:szCs w:val="20"/>
          <w:color w:val="auto"/>
        </w:rPr>
      </w:pPr>
      <w:r>
        <w:rPr>
          <w:rFonts w:ascii="Arial" w:cs="Arial" w:eastAsia="Arial" w:hAnsi="Arial"/>
          <w:sz w:val="12"/>
          <w:szCs w:val="12"/>
          <w:b w:val="1"/>
          <w:bCs w:val="1"/>
          <w:color w:val="105BAB"/>
        </w:rPr>
        <w:t xml:space="preserve">Leonard S. Schleifer, M.D., Ph.D., </w:t>
      </w:r>
      <w:r>
        <w:rPr>
          <w:rFonts w:ascii="Arial" w:cs="Arial" w:eastAsia="Arial" w:hAnsi="Arial"/>
          <w:sz w:val="12"/>
          <w:szCs w:val="12"/>
          <w:color w:val="000000"/>
        </w:rPr>
        <w:t>65, founded the Company in 1988, has been a Director and its President and Chief Executive Officer since its inception, and served as Chairman of the Board from 1990</w:t>
      </w:r>
      <w:r>
        <w:rPr>
          <w:rFonts w:ascii="Arial" w:cs="Arial" w:eastAsia="Arial" w:hAnsi="Arial"/>
          <w:sz w:val="12"/>
          <w:szCs w:val="12"/>
          <w:b w:val="1"/>
          <w:bCs w:val="1"/>
          <w:color w:val="105BAB"/>
        </w:rPr>
        <w:t xml:space="preserve"> </w:t>
      </w:r>
      <w:r>
        <w:rPr>
          <w:rFonts w:ascii="Arial" w:cs="Arial" w:eastAsia="Arial" w:hAnsi="Arial"/>
          <w:sz w:val="12"/>
          <w:szCs w:val="12"/>
          <w:color w:val="000000"/>
        </w:rPr>
        <w:t>through 1994. Dr. Schleifer, together with Regeneron's founding scientist, Dr. Yancopoulos, built and has managed the Company over the past 30 years. Dr. Schleifer received his M.D. and Ph.D. in Pharmacology from the University of Virginia. Dr. Schleifer is a licensed physician and is certified in Neurology by the American Board of Psychiatry and Neurology.</w:t>
      </w:r>
    </w:p>
    <w:p>
      <w:pPr>
        <w:spacing w:after="0" w:line="200" w:lineRule="exact"/>
        <w:rPr>
          <w:sz w:val="20"/>
          <w:szCs w:val="20"/>
          <w:color w:val="auto"/>
        </w:rPr>
      </w:pPr>
    </w:p>
    <w:p>
      <w:pPr>
        <w:spacing w:after="0" w:line="237" w:lineRule="exact"/>
        <w:rPr>
          <w:sz w:val="20"/>
          <w:szCs w:val="20"/>
          <w:color w:val="auto"/>
        </w:rPr>
      </w:pPr>
    </w:p>
    <w:p>
      <w:pPr>
        <w:ind w:left="780"/>
        <w:spacing w:after="0" w:line="241" w:lineRule="auto"/>
        <w:rPr>
          <w:sz w:val="20"/>
          <w:szCs w:val="20"/>
          <w:color w:val="auto"/>
        </w:rPr>
      </w:pPr>
      <w:r>
        <w:rPr>
          <w:rFonts w:ascii="Arial" w:cs="Arial" w:eastAsia="Arial" w:hAnsi="Arial"/>
          <w:sz w:val="12"/>
          <w:szCs w:val="12"/>
          <w:b w:val="1"/>
          <w:bCs w:val="1"/>
          <w:color w:val="105BAB"/>
        </w:rPr>
        <w:t xml:space="preserve">George D. Yancopoulos, M.D., Ph.D., </w:t>
      </w:r>
      <w:r>
        <w:rPr>
          <w:rFonts w:ascii="Arial" w:cs="Arial" w:eastAsia="Arial" w:hAnsi="Arial"/>
          <w:sz w:val="12"/>
          <w:szCs w:val="12"/>
          <w:color w:val="000000"/>
        </w:rPr>
        <w:t>58, joined Dr. Schleifer in 1989 as founding scientist of the Company, and together they built and have managed the Company since then. Dr. Yancopoulos is currently</w:t>
      </w:r>
      <w:r>
        <w:rPr>
          <w:rFonts w:ascii="Arial" w:cs="Arial" w:eastAsia="Arial" w:hAnsi="Arial"/>
          <w:sz w:val="12"/>
          <w:szCs w:val="12"/>
          <w:b w:val="1"/>
          <w:bCs w:val="1"/>
          <w:color w:val="105BAB"/>
        </w:rPr>
        <w:t xml:space="preserve"> </w:t>
      </w:r>
      <w:r>
        <w:rPr>
          <w:rFonts w:ascii="Arial" w:cs="Arial" w:eastAsia="Arial" w:hAnsi="Arial"/>
          <w:sz w:val="12"/>
          <w:szCs w:val="12"/>
          <w:color w:val="000000"/>
        </w:rPr>
        <w:t xml:space="preserve">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six FDA-approved drugs the Company has developed, EYLEA®, PRALUENT®, DUPIXENT®, KEVZARA®, ZALTRAP®, and ARCALYST®, as well as of its foundation technologies, including the TRAP technology, </w:t>
      </w:r>
      <w:r>
        <w:rPr>
          <w:rFonts w:ascii="Arial" w:cs="Arial" w:eastAsia="Arial" w:hAnsi="Arial"/>
          <w:sz w:val="12"/>
          <w:szCs w:val="12"/>
          <w:i w:val="1"/>
          <w:iCs w:val="1"/>
          <w:color w:val="000000"/>
        </w:rPr>
        <w:t>VelociGene®</w:t>
      </w:r>
      <w:r>
        <w:rPr>
          <w:rFonts w:ascii="Arial" w:cs="Arial" w:eastAsia="Arial" w:hAnsi="Arial"/>
          <w:sz w:val="12"/>
          <w:szCs w:val="12"/>
          <w:color w:val="000000"/>
        </w:rPr>
        <w:t xml:space="preserve">, and </w:t>
      </w:r>
      <w:r>
        <w:rPr>
          <w:rFonts w:ascii="Arial" w:cs="Arial" w:eastAsia="Arial" w:hAnsi="Arial"/>
          <w:sz w:val="12"/>
          <w:szCs w:val="12"/>
          <w:i w:val="1"/>
          <w:iCs w:val="1"/>
          <w:color w:val="000000"/>
        </w:rPr>
        <w:t>VelocImmune®</w:t>
      </w:r>
      <w:r>
        <w:rPr>
          <w:rFonts w:ascii="Arial" w:cs="Arial" w:eastAsia="Arial" w:hAnsi="Arial"/>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400050" cy="4292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0050" cy="429260"/>
                    </a:xfrm>
                    <a:prstGeom prst="rect">
                      <a:avLst/>
                    </a:prstGeom>
                    <a:noFill/>
                  </pic:spPr>
                </pic:pic>
              </a:graphicData>
            </a:graphic>
          </wp:anchor>
        </w:drawing>
      </w:r>
    </w:p>
    <w:p>
      <w:pPr>
        <w:spacing w:after="0" w:line="287" w:lineRule="exact"/>
        <w:rPr>
          <w:sz w:val="20"/>
          <w:szCs w:val="20"/>
          <w:color w:val="auto"/>
        </w:rPr>
      </w:pPr>
    </w:p>
    <w:p>
      <w:pPr>
        <w:ind w:left="780" w:right="40"/>
        <w:spacing w:after="0" w:line="241" w:lineRule="auto"/>
        <w:rPr>
          <w:sz w:val="20"/>
          <w:szCs w:val="20"/>
          <w:color w:val="auto"/>
        </w:rPr>
      </w:pPr>
      <w:r>
        <w:rPr>
          <w:rFonts w:ascii="Arial" w:cs="Arial" w:eastAsia="Arial" w:hAnsi="Arial"/>
          <w:sz w:val="12"/>
          <w:szCs w:val="12"/>
          <w:b w:val="1"/>
          <w:bCs w:val="1"/>
          <w:color w:val="105BAB"/>
        </w:rPr>
        <w:t xml:space="preserve">Christopher Fenimore, </w:t>
      </w:r>
      <w:r>
        <w:rPr>
          <w:rFonts w:ascii="Arial" w:cs="Arial" w:eastAsia="Arial" w:hAnsi="Arial"/>
          <w:sz w:val="12"/>
          <w:szCs w:val="12"/>
          <w:color w:val="000000"/>
        </w:rPr>
        <w:t>47, has been Vice President, Controller since March 2017. From January 2017 to March 2017, he served as Vice President, Deputy Controller, and previously served as Vice</w:t>
      </w:r>
      <w:r>
        <w:rPr>
          <w:rFonts w:ascii="Arial" w:cs="Arial" w:eastAsia="Arial" w:hAnsi="Arial"/>
          <w:sz w:val="12"/>
          <w:szCs w:val="12"/>
          <w:b w:val="1"/>
          <w:bCs w:val="1"/>
          <w:color w:val="105BAB"/>
        </w:rPr>
        <w:t xml:space="preserve"> </w:t>
      </w:r>
      <w:r>
        <w:rPr>
          <w:rFonts w:ascii="Arial" w:cs="Arial" w:eastAsia="Arial" w:hAnsi="Arial"/>
          <w:sz w:val="12"/>
          <w:szCs w:val="12"/>
          <w:color w:val="000000"/>
        </w:rPr>
        <w:t>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394335" cy="4292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94335" cy="429260"/>
                    </a:xfrm>
                    <a:prstGeom prst="rect">
                      <a:avLst/>
                    </a:prstGeom>
                    <a:noFill/>
                  </pic:spPr>
                </pic:pic>
              </a:graphicData>
            </a:graphic>
          </wp:anchor>
        </w:drawing>
      </w:r>
    </w:p>
    <w:p>
      <w:pPr>
        <w:spacing w:after="0" w:line="350" w:lineRule="exact"/>
        <w:rPr>
          <w:sz w:val="20"/>
          <w:szCs w:val="20"/>
          <w:color w:val="auto"/>
        </w:rPr>
      </w:pPr>
    </w:p>
    <w:p>
      <w:pPr>
        <w:ind w:left="780" w:right="80"/>
        <w:spacing w:after="0" w:line="244" w:lineRule="auto"/>
        <w:rPr>
          <w:sz w:val="20"/>
          <w:szCs w:val="20"/>
          <w:color w:val="auto"/>
        </w:rPr>
      </w:pPr>
      <w:r>
        <w:rPr>
          <w:rFonts w:ascii="Arial" w:cs="Arial" w:eastAsia="Arial" w:hAnsi="Arial"/>
          <w:sz w:val="12"/>
          <w:szCs w:val="12"/>
          <w:b w:val="1"/>
          <w:bCs w:val="1"/>
          <w:color w:val="105BAB"/>
        </w:rPr>
        <w:t xml:space="preserve">Robert E. Landry, </w:t>
      </w:r>
      <w:r>
        <w:rPr>
          <w:rFonts w:ascii="Arial" w:cs="Arial" w:eastAsia="Arial" w:hAnsi="Arial"/>
          <w:sz w:val="12"/>
          <w:szCs w:val="12"/>
          <w:color w:val="000000"/>
        </w:rPr>
        <w:t>54, has been Senior Vice President, Finance since September 2013 and Chief Financial Officer since October 2013. Previously, Mr. Landry served as Senior Vice President, Treasurer, at</w:t>
      </w:r>
      <w:r>
        <w:rPr>
          <w:rFonts w:ascii="Arial" w:cs="Arial" w:eastAsia="Arial" w:hAnsi="Arial"/>
          <w:sz w:val="12"/>
          <w:szCs w:val="12"/>
          <w:b w:val="1"/>
          <w:bCs w:val="1"/>
          <w:color w:val="105BAB"/>
        </w:rPr>
        <w:t xml:space="preserve"> </w:t>
      </w:r>
      <w:r>
        <w:rPr>
          <w:rFonts w:ascii="Arial" w:cs="Arial" w:eastAsia="Arial" w:hAnsi="Arial"/>
          <w:sz w:val="12"/>
          <w:szCs w:val="12"/>
          <w:color w:val="000000"/>
        </w:rPr>
        <w:t>Pfizer Inc. from October 2012 to August 2013 and Senior Vice President—Finance,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400050" cy="4292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0050" cy="4292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517525</wp:posOffset>
            </wp:positionV>
            <wp:extent cx="400050" cy="4292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0050"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80" w:right="60"/>
        <w:spacing w:after="0" w:line="248" w:lineRule="auto"/>
        <w:rPr>
          <w:sz w:val="20"/>
          <w:szCs w:val="20"/>
          <w:color w:val="auto"/>
        </w:rPr>
      </w:pPr>
      <w:r>
        <w:rPr>
          <w:rFonts w:ascii="Arial" w:cs="Arial" w:eastAsia="Arial" w:hAnsi="Arial"/>
          <w:sz w:val="12"/>
          <w:szCs w:val="12"/>
          <w:b w:val="1"/>
          <w:bCs w:val="1"/>
          <w:color w:val="105BAB"/>
        </w:rPr>
        <w:t xml:space="preserve">Joseph J. LaRosa, </w:t>
      </w:r>
      <w:r>
        <w:rPr>
          <w:rFonts w:ascii="Arial" w:cs="Arial" w:eastAsia="Arial" w:hAnsi="Arial"/>
          <w:sz w:val="12"/>
          <w:szCs w:val="12"/>
          <w:color w:val="000000"/>
        </w:rPr>
        <w:t>59, has been Senior Vice President, General Counsel, and Secretary since September 2011. Before joining Regeneron, Mr. LaRosa was Senior Vice President, General Counsel, and</w:t>
      </w:r>
      <w:r>
        <w:rPr>
          <w:rFonts w:ascii="Arial" w:cs="Arial" w:eastAsia="Arial" w:hAnsi="Arial"/>
          <w:sz w:val="12"/>
          <w:szCs w:val="12"/>
          <w:b w:val="1"/>
          <w:bCs w:val="1"/>
          <w:color w:val="105BAB"/>
        </w:rPr>
        <w:t xml:space="preserve"> </w:t>
      </w:r>
      <w:r>
        <w:rPr>
          <w:rFonts w:ascii="Arial" w:cs="Arial" w:eastAsia="Arial" w:hAnsi="Arial"/>
          <w:sz w:val="12"/>
          <w:szCs w:val="12"/>
          <w:color w:val="000000"/>
        </w:rPr>
        <w:t>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356" w:lineRule="exact"/>
        <w:rPr>
          <w:sz w:val="20"/>
          <w:szCs w:val="20"/>
          <w:color w:val="auto"/>
        </w:rPr>
      </w:pPr>
    </w:p>
    <w:p>
      <w:pPr>
        <w:ind w:left="780"/>
        <w:spacing w:after="0"/>
        <w:rPr>
          <w:sz w:val="20"/>
          <w:szCs w:val="20"/>
          <w:color w:val="auto"/>
        </w:rPr>
      </w:pPr>
      <w:r>
        <w:rPr>
          <w:rFonts w:ascii="Arial" w:cs="Arial" w:eastAsia="Arial" w:hAnsi="Arial"/>
          <w:sz w:val="11"/>
          <w:szCs w:val="11"/>
          <w:b w:val="1"/>
          <w:bCs w:val="1"/>
          <w:color w:val="105BAB"/>
        </w:rPr>
        <w:t xml:space="preserve">Marion McCourt, </w:t>
      </w:r>
      <w:r>
        <w:rPr>
          <w:rFonts w:ascii="Arial" w:cs="Arial" w:eastAsia="Arial" w:hAnsi="Arial"/>
          <w:sz w:val="11"/>
          <w:szCs w:val="11"/>
          <w:color w:val="000000"/>
        </w:rPr>
        <w:t>58, has been Senior Vice President, Commercial since February 2018. From April 2017 until joining the Company, Ms. McCourt served as the Principal Operating Officer and the Chief</w:t>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2"/>
          <w:szCs w:val="12"/>
          <w:color w:val="auto"/>
        </w:rPr>
        <w:t>Operating Officer and President of Axovant Sciences, Inc. Ms. McCourt previously served as chief operating officer of Medivation, Inc. from February 2016 until its acquisition by Pfizer Inc. in</w:t>
      </w:r>
    </w:p>
    <w:p>
      <w:pPr>
        <w:ind w:left="780" w:right="20"/>
        <w:spacing w:after="0" w:line="236" w:lineRule="auto"/>
        <w:rPr>
          <w:sz w:val="20"/>
          <w:szCs w:val="20"/>
          <w:color w:val="auto"/>
        </w:rPr>
      </w:pPr>
      <w:r>
        <w:rPr>
          <w:rFonts w:ascii="Arial" w:cs="Arial" w:eastAsia="Arial" w:hAnsi="Arial"/>
          <w:sz w:val="12"/>
          <w:szCs w:val="12"/>
          <w:color w:val="auto"/>
        </w:rPr>
        <w:t>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She currently is a member of the boards of CytomX Therapeutics, Inc., a biopharmaceutical company, and SCYNEXIS, Inc., a drug-development company. Ms. McCourt received her B.S. in Biology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-511810</wp:posOffset>
            </wp:positionV>
            <wp:extent cx="400050" cy="434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0050" cy="434975"/>
                    </a:xfrm>
                    <a:prstGeom prst="rect">
                      <a:avLst/>
                    </a:prstGeom>
                    <a:noFill/>
                  </pic:spPr>
                </pic:pic>
              </a:graphicData>
            </a:graphic>
          </wp:anchor>
        </w:drawing>
      </w:r>
    </w:p>
    <w:p>
      <w:pPr>
        <w:spacing w:after="0" w:line="269" w:lineRule="exact"/>
        <w:rPr>
          <w:sz w:val="20"/>
          <w:szCs w:val="20"/>
          <w:color w:val="auto"/>
        </w:rPr>
      </w:pPr>
    </w:p>
    <w:p>
      <w:pPr>
        <w:ind w:left="780" w:right="140"/>
        <w:spacing w:after="0" w:line="244" w:lineRule="auto"/>
        <w:rPr>
          <w:sz w:val="20"/>
          <w:szCs w:val="20"/>
          <w:color w:val="auto"/>
        </w:rPr>
      </w:pPr>
      <w:r>
        <w:rPr>
          <w:rFonts w:ascii="Arial" w:cs="Arial" w:eastAsia="Arial" w:hAnsi="Arial"/>
          <w:sz w:val="12"/>
          <w:szCs w:val="12"/>
          <w:b w:val="1"/>
          <w:bCs w:val="1"/>
          <w:color w:val="105BAB"/>
        </w:rPr>
        <w:t xml:space="preserve">Neil Stahl, Ph.D., </w:t>
      </w:r>
      <w:r>
        <w:rPr>
          <w:rFonts w:ascii="Arial" w:cs="Arial" w:eastAsia="Arial" w:hAnsi="Arial"/>
          <w:sz w:val="12"/>
          <w:szCs w:val="12"/>
          <w:color w:val="000000"/>
        </w:rPr>
        <w:t>61, has been Executive Vice President, Research and Development since January 2015. He previously served as Senior Vice President, Research and Development Sciences from</w:t>
      </w:r>
      <w:r>
        <w:rPr>
          <w:rFonts w:ascii="Arial" w:cs="Arial" w:eastAsia="Arial" w:hAnsi="Arial"/>
          <w:sz w:val="12"/>
          <w:szCs w:val="12"/>
          <w:b w:val="1"/>
          <w:bCs w:val="1"/>
          <w:color w:val="105BAB"/>
        </w:rPr>
        <w:t xml:space="preserve"> </w:t>
      </w:r>
      <w:r>
        <w:rPr>
          <w:rFonts w:ascii="Arial" w:cs="Arial" w:eastAsia="Arial" w:hAnsi="Arial"/>
          <w:sz w:val="12"/>
          <w:szCs w:val="12"/>
          <w:color w:val="000000"/>
        </w:rPr>
        <w:t>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July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400050" cy="4292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0050" cy="429260"/>
                    </a:xfrm>
                    <a:prstGeom prst="rect">
                      <a:avLst/>
                    </a:prstGeom>
                    <a:noFill/>
                  </pic:spPr>
                </pic:pic>
              </a:graphicData>
            </a:graphic>
          </wp:anchor>
        </w:drawing>
      </w:r>
    </w:p>
    <w:p>
      <w:pPr>
        <w:spacing w:after="0" w:line="284" w:lineRule="exact"/>
        <w:rPr>
          <w:sz w:val="20"/>
          <w:szCs w:val="20"/>
          <w:color w:val="auto"/>
        </w:rPr>
      </w:pPr>
    </w:p>
    <w:p>
      <w:pPr>
        <w:ind w:left="780"/>
        <w:spacing w:after="0" w:line="265" w:lineRule="auto"/>
        <w:rPr>
          <w:sz w:val="20"/>
          <w:szCs w:val="20"/>
          <w:color w:val="auto"/>
        </w:rPr>
      </w:pPr>
      <w:r>
        <w:rPr>
          <w:rFonts w:ascii="Arial" w:cs="Arial" w:eastAsia="Arial" w:hAnsi="Arial"/>
          <w:sz w:val="11"/>
          <w:szCs w:val="11"/>
          <w:b w:val="1"/>
          <w:bCs w:val="1"/>
          <w:color w:val="105BAB"/>
        </w:rPr>
        <w:t xml:space="preserve">Daniel P. Van Plew, </w:t>
      </w:r>
      <w:r>
        <w:rPr>
          <w:rFonts w:ascii="Arial" w:cs="Arial" w:eastAsia="Arial" w:hAnsi="Arial"/>
          <w:sz w:val="11"/>
          <w:szCs w:val="11"/>
          <w:color w:val="000000"/>
        </w:rPr>
        <w:t>45, has been Executive Vice President and General Manager, Industrial Operations and Product Supply since January 2016. From April 2008 to December 2015, Mr. Van Plew served as</w:t>
      </w:r>
      <w:r>
        <w:rPr>
          <w:rFonts w:ascii="Arial" w:cs="Arial" w:eastAsia="Arial" w:hAnsi="Arial"/>
          <w:sz w:val="11"/>
          <w:szCs w:val="11"/>
          <w:b w:val="1"/>
          <w:bCs w:val="1"/>
          <w:color w:val="105BAB"/>
        </w:rPr>
        <w:t xml:space="preserve"> </w:t>
      </w:r>
      <w:r>
        <w:rPr>
          <w:rFonts w:ascii="Arial" w:cs="Arial" w:eastAsia="Arial" w:hAnsi="Arial"/>
          <w:sz w:val="11"/>
          <w:szCs w:val="11"/>
          <w:color w:val="000000"/>
        </w:rPr>
        <w:t>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400050" cy="4292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0050" cy="429260"/>
                    </a:xfrm>
                    <a:prstGeom prst="rect">
                      <a:avLst/>
                    </a:prstGeom>
                    <a:noFill/>
                  </pic:spPr>
                </pic:pic>
              </a:graphicData>
            </a:graphic>
          </wp:anchor>
        </w:drawing>
      </w:r>
    </w:p>
    <w:p>
      <w:pPr>
        <w:ind w:left="780" w:right="320"/>
        <w:spacing w:after="0" w:line="237" w:lineRule="auto"/>
        <w:rPr>
          <w:sz w:val="20"/>
          <w:szCs w:val="20"/>
          <w:color w:val="auto"/>
        </w:rPr>
      </w:pPr>
      <w:r>
        <w:rPr>
          <w:rFonts w:ascii="Arial" w:cs="Arial" w:eastAsia="Arial" w:hAnsi="Arial"/>
          <w:sz w:val="12"/>
          <w:szCs w:val="12"/>
          <w:color w:val="auto"/>
        </w:rPr>
        <w:t>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2923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105BAB"/>
              </w:rPr>
              <w:t>OVERVIEW</w:t>
            </w:r>
          </w:p>
        </w:tc>
        <w:tc>
          <w:tcPr>
            <w:tcW w:w="340" w:type="dxa"/>
            <w:vAlign w:val="bottom"/>
          </w:tcPr>
          <w:p>
            <w:pPr>
              <w:spacing w:after="0"/>
              <w:rPr>
                <w:sz w:val="16"/>
                <w:szCs w:val="16"/>
                <w:color w:val="auto"/>
              </w:rPr>
            </w:pPr>
          </w:p>
        </w:tc>
        <w:tc>
          <w:tcPr>
            <w:tcW w:w="9600" w:type="dxa"/>
            <w:vAlign w:val="bottom"/>
          </w:tcPr>
          <w:p>
            <w:pPr>
              <w:spacing w:after="0"/>
              <w:rPr>
                <w:sz w:val="20"/>
                <w:szCs w:val="20"/>
                <w:color w:val="auto"/>
              </w:rPr>
            </w:pPr>
            <w:r>
              <w:rPr>
                <w:rFonts w:ascii="Arial" w:cs="Arial" w:eastAsia="Arial" w:hAnsi="Arial"/>
                <w:sz w:val="12"/>
                <w:szCs w:val="12"/>
                <w:color w:val="auto"/>
                <w:w w:val="98"/>
              </w:rPr>
              <w:t>Regeneron is committed to good corporate governance, which we believe promotes the long-term interests of shareholders, strengthens the accountability of the board of directors and</w:t>
            </w:r>
          </w:p>
        </w:tc>
        <w:tc>
          <w:tcPr>
            <w:tcW w:w="420" w:type="dxa"/>
            <w:vAlign w:val="bottom"/>
          </w:tcPr>
          <w:p>
            <w:pPr>
              <w:spacing w:after="0"/>
              <w:rPr>
                <w:sz w:val="16"/>
                <w:szCs w:val="16"/>
                <w:color w:val="auto"/>
              </w:rPr>
            </w:pPr>
          </w:p>
        </w:tc>
      </w:tr>
      <w:tr>
        <w:trPr>
          <w:trHeight w:val="140"/>
        </w:trPr>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0" w:type="dxa"/>
            <w:vAlign w:val="bottom"/>
          </w:tcPr>
          <w:p>
            <w:pPr>
              <w:spacing w:after="0"/>
              <w:rPr>
                <w:sz w:val="20"/>
                <w:szCs w:val="20"/>
                <w:color w:val="auto"/>
              </w:rPr>
            </w:pPr>
            <w:r>
              <w:rPr>
                <w:rFonts w:ascii="Arial" w:cs="Arial" w:eastAsia="Arial" w:hAnsi="Arial"/>
                <w:sz w:val="12"/>
                <w:szCs w:val="12"/>
                <w:color w:val="auto"/>
              </w:rPr>
              <w:t>management, and helps build trust in the Company. The following chart summarizes key information regarding our corporate governance.</w:t>
            </w:r>
          </w:p>
        </w:tc>
        <w:tc>
          <w:tcPr>
            <w:tcW w:w="420" w:type="dxa"/>
            <w:vAlign w:val="bottom"/>
          </w:tcPr>
          <w:p>
            <w:pPr>
              <w:spacing w:after="0"/>
              <w:rPr>
                <w:sz w:val="12"/>
                <w:szCs w:val="12"/>
                <w:color w:val="auto"/>
              </w:rPr>
            </w:pPr>
          </w:p>
        </w:tc>
      </w:tr>
      <w:tr>
        <w:trPr>
          <w:trHeight w:val="121"/>
        </w:trPr>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0" w:type="dxa"/>
            <w:vAlign w:val="bottom"/>
            <w:tcBorders>
              <w:bottom w:val="single" w:sz="8" w:color="105BAB"/>
            </w:tcBorders>
          </w:tcPr>
          <w:p>
            <w:pPr>
              <w:spacing w:after="0"/>
              <w:rPr>
                <w:sz w:val="10"/>
                <w:szCs w:val="10"/>
                <w:color w:val="auto"/>
              </w:rPr>
            </w:pPr>
          </w:p>
        </w:tc>
        <w:tc>
          <w:tcPr>
            <w:tcW w:w="420" w:type="dxa"/>
            <w:vAlign w:val="bottom"/>
            <w:tcBorders>
              <w:bottom w:val="single" w:sz="8" w:color="105BAB"/>
            </w:tcBorders>
          </w:tcPr>
          <w:p>
            <w:pPr>
              <w:spacing w:after="0"/>
              <w:rPr>
                <w:sz w:val="10"/>
                <w:szCs w:val="10"/>
                <w:color w:val="auto"/>
              </w:rPr>
            </w:pPr>
          </w:p>
        </w:tc>
      </w:tr>
      <w:tr>
        <w:trPr>
          <w:trHeight w:val="250"/>
        </w:trPr>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0" w:type="dxa"/>
            <w:vAlign w:val="bottom"/>
            <w:tcBorders>
              <w:bottom w:val="single" w:sz="8" w:color="105BAB"/>
            </w:tcBorders>
          </w:tcPr>
          <w:p>
            <w:pPr>
              <w:ind w:left="40"/>
              <w:spacing w:after="0"/>
              <w:rPr>
                <w:sz w:val="20"/>
                <w:szCs w:val="20"/>
                <w:color w:val="auto"/>
              </w:rPr>
            </w:pPr>
            <w:r>
              <w:rPr>
                <w:rFonts w:ascii="Arial" w:cs="Arial" w:eastAsia="Arial" w:hAnsi="Arial"/>
                <w:sz w:val="10"/>
                <w:szCs w:val="10"/>
                <w:b w:val="1"/>
                <w:bCs w:val="1"/>
                <w:color w:val="105BAB"/>
              </w:rPr>
              <w:t>Board and Other Governance Information</w:t>
            </w:r>
          </w:p>
        </w:tc>
        <w:tc>
          <w:tcPr>
            <w:tcW w:w="420" w:type="dxa"/>
            <w:vAlign w:val="bottom"/>
            <w:tcBorders>
              <w:bottom w:val="single" w:sz="8" w:color="105BAB"/>
            </w:tcBorders>
          </w:tcPr>
          <w:p>
            <w:pPr>
              <w:jc w:val="center"/>
              <w:ind w:left="72"/>
              <w:spacing w:after="0"/>
              <w:rPr>
                <w:sz w:val="20"/>
                <w:szCs w:val="20"/>
                <w:color w:val="auto"/>
              </w:rPr>
            </w:pPr>
            <w:r>
              <w:rPr>
                <w:rFonts w:ascii="Arial" w:cs="Arial" w:eastAsia="Arial" w:hAnsi="Arial"/>
                <w:sz w:val="10"/>
                <w:szCs w:val="10"/>
                <w:b w:val="1"/>
                <w:bCs w:val="1"/>
                <w:color w:val="105BAB"/>
                <w:w w:val="94"/>
              </w:rPr>
              <w:t>2018</w:t>
            </w:r>
            <w:r>
              <w:rPr>
                <w:rFonts w:ascii="Arial" w:cs="Arial" w:eastAsia="Arial" w:hAnsi="Arial"/>
                <w:sz w:val="14"/>
                <w:szCs w:val="14"/>
                <w:b w:val="1"/>
                <w:bCs w:val="1"/>
                <w:color w:val="105BAB"/>
                <w:w w:val="94"/>
                <w:vertAlign w:val="superscript"/>
              </w:rPr>
              <w:t>1</w:t>
            </w:r>
          </w:p>
        </w:tc>
      </w:tr>
      <w:tr>
        <w:trPr>
          <w:trHeight w:val="214"/>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Size of Board</w:t>
            </w:r>
          </w:p>
        </w:tc>
        <w:tc>
          <w:tcPr>
            <w:tcW w:w="420" w:type="dxa"/>
            <w:vAlign w:val="bottom"/>
            <w:tcBorders>
              <w:bottom w:val="single" w:sz="8" w:color="auto"/>
            </w:tcBorders>
            <w:shd w:val="clear" w:color="auto" w:fill="F1F3F9"/>
          </w:tcPr>
          <w:p>
            <w:pPr>
              <w:jc w:val="center"/>
              <w:ind w:left="72"/>
              <w:spacing w:after="0"/>
              <w:rPr>
                <w:sz w:val="20"/>
                <w:szCs w:val="20"/>
                <w:color w:val="auto"/>
              </w:rPr>
            </w:pPr>
            <w:r>
              <w:rPr>
                <w:rFonts w:ascii="Arial" w:cs="Arial" w:eastAsia="Arial" w:hAnsi="Arial"/>
                <w:sz w:val="10"/>
                <w:szCs w:val="10"/>
                <w:color w:val="auto"/>
                <w:w w:val="89"/>
              </w:rPr>
              <w:t>13</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Number of Independent Directors</w:t>
            </w:r>
          </w:p>
        </w:tc>
        <w:tc>
          <w:tcPr>
            <w:tcW w:w="420" w:type="dxa"/>
            <w:vAlign w:val="bottom"/>
            <w:tcBorders>
              <w:bottom w:val="single" w:sz="8" w:color="auto"/>
            </w:tcBorders>
            <w:shd w:val="clear" w:color="auto" w:fill="D6DAEE"/>
          </w:tcPr>
          <w:p>
            <w:pPr>
              <w:jc w:val="center"/>
              <w:ind w:left="72"/>
              <w:spacing w:after="0"/>
              <w:rPr>
                <w:sz w:val="20"/>
                <w:szCs w:val="20"/>
                <w:color w:val="auto"/>
              </w:rPr>
            </w:pPr>
            <w:r>
              <w:rPr>
                <w:rFonts w:ascii="Arial" w:cs="Arial" w:eastAsia="Arial" w:hAnsi="Arial"/>
                <w:sz w:val="10"/>
                <w:szCs w:val="10"/>
                <w:color w:val="auto"/>
                <w:w w:val="89"/>
              </w:rPr>
              <w:t>10</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Separate Chairman and Chief Executive Officer</w:t>
            </w:r>
          </w:p>
        </w:tc>
        <w:tc>
          <w:tcPr>
            <w:tcW w:w="420" w:type="dxa"/>
            <w:vAlign w:val="bottom"/>
            <w:tcBorders>
              <w:bottom w:val="single" w:sz="8" w:color="auto"/>
            </w:tcBorders>
            <w:shd w:val="clear" w:color="auto" w:fill="F1F3F9"/>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Majority Voting in the Election of Directors</w:t>
            </w:r>
          </w:p>
        </w:tc>
        <w:tc>
          <w:tcPr>
            <w:tcW w:w="420" w:type="dxa"/>
            <w:vAlign w:val="bottom"/>
            <w:tcBorders>
              <w:bottom w:val="single" w:sz="8" w:color="auto"/>
            </w:tcBorders>
            <w:shd w:val="clear" w:color="auto" w:fill="D6DAEE"/>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Director Resignation Policy</w:t>
            </w:r>
          </w:p>
        </w:tc>
        <w:tc>
          <w:tcPr>
            <w:tcW w:w="420" w:type="dxa"/>
            <w:vAlign w:val="bottom"/>
            <w:tcBorders>
              <w:bottom w:val="single" w:sz="8" w:color="auto"/>
            </w:tcBorders>
            <w:shd w:val="clear" w:color="auto" w:fill="F1F3F9"/>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Number of Meetings of the Board of Directors Held in 2017</w:t>
            </w:r>
          </w:p>
        </w:tc>
        <w:tc>
          <w:tcPr>
            <w:tcW w:w="420" w:type="dxa"/>
            <w:vAlign w:val="bottom"/>
            <w:tcBorders>
              <w:bottom w:val="single" w:sz="8" w:color="auto"/>
            </w:tcBorders>
            <w:shd w:val="clear" w:color="auto" w:fill="D6DAEE"/>
          </w:tcPr>
          <w:p>
            <w:pPr>
              <w:jc w:val="right"/>
              <w:ind w:right="52"/>
              <w:spacing w:after="0"/>
              <w:rPr>
                <w:sz w:val="20"/>
                <w:szCs w:val="20"/>
                <w:color w:val="auto"/>
              </w:rPr>
            </w:pPr>
            <w:r>
              <w:rPr>
                <w:rFonts w:ascii="Arial" w:cs="Arial" w:eastAsia="Arial" w:hAnsi="Arial"/>
                <w:sz w:val="10"/>
                <w:szCs w:val="10"/>
                <w:color w:val="auto"/>
              </w:rPr>
              <w:t>6</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Independent Directors Meet in Executive Sessions Without Management Present</w:t>
            </w:r>
          </w:p>
        </w:tc>
        <w:tc>
          <w:tcPr>
            <w:tcW w:w="420" w:type="dxa"/>
            <w:vAlign w:val="bottom"/>
            <w:tcBorders>
              <w:bottom w:val="single" w:sz="8" w:color="auto"/>
            </w:tcBorders>
            <w:shd w:val="clear" w:color="auto" w:fill="F1F3F9"/>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Code of Business Conduct and Ethics Applicable to All Employees, Officers, and Directors</w:t>
            </w:r>
          </w:p>
        </w:tc>
        <w:tc>
          <w:tcPr>
            <w:tcW w:w="420" w:type="dxa"/>
            <w:vAlign w:val="bottom"/>
            <w:tcBorders>
              <w:bottom w:val="single" w:sz="8" w:color="auto"/>
            </w:tcBorders>
            <w:shd w:val="clear" w:color="auto" w:fill="D6DAEE"/>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Annual Board and Committee Self-Evaluations</w:t>
            </w:r>
          </w:p>
        </w:tc>
        <w:tc>
          <w:tcPr>
            <w:tcW w:w="420" w:type="dxa"/>
            <w:vAlign w:val="bottom"/>
            <w:tcBorders>
              <w:bottom w:val="single" w:sz="8" w:color="auto"/>
            </w:tcBorders>
            <w:shd w:val="clear" w:color="auto" w:fill="F1F3F9"/>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Stock Ownership Guidelines for Directors and Senior Executives</w:t>
            </w:r>
          </w:p>
        </w:tc>
        <w:tc>
          <w:tcPr>
            <w:tcW w:w="420" w:type="dxa"/>
            <w:vAlign w:val="bottom"/>
            <w:tcBorders>
              <w:bottom w:val="single" w:sz="8" w:color="auto"/>
            </w:tcBorders>
            <w:shd w:val="clear" w:color="auto" w:fill="D6DAEE"/>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Active Shareholder Engagement</w:t>
            </w:r>
          </w:p>
        </w:tc>
        <w:tc>
          <w:tcPr>
            <w:tcW w:w="420" w:type="dxa"/>
            <w:vAlign w:val="bottom"/>
            <w:tcBorders>
              <w:bottom w:val="single" w:sz="8" w:color="auto"/>
            </w:tcBorders>
            <w:shd w:val="clear" w:color="auto" w:fill="F1F3F9"/>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Shareholder Right to Remove Directors for Cause</w:t>
            </w:r>
          </w:p>
        </w:tc>
        <w:tc>
          <w:tcPr>
            <w:tcW w:w="420" w:type="dxa"/>
            <w:vAlign w:val="bottom"/>
            <w:tcBorders>
              <w:bottom w:val="single" w:sz="8" w:color="auto"/>
            </w:tcBorders>
            <w:shd w:val="clear" w:color="auto" w:fill="D6DAEE"/>
          </w:tcPr>
          <w:p>
            <w:pPr>
              <w:jc w:val="center"/>
              <w:ind w:left="72"/>
              <w:spacing w:after="0"/>
              <w:rPr>
                <w:sz w:val="20"/>
                <w:szCs w:val="20"/>
                <w:color w:val="auto"/>
              </w:rPr>
            </w:pPr>
            <w:r>
              <w:rPr>
                <w:rFonts w:ascii="Arial" w:cs="Arial" w:eastAsia="Arial" w:hAnsi="Arial"/>
                <w:sz w:val="10"/>
                <w:szCs w:val="10"/>
                <w:color w:val="105BAB"/>
              </w:rPr>
              <w:t>ü</w:t>
            </w:r>
          </w:p>
        </w:tc>
      </w:tr>
      <w:tr>
        <w:trPr>
          <w:trHeight w:val="205"/>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105BAB"/>
            </w:tcBorders>
            <w:shd w:val="clear" w:color="auto" w:fill="F1F3F9"/>
          </w:tcPr>
          <w:p>
            <w:pPr>
              <w:ind w:left="40"/>
              <w:spacing w:after="0"/>
              <w:rPr>
                <w:sz w:val="20"/>
                <w:szCs w:val="20"/>
                <w:color w:val="auto"/>
              </w:rPr>
            </w:pPr>
            <w:r>
              <w:rPr>
                <w:rFonts w:ascii="Arial" w:cs="Arial" w:eastAsia="Arial" w:hAnsi="Arial"/>
                <w:sz w:val="10"/>
                <w:szCs w:val="10"/>
                <w:color w:val="auto"/>
              </w:rPr>
              <w:t>Shareholder Right to Call Special Shareholder Meeting</w:t>
            </w:r>
          </w:p>
        </w:tc>
        <w:tc>
          <w:tcPr>
            <w:tcW w:w="420" w:type="dxa"/>
            <w:vAlign w:val="bottom"/>
            <w:tcBorders>
              <w:bottom w:val="single" w:sz="8" w:color="105BAB"/>
            </w:tcBorders>
            <w:shd w:val="clear" w:color="auto" w:fill="F1F3F9"/>
          </w:tcPr>
          <w:p>
            <w:pPr>
              <w:jc w:val="center"/>
              <w:ind w:left="72"/>
              <w:spacing w:after="0"/>
              <w:rPr>
                <w:sz w:val="20"/>
                <w:szCs w:val="20"/>
                <w:color w:val="auto"/>
              </w:rPr>
            </w:pPr>
            <w:r>
              <w:rPr>
                <w:rFonts w:ascii="Arial" w:cs="Arial" w:eastAsia="Arial" w:hAnsi="Arial"/>
                <w:sz w:val="10"/>
                <w:szCs w:val="10"/>
                <w:color w:val="105BAB"/>
              </w:rPr>
              <w:t>ü</w:t>
            </w:r>
          </w:p>
        </w:tc>
      </w:tr>
      <w:tr>
        <w:trPr>
          <w:trHeight w:val="269"/>
        </w:trPr>
        <w:tc>
          <w:tcPr>
            <w:tcW w:w="1120" w:type="dxa"/>
            <w:vAlign w:val="bottom"/>
          </w:tcPr>
          <w:p>
            <w:pPr>
              <w:spacing w:after="0"/>
              <w:rPr>
                <w:sz w:val="23"/>
                <w:szCs w:val="23"/>
                <w:color w:val="auto"/>
              </w:rPr>
            </w:pPr>
          </w:p>
        </w:tc>
        <w:tc>
          <w:tcPr>
            <w:tcW w:w="9940" w:type="dxa"/>
            <w:vAlign w:val="bottom"/>
            <w:gridSpan w:val="2"/>
          </w:tcPr>
          <w:p>
            <w:pPr>
              <w:ind w:left="260"/>
              <w:spacing w:after="0"/>
              <w:rPr>
                <w:sz w:val="20"/>
                <w:szCs w:val="20"/>
                <w:color w:val="auto"/>
              </w:rPr>
            </w:pPr>
            <w:r>
              <w:rPr>
                <w:rFonts w:ascii="Arial" w:cs="Arial" w:eastAsia="Arial" w:hAnsi="Arial"/>
                <w:sz w:val="10"/>
                <w:szCs w:val="10"/>
                <w:color w:val="105BAB"/>
              </w:rPr>
              <w:t xml:space="preserve">1   </w:t>
            </w:r>
            <w:r>
              <w:rPr>
                <w:rFonts w:ascii="Arial" w:cs="Arial" w:eastAsia="Arial" w:hAnsi="Arial"/>
                <w:sz w:val="10"/>
                <w:szCs w:val="10"/>
                <w:color w:val="000000"/>
              </w:rPr>
              <w:t>As of April 12, 2018, except as otherwise indicated; does not give effect to the previously announced retirement of Charles A. Baker effective as of the conclusion of the 2018 Annual Meeting.</w:t>
            </w:r>
          </w:p>
        </w:tc>
        <w:tc>
          <w:tcPr>
            <w:tcW w:w="4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2923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105BAB"/>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399415</wp:posOffset>
            </wp:positionV>
            <wp:extent cx="253365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336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105BAB"/>
        </w:rPr>
        <w:t>SUCCESSION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PLANNING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AND TALENT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DEVELOPMENT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PROCESS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0"/>
        <w:spacing w:after="0" w:line="262" w:lineRule="auto"/>
        <w:rPr>
          <w:sz w:val="20"/>
          <w:szCs w:val="20"/>
          <w:color w:val="auto"/>
        </w:rPr>
      </w:pPr>
      <w:r>
        <w:rPr>
          <w:rFonts w:ascii="Arial" w:cs="Arial" w:eastAsia="Arial" w:hAnsi="Arial"/>
          <w:sz w:val="11"/>
          <w:szCs w:val="11"/>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1"/>
          <w:szCs w:val="11"/>
          <w:b w:val="1"/>
          <w:bCs w:val="1"/>
          <w:color w:val="auto"/>
        </w:rPr>
        <w:t>www.regeneron.com</w:t>
      </w:r>
      <w:r>
        <w:rPr>
          <w:rFonts w:ascii="Arial" w:cs="Arial" w:eastAsia="Arial" w:hAnsi="Arial"/>
          <w:sz w:val="11"/>
          <w:szCs w:val="11"/>
          <w:color w:val="auto"/>
        </w:rPr>
        <w:t xml:space="preserve"> under the "Corporate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469011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690110" cy="5715"/>
                    </a:xfrm>
                    <a:prstGeom prst="rect">
                      <a:avLst/>
                    </a:prstGeom>
                    <a:noFill/>
                  </pic:spPr>
                </pic:pic>
              </a:graphicData>
            </a:graphic>
          </wp:anchor>
        </w:drawing>
      </w:r>
    </w:p>
    <w:p>
      <w:pPr>
        <w:spacing w:after="0" w:line="244" w:lineRule="exact"/>
        <w:rPr>
          <w:sz w:val="20"/>
          <w:szCs w:val="20"/>
          <w:color w:val="auto"/>
        </w:rPr>
      </w:pPr>
    </w:p>
    <w:p>
      <w:pPr>
        <w:ind w:right="60"/>
        <w:spacing w:after="0" w:line="236" w:lineRule="auto"/>
        <w:rPr>
          <w:sz w:val="20"/>
          <w:szCs w:val="20"/>
          <w:color w:val="auto"/>
        </w:rPr>
      </w:pPr>
      <w:r>
        <w:rPr>
          <w:rFonts w:ascii="Arial" w:cs="Arial" w:eastAsia="Arial" w:hAnsi="Arial"/>
          <w:sz w:val="12"/>
          <w:szCs w:val="12"/>
          <w:color w:val="auto"/>
        </w:rPr>
        <w:t>Under our Corporate Governance Guidelines, the board of directors is required to periodically review with our CEO Regeneron's plan for succession to the offices of the CEO and other senior executive positions. In 2017, the Corporate Governance and Compliance Committee, at the request of the board of directors, engaged in formal succession planning and talent review, which included succession planning for the CEO and other senior management positions. In addition to formal succession planning, directors also have exposure to Regeneron leaders through board and committee presentations and discussions and informal events and interactions with key talent throughout the year, both in small group and one-on-one settings.</w:t>
      </w:r>
    </w:p>
    <w:p>
      <w:pPr>
        <w:spacing w:after="0" w:line="265" w:lineRule="exact"/>
        <w:rPr>
          <w:sz w:val="20"/>
          <w:szCs w:val="20"/>
          <w:color w:val="auto"/>
        </w:rPr>
      </w:pPr>
    </w:p>
    <w:p>
      <w:pPr>
        <w:ind w:left="6920"/>
        <w:spacing w:after="0"/>
        <w:rPr>
          <w:sz w:val="20"/>
          <w:szCs w:val="20"/>
          <w:color w:val="auto"/>
        </w:rPr>
      </w:pPr>
      <w:r>
        <w:rPr>
          <w:rFonts w:ascii="Arial" w:cs="Arial" w:eastAsia="Arial" w:hAnsi="Arial"/>
          <w:sz w:val="10"/>
          <w:szCs w:val="10"/>
          <w:b w:val="1"/>
          <w:bCs w:val="1"/>
          <w:color w:val="FFFFF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-66675</wp:posOffset>
            </wp:positionV>
            <wp:extent cx="285750" cy="68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89535</wp:posOffset>
            </wp:positionV>
            <wp:extent cx="729932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3380" w:space="720"/>
            <w:col w:w="7380"/>
          </w:cols>
          <w:pgMar w:left="220" w:top="142" w:right="199" w:bottom="1440" w:gutter="0" w:footer="0" w:header="0"/>
          <w:type w:val="continuous"/>
        </w:sectPr>
      </w:pPr>
    </w:p>
    <w:bookmarkStart w:id="44" w:name="page45"/>
    <w:bookmarkEnd w:id="44"/>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507365</wp:posOffset>
            </wp:positionV>
            <wp:extent cx="72923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105BAB"/>
        </w:rPr>
        <w:t>CORPORATE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34" w:lineRule="auto"/>
        <w:rPr>
          <w:sz w:val="20"/>
          <w:szCs w:val="20"/>
          <w:color w:val="auto"/>
        </w:rPr>
      </w:pPr>
      <w:r>
        <w:rPr>
          <w:rFonts w:ascii="Arial" w:cs="Arial" w:eastAsia="Arial" w:hAnsi="Arial"/>
          <w:sz w:val="12"/>
          <w:szCs w:val="12"/>
          <w:color w:val="auto"/>
        </w:rPr>
        <w:t>Regeneron's mission is to use the power of science to repeatedly bring new medicines to patients. We are committed to operating responsibly, communicating transparently about our impacts, and engaging all stakeholders in our mission. We strive to "do well by doing good" and have been publicly disclosing information about significant corporate responsibility matters since 2014.</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2"/>
          <w:szCs w:val="12"/>
          <w:color w:val="auto"/>
        </w:rPr>
        <w:t>In 2017, we conducted a review of our approach to Environmental, Social, and Governance (ESG) issues. We have used these insights to identify three focus areas for our corporate responsibility strategy:</w:t>
      </w:r>
    </w:p>
    <w:p>
      <w:pPr>
        <w:spacing w:after="0" w:line="94" w:lineRule="exact"/>
        <w:rPr>
          <w:sz w:val="20"/>
          <w:szCs w:val="20"/>
          <w:color w:val="auto"/>
        </w:rPr>
      </w:pPr>
    </w:p>
    <w:p>
      <w:pPr>
        <w:ind w:left="80" w:hanging="75"/>
        <w:spacing w:after="0"/>
        <w:tabs>
          <w:tab w:leader="none" w:pos="80" w:val="left"/>
        </w:tabs>
        <w:numPr>
          <w:ilvl w:val="0"/>
          <w:numId w:val="37"/>
        </w:numPr>
        <w:rPr>
          <w:rFonts w:ascii="Arial" w:cs="Arial" w:eastAsia="Arial" w:hAnsi="Arial"/>
          <w:sz w:val="10"/>
          <w:szCs w:val="10"/>
          <w:color w:val="105BAB"/>
        </w:rPr>
      </w:pPr>
      <w:r>
        <w:rPr>
          <w:rFonts w:ascii="Arial" w:cs="Arial" w:eastAsia="Arial" w:hAnsi="Arial"/>
          <w:sz w:val="12"/>
          <w:szCs w:val="12"/>
          <w:color w:val="auto"/>
        </w:rPr>
        <w:t>Improve the lives of people with serious disease</w:t>
      </w:r>
    </w:p>
    <w:p>
      <w:pPr>
        <w:spacing w:after="0" w:line="123" w:lineRule="exact"/>
        <w:rPr>
          <w:rFonts w:ascii="Arial" w:cs="Arial" w:eastAsia="Arial" w:hAnsi="Arial"/>
          <w:sz w:val="10"/>
          <w:szCs w:val="10"/>
          <w:color w:val="105BAB"/>
        </w:rPr>
      </w:pPr>
    </w:p>
    <w:p>
      <w:pPr>
        <w:ind w:left="80" w:hanging="75"/>
        <w:spacing w:after="0"/>
        <w:tabs>
          <w:tab w:leader="none" w:pos="80" w:val="left"/>
        </w:tabs>
        <w:numPr>
          <w:ilvl w:val="0"/>
          <w:numId w:val="37"/>
        </w:numPr>
        <w:rPr>
          <w:rFonts w:ascii="Arial" w:cs="Arial" w:eastAsia="Arial" w:hAnsi="Arial"/>
          <w:sz w:val="10"/>
          <w:szCs w:val="10"/>
          <w:color w:val="105BAB"/>
        </w:rPr>
      </w:pPr>
      <w:r>
        <w:rPr>
          <w:rFonts w:ascii="Arial" w:cs="Arial" w:eastAsia="Arial" w:hAnsi="Arial"/>
          <w:sz w:val="12"/>
          <w:szCs w:val="12"/>
          <w:color w:val="auto"/>
        </w:rPr>
        <w:t>Foster a culture of integrity and operational excellence</w:t>
      </w:r>
    </w:p>
    <w:p>
      <w:pPr>
        <w:spacing w:after="0" w:line="132" w:lineRule="exact"/>
        <w:rPr>
          <w:rFonts w:ascii="Arial" w:cs="Arial" w:eastAsia="Arial" w:hAnsi="Arial"/>
          <w:sz w:val="10"/>
          <w:szCs w:val="10"/>
          <w:color w:val="105BAB"/>
        </w:rPr>
      </w:pPr>
    </w:p>
    <w:p>
      <w:pPr>
        <w:ind w:left="80" w:hanging="75"/>
        <w:spacing w:after="0"/>
        <w:tabs>
          <w:tab w:leader="none" w:pos="80" w:val="left"/>
        </w:tabs>
        <w:numPr>
          <w:ilvl w:val="0"/>
          <w:numId w:val="37"/>
        </w:numPr>
        <w:rPr>
          <w:rFonts w:ascii="Arial" w:cs="Arial" w:eastAsia="Arial" w:hAnsi="Arial"/>
          <w:sz w:val="10"/>
          <w:szCs w:val="10"/>
          <w:color w:val="105BAB"/>
        </w:rPr>
      </w:pPr>
      <w:r>
        <w:rPr>
          <w:rFonts w:ascii="Arial" w:cs="Arial" w:eastAsia="Arial" w:hAnsi="Arial"/>
          <w:sz w:val="12"/>
          <w:szCs w:val="12"/>
          <w:color w:val="auto"/>
        </w:rPr>
        <w:t>Build a better future</w:t>
      </w:r>
    </w:p>
    <w:p>
      <w:pPr>
        <w:spacing w:after="0" w:line="159" w:lineRule="exact"/>
        <w:rPr>
          <w:sz w:val="20"/>
          <w:szCs w:val="20"/>
          <w:color w:val="auto"/>
        </w:rPr>
      </w:pPr>
    </w:p>
    <w:p>
      <w:pPr>
        <w:ind w:right="80"/>
        <w:spacing w:after="0" w:line="239" w:lineRule="auto"/>
        <w:rPr>
          <w:sz w:val="20"/>
          <w:szCs w:val="20"/>
          <w:color w:val="auto"/>
        </w:rPr>
      </w:pPr>
      <w:r>
        <w:rPr>
          <w:rFonts w:ascii="Arial" w:cs="Arial" w:eastAsia="Arial" w:hAnsi="Arial"/>
          <w:sz w:val="12"/>
          <w:szCs w:val="12"/>
          <w:color w:val="auto"/>
        </w:rPr>
        <w:t>In 2018, we will be working on translating these focus areas into strategic goals and formulating a multi-year implementation plan that will allow us to measure our progress towards them. This spring, we published our first consolidated Responsibility Report.</w:t>
      </w:r>
    </w:p>
    <w:p>
      <w:pPr>
        <w:spacing w:after="0" w:line="144" w:lineRule="exact"/>
        <w:rPr>
          <w:sz w:val="20"/>
          <w:szCs w:val="20"/>
          <w:color w:val="auto"/>
        </w:rPr>
      </w:pPr>
    </w:p>
    <w:p>
      <w:pPr>
        <w:ind w:right="160"/>
        <w:spacing w:after="0" w:line="248" w:lineRule="auto"/>
        <w:rPr>
          <w:sz w:val="20"/>
          <w:szCs w:val="20"/>
          <w:color w:val="auto"/>
        </w:rPr>
      </w:pPr>
      <w:r>
        <w:rPr>
          <w:rFonts w:ascii="Arial" w:cs="Arial" w:eastAsia="Arial" w:hAnsi="Arial"/>
          <w:sz w:val="12"/>
          <w:szCs w:val="12"/>
          <w:b w:val="1"/>
          <w:bCs w:val="1"/>
          <w:color w:val="auto"/>
        </w:rPr>
        <w:t xml:space="preserve">Improving the lives of people with serious disease. </w:t>
      </w:r>
      <w:r>
        <w:rPr>
          <w:rFonts w:ascii="Arial" w:cs="Arial" w:eastAsia="Arial" w:hAnsi="Arial"/>
          <w:sz w:val="12"/>
          <w:szCs w:val="12"/>
          <w:color w:val="auto"/>
        </w:rPr>
        <w:t>Our business model is founded on scientific innovation. At Regeneron, we deliver growth by inventing</w:t>
      </w:r>
      <w:r>
        <w:rPr>
          <w:rFonts w:ascii="Arial" w:cs="Arial" w:eastAsia="Arial" w:hAnsi="Arial"/>
          <w:sz w:val="12"/>
          <w:szCs w:val="12"/>
          <w:b w:val="1"/>
          <w:bCs w:val="1"/>
          <w:color w:val="auto"/>
        </w:rPr>
        <w:t xml:space="preserve"> </w:t>
      </w:r>
      <w:r>
        <w:rPr>
          <w:rFonts w:ascii="Arial" w:cs="Arial" w:eastAsia="Arial" w:hAnsi="Arial"/>
          <w:sz w:val="12"/>
          <w:szCs w:val="12"/>
          <w:color w:val="auto"/>
        </w:rPr>
        <w:t>therapies that address serious medical conditions and have a life-transforming impact on patients' health. To date, we have brought to market six FDA-approved treatments and currently have 16 new product candidates in our clinical-stage pipeline.</w:t>
      </w:r>
    </w:p>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Our commitment to patients with serious conditions extends beyond the labs to disease education and awareness efforts, product support services, and providing expert education on using medicines safely and appropriately. We work to ensure our products are as accessible as possible and priced responsibly based on value.</w:t>
      </w:r>
    </w:p>
    <w:p>
      <w:pPr>
        <w:spacing w:after="0" w:line="145" w:lineRule="exact"/>
        <w:rPr>
          <w:sz w:val="20"/>
          <w:szCs w:val="20"/>
          <w:color w:val="auto"/>
        </w:rPr>
      </w:pPr>
    </w:p>
    <w:p>
      <w:pPr>
        <w:ind w:right="160"/>
        <w:spacing w:after="0" w:line="248" w:lineRule="auto"/>
        <w:rPr>
          <w:sz w:val="20"/>
          <w:szCs w:val="20"/>
          <w:color w:val="auto"/>
        </w:rPr>
      </w:pPr>
      <w:r>
        <w:rPr>
          <w:rFonts w:ascii="Arial" w:cs="Arial" w:eastAsia="Arial" w:hAnsi="Arial"/>
          <w:sz w:val="12"/>
          <w:szCs w:val="12"/>
          <w:b w:val="1"/>
          <w:bCs w:val="1"/>
          <w:color w:val="auto"/>
        </w:rPr>
        <w:t xml:space="preserve">Fostering a culture of integrity and operational excellence. </w:t>
      </w:r>
      <w:r>
        <w:rPr>
          <w:rFonts w:ascii="Arial" w:cs="Arial" w:eastAsia="Arial" w:hAnsi="Arial"/>
          <w:sz w:val="12"/>
          <w:szCs w:val="12"/>
          <w:color w:val="auto"/>
        </w:rPr>
        <w:t>We are committed to being an employer that attracts and retains highly talented and motivated</w:t>
      </w:r>
      <w:r>
        <w:rPr>
          <w:rFonts w:ascii="Arial" w:cs="Arial" w:eastAsia="Arial" w:hAnsi="Arial"/>
          <w:sz w:val="12"/>
          <w:szCs w:val="12"/>
          <w:b w:val="1"/>
          <w:bCs w:val="1"/>
          <w:color w:val="auto"/>
        </w:rPr>
        <w:t xml:space="preserve"> </w:t>
      </w:r>
      <w:r>
        <w:rPr>
          <w:rFonts w:ascii="Arial" w:cs="Arial" w:eastAsia="Arial" w:hAnsi="Arial"/>
          <w:sz w:val="12"/>
          <w:szCs w:val="12"/>
          <w:color w:val="auto"/>
        </w:rPr>
        <w:t>people, and facilitating a diverse and inclusive workforce where people feel safe, engaged, and supported. At the end of 2017, 47.4% of our employees, and 37.1% of those in leadership positions, were women.</w:t>
      </w:r>
    </w:p>
    <w:p>
      <w:pPr>
        <w:spacing w:after="0" w:line="154" w:lineRule="exact"/>
        <w:rPr>
          <w:sz w:val="20"/>
          <w:szCs w:val="20"/>
          <w:color w:val="auto"/>
        </w:rPr>
      </w:pPr>
    </w:p>
    <w:p>
      <w:pPr>
        <w:ind w:right="40"/>
        <w:spacing w:after="0" w:line="237" w:lineRule="auto"/>
        <w:rPr>
          <w:sz w:val="20"/>
          <w:szCs w:val="20"/>
          <w:color w:val="auto"/>
        </w:rPr>
      </w:pPr>
      <w:r>
        <w:rPr>
          <w:rFonts w:ascii="Arial" w:cs="Arial" w:eastAsia="Arial" w:hAnsi="Arial"/>
          <w:sz w:val="12"/>
          <w:szCs w:val="12"/>
          <w:color w:val="auto"/>
        </w:rPr>
        <w:t>We believe that creating life-transforming medicines should go hand-in-hand with a healthy living environment. In 2013, we created five-year sustainability goals for four major focus areas: carbon, waste, hazardous chemical waste, and electricity. Since 2013, the Company has grown significantly, adding one new site in the United States and three others in Europe. With one year remaining, we believe we are on track to meet our goals in 2018 and we will publish new goals in our 2019 report that cover all of our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35368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5368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8440"/>
          </w:cols>
          <w:pgMar w:left="220" w:top="142" w:right="199" w:bottom="1440" w:gutter="0" w:footer="0" w:header="0"/>
          <w:type w:val="continuous"/>
        </w:sectPr>
      </w:pPr>
    </w:p>
    <w:p>
      <w:pPr>
        <w:spacing w:after="0" w:line="10" w:lineRule="exact"/>
        <w:rPr>
          <w:sz w:val="20"/>
          <w:szCs w:val="20"/>
          <w:color w:val="auto"/>
        </w:rPr>
      </w:pPr>
    </w:p>
    <w:tbl>
      <w:tblPr>
        <w:tblLayout w:type="fixed"/>
        <w:tblInd w:w="3040" w:type="dxa"/>
        <w:tblCellMar>
          <w:top w:w="0" w:type="dxa"/>
          <w:left w:w="0" w:type="dxa"/>
          <w:bottom w:w="0" w:type="dxa"/>
          <w:right w:w="0" w:type="dxa"/>
        </w:tblCellMar>
      </w:tblPr>
      <w:tr>
        <w:trPr>
          <w:trHeight w:val="117"/>
        </w:trPr>
        <w:tc>
          <w:tcPr>
            <w:tcW w:w="36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Five-Year Goals (by 2018)*</w:t>
            </w:r>
          </w:p>
        </w:tc>
        <w:tc>
          <w:tcPr>
            <w:tcW w:w="4800" w:type="dxa"/>
            <w:vAlign w:val="bottom"/>
            <w:tcBorders>
              <w:bottom w:val="single" w:sz="8" w:color="105BAB"/>
            </w:tcBorders>
          </w:tcPr>
          <w:p>
            <w:pPr>
              <w:ind w:left="660"/>
              <w:spacing w:after="0"/>
              <w:rPr>
                <w:sz w:val="20"/>
                <w:szCs w:val="20"/>
                <w:color w:val="auto"/>
              </w:rPr>
            </w:pPr>
            <w:r>
              <w:rPr>
                <w:rFonts w:ascii="Arial" w:cs="Arial" w:eastAsia="Arial" w:hAnsi="Arial"/>
                <w:sz w:val="10"/>
                <w:szCs w:val="10"/>
                <w:b w:val="1"/>
                <w:bCs w:val="1"/>
                <w:color w:val="105BAB"/>
              </w:rPr>
              <w:t>Progress</w:t>
            </w:r>
          </w:p>
        </w:tc>
      </w:tr>
      <w:tr>
        <w:trPr>
          <w:trHeight w:val="100"/>
        </w:trPr>
        <w:tc>
          <w:tcPr>
            <w:tcW w:w="3640" w:type="dxa"/>
            <w:vAlign w:val="bottom"/>
            <w:shd w:val="clear" w:color="auto" w:fill="F1F3F9"/>
          </w:tcPr>
          <w:p>
            <w:pPr>
              <w:ind w:left="60"/>
              <w:spacing w:after="0" w:line="101" w:lineRule="exact"/>
              <w:rPr>
                <w:sz w:val="20"/>
                <w:szCs w:val="20"/>
                <w:color w:val="auto"/>
              </w:rPr>
            </w:pPr>
            <w:r>
              <w:rPr>
                <w:rFonts w:ascii="Arial" w:cs="Arial" w:eastAsia="Arial" w:hAnsi="Arial"/>
                <w:sz w:val="10"/>
                <w:szCs w:val="10"/>
                <w:b w:val="1"/>
                <w:bCs w:val="1"/>
                <w:color w:val="auto"/>
              </w:rPr>
              <w:t>Carbon</w:t>
            </w:r>
          </w:p>
        </w:tc>
        <w:tc>
          <w:tcPr>
            <w:tcW w:w="4800" w:type="dxa"/>
            <w:vAlign w:val="bottom"/>
            <w:shd w:val="clear" w:color="auto" w:fill="F1F3F9"/>
          </w:tcPr>
          <w:p>
            <w:pPr>
              <w:ind w:left="660"/>
              <w:spacing w:after="0" w:line="101" w:lineRule="exact"/>
              <w:rPr>
                <w:sz w:val="20"/>
                <w:szCs w:val="20"/>
                <w:color w:val="auto"/>
              </w:rPr>
            </w:pPr>
            <w:r>
              <w:rPr>
                <w:rFonts w:ascii="Arial" w:cs="Arial" w:eastAsia="Arial" w:hAnsi="Arial"/>
                <w:sz w:val="10"/>
                <w:szCs w:val="10"/>
                <w:color w:val="auto"/>
              </w:rPr>
              <w:t>On track: We reduced our greenhouse gas emissions per employee by 24%</w:t>
            </w:r>
          </w:p>
        </w:tc>
      </w:tr>
      <w:tr>
        <w:trPr>
          <w:trHeight w:val="105"/>
        </w:trPr>
        <w:tc>
          <w:tcPr>
            <w:tcW w:w="3640" w:type="dxa"/>
            <w:vAlign w:val="bottom"/>
            <w:tcBorders>
              <w:bottom w:val="single" w:sz="8" w:color="auto"/>
            </w:tcBorders>
            <w:shd w:val="clear" w:color="auto" w:fill="F1F3F9"/>
          </w:tcPr>
          <w:p>
            <w:pPr>
              <w:ind w:left="60"/>
              <w:spacing w:after="0" w:line="105" w:lineRule="exact"/>
              <w:rPr>
                <w:sz w:val="20"/>
                <w:szCs w:val="20"/>
                <w:color w:val="auto"/>
              </w:rPr>
            </w:pPr>
            <w:r>
              <w:rPr>
                <w:rFonts w:ascii="Arial" w:cs="Arial" w:eastAsia="Arial" w:hAnsi="Arial"/>
                <w:sz w:val="10"/>
                <w:szCs w:val="10"/>
                <w:color w:val="auto"/>
              </w:rPr>
              <w:t>We will reduce our greenhouse gas emissions per employee by 30%</w:t>
            </w:r>
          </w:p>
        </w:tc>
        <w:tc>
          <w:tcPr>
            <w:tcW w:w="4800" w:type="dxa"/>
            <w:vAlign w:val="bottom"/>
            <w:tcBorders>
              <w:bottom w:val="single" w:sz="8" w:color="auto"/>
            </w:tcBorders>
            <w:shd w:val="clear" w:color="auto" w:fill="F1F3F9"/>
          </w:tcPr>
          <w:p>
            <w:pPr>
              <w:spacing w:after="0"/>
              <w:rPr>
                <w:sz w:val="9"/>
                <w:szCs w:val="9"/>
                <w:color w:val="auto"/>
              </w:rPr>
            </w:pPr>
          </w:p>
        </w:tc>
      </w:tr>
      <w:tr>
        <w:trPr>
          <w:trHeight w:val="208"/>
        </w:trPr>
        <w:tc>
          <w:tcPr>
            <w:tcW w:w="3640" w:type="dxa"/>
            <w:vAlign w:val="bottom"/>
            <w:shd w:val="clear" w:color="auto" w:fill="D6DAEE"/>
          </w:tcPr>
          <w:p>
            <w:pPr>
              <w:ind w:left="60"/>
              <w:spacing w:after="0"/>
              <w:rPr>
                <w:sz w:val="20"/>
                <w:szCs w:val="20"/>
                <w:color w:val="auto"/>
              </w:rPr>
            </w:pPr>
            <w:r>
              <w:rPr>
                <w:rFonts w:ascii="Arial" w:cs="Arial" w:eastAsia="Arial" w:hAnsi="Arial"/>
                <w:sz w:val="10"/>
                <w:szCs w:val="10"/>
                <w:b w:val="1"/>
                <w:bCs w:val="1"/>
                <w:color w:val="auto"/>
              </w:rPr>
              <w:t>Waste</w:t>
            </w:r>
          </w:p>
        </w:tc>
        <w:tc>
          <w:tcPr>
            <w:tcW w:w="4800" w:type="dxa"/>
            <w:vAlign w:val="bottom"/>
            <w:shd w:val="clear" w:color="auto" w:fill="D6DAEE"/>
          </w:tcPr>
          <w:p>
            <w:pPr>
              <w:ind w:left="660"/>
              <w:spacing w:after="0"/>
              <w:rPr>
                <w:sz w:val="20"/>
                <w:szCs w:val="20"/>
                <w:color w:val="auto"/>
              </w:rPr>
            </w:pPr>
            <w:r>
              <w:rPr>
                <w:rFonts w:ascii="Arial" w:cs="Arial" w:eastAsia="Arial" w:hAnsi="Arial"/>
                <w:sz w:val="10"/>
                <w:szCs w:val="10"/>
                <w:color w:val="auto"/>
              </w:rPr>
              <w:t>Achieved: We diverted 94% of our waste from landfills, reaching our goal</w:t>
            </w:r>
          </w:p>
        </w:tc>
      </w:tr>
      <w:tr>
        <w:trPr>
          <w:trHeight w:val="105"/>
        </w:trPr>
        <w:tc>
          <w:tcPr>
            <w:tcW w:w="3640" w:type="dxa"/>
            <w:vAlign w:val="bottom"/>
            <w:tcBorders>
              <w:bottom w:val="single" w:sz="8" w:color="auto"/>
            </w:tcBorders>
            <w:shd w:val="clear" w:color="auto" w:fill="D6DAEE"/>
          </w:tcPr>
          <w:p>
            <w:pPr>
              <w:ind w:left="60"/>
              <w:spacing w:after="0" w:line="105" w:lineRule="exact"/>
              <w:rPr>
                <w:sz w:val="20"/>
                <w:szCs w:val="20"/>
                <w:color w:val="auto"/>
              </w:rPr>
            </w:pPr>
            <w:r>
              <w:rPr>
                <w:rFonts w:ascii="Arial" w:cs="Arial" w:eastAsia="Arial" w:hAnsi="Arial"/>
                <w:sz w:val="10"/>
                <w:szCs w:val="10"/>
                <w:color w:val="auto"/>
              </w:rPr>
              <w:t>We will divert 90% of our waste from landfills</w:t>
            </w:r>
          </w:p>
        </w:tc>
        <w:tc>
          <w:tcPr>
            <w:tcW w:w="4800" w:type="dxa"/>
            <w:vAlign w:val="bottom"/>
            <w:tcBorders>
              <w:bottom w:val="single" w:sz="8" w:color="auto"/>
            </w:tcBorders>
            <w:shd w:val="clear" w:color="auto" w:fill="D6DAEE"/>
          </w:tcPr>
          <w:p>
            <w:pPr>
              <w:spacing w:after="0"/>
              <w:rPr>
                <w:sz w:val="9"/>
                <w:szCs w:val="9"/>
                <w:color w:val="auto"/>
              </w:rPr>
            </w:pPr>
          </w:p>
        </w:tc>
      </w:tr>
      <w:tr>
        <w:trPr>
          <w:trHeight w:val="217"/>
        </w:trPr>
        <w:tc>
          <w:tcPr>
            <w:tcW w:w="3640" w:type="dxa"/>
            <w:vAlign w:val="bottom"/>
            <w:shd w:val="clear" w:color="auto" w:fill="F1F3F9"/>
          </w:tcPr>
          <w:p>
            <w:pPr>
              <w:ind w:left="60"/>
              <w:spacing w:after="0"/>
              <w:rPr>
                <w:sz w:val="20"/>
                <w:szCs w:val="20"/>
                <w:color w:val="auto"/>
              </w:rPr>
            </w:pPr>
            <w:r>
              <w:rPr>
                <w:rFonts w:ascii="Arial" w:cs="Arial" w:eastAsia="Arial" w:hAnsi="Arial"/>
                <w:sz w:val="10"/>
                <w:szCs w:val="10"/>
                <w:b w:val="1"/>
                <w:bCs w:val="1"/>
                <w:color w:val="auto"/>
              </w:rPr>
              <w:t>Hazardous Chemical Waste</w:t>
            </w:r>
          </w:p>
        </w:tc>
        <w:tc>
          <w:tcPr>
            <w:tcW w:w="4800" w:type="dxa"/>
            <w:vAlign w:val="bottom"/>
            <w:shd w:val="clear" w:color="auto" w:fill="F1F3F9"/>
          </w:tcPr>
          <w:p>
            <w:pPr>
              <w:ind w:left="660"/>
              <w:spacing w:after="0"/>
              <w:rPr>
                <w:sz w:val="20"/>
                <w:szCs w:val="20"/>
                <w:color w:val="auto"/>
              </w:rPr>
            </w:pPr>
            <w:r>
              <w:rPr>
                <w:rFonts w:ascii="Arial" w:cs="Arial" w:eastAsia="Arial" w:hAnsi="Arial"/>
                <w:sz w:val="10"/>
                <w:szCs w:val="10"/>
                <w:color w:val="auto"/>
              </w:rPr>
              <w:t>On track: We reduced hazardous chemical waste by 47% per lab employee</w:t>
            </w:r>
          </w:p>
        </w:tc>
      </w:tr>
      <w:tr>
        <w:trPr>
          <w:trHeight w:val="105"/>
        </w:trPr>
        <w:tc>
          <w:tcPr>
            <w:tcW w:w="3640" w:type="dxa"/>
            <w:vAlign w:val="bottom"/>
            <w:tcBorders>
              <w:bottom w:val="single" w:sz="8" w:color="auto"/>
            </w:tcBorders>
            <w:shd w:val="clear" w:color="auto" w:fill="F1F3F9"/>
          </w:tcPr>
          <w:p>
            <w:pPr>
              <w:ind w:left="60"/>
              <w:spacing w:after="0" w:line="105" w:lineRule="exact"/>
              <w:rPr>
                <w:sz w:val="20"/>
                <w:szCs w:val="20"/>
                <w:color w:val="auto"/>
              </w:rPr>
            </w:pPr>
            <w:r>
              <w:rPr>
                <w:rFonts w:ascii="Arial" w:cs="Arial" w:eastAsia="Arial" w:hAnsi="Arial"/>
                <w:sz w:val="10"/>
                <w:szCs w:val="10"/>
                <w:color w:val="auto"/>
              </w:rPr>
              <w:t>We will reduce hazardous chemical waste by 60% per lab employee</w:t>
            </w:r>
          </w:p>
        </w:tc>
        <w:tc>
          <w:tcPr>
            <w:tcW w:w="4800" w:type="dxa"/>
            <w:vAlign w:val="bottom"/>
            <w:tcBorders>
              <w:bottom w:val="single" w:sz="8" w:color="auto"/>
            </w:tcBorders>
            <w:shd w:val="clear" w:color="auto" w:fill="F1F3F9"/>
          </w:tcPr>
          <w:p>
            <w:pPr>
              <w:spacing w:after="0"/>
              <w:rPr>
                <w:sz w:val="9"/>
                <w:szCs w:val="9"/>
                <w:color w:val="auto"/>
              </w:rPr>
            </w:pPr>
          </w:p>
        </w:tc>
      </w:tr>
      <w:tr>
        <w:trPr>
          <w:trHeight w:val="217"/>
        </w:trPr>
        <w:tc>
          <w:tcPr>
            <w:tcW w:w="3640" w:type="dxa"/>
            <w:vAlign w:val="bottom"/>
            <w:shd w:val="clear" w:color="auto" w:fill="D6DAEE"/>
          </w:tcPr>
          <w:p>
            <w:pPr>
              <w:ind w:left="60"/>
              <w:spacing w:after="0"/>
              <w:rPr>
                <w:sz w:val="20"/>
                <w:szCs w:val="20"/>
                <w:color w:val="auto"/>
              </w:rPr>
            </w:pPr>
            <w:r>
              <w:rPr>
                <w:rFonts w:ascii="Arial" w:cs="Arial" w:eastAsia="Arial" w:hAnsi="Arial"/>
                <w:sz w:val="10"/>
                <w:szCs w:val="10"/>
                <w:b w:val="1"/>
                <w:bCs w:val="1"/>
                <w:color w:val="auto"/>
              </w:rPr>
              <w:t>Electricity</w:t>
            </w:r>
          </w:p>
        </w:tc>
        <w:tc>
          <w:tcPr>
            <w:tcW w:w="4800" w:type="dxa"/>
            <w:vAlign w:val="bottom"/>
            <w:shd w:val="clear" w:color="auto" w:fill="D6DAEE"/>
          </w:tcPr>
          <w:p>
            <w:pPr>
              <w:ind w:left="660"/>
              <w:spacing w:after="0"/>
              <w:rPr>
                <w:sz w:val="20"/>
                <w:szCs w:val="20"/>
                <w:color w:val="auto"/>
              </w:rPr>
            </w:pPr>
            <w:r>
              <w:rPr>
                <w:rFonts w:ascii="Arial" w:cs="Arial" w:eastAsia="Arial" w:hAnsi="Arial"/>
                <w:sz w:val="10"/>
                <w:szCs w:val="10"/>
                <w:color w:val="auto"/>
              </w:rPr>
              <w:t>On track: We reduced our consumption per employee by 5%</w:t>
            </w:r>
          </w:p>
        </w:tc>
      </w:tr>
      <w:tr>
        <w:trPr>
          <w:trHeight w:val="105"/>
        </w:trPr>
        <w:tc>
          <w:tcPr>
            <w:tcW w:w="3640" w:type="dxa"/>
            <w:vAlign w:val="bottom"/>
            <w:tcBorders>
              <w:bottom w:val="single" w:sz="8" w:color="auto"/>
            </w:tcBorders>
            <w:shd w:val="clear" w:color="auto" w:fill="D6DAEE"/>
          </w:tcPr>
          <w:p>
            <w:pPr>
              <w:ind w:left="60"/>
              <w:spacing w:after="0" w:line="105" w:lineRule="exact"/>
              <w:rPr>
                <w:sz w:val="20"/>
                <w:szCs w:val="20"/>
                <w:color w:val="auto"/>
              </w:rPr>
            </w:pPr>
            <w:r>
              <w:rPr>
                <w:rFonts w:ascii="Arial" w:cs="Arial" w:eastAsia="Arial" w:hAnsi="Arial"/>
                <w:sz w:val="10"/>
                <w:szCs w:val="10"/>
                <w:color w:val="auto"/>
              </w:rPr>
              <w:t>We will reduce our consumption per employee by 10%</w:t>
            </w:r>
          </w:p>
        </w:tc>
        <w:tc>
          <w:tcPr>
            <w:tcW w:w="4800" w:type="dxa"/>
            <w:vAlign w:val="bottom"/>
            <w:tcBorders>
              <w:bottom w:val="single" w:sz="8" w:color="auto"/>
            </w:tcBorders>
            <w:shd w:val="clear" w:color="auto" w:fill="D6DAEE"/>
          </w:tcPr>
          <w:p>
            <w:pPr>
              <w:spacing w:after="0"/>
              <w:rPr>
                <w:sz w:val="9"/>
                <w:szCs w:val="9"/>
                <w:color w:val="auto"/>
              </w:rPr>
            </w:pPr>
          </w:p>
        </w:tc>
      </w:tr>
    </w:tbl>
    <w:p>
      <w:pPr>
        <w:spacing w:after="0" w:line="165" w:lineRule="exact"/>
        <w:rPr>
          <w:sz w:val="20"/>
          <w:szCs w:val="20"/>
          <w:color w:val="auto"/>
        </w:rPr>
      </w:pPr>
    </w:p>
    <w:p>
      <w:pPr>
        <w:ind w:left="1600" w:hanging="212"/>
        <w:spacing w:after="0"/>
        <w:tabs>
          <w:tab w:leader="none" w:pos="1600" w:val="left"/>
        </w:tabs>
        <w:numPr>
          <w:ilvl w:val="0"/>
          <w:numId w:val="38"/>
        </w:numPr>
        <w:rPr>
          <w:rFonts w:ascii="Arial" w:cs="Arial" w:eastAsia="Arial" w:hAnsi="Arial"/>
          <w:sz w:val="10"/>
          <w:szCs w:val="10"/>
          <w:color w:val="105BAB"/>
        </w:rPr>
      </w:pPr>
      <w:r>
        <w:rPr>
          <w:rFonts w:ascii="Arial" w:cs="Arial" w:eastAsia="Arial" w:hAnsi="Arial"/>
          <w:sz w:val="10"/>
          <w:szCs w:val="10"/>
          <w:color w:val="auto"/>
        </w:rPr>
        <w:t>Carbon and Electricity baselines are reported based on the original Carbon Disclosure Project (CDP) reporting year; 2013 noted above corresponds to June 2013–May 2014 reporting year.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45" w:name="page46"/>
    <w:bookmarkEnd w:id="45"/>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60" w:right="760"/>
        <w:spacing w:after="0" w:line="239" w:lineRule="auto"/>
        <w:rPr>
          <w:sz w:val="20"/>
          <w:szCs w:val="20"/>
          <w:color w:val="auto"/>
        </w:rPr>
      </w:pPr>
      <w:r>
        <w:rPr>
          <w:rFonts w:ascii="Arial" w:cs="Arial" w:eastAsia="Arial" w:hAnsi="Arial"/>
          <w:sz w:val="12"/>
          <w:szCs w:val="12"/>
          <w:color w:val="auto"/>
        </w:rPr>
        <w:t>We are equally committed to conducting our business responsibly and ethically. This is demonstrated through the range of policies, practices, and initiatives we have implemented, encompassing compliance, anti-bribery and corruption, responsible sales and marketing, ethical clinical trials, and product quality and safety.</w:t>
      </w:r>
    </w:p>
    <w:p>
      <w:pPr>
        <w:spacing w:after="0" w:line="144" w:lineRule="exact"/>
        <w:rPr>
          <w:sz w:val="20"/>
          <w:szCs w:val="20"/>
          <w:color w:val="auto"/>
        </w:rPr>
      </w:pPr>
    </w:p>
    <w:p>
      <w:pPr>
        <w:ind w:left="1460"/>
        <w:spacing w:after="0" w:line="248" w:lineRule="auto"/>
        <w:rPr>
          <w:sz w:val="20"/>
          <w:szCs w:val="20"/>
          <w:color w:val="auto"/>
        </w:rPr>
      </w:pPr>
      <w:r>
        <w:rPr>
          <w:rFonts w:ascii="Arial" w:cs="Arial" w:eastAsia="Arial" w:hAnsi="Arial"/>
          <w:sz w:val="12"/>
          <w:szCs w:val="12"/>
          <w:b w:val="1"/>
          <w:bCs w:val="1"/>
          <w:color w:val="auto"/>
        </w:rPr>
        <w:t xml:space="preserve">Building a better future. </w:t>
      </w:r>
      <w:r>
        <w:rPr>
          <w:rFonts w:ascii="Arial" w:cs="Arial" w:eastAsia="Arial" w:hAnsi="Arial"/>
          <w:sz w:val="12"/>
          <w:szCs w:val="12"/>
          <w:color w:val="auto"/>
        </w:rPr>
        <w:t>We are a long-standing supporter of science education and make major philanthropic investment to inspire future innovators, including our 10-year, $100 million</w:t>
      </w:r>
      <w:r>
        <w:rPr>
          <w:rFonts w:ascii="Arial" w:cs="Arial" w:eastAsia="Arial" w:hAnsi="Arial"/>
          <w:sz w:val="12"/>
          <w:szCs w:val="12"/>
          <w:b w:val="1"/>
          <w:bCs w:val="1"/>
          <w:color w:val="auto"/>
        </w:rPr>
        <w:t xml:space="preserve"> </w:t>
      </w:r>
      <w:r>
        <w:rPr>
          <w:rFonts w:ascii="Arial" w:cs="Arial" w:eastAsia="Arial" w:hAnsi="Arial"/>
          <w:sz w:val="12"/>
          <w:szCs w:val="12"/>
          <w:color w:val="auto"/>
        </w:rPr>
        <w:t>dollar commitment to the Regeneron Science Talent Search, the nation's most prestigious pre-college science and mathematics competition. Science, technology, engineering, and math (STEM) education represents more than 96% of our corporate philanthropy grants made in 2017, not including medical grants and matched funds.</w:t>
      </w:r>
    </w:p>
    <w:p>
      <w:pPr>
        <w:spacing w:after="0" w:line="142" w:lineRule="exact"/>
        <w:rPr>
          <w:sz w:val="20"/>
          <w:szCs w:val="20"/>
          <w:color w:val="auto"/>
        </w:rPr>
      </w:pPr>
    </w:p>
    <w:p>
      <w:pPr>
        <w:ind w:left="1460" w:right="260"/>
        <w:spacing w:after="0" w:line="259" w:lineRule="auto"/>
        <w:rPr>
          <w:sz w:val="20"/>
          <w:szCs w:val="20"/>
          <w:color w:val="auto"/>
        </w:rPr>
      </w:pPr>
      <w:r>
        <w:rPr>
          <w:rFonts w:ascii="Arial" w:cs="Arial" w:eastAsia="Arial" w:hAnsi="Arial"/>
          <w:sz w:val="12"/>
          <w:szCs w:val="12"/>
          <w:color w:val="auto"/>
        </w:rPr>
        <w:t xml:space="preserve">In 2017, we also held our first annual </w:t>
      </w:r>
      <w:r>
        <w:rPr>
          <w:rFonts w:ascii="Arial" w:cs="Arial" w:eastAsia="Arial" w:hAnsi="Arial"/>
          <w:sz w:val="12"/>
          <w:szCs w:val="12"/>
          <w:i w:val="1"/>
          <w:iCs w:val="1"/>
          <w:color w:val="auto"/>
        </w:rPr>
        <w:t>Day for Doing Good</w:t>
      </w:r>
      <w:r>
        <w:rPr>
          <w:rFonts w:ascii="Arial" w:cs="Arial" w:eastAsia="Arial" w:hAnsi="Arial"/>
          <w:sz w:val="12"/>
          <w:szCs w:val="12"/>
          <w:color w:val="auto"/>
        </w:rPr>
        <w:t>, a company-wide day of service that had over 50% employee participation. We were also proud to be added for the first time to the Civic 50 list of the most "community-minded" companies in the United States.</w:t>
      </w:r>
    </w:p>
    <w:p>
      <w:pPr>
        <w:spacing w:after="0" w:line="147"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For more information about our corporate responsibility efforts and results, please refer to the 2017 Responsibility Report available on our website.</w:t>
      </w:r>
    </w:p>
    <w:p>
      <w:pPr>
        <w:spacing w:after="0" w:line="130"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SECTION 16(a) BENEFICIAL OWNERSHIP REPORTING COMPLIANCE</w:t>
      </w:r>
    </w:p>
    <w:p>
      <w:pPr>
        <w:spacing w:after="0" w:line="200" w:lineRule="exact"/>
        <w:rPr>
          <w:sz w:val="20"/>
          <w:szCs w:val="20"/>
          <w:color w:val="auto"/>
        </w:rPr>
      </w:pPr>
    </w:p>
    <w:p>
      <w:pPr>
        <w:spacing w:after="0" w:line="352" w:lineRule="exact"/>
        <w:rPr>
          <w:sz w:val="20"/>
          <w:szCs w:val="20"/>
          <w:color w:val="auto"/>
        </w:rPr>
      </w:pPr>
    </w:p>
    <w:p>
      <w:pPr>
        <w:jc w:val="both"/>
        <w:ind w:left="1380"/>
        <w:spacing w:after="0" w:line="237" w:lineRule="auto"/>
        <w:rPr>
          <w:sz w:val="20"/>
          <w:szCs w:val="20"/>
          <w:color w:val="auto"/>
        </w:rPr>
      </w:pPr>
      <w:r>
        <w:rPr>
          <w:rFonts w:ascii="Arial" w:cs="Arial" w:eastAsia="Arial" w:hAnsi="Arial"/>
          <w:sz w:val="12"/>
          <w:szCs w:val="12"/>
          <w:color w:val="auto"/>
        </w:rPr>
        <w:t>Based solely upon a review of reports filed pursuant to Section 16(a) of the Exchange Act or written representations from reporting persons, the Company is not aware of any director, executive officer, or beneficial owner of more than 10% of our common stock who has not filed on a timely basis any report required by such Section 16(a) to be filed during or in respect of our fiscal year ended December 31, 2017.</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142" w:right="35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7"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8"/>
          <w:szCs w:val="28"/>
          <w:color w:val="FFFFF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2923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105BAB"/>
        </w:rPr>
        <w:t>REVIEW,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APPROVAL, OR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105BAB"/>
        </w:rPr>
        <w:t>RATIFICATION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105BAB"/>
        </w:rPr>
        <w:t>TRANSACTIONS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WITH RELATED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1183005</wp:posOffset>
            </wp:positionV>
            <wp:extent cx="87503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750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105BAB"/>
        </w:rPr>
        <w:t>TRANSACTIONS WITH RELATED PERSONS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60"/>
        <w:spacing w:after="0" w:line="235" w:lineRule="auto"/>
        <w:rPr>
          <w:sz w:val="20"/>
          <w:szCs w:val="20"/>
          <w:color w:val="auto"/>
        </w:rPr>
      </w:pPr>
      <w:r>
        <w:rPr>
          <w:rFonts w:ascii="Arial" w:cs="Arial" w:eastAsia="Arial" w:hAnsi="Arial"/>
          <w:sz w:val="12"/>
          <w:szCs w:val="12"/>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transactions where all shareholders receive proportional benefits, and certain transactions with Sanofi.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144" w:lineRule="exact"/>
        <w:rPr>
          <w:sz w:val="20"/>
          <w:szCs w:val="20"/>
          <w:color w:val="auto"/>
        </w:rPr>
      </w:pPr>
    </w:p>
    <w:p>
      <w:pPr>
        <w:ind w:right="180"/>
        <w:spacing w:after="0" w:line="237" w:lineRule="auto"/>
        <w:rPr>
          <w:sz w:val="20"/>
          <w:szCs w:val="20"/>
          <w:color w:val="auto"/>
        </w:rPr>
      </w:pPr>
      <w:r>
        <w:rPr>
          <w:rFonts w:ascii="Arial" w:cs="Arial" w:eastAsia="Arial" w:hAnsi="Arial"/>
          <w:sz w:val="12"/>
          <w:szCs w:val="12"/>
          <w:color w:val="auto"/>
        </w:rPr>
        <w:t>The board of directors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634873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48730" cy="57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Collaborations with Sanofi</w:t>
      </w:r>
    </w:p>
    <w:p>
      <w:pPr>
        <w:spacing w:after="0" w:line="155" w:lineRule="exact"/>
        <w:rPr>
          <w:sz w:val="20"/>
          <w:szCs w:val="20"/>
          <w:color w:val="auto"/>
        </w:rPr>
      </w:pPr>
    </w:p>
    <w:p>
      <w:pPr>
        <w:ind w:right="220"/>
        <w:spacing w:after="0" w:line="239" w:lineRule="auto"/>
        <w:rPr>
          <w:sz w:val="20"/>
          <w:szCs w:val="20"/>
          <w:color w:val="auto"/>
        </w:rPr>
      </w:pPr>
      <w:r>
        <w:rPr>
          <w:rFonts w:ascii="Arial" w:cs="Arial" w:eastAsia="Arial" w:hAnsi="Arial"/>
          <w:sz w:val="12"/>
          <w:szCs w:val="12"/>
          <w:color w:val="auto"/>
        </w:rPr>
        <w:t>As the beneficial owner of 23,880,537 shares of common stock of the Company, or 22.5% of the common stock outstanding as of April 12, 2018, Sanofi is considered a related person of the Company.</w:t>
      </w:r>
    </w:p>
    <w:p>
      <w:pPr>
        <w:spacing w:after="0" w:line="139" w:lineRule="exact"/>
        <w:rPr>
          <w:sz w:val="20"/>
          <w:szCs w:val="20"/>
          <w:color w:val="auto"/>
        </w:rPr>
      </w:pPr>
    </w:p>
    <w:p>
      <w:pPr>
        <w:ind w:right="420"/>
        <w:spacing w:after="0" w:line="237" w:lineRule="auto"/>
        <w:rPr>
          <w:sz w:val="20"/>
          <w:szCs w:val="20"/>
          <w:color w:val="auto"/>
        </w:rPr>
      </w:pPr>
      <w:r>
        <w:rPr>
          <w:rFonts w:ascii="Arial" w:cs="Arial" w:eastAsia="Arial" w:hAnsi="Arial"/>
          <w:sz w:val="12"/>
          <w:szCs w:val="12"/>
          <w:color w:val="auto"/>
        </w:rPr>
        <w:t>In 2017, Sanofi funded $130.0 million of our antibody discovery expenses under the Amended and Restated Discovery and Preclinical Development Agreement (the "Antibody Discovery Agreement"), and $747.2 million of our development and other costs (including $368.8 million of commercialization-related expenses) under the Amended and Restated License and Collaboration Agreement (the</w:t>
      </w:r>
    </w:p>
    <w:p>
      <w:pPr>
        <w:spacing w:after="0" w:line="130" w:lineRule="exact"/>
        <w:rPr>
          <w:sz w:val="20"/>
          <w:szCs w:val="20"/>
          <w:color w:val="auto"/>
        </w:rPr>
      </w:pPr>
    </w:p>
    <w:p>
      <w:pPr>
        <w:sectPr>
          <w:pgSz w:w="11900" w:h="16838" w:orient="portrait"/>
          <w:cols w:equalWidth="0" w:num="2">
            <w:col w:w="1360" w:space="120"/>
            <w:col w:w="9980"/>
          </w:cols>
          <w:pgMar w:left="220" w:top="142" w:right="219" w:bottom="1440" w:gutter="0" w:footer="0" w:header="0"/>
          <w:type w:val="continuous"/>
        </w:sectPr>
      </w:pPr>
    </w:p>
    <w:p>
      <w:pPr>
        <w:ind w:left="11020"/>
        <w:spacing w:after="0"/>
        <w:rPr>
          <w:sz w:val="20"/>
          <w:szCs w:val="20"/>
          <w:color w:val="auto"/>
        </w:rPr>
      </w:pPr>
      <w:r>
        <w:rPr>
          <w:rFonts w:ascii="Arial" w:cs="Arial" w:eastAsia="Arial" w:hAnsi="Arial"/>
          <w:sz w:val="10"/>
          <w:szCs w:val="10"/>
          <w:b w:val="1"/>
          <w:bCs w:val="1"/>
          <w:color w:val="FFFFF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type w:val="continuous"/>
        </w:sectPr>
      </w:pPr>
    </w:p>
    <w:bookmarkStart w:id="48" w:name="page49"/>
    <w:bookmarkEnd w:id="48"/>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right="120"/>
        <w:spacing w:after="0" w:line="236" w:lineRule="auto"/>
        <w:rPr>
          <w:sz w:val="20"/>
          <w:szCs w:val="20"/>
          <w:color w:val="auto"/>
        </w:rPr>
      </w:pPr>
      <w:r>
        <w:rPr>
          <w:rFonts w:ascii="Arial" w:cs="Arial" w:eastAsia="Arial" w:hAnsi="Arial"/>
          <w:sz w:val="12"/>
          <w:szCs w:val="12"/>
          <w:color w:val="auto"/>
        </w:rPr>
        <w:t>"Antibody License and Collaboration Agreement"). In addition, in 2017, we recognized other Sanofi collaboration revenue of $119.1 million, a portion of which was recognized in connection with reimbursements by Sanofi for commercial manufacturing activities. In 2017, we also funded an aggregate of $91.8 million of Sanofi's Phase 3 development costs for PRALUENT®, KEVZARA®, and DUPIXENT® under the Antibody License and Collaboration Agreement. In 2017, we and Sanofi shared losses in connection with commercialization-related activities for PRALUENT, KEVZARA, and DUPIXENT, which resulted in us funding $442.6 million of such costs in the aggregate. In 2018, Sanofi has continued to fund the agreed-upon worldwide research and development expenses incurred by us and Sanofi, we have continued to fund certain Phase 3 development costs, and we and Sanofi have continued to share certain commercialization-related revenues and expenses under the Antibody License and Collaboration Agreement. The Antibody Discovery Agreement ended on December 31, 2017 without any extension and, therefore, funding from Sanofi under the Antibody Discovery Agreement ceased after 2017.</w:t>
      </w:r>
    </w:p>
    <w:p>
      <w:pPr>
        <w:spacing w:after="0" w:line="140" w:lineRule="exact"/>
        <w:rPr>
          <w:sz w:val="20"/>
          <w:szCs w:val="20"/>
          <w:color w:val="auto"/>
        </w:rPr>
      </w:pPr>
    </w:p>
    <w:p>
      <w:pPr>
        <w:ind w:left="1380"/>
        <w:spacing w:after="0" w:line="237" w:lineRule="auto"/>
        <w:rPr>
          <w:sz w:val="20"/>
          <w:szCs w:val="20"/>
          <w:color w:val="auto"/>
        </w:rPr>
      </w:pPr>
      <w:r>
        <w:rPr>
          <w:rFonts w:ascii="Arial" w:cs="Arial" w:eastAsia="Arial" w:hAnsi="Arial"/>
          <w:sz w:val="12"/>
          <w:szCs w:val="12"/>
          <w:color w:val="auto"/>
        </w:rPr>
        <w:t>In 2017, Sanofi also funded $138.8 million of our research and development expenses under the Immuno-oncology Discovery and Development Agreement and $101.2 million under the Immuno-oncology License and Collaboration Agreement. In 2018, Sanofi has continued to fund certain of our research and development expenses under the Immuno-oncology Discovery and Development Agreement and the Immuno-oncology License and Collaboration Agreement, and we and Sanofi will share certain development and/or commercialization expenses for cemiplimab under the Immuno-oncology License and Collaboration Agreement (as amended effective as of January 7, 2018 by the letter agreement discussed below).</w:t>
      </w:r>
    </w:p>
    <w:p>
      <w:pPr>
        <w:spacing w:after="0" w:line="139" w:lineRule="exact"/>
        <w:rPr>
          <w:sz w:val="20"/>
          <w:szCs w:val="20"/>
          <w:color w:val="auto"/>
        </w:rPr>
      </w:pPr>
    </w:p>
    <w:p>
      <w:pPr>
        <w:ind w:left="1380" w:right="260"/>
        <w:spacing w:after="0" w:line="239" w:lineRule="auto"/>
        <w:rPr>
          <w:sz w:val="20"/>
          <w:szCs w:val="20"/>
          <w:color w:val="auto"/>
        </w:rPr>
      </w:pPr>
      <w:r>
        <w:rPr>
          <w:rFonts w:ascii="Arial" w:cs="Arial" w:eastAsia="Arial" w:hAnsi="Arial"/>
          <w:sz w:val="12"/>
          <w:szCs w:val="12"/>
          <w:color w:val="auto"/>
        </w:rPr>
        <w:t>A description of our antibody collaboration and our immuno-oncology collaboration with Sanofi is set forth in Note 3 to our audited financial statements for the fiscal year ended December 31, 2017 included in the 2017 Annual Report under the heading "a. Sanofi—Antibodies" and "a. Sanofi—Immuno-Oncology," respectively.</w:t>
      </w:r>
    </w:p>
    <w:p>
      <w:pPr>
        <w:spacing w:after="0" w:line="139" w:lineRule="exact"/>
        <w:rPr>
          <w:sz w:val="20"/>
          <w:szCs w:val="20"/>
          <w:color w:val="auto"/>
        </w:rPr>
      </w:pPr>
    </w:p>
    <w:p>
      <w:pPr>
        <w:jc w:val="both"/>
        <w:ind w:left="1380" w:right="440"/>
        <w:spacing w:after="0" w:line="237" w:lineRule="auto"/>
        <w:rPr>
          <w:sz w:val="20"/>
          <w:szCs w:val="20"/>
          <w:color w:val="auto"/>
        </w:rPr>
      </w:pPr>
      <w:r>
        <w:rPr>
          <w:rFonts w:ascii="Arial" w:cs="Arial" w:eastAsia="Arial" w:hAnsi="Arial"/>
          <w:sz w:val="12"/>
          <w:szCs w:val="12"/>
          <w:color w:val="auto"/>
        </w:rPr>
        <w:t>In 2017, we recorded $24.8 million of revenue primarily related to a percentage of net sales of ZALTRAP® (ziv-aflibercept) Injection for Intravenous Infusion and manufacturing ZALTRAP commercial supplies for Sanofi under the amended and restated collaboration agreement relating to ZALTRAP. A description of the agreement is set forth in Note 3 to our audited financial statements for the fiscal year ended December 31, 2017 included in the 2017 Annual Report under the heading "a. Sanofi—ZALTRAP."</w:t>
      </w:r>
    </w:p>
    <w:p>
      <w:pPr>
        <w:spacing w:after="0" w:line="127"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105BAB"/>
        </w:rPr>
        <w:t>Amended and Restated Investor Agreement with Sanofi; 2018 Letter Agreement</w:t>
      </w:r>
    </w:p>
    <w:p>
      <w:pPr>
        <w:spacing w:after="0" w:line="155" w:lineRule="exact"/>
        <w:rPr>
          <w:sz w:val="20"/>
          <w:szCs w:val="20"/>
          <w:color w:val="auto"/>
        </w:rPr>
      </w:pPr>
    </w:p>
    <w:p>
      <w:pPr>
        <w:ind w:left="1380" w:right="20"/>
        <w:spacing w:after="0" w:line="236" w:lineRule="auto"/>
        <w:rPr>
          <w:sz w:val="20"/>
          <w:szCs w:val="20"/>
          <w:color w:val="auto"/>
        </w:rPr>
      </w:pPr>
      <w:r>
        <w:rPr>
          <w:rFonts w:ascii="Arial" w:cs="Arial" w:eastAsia="Arial" w:hAnsi="Arial"/>
          <w:sz w:val="12"/>
          <w:szCs w:val="12"/>
          <w:color w:val="auto"/>
        </w:rPr>
        <w:t>In January 2014, we entered into an Amended and Restated Investor Agreement with Sanofi, which was subsequently amended effective as of January 7, 2018 by the letter agreement discussed below. Pursuant to the Amended and Restated Investor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141" w:lineRule="exact"/>
        <w:rPr>
          <w:sz w:val="20"/>
          <w:szCs w:val="20"/>
          <w:color w:val="auto"/>
        </w:rPr>
      </w:pPr>
    </w:p>
    <w:p>
      <w:pPr>
        <w:jc w:val="both"/>
        <w:ind w:left="1380" w:right="100"/>
        <w:spacing w:after="0" w:line="236" w:lineRule="auto"/>
        <w:rPr>
          <w:sz w:val="20"/>
          <w:szCs w:val="20"/>
          <w:color w:val="auto"/>
        </w:rPr>
      </w:pPr>
      <w:r>
        <w:rPr>
          <w:rFonts w:ascii="Arial" w:cs="Arial" w:eastAsia="Arial" w:hAnsi="Arial"/>
          <w:sz w:val="12"/>
          <w:szCs w:val="12"/>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discussed below) Sanofi maintains an equity interest in us that is equal to the applicable Highest Percentage Threshold (as defined below). This designee is required to be "independent" of Regeneron, as determined under NASDAQ rules, and to not be a current or former officer, director, employee, or paid consultant of Sanofi. The current Sanofi designee, Dr. Coles, was elected by the board of directors in January 2017 and by the shareholders at the 2017 Annual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Meeting as a Class II director with a term expiring at the 2020 Annual Meeting.</w:t>
      </w:r>
    </w:p>
    <w:p>
      <w:pPr>
        <w:spacing w:after="0" w:line="141" w:lineRule="exact"/>
        <w:rPr>
          <w:sz w:val="20"/>
          <w:szCs w:val="20"/>
          <w:color w:val="auto"/>
        </w:rPr>
      </w:pPr>
    </w:p>
    <w:p>
      <w:pPr>
        <w:ind w:left="1380" w:right="20"/>
        <w:spacing w:after="0" w:line="264" w:lineRule="auto"/>
        <w:rPr>
          <w:sz w:val="20"/>
          <w:szCs w:val="20"/>
          <w:color w:val="auto"/>
        </w:rPr>
      </w:pPr>
      <w:r>
        <w:rPr>
          <w:rFonts w:ascii="Arial" w:cs="Arial" w:eastAsia="Arial" w:hAnsi="Arial"/>
          <w:sz w:val="11"/>
          <w:szCs w:val="11"/>
          <w:color w:val="auto"/>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December 20, 2020 (other than with respect to an aggregate of 1,400,000 shares, as to which we have agreed to waive such "lock-up" during the term of the letter agreement). These restrictions on dispositions are subject to earlier termination upon the occurrence of certain events, such as the consummation of a change-of-control transaction involving us or a dissolution or liquidation of Regeneron.</w:t>
      </w:r>
    </w:p>
    <w:p>
      <w:pPr>
        <w:spacing w:after="0" w:line="128" w:lineRule="exact"/>
        <w:rPr>
          <w:sz w:val="20"/>
          <w:szCs w:val="20"/>
          <w:color w:val="auto"/>
        </w:rPr>
      </w:pPr>
    </w:p>
    <w:p>
      <w:pPr>
        <w:ind w:left="1380"/>
        <w:spacing w:after="0" w:line="236" w:lineRule="auto"/>
        <w:rPr>
          <w:sz w:val="20"/>
          <w:szCs w:val="20"/>
          <w:color w:val="auto"/>
        </w:rPr>
      </w:pPr>
      <w:r>
        <w:rPr>
          <w:rFonts w:ascii="Arial" w:cs="Arial" w:eastAsia="Arial" w:hAnsi="Arial"/>
          <w:sz w:val="12"/>
          <w:szCs w:val="12"/>
          <w:color w:val="auto"/>
        </w:rPr>
        <w:t>Pursuant to the Amended and Restated Investor Agreement, Sanofi is bound by certain "standstill" provisions, which contractually prohibit Sanofi from seeking to directly or indirectly exert control of Regeneron or acquiring more than 30% of our Class A stock and common stock (taken together). This prohibition will remain in place until the earliest of (i) the later of the fifth anniversaries of the expiration or earlier termination of our Antibody License and Collaboration Agreement with Sanofi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party's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Regeneron.</w:t>
      </w:r>
    </w:p>
    <w:p>
      <w:pPr>
        <w:spacing w:after="0" w:line="140" w:lineRule="exact"/>
        <w:rPr>
          <w:sz w:val="20"/>
          <w:szCs w:val="20"/>
          <w:color w:val="auto"/>
        </w:rPr>
      </w:pPr>
    </w:p>
    <w:p>
      <w:pPr>
        <w:ind w:left="1380"/>
        <w:spacing w:after="0" w:line="258" w:lineRule="auto"/>
        <w:rPr>
          <w:sz w:val="20"/>
          <w:szCs w:val="20"/>
          <w:color w:val="auto"/>
        </w:rPr>
      </w:pPr>
      <w:r>
        <w:rPr>
          <w:rFonts w:ascii="Arial" w:cs="Arial" w:eastAsia="Arial" w:hAnsi="Arial"/>
          <w:sz w:val="11"/>
          <w:szCs w:val="11"/>
          <w:color w:val="auto"/>
        </w:rPr>
        <w:t>Effective January 7, 2018, we and Sanofi and certain of Sanofi's direct and indirect subsidiaries entered into a letter agreement in connection with (i) the increase of the development budget amount for cemiplimab set forth in the Immuno-oncology License and Collaboration Agreement and (ii) the allocation of additional funds to certain proposed activities relating to the development of dupilumab and REGN3500 and non-approval trials of dupilumab (the "Dupilumab/REGN3500 Eligible Investments"). Pursuant to the letter agreement, we have agreed, among other things, to amend the definition of "Highest Percentage Threshold" to be the lower of (i) 25% of our outstanding shares of Class A stock and common stock (taken together) and (ii) the higher of (a) Sanofi's percentage ownership of Class A stock and common stock (taken together) on the termination date of the letter agreement and (b) the highest percentage ownership Sanofi attains following such termination date of our outstanding shares of Class A stock and common stock (taken together); and to grant a limited waiver of Sanofi's obligation to maintain the then-existing Highest Percentage Threshold during the term of the letter agreement in order to allow Sanofi to satisfy in whole or in part (a) its funding obligations with respect to the cemiplimab development costs under the Immuno-oncology License and Collaboration Agreement for the quarterly periods commencing on October 1, 2017 and ending on September 30, 2020 by selling up to 800,000 shares of our common stock directly or indirectly owned by Sanofi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133" w:lineRule="exact"/>
        <w:rPr>
          <w:sz w:val="20"/>
          <w:szCs w:val="20"/>
          <w:color w:val="auto"/>
        </w:rPr>
      </w:pPr>
    </w:p>
    <w:p>
      <w:pPr>
        <w:ind w:left="1380"/>
        <w:spacing w:after="0"/>
        <w:rPr>
          <w:sz w:val="20"/>
          <w:szCs w:val="20"/>
          <w:color w:val="auto"/>
        </w:rPr>
      </w:pPr>
      <w:r>
        <w:rPr>
          <w:rFonts w:ascii="Arial" w:cs="Arial" w:eastAsia="Arial" w:hAnsi="Arial"/>
          <w:sz w:val="11"/>
          <w:szCs w:val="11"/>
          <w:color w:val="auto"/>
        </w:rPr>
        <w:t>A more detailed description of the letter agreement with Sanofi is set forth in the 2017 Annual Report under Part I. Item 1. "Business—Collaboration Agreements—Collaborations with Sanofi."</w:t>
      </w:r>
    </w:p>
    <w:p>
      <w:pPr>
        <w:spacing w:after="0" w:line="142"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50" w:name="page51"/>
    <w:bookmarkEnd w:id="50"/>
    <w:p>
      <w:pPr>
        <w:ind w:left="3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6578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340" cy="657860"/>
                    </a:xfrm>
                    <a:prstGeom prst="rect">
                      <a:avLst/>
                    </a:prstGeom>
                    <a:noFill/>
                  </pic:spPr>
                </pic:pic>
              </a:graphicData>
            </a:graphic>
          </wp:anchor>
        </w:drawing>
        <w:drawing>
          <wp:inline distT="0" distB="0" distL="0" distR="0">
            <wp:extent cx="68580" cy="46926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7"/>
          <w:szCs w:val="27"/>
          <w:color w:val="FFFFFE"/>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337185</wp:posOffset>
            </wp:positionV>
            <wp:extent cx="72923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105BAB"/>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925830</wp:posOffset>
            </wp:positionV>
            <wp:extent cx="115506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550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105BAB"/>
        </w:rPr>
        <w:t>INFORMATION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ABOUT FEES PAID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105BAB"/>
        </w:rPr>
        <w:t>TO INDEPENDENT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105BAB"/>
        </w:rPr>
        <w:t>REGISTERED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105BAB"/>
        </w:rPr>
        <w:t>PUBLIC</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105BAB"/>
        </w:rPr>
        <w:t>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has appointed PricewaterhouseCoopers LLP as the Company's independent registered public accounting firm for the fiscal year ending December 31, 2018.</w:t>
      </w:r>
    </w:p>
    <w:p>
      <w:pPr>
        <w:spacing w:after="0"/>
        <w:rPr>
          <w:sz w:val="20"/>
          <w:szCs w:val="20"/>
          <w:color w:val="auto"/>
        </w:rPr>
      </w:pPr>
      <w:r>
        <w:rPr>
          <w:rFonts w:ascii="Arial" w:cs="Arial" w:eastAsia="Arial" w:hAnsi="Arial"/>
          <w:sz w:val="12"/>
          <w:szCs w:val="12"/>
          <w:color w:val="auto"/>
        </w:rPr>
        <w:t>PricewaterhouseCoopers LLP (or its predecessor) has audited the Company's financial statements for the past 29 years.</w:t>
      </w:r>
    </w:p>
    <w:p>
      <w:pPr>
        <w:spacing w:after="0" w:line="141" w:lineRule="exact"/>
        <w:rPr>
          <w:sz w:val="20"/>
          <w:szCs w:val="20"/>
          <w:color w:val="auto"/>
        </w:rPr>
      </w:pPr>
    </w:p>
    <w:p>
      <w:pPr>
        <w:ind w:right="100"/>
        <w:spacing w:after="0" w:line="236" w:lineRule="auto"/>
        <w:rPr>
          <w:sz w:val="20"/>
          <w:szCs w:val="20"/>
          <w:color w:val="auto"/>
        </w:rPr>
      </w:pPr>
      <w:r>
        <w:rPr>
          <w:rFonts w:ascii="Arial" w:cs="Arial" w:eastAsia="Arial" w:hAnsi="Arial"/>
          <w:sz w:val="12"/>
          <w:szCs w:val="12"/>
          <w:color w:val="auto"/>
        </w:rPr>
        <w:t>The board of directors has directed that the appointment of PricewaterhouseCoopers LLP as the Company's independent registered public accounting firm for fiscal year 2018 be submitted for ratification by the shareholders at the Annual Meeting. Shareholder ratification of the appointment of PricewaterhouseCoopers LLP as the Company's independent registered public accounting firm for fiscal year 2018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2018, the board of directors will consider the matter at its next meeting.</w:t>
      </w:r>
    </w:p>
    <w:p>
      <w:pPr>
        <w:spacing w:after="0" w:line="141" w:lineRule="exact"/>
        <w:rPr>
          <w:sz w:val="20"/>
          <w:szCs w:val="20"/>
          <w:color w:val="auto"/>
        </w:rPr>
      </w:pPr>
    </w:p>
    <w:p>
      <w:pPr>
        <w:ind w:right="360"/>
        <w:spacing w:after="0" w:line="239" w:lineRule="auto"/>
        <w:rPr>
          <w:sz w:val="20"/>
          <w:szCs w:val="20"/>
          <w:color w:val="auto"/>
        </w:rPr>
      </w:pPr>
      <w:r>
        <w:rPr>
          <w:rFonts w:ascii="Arial" w:cs="Arial" w:eastAsia="Arial" w:hAnsi="Arial"/>
          <w:sz w:val="12"/>
          <w:szCs w:val="12"/>
          <w:color w:val="auto"/>
        </w:rPr>
        <w:t>PricewaterhouseCoopers LLP has advised the Company that it will have in attendance at the 2018 Annual Meeting a representative who will be afforded an opportunity to make a statement, if such representative desires to do so, and will respond to appropriate questions presented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06806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68060" cy="571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Aggregate fees incurred related to services provided to the Company by PricewaterhouseCoopers LLP for the years ended December 31, 2017 and 2016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0680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68060" cy="571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540" w:type="dxa"/>
            <w:vAlign w:val="bottom"/>
            <w:tcBorders>
              <w:bottom w:val="single" w:sz="8" w:color="105BAB"/>
            </w:tcBorders>
          </w:tcPr>
          <w:p>
            <w:pPr>
              <w:spacing w:after="0"/>
              <w:rPr>
                <w:sz w:val="10"/>
                <w:szCs w:val="10"/>
                <w:color w:val="auto"/>
              </w:rPr>
            </w:pPr>
          </w:p>
        </w:tc>
        <w:tc>
          <w:tcPr>
            <w:tcW w:w="4180" w:type="dxa"/>
            <w:vAlign w:val="bottom"/>
            <w:tcBorders>
              <w:bottom w:val="single" w:sz="8" w:color="105BAB"/>
            </w:tcBorders>
          </w:tcPr>
          <w:p>
            <w:pPr>
              <w:jc w:val="right"/>
              <w:ind w:right="12"/>
              <w:spacing w:after="0"/>
              <w:rPr>
                <w:sz w:val="20"/>
                <w:szCs w:val="20"/>
                <w:color w:val="auto"/>
              </w:rPr>
            </w:pPr>
            <w:r>
              <w:rPr>
                <w:rFonts w:ascii="Arial" w:cs="Arial" w:eastAsia="Arial" w:hAnsi="Arial"/>
                <w:sz w:val="10"/>
                <w:szCs w:val="10"/>
                <w:b w:val="1"/>
                <w:bCs w:val="1"/>
                <w:color w:val="105BAB"/>
              </w:rPr>
              <w:t>2017 ($)</w:t>
            </w:r>
          </w:p>
        </w:tc>
        <w:tc>
          <w:tcPr>
            <w:tcW w:w="840" w:type="dxa"/>
            <w:vAlign w:val="bottom"/>
            <w:tcBorders>
              <w:bottom w:val="single" w:sz="8" w:color="105BAB"/>
            </w:tcBorders>
          </w:tcPr>
          <w:p>
            <w:pPr>
              <w:jc w:val="right"/>
              <w:ind w:right="312"/>
              <w:spacing w:after="0"/>
              <w:rPr>
                <w:sz w:val="20"/>
                <w:szCs w:val="20"/>
                <w:color w:val="auto"/>
              </w:rPr>
            </w:pPr>
            <w:r>
              <w:rPr>
                <w:rFonts w:ascii="Arial" w:cs="Arial" w:eastAsia="Arial" w:hAnsi="Arial"/>
                <w:sz w:val="10"/>
                <w:szCs w:val="10"/>
                <w:b w:val="1"/>
                <w:bCs w:val="1"/>
                <w:color w:val="105BAB"/>
              </w:rPr>
              <w:t>2016 ($)</w:t>
            </w:r>
          </w:p>
        </w:tc>
      </w:tr>
      <w:tr>
        <w:trPr>
          <w:trHeight w:val="178"/>
        </w:trPr>
        <w:tc>
          <w:tcPr>
            <w:tcW w:w="4540" w:type="dxa"/>
            <w:vAlign w:val="bottom"/>
            <w:tcBorders>
              <w:bottom w:val="single" w:sz="8" w:color="105BAB"/>
            </w:tcBorders>
            <w:shd w:val="clear" w:color="auto" w:fill="F1F3F9"/>
          </w:tcPr>
          <w:p>
            <w:pPr>
              <w:ind w:left="40"/>
              <w:spacing w:after="0"/>
              <w:rPr>
                <w:sz w:val="20"/>
                <w:szCs w:val="20"/>
                <w:color w:val="auto"/>
              </w:rPr>
            </w:pPr>
            <w:r>
              <w:rPr>
                <w:rFonts w:ascii="Arial" w:cs="Arial" w:eastAsia="Arial" w:hAnsi="Arial"/>
                <w:sz w:val="10"/>
                <w:szCs w:val="10"/>
                <w:color w:val="auto"/>
              </w:rPr>
              <w:t>Audit Fees</w:t>
            </w:r>
          </w:p>
        </w:tc>
        <w:tc>
          <w:tcPr>
            <w:tcW w:w="4180" w:type="dxa"/>
            <w:vAlign w:val="bottom"/>
            <w:tcBorders>
              <w:bottom w:val="single" w:sz="8" w:color="105BAB"/>
            </w:tcBorders>
            <w:shd w:val="clear" w:color="auto" w:fill="F1F3F9"/>
          </w:tcPr>
          <w:p>
            <w:pPr>
              <w:jc w:val="right"/>
              <w:ind w:right="12"/>
              <w:spacing w:after="0"/>
              <w:rPr>
                <w:sz w:val="20"/>
                <w:szCs w:val="20"/>
                <w:color w:val="auto"/>
              </w:rPr>
            </w:pPr>
            <w:r>
              <w:rPr>
                <w:rFonts w:ascii="Arial" w:cs="Arial" w:eastAsia="Arial" w:hAnsi="Arial"/>
                <w:sz w:val="10"/>
                <w:szCs w:val="10"/>
                <w:color w:val="auto"/>
              </w:rPr>
              <w:t>1,991,750</w:t>
            </w:r>
          </w:p>
        </w:tc>
        <w:tc>
          <w:tcPr>
            <w:tcW w:w="840" w:type="dxa"/>
            <w:vAlign w:val="bottom"/>
            <w:tcBorders>
              <w:bottom w:val="single" w:sz="8" w:color="105BAB"/>
            </w:tcBorders>
            <w:shd w:val="clear" w:color="auto" w:fill="F1F3F9"/>
          </w:tcPr>
          <w:p>
            <w:pPr>
              <w:jc w:val="right"/>
              <w:ind w:right="312"/>
              <w:spacing w:after="0"/>
              <w:rPr>
                <w:sz w:val="20"/>
                <w:szCs w:val="20"/>
                <w:color w:val="auto"/>
              </w:rPr>
            </w:pPr>
            <w:r>
              <w:rPr>
                <w:rFonts w:ascii="Arial" w:cs="Arial" w:eastAsia="Arial" w:hAnsi="Arial"/>
                <w:sz w:val="10"/>
                <w:szCs w:val="10"/>
                <w:color w:val="auto"/>
              </w:rPr>
              <w:t>2,167,859</w:t>
            </w:r>
          </w:p>
        </w:tc>
      </w:tr>
      <w:tr>
        <w:trPr>
          <w:trHeight w:val="178"/>
        </w:trPr>
        <w:tc>
          <w:tcPr>
            <w:tcW w:w="4540" w:type="dxa"/>
            <w:vAlign w:val="bottom"/>
            <w:tcBorders>
              <w:bottom w:val="single" w:sz="8" w:color="105BAB"/>
            </w:tcBorders>
            <w:shd w:val="clear" w:color="auto" w:fill="D6DAEE"/>
          </w:tcPr>
          <w:p>
            <w:pPr>
              <w:ind w:left="40"/>
              <w:spacing w:after="0"/>
              <w:rPr>
                <w:sz w:val="20"/>
                <w:szCs w:val="20"/>
                <w:color w:val="auto"/>
              </w:rPr>
            </w:pPr>
            <w:r>
              <w:rPr>
                <w:rFonts w:ascii="Arial" w:cs="Arial" w:eastAsia="Arial" w:hAnsi="Arial"/>
                <w:sz w:val="10"/>
                <w:szCs w:val="10"/>
                <w:color w:val="auto"/>
              </w:rPr>
              <w:t>Audit-Related Fees</w:t>
            </w:r>
          </w:p>
        </w:tc>
        <w:tc>
          <w:tcPr>
            <w:tcW w:w="4180" w:type="dxa"/>
            <w:vAlign w:val="bottom"/>
            <w:tcBorders>
              <w:bottom w:val="single" w:sz="8" w:color="105BAB"/>
            </w:tcBorders>
            <w:shd w:val="clear" w:color="auto" w:fill="D6DAEE"/>
          </w:tcPr>
          <w:p>
            <w:pPr>
              <w:jc w:val="right"/>
              <w:ind w:right="12"/>
              <w:spacing w:after="0"/>
              <w:rPr>
                <w:sz w:val="20"/>
                <w:szCs w:val="20"/>
                <w:color w:val="auto"/>
              </w:rPr>
            </w:pPr>
            <w:r>
              <w:rPr>
                <w:rFonts w:ascii="Arial" w:cs="Arial" w:eastAsia="Arial" w:hAnsi="Arial"/>
                <w:sz w:val="10"/>
                <w:szCs w:val="10"/>
                <w:color w:val="auto"/>
              </w:rPr>
              <w:t>90,000</w:t>
            </w:r>
          </w:p>
        </w:tc>
        <w:tc>
          <w:tcPr>
            <w:tcW w:w="840" w:type="dxa"/>
            <w:vAlign w:val="bottom"/>
            <w:tcBorders>
              <w:bottom w:val="single" w:sz="8" w:color="105BAB"/>
            </w:tcBorders>
            <w:shd w:val="clear" w:color="auto" w:fill="D6DAEE"/>
          </w:tcPr>
          <w:p>
            <w:pPr>
              <w:jc w:val="right"/>
              <w:ind w:right="312"/>
              <w:spacing w:after="0"/>
              <w:rPr>
                <w:sz w:val="20"/>
                <w:szCs w:val="20"/>
                <w:color w:val="auto"/>
              </w:rPr>
            </w:pPr>
            <w:r>
              <w:rPr>
                <w:rFonts w:ascii="Arial" w:cs="Arial" w:eastAsia="Arial" w:hAnsi="Arial"/>
                <w:sz w:val="10"/>
                <w:szCs w:val="10"/>
                <w:color w:val="auto"/>
              </w:rPr>
              <w:t>6,371</w:t>
            </w:r>
          </w:p>
        </w:tc>
      </w:tr>
      <w:tr>
        <w:trPr>
          <w:trHeight w:val="178"/>
        </w:trPr>
        <w:tc>
          <w:tcPr>
            <w:tcW w:w="4540" w:type="dxa"/>
            <w:vAlign w:val="bottom"/>
            <w:tcBorders>
              <w:bottom w:val="single" w:sz="8" w:color="105BAB"/>
            </w:tcBorders>
            <w:shd w:val="clear" w:color="auto" w:fill="F1F3F9"/>
          </w:tcPr>
          <w:p>
            <w:pPr>
              <w:ind w:left="40"/>
              <w:spacing w:after="0"/>
              <w:rPr>
                <w:sz w:val="20"/>
                <w:szCs w:val="20"/>
                <w:color w:val="auto"/>
              </w:rPr>
            </w:pPr>
            <w:r>
              <w:rPr>
                <w:rFonts w:ascii="Arial" w:cs="Arial" w:eastAsia="Arial" w:hAnsi="Arial"/>
                <w:sz w:val="10"/>
                <w:szCs w:val="10"/>
                <w:color w:val="auto"/>
              </w:rPr>
              <w:t>Tax Fees</w:t>
            </w:r>
          </w:p>
        </w:tc>
        <w:tc>
          <w:tcPr>
            <w:tcW w:w="4180" w:type="dxa"/>
            <w:vAlign w:val="bottom"/>
            <w:tcBorders>
              <w:bottom w:val="single" w:sz="8" w:color="105BAB"/>
            </w:tcBorders>
            <w:shd w:val="clear" w:color="auto" w:fill="F1F3F9"/>
          </w:tcPr>
          <w:p>
            <w:pPr>
              <w:jc w:val="right"/>
              <w:ind w:right="12"/>
              <w:spacing w:after="0"/>
              <w:rPr>
                <w:sz w:val="20"/>
                <w:szCs w:val="20"/>
                <w:color w:val="auto"/>
              </w:rPr>
            </w:pPr>
            <w:r>
              <w:rPr>
                <w:rFonts w:ascii="Arial" w:cs="Arial" w:eastAsia="Arial" w:hAnsi="Arial"/>
                <w:sz w:val="10"/>
                <w:szCs w:val="10"/>
                <w:color w:val="auto"/>
              </w:rPr>
              <w:t>75,000</w:t>
            </w:r>
          </w:p>
        </w:tc>
        <w:tc>
          <w:tcPr>
            <w:tcW w:w="840" w:type="dxa"/>
            <w:vAlign w:val="bottom"/>
            <w:tcBorders>
              <w:bottom w:val="single" w:sz="8" w:color="105BAB"/>
            </w:tcBorders>
            <w:shd w:val="clear" w:color="auto" w:fill="F1F3F9"/>
          </w:tcPr>
          <w:p>
            <w:pPr>
              <w:jc w:val="right"/>
              <w:ind w:right="312"/>
              <w:spacing w:after="0"/>
              <w:rPr>
                <w:sz w:val="20"/>
                <w:szCs w:val="20"/>
                <w:color w:val="auto"/>
              </w:rPr>
            </w:pPr>
            <w:r>
              <w:rPr>
                <w:rFonts w:ascii="Arial" w:cs="Arial" w:eastAsia="Arial" w:hAnsi="Arial"/>
                <w:sz w:val="10"/>
                <w:szCs w:val="10"/>
                <w:color w:val="auto"/>
              </w:rPr>
              <w:t>—</w:t>
            </w:r>
          </w:p>
        </w:tc>
      </w:tr>
      <w:tr>
        <w:trPr>
          <w:trHeight w:val="214"/>
        </w:trPr>
        <w:tc>
          <w:tcPr>
            <w:tcW w:w="45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All Other Fees</w:t>
            </w:r>
          </w:p>
        </w:tc>
        <w:tc>
          <w:tcPr>
            <w:tcW w:w="4180" w:type="dxa"/>
            <w:vAlign w:val="bottom"/>
            <w:tcBorders>
              <w:bottom w:val="single" w:sz="8" w:color="auto"/>
            </w:tcBorders>
            <w:shd w:val="clear" w:color="auto" w:fill="D6DAEE"/>
          </w:tcPr>
          <w:p>
            <w:pPr>
              <w:jc w:val="right"/>
              <w:ind w:right="12"/>
              <w:spacing w:after="0"/>
              <w:rPr>
                <w:sz w:val="20"/>
                <w:szCs w:val="20"/>
                <w:color w:val="auto"/>
              </w:rPr>
            </w:pPr>
            <w:r>
              <w:rPr>
                <w:rFonts w:ascii="Arial" w:cs="Arial" w:eastAsia="Arial" w:hAnsi="Arial"/>
                <w:sz w:val="10"/>
                <w:szCs w:val="10"/>
                <w:color w:val="auto"/>
              </w:rPr>
              <w:t>34,640</w:t>
            </w:r>
          </w:p>
        </w:tc>
        <w:tc>
          <w:tcPr>
            <w:tcW w:w="8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17,585</w:t>
            </w:r>
          </w:p>
        </w:tc>
      </w:tr>
      <w:tr>
        <w:trPr>
          <w:trHeight w:val="214"/>
        </w:trPr>
        <w:tc>
          <w:tcPr>
            <w:tcW w:w="4540" w:type="dxa"/>
            <w:vAlign w:val="bottom"/>
            <w:shd w:val="clear" w:color="auto" w:fill="F1F3F9"/>
          </w:tcPr>
          <w:p>
            <w:pPr>
              <w:ind w:left="40"/>
              <w:spacing w:after="0"/>
              <w:rPr>
                <w:sz w:val="20"/>
                <w:szCs w:val="20"/>
                <w:color w:val="auto"/>
              </w:rPr>
            </w:pPr>
            <w:r>
              <w:rPr>
                <w:rFonts w:ascii="Arial" w:cs="Arial" w:eastAsia="Arial" w:hAnsi="Arial"/>
                <w:sz w:val="10"/>
                <w:szCs w:val="10"/>
                <w:b w:val="1"/>
                <w:bCs w:val="1"/>
                <w:color w:val="auto"/>
              </w:rPr>
              <w:t>Total Fees</w:t>
            </w:r>
          </w:p>
        </w:tc>
        <w:tc>
          <w:tcPr>
            <w:tcW w:w="4180" w:type="dxa"/>
            <w:vAlign w:val="bottom"/>
            <w:shd w:val="clear" w:color="auto" w:fill="F1F3F9"/>
          </w:tcPr>
          <w:p>
            <w:pPr>
              <w:jc w:val="right"/>
              <w:ind w:right="12"/>
              <w:spacing w:after="0"/>
              <w:rPr>
                <w:sz w:val="20"/>
                <w:szCs w:val="20"/>
                <w:color w:val="auto"/>
              </w:rPr>
            </w:pPr>
            <w:r>
              <w:rPr>
                <w:rFonts w:ascii="Arial" w:cs="Arial" w:eastAsia="Arial" w:hAnsi="Arial"/>
                <w:sz w:val="10"/>
                <w:szCs w:val="10"/>
                <w:b w:val="1"/>
                <w:bCs w:val="1"/>
                <w:color w:val="auto"/>
              </w:rPr>
              <w:t>2,191,390</w:t>
            </w:r>
          </w:p>
        </w:tc>
        <w:tc>
          <w:tcPr>
            <w:tcW w:w="840" w:type="dxa"/>
            <w:vAlign w:val="bottom"/>
            <w:shd w:val="clear" w:color="auto" w:fill="F1F3F9"/>
          </w:tcPr>
          <w:p>
            <w:pPr>
              <w:jc w:val="right"/>
              <w:ind w:right="312"/>
              <w:spacing w:after="0"/>
              <w:rPr>
                <w:sz w:val="20"/>
                <w:szCs w:val="20"/>
                <w:color w:val="auto"/>
              </w:rPr>
            </w:pPr>
            <w:r>
              <w:rPr>
                <w:rFonts w:ascii="Arial" w:cs="Arial" w:eastAsia="Arial" w:hAnsi="Arial"/>
                <w:sz w:val="10"/>
                <w:szCs w:val="10"/>
                <w:b w:val="1"/>
                <w:bCs w:val="1"/>
                <w:color w:val="auto"/>
              </w:rPr>
              <w:t>2,191,815</w:t>
            </w:r>
          </w:p>
        </w:tc>
      </w:tr>
    </w:tbl>
    <w:p>
      <w:pPr>
        <w:spacing w:after="0" w:line="96" w:lineRule="exact"/>
        <w:rPr>
          <w:sz w:val="20"/>
          <w:szCs w:val="20"/>
          <w:color w:val="auto"/>
        </w:rPr>
      </w:pPr>
    </w:p>
    <w:p>
      <w:pPr>
        <w:ind w:right="440"/>
        <w:spacing w:after="0" w:line="248" w:lineRule="auto"/>
        <w:rPr>
          <w:sz w:val="20"/>
          <w:szCs w:val="20"/>
          <w:color w:val="auto"/>
        </w:rPr>
      </w:pPr>
      <w:r>
        <w:rPr>
          <w:rFonts w:ascii="Arial" w:cs="Arial" w:eastAsia="Arial" w:hAnsi="Arial"/>
          <w:sz w:val="12"/>
          <w:szCs w:val="12"/>
          <w:b w:val="1"/>
          <w:bCs w:val="1"/>
          <w:color w:val="auto"/>
        </w:rPr>
        <w:t xml:space="preserve">Audit Fees. </w:t>
      </w:r>
      <w:r>
        <w:rPr>
          <w:rFonts w:ascii="Arial" w:cs="Arial" w:eastAsia="Arial" w:hAnsi="Arial"/>
          <w:sz w:val="12"/>
          <w:szCs w:val="12"/>
          <w:color w:val="auto"/>
        </w:rPr>
        <w:t>Audit fees in 2017 and 2016 were primarily for professional services rendered for the audit of the Company's financial statements for the fiscal year,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attestation services required under Section 404 of the Sarbanes-Oxley Act of 2002, technical accounting consultations related to the annual audit, and reviews of the Company's quarterly financial statements included in its Form 10-Q filings.</w:t>
      </w:r>
    </w:p>
    <w:p>
      <w:pPr>
        <w:spacing w:after="0" w:line="122" w:lineRule="exact"/>
        <w:rPr>
          <w:sz w:val="20"/>
          <w:szCs w:val="20"/>
          <w:color w:val="auto"/>
        </w:rPr>
      </w:pPr>
    </w:p>
    <w:p>
      <w:pPr>
        <w:ind w:right="440"/>
        <w:spacing w:after="0" w:line="262" w:lineRule="auto"/>
        <w:rPr>
          <w:sz w:val="20"/>
          <w:szCs w:val="20"/>
          <w:color w:val="auto"/>
        </w:rPr>
      </w:pPr>
      <w:r>
        <w:rPr>
          <w:rFonts w:ascii="Arial" w:cs="Arial" w:eastAsia="Arial" w:hAnsi="Arial"/>
          <w:sz w:val="12"/>
          <w:szCs w:val="12"/>
          <w:b w:val="1"/>
          <w:bCs w:val="1"/>
          <w:color w:val="auto"/>
        </w:rPr>
        <w:t xml:space="preserve">Audit-Related Fees. </w:t>
      </w:r>
      <w:r>
        <w:rPr>
          <w:rFonts w:ascii="Arial" w:cs="Arial" w:eastAsia="Arial" w:hAnsi="Arial"/>
          <w:sz w:val="12"/>
          <w:szCs w:val="12"/>
          <w:color w:val="auto"/>
        </w:rPr>
        <w:t>Audit-related fees in 2017 were for professional services rendered in connection with the Company's adoption of the new revenue recognition accounting</w:t>
      </w:r>
      <w:r>
        <w:rPr>
          <w:rFonts w:ascii="Arial" w:cs="Arial" w:eastAsia="Arial" w:hAnsi="Arial"/>
          <w:sz w:val="12"/>
          <w:szCs w:val="12"/>
          <w:b w:val="1"/>
          <w:bCs w:val="1"/>
          <w:color w:val="auto"/>
        </w:rPr>
        <w:t xml:space="preserve"> </w:t>
      </w:r>
      <w:r>
        <w:rPr>
          <w:rFonts w:ascii="Arial" w:cs="Arial" w:eastAsia="Arial" w:hAnsi="Arial"/>
          <w:sz w:val="12"/>
          <w:szCs w:val="12"/>
          <w:color w:val="auto"/>
        </w:rPr>
        <w:t>standard. Audit-related fees in 2016 were for professional services rendered for the review of a benefit plan of a non-U.S. subsidiary of the Company.</w:t>
      </w: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Tax Fees.</w:t>
      </w:r>
      <w:r>
        <w:rPr>
          <w:sz w:val="20"/>
          <w:szCs w:val="20"/>
          <w:color w:val="auto"/>
        </w:rPr>
        <w:tab/>
      </w:r>
      <w:r>
        <w:rPr>
          <w:rFonts w:ascii="Arial" w:cs="Arial" w:eastAsia="Arial" w:hAnsi="Arial"/>
          <w:sz w:val="11"/>
          <w:szCs w:val="11"/>
          <w:color w:val="auto"/>
        </w:rPr>
        <w:t>Tax fees in 2017 were for tax planning and advisory services.</w:t>
      </w:r>
    </w:p>
    <w:p>
      <w:pPr>
        <w:spacing w:after="0" w:line="141" w:lineRule="exact"/>
        <w:rPr>
          <w:sz w:val="20"/>
          <w:szCs w:val="20"/>
          <w:color w:val="auto"/>
        </w:rPr>
      </w:pPr>
    </w:p>
    <w:p>
      <w:pPr>
        <w:ind w:right="480"/>
        <w:spacing w:after="0" w:line="262" w:lineRule="auto"/>
        <w:rPr>
          <w:sz w:val="20"/>
          <w:szCs w:val="20"/>
          <w:color w:val="auto"/>
        </w:rPr>
      </w:pPr>
      <w:r>
        <w:rPr>
          <w:rFonts w:ascii="Arial" w:cs="Arial" w:eastAsia="Arial" w:hAnsi="Arial"/>
          <w:sz w:val="12"/>
          <w:szCs w:val="12"/>
          <w:b w:val="1"/>
          <w:bCs w:val="1"/>
          <w:color w:val="auto"/>
        </w:rPr>
        <w:t xml:space="preserve">All Other Fees. </w:t>
      </w:r>
      <w:r>
        <w:rPr>
          <w:rFonts w:ascii="Arial" w:cs="Arial" w:eastAsia="Arial" w:hAnsi="Arial"/>
          <w:sz w:val="12"/>
          <w:szCs w:val="12"/>
          <w:color w:val="auto"/>
        </w:rPr>
        <w:t>All other fees in 2017 and 2016 were for annual subscriptions to accounting and, in 2017, also tax resources and for professional services rendered to a non-U.S.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06806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68060" cy="571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1520" w:space="400"/>
            <w:col w:w="9560"/>
          </w:cols>
          <w:pgMar w:left="220" w:top="380" w:right="199" w:bottom="1440" w:gutter="0" w:footer="0" w:header="0"/>
          <w:type w:val="continuous"/>
        </w:sectPr>
      </w:pPr>
    </w:p>
    <w:p>
      <w:pPr>
        <w:ind w:left="340"/>
        <w:spacing w:after="0"/>
        <w:rPr>
          <w:sz w:val="20"/>
          <w:szCs w:val="20"/>
          <w:color w:val="auto"/>
        </w:rPr>
      </w:pPr>
      <w:r>
        <w:rPr>
          <w:rFonts w:ascii="Arial" w:cs="Arial" w:eastAsia="Arial" w:hAnsi="Arial"/>
          <w:sz w:val="8"/>
          <w:szCs w:val="8"/>
          <w:b w:val="1"/>
          <w:bCs w:val="1"/>
          <w:color w:val="FFFFF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85750"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729932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1278255</wp:posOffset>
            </wp:positionV>
            <wp:extent cx="115506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550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105BAB"/>
        </w:rPr>
        <w:t>AUDIT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105BAB"/>
        </w:rPr>
        <w:t>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105BAB"/>
        </w:rPr>
        <w:t>REPORT</w:t>
      </w:r>
    </w:p>
    <w:p>
      <w:pPr>
        <w:spacing w:after="0" w:line="20" w:lineRule="exact"/>
        <w:rPr>
          <w:sz w:val="20"/>
          <w:szCs w:val="20"/>
          <w:color w:val="auto"/>
        </w:rPr>
      </w:pPr>
      <w:r>
        <w:rPr>
          <w:sz w:val="20"/>
          <w:szCs w:val="20"/>
          <w:color w:val="auto"/>
        </w:rPr>
        <w:br w:type="column"/>
      </w:r>
    </w:p>
    <w:p>
      <w:pPr>
        <w:ind w:right="100"/>
        <w:spacing w:after="0" w:line="236" w:lineRule="auto"/>
        <w:rPr>
          <w:sz w:val="20"/>
          <w:szCs w:val="20"/>
          <w:color w:val="auto"/>
        </w:rPr>
      </w:pPr>
      <w:r>
        <w:rPr>
          <w:rFonts w:ascii="Arial" w:cs="Arial" w:eastAsia="Arial" w:hAnsi="Arial"/>
          <w:sz w:val="12"/>
          <w:szCs w:val="12"/>
          <w:color w:val="auto"/>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exception to the pre-approval requirements to approve any services provided by PricewaterhouseCoopers LLP during fiscal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-918210</wp:posOffset>
            </wp:positionV>
            <wp:extent cx="7292340" cy="457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59994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99480" cy="5715"/>
                    </a:xfrm>
                    <a:prstGeom prst="rect">
                      <a:avLst/>
                    </a:prstGeom>
                    <a:noFill/>
                  </pic:spPr>
                </pic:pic>
              </a:graphicData>
            </a:graphic>
          </wp:anchor>
        </w:drawing>
      </w:r>
    </w:p>
    <w:p>
      <w:pPr>
        <w:spacing w:after="0" w:line="310"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 xml:space="preserve">We have reviewed the audited financial statements of the Company for the year ended December 31, 2017, which are included in the Company's Annual Report on Form 10-K for the fiscal year ended December 31, 2017,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Auditing Standard No. 1301: </w:t>
      </w:r>
      <w:r>
        <w:rPr>
          <w:rFonts w:ascii="Arial" w:cs="Arial" w:eastAsia="Arial" w:hAnsi="Arial"/>
          <w:sz w:val="12"/>
          <w:szCs w:val="12"/>
          <w:i w:val="1"/>
          <w:iCs w:val="1"/>
          <w:color w:val="auto"/>
        </w:rPr>
        <w:t>Communications with Audit Committees</w:t>
      </w:r>
      <w:r>
        <w:rPr>
          <w:rFonts w:ascii="Arial" w:cs="Arial" w:eastAsia="Arial" w:hAnsi="Arial"/>
          <w:sz w:val="12"/>
          <w:szCs w:val="12"/>
          <w:color w:val="auto"/>
        </w:rPr>
        <w:t>, as adopted by the Public Company Accounting Oversight Board (the "PCAOB"),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140" w:lineRule="exact"/>
        <w:rPr>
          <w:sz w:val="20"/>
          <w:szCs w:val="20"/>
          <w:color w:val="auto"/>
        </w:rPr>
      </w:pPr>
    </w:p>
    <w:p>
      <w:pPr>
        <w:jc w:val="both"/>
        <w:ind w:right="20"/>
        <w:spacing w:after="0" w:line="281" w:lineRule="auto"/>
        <w:rPr>
          <w:sz w:val="20"/>
          <w:szCs w:val="20"/>
          <w:color w:val="auto"/>
        </w:rPr>
      </w:pPr>
      <w:r>
        <w:rPr>
          <w:rFonts w:ascii="Arial" w:cs="Arial" w:eastAsia="Arial" w:hAnsi="Arial"/>
          <w:sz w:val="11"/>
          <w:szCs w:val="11"/>
          <w:color w:val="auto"/>
        </w:rPr>
        <w:t>Based on the foregoing discussions and review, the Audit Committee recommended to the board of directors that the audited financial statements of the Company for the year ended December 31, 2017 be included in the Company's Annual Report on Form 10-K for the fiscal year ended December 31, 2017 for filing with the Securities and Exchange Commission.</w:t>
      </w:r>
    </w:p>
    <w:p>
      <w:pPr>
        <w:spacing w:after="0" w:line="118" w:lineRule="exact"/>
        <w:rPr>
          <w:sz w:val="20"/>
          <w:szCs w:val="20"/>
          <w:color w:val="auto"/>
        </w:rPr>
      </w:pPr>
    </w:p>
    <w:p>
      <w:pPr>
        <w:ind w:right="120"/>
        <w:spacing w:after="0" w:line="239" w:lineRule="auto"/>
        <w:rPr>
          <w:sz w:val="20"/>
          <w:szCs w:val="20"/>
          <w:color w:val="auto"/>
        </w:rPr>
      </w:pPr>
      <w:r>
        <w:rPr>
          <w:rFonts w:ascii="Arial" w:cs="Arial" w:eastAsia="Arial" w:hAnsi="Arial"/>
          <w:sz w:val="12"/>
          <w:szCs w:val="12"/>
          <w:color w:val="auto"/>
        </w:rPr>
        <w:t>We have appointed PricewaterhouseCoopers LLP as the Company's independent registered public accounting firm for the fiscal year ending December 31, 2018. This appointment was based on a variety of factors, including PricewaterhouseCoopers LLP's competence in the fields of accounting and auditing.</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George L. Sing, Chairman</w:t>
      </w:r>
    </w:p>
    <w:p>
      <w:pPr>
        <w:spacing w:after="0" w:line="234" w:lineRule="auto"/>
        <w:rPr>
          <w:sz w:val="20"/>
          <w:szCs w:val="20"/>
          <w:color w:val="auto"/>
        </w:rPr>
      </w:pPr>
      <w:r>
        <w:rPr>
          <w:rFonts w:ascii="Arial" w:cs="Arial" w:eastAsia="Arial" w:hAnsi="Arial"/>
          <w:sz w:val="12"/>
          <w:szCs w:val="12"/>
          <w:color w:val="auto"/>
        </w:rPr>
        <w:t>Charles A. Baker</w:t>
      </w:r>
    </w:p>
    <w:p>
      <w:pPr>
        <w:spacing w:after="0" w:line="235" w:lineRule="auto"/>
        <w:rPr>
          <w:sz w:val="20"/>
          <w:szCs w:val="20"/>
          <w:color w:val="auto"/>
        </w:rPr>
      </w:pPr>
      <w:r>
        <w:rPr>
          <w:rFonts w:ascii="Arial" w:cs="Arial" w:eastAsia="Arial" w:hAnsi="Arial"/>
          <w:sz w:val="12"/>
          <w:szCs w:val="12"/>
          <w:color w:val="auto"/>
        </w:rPr>
        <w:t>N. Anthony Coles, M.D.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Arthur F. Ryan</w:t>
      </w:r>
    </w:p>
    <w:p>
      <w:pPr>
        <w:spacing w:after="0" w:line="130" w:lineRule="exact"/>
        <w:rPr>
          <w:sz w:val="20"/>
          <w:szCs w:val="20"/>
          <w:color w:val="auto"/>
        </w:rPr>
      </w:pPr>
    </w:p>
    <w:p>
      <w:pPr>
        <w:ind w:left="9100"/>
        <w:spacing w:after="0"/>
        <w:rPr>
          <w:sz w:val="20"/>
          <w:szCs w:val="20"/>
          <w:color w:val="auto"/>
        </w:rPr>
      </w:pPr>
      <w:r>
        <w:rPr>
          <w:rFonts w:ascii="Arial" w:cs="Arial" w:eastAsia="Arial" w:hAnsi="Arial"/>
          <w:sz w:val="10"/>
          <w:szCs w:val="10"/>
          <w:b w:val="1"/>
          <w:bCs w:val="1"/>
          <w:color w:val="FFFFF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-66675</wp:posOffset>
            </wp:positionV>
            <wp:extent cx="285750"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89535</wp:posOffset>
            </wp:positionV>
            <wp:extent cx="729932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200" w:space="720"/>
            <w:col w:w="9400"/>
          </w:cols>
          <w:pgMar w:left="220" w:top="1069" w:right="35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88265</wp:posOffset>
            </wp:positionV>
            <wp:extent cx="5250180" cy="67945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50180" cy="679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7899"/>
        <w:spacing w:after="0"/>
        <w:rPr>
          <w:sz w:val="20"/>
          <w:szCs w:val="20"/>
          <w:color w:val="auto"/>
        </w:rPr>
      </w:pPr>
      <w:r>
        <w:rPr>
          <w:rFonts w:ascii="Arial" w:cs="Arial" w:eastAsia="Arial" w:hAnsi="Arial"/>
          <w:sz w:val="10"/>
          <w:szCs w:val="10"/>
          <w:b w:val="1"/>
          <w:bCs w:val="1"/>
          <w:color w:val="FFFFFE"/>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329565</wp:posOffset>
            </wp:positionV>
            <wp:extent cx="729932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1483995</wp:posOffset>
            </wp:positionV>
            <wp:extent cx="10693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69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16"/>
          <w:szCs w:val="16"/>
          <w:color w:val="105BAB"/>
        </w:rPr>
        <w:t>SECURITY OWNERSHIP OF CERTAIN BENEFICIAL OWNERS AND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The following table sets forth, as of April 12, 2018, the number of shares of the Company's Class A stock and common stock beneficially owned by each of the Company's directors, each of the NEOs referred to below under "Executive Compensation," all directors and executive officers as a group, and each other person or group of persons known by the Company to beneficially own more than 5% of the outstanding shares of common stock or Class A stock, based upon (unless indicated otherwise) information obtained from such persons, and the percentage that such shares represent of the number of outstanding shares of Class A stock and common stock,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-1816735</wp:posOffset>
            </wp:positionV>
            <wp:extent cx="4787265" cy="12357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87265" cy="12357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-421005</wp:posOffset>
            </wp:positionV>
            <wp:extent cx="615442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pacing w:after="0" w:line="119" w:lineRule="exact"/>
        <w:rPr>
          <w:sz w:val="20"/>
          <w:szCs w:val="20"/>
          <w:color w:val="auto"/>
        </w:rPr>
      </w:pPr>
    </w:p>
    <w:p>
      <w:pPr>
        <w:ind w:right="20"/>
        <w:spacing w:after="0" w:line="236" w:lineRule="auto"/>
        <w:rPr>
          <w:sz w:val="20"/>
          <w:szCs w:val="20"/>
          <w:color w:val="auto"/>
        </w:rPr>
      </w:pPr>
      <w:r>
        <w:rPr>
          <w:rFonts w:ascii="Arial" w:cs="Arial" w:eastAsia="Arial" w:hAnsi="Arial"/>
          <w:sz w:val="12"/>
          <w:szCs w:val="12"/>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1,911,354 shares of Class A stock and 105,949,824 shares of common stock outstanding as of April 12, 2018,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12, 2018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exercisable as of April 12, 2018 or are exercisable within sixty days after April 12, 2018 are deemed to be outstanding. Such shares are not deemed to be outstanding, however, for the purpose of computing the percentage ownership of common stock of any other person.</w:t>
      </w:r>
    </w:p>
    <w:p>
      <w:pPr>
        <w:spacing w:after="0" w:line="129" w:lineRule="exact"/>
        <w:rPr>
          <w:sz w:val="20"/>
          <w:szCs w:val="20"/>
          <w:color w:val="auto"/>
        </w:rPr>
      </w:pPr>
    </w:p>
    <w:p>
      <w:pPr>
        <w:ind w:left="9240"/>
        <w:spacing w:after="0"/>
        <w:rPr>
          <w:sz w:val="20"/>
          <w:szCs w:val="20"/>
          <w:color w:val="auto"/>
        </w:rPr>
      </w:pPr>
      <w:r>
        <w:rPr>
          <w:rFonts w:ascii="Arial" w:cs="Arial" w:eastAsia="Arial" w:hAnsi="Arial"/>
          <w:sz w:val="10"/>
          <w:szCs w:val="10"/>
          <w:b w:val="1"/>
          <w:bCs w:val="1"/>
          <w:color w:val="FFFFF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-66675</wp:posOffset>
            </wp:positionV>
            <wp:extent cx="285750" cy="685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89535</wp:posOffset>
            </wp:positionV>
            <wp:extent cx="729932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160" w:space="620"/>
            <w:col w:w="9700"/>
          </w:cols>
          <w:pgMar w:left="220" w:top="142" w:right="199" w:bottom="1440" w:gutter="0" w:footer="0" w:header="0"/>
        </w:sectPr>
      </w:pPr>
    </w:p>
    <w:bookmarkStart w:id="54" w:name="page55"/>
    <w:bookmarkEnd w:id="54"/>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490220</wp:posOffset>
            </wp:positionV>
            <wp:extent cx="718375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3755"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480" w:type="dxa"/>
            <w:vAlign w:val="bottom"/>
            <w:gridSpan w:val="2"/>
          </w:tcPr>
          <w:p>
            <w:pPr>
              <w:jc w:val="center"/>
              <w:ind w:left="92"/>
              <w:spacing w:after="0"/>
              <w:rPr>
                <w:sz w:val="20"/>
                <w:szCs w:val="20"/>
                <w:color w:val="auto"/>
              </w:rPr>
            </w:pPr>
            <w:r>
              <w:rPr>
                <w:rFonts w:ascii="Arial" w:cs="Arial" w:eastAsia="Arial" w:hAnsi="Arial"/>
                <w:sz w:val="10"/>
                <w:szCs w:val="10"/>
                <w:b w:val="1"/>
                <w:bCs w:val="1"/>
                <w:color w:val="105BAB"/>
                <w:w w:val="95"/>
              </w:rPr>
              <w:t>Shares of Class A Stock</w:t>
            </w:r>
          </w:p>
        </w:tc>
      </w:tr>
      <w:tr>
        <w:trPr>
          <w:trHeight w:val="136"/>
        </w:trPr>
        <w:tc>
          <w:tcPr>
            <w:tcW w:w="8300" w:type="dxa"/>
            <w:vAlign w:val="bottom"/>
            <w:tcBorders>
              <w:bottom w:val="single" w:sz="8" w:color="105BAB"/>
            </w:tcBorders>
          </w:tcPr>
          <w:p>
            <w:pPr>
              <w:ind w:left="40"/>
              <w:spacing w:after="0"/>
              <w:rPr>
                <w:sz w:val="20"/>
                <w:szCs w:val="20"/>
                <w:color w:val="auto"/>
              </w:rPr>
            </w:pPr>
            <w:r>
              <w:rPr>
                <w:rFonts w:ascii="Arial" w:cs="Arial" w:eastAsia="Arial" w:hAnsi="Arial"/>
                <w:sz w:val="10"/>
                <w:szCs w:val="10"/>
                <w:b w:val="1"/>
                <w:bCs w:val="1"/>
                <w:color w:val="105BAB"/>
              </w:rPr>
              <w:t>Name and Address of Beneficial Owner</w:t>
            </w:r>
          </w:p>
        </w:tc>
        <w:tc>
          <w:tcPr>
            <w:tcW w:w="1480" w:type="dxa"/>
            <w:vAlign w:val="bottom"/>
            <w:tcBorders>
              <w:bottom w:val="single" w:sz="8" w:color="105BAB"/>
            </w:tcBorders>
            <w:gridSpan w:val="2"/>
          </w:tcPr>
          <w:p>
            <w:pPr>
              <w:jc w:val="center"/>
              <w:ind w:left="112"/>
              <w:spacing w:after="0" w:line="137" w:lineRule="exact"/>
              <w:rPr>
                <w:sz w:val="20"/>
                <w:szCs w:val="20"/>
                <w:color w:val="auto"/>
              </w:rPr>
            </w:pPr>
            <w:r>
              <w:rPr>
                <w:rFonts w:ascii="Arial" w:cs="Arial" w:eastAsia="Arial" w:hAnsi="Arial"/>
                <w:sz w:val="10"/>
                <w:szCs w:val="10"/>
                <w:b w:val="1"/>
                <w:bCs w:val="1"/>
                <w:color w:val="105BAB"/>
                <w:w w:val="94"/>
              </w:rPr>
              <w:t>Beneficially Owned</w:t>
            </w:r>
            <w:r>
              <w:rPr>
                <w:rFonts w:ascii="Arial" w:cs="Arial" w:eastAsia="Arial" w:hAnsi="Arial"/>
                <w:sz w:val="14"/>
                <w:szCs w:val="14"/>
                <w:b w:val="1"/>
                <w:bCs w:val="1"/>
                <w:color w:val="105BAB"/>
                <w:w w:val="94"/>
                <w:vertAlign w:val="superscript"/>
              </w:rPr>
              <w:t>1</w:t>
            </w:r>
          </w:p>
        </w:tc>
      </w:tr>
      <w:tr>
        <w:trPr>
          <w:trHeight w:val="277"/>
        </w:trPr>
        <w:tc>
          <w:tcPr>
            <w:tcW w:w="8300" w:type="dxa"/>
            <w:vAlign w:val="bottom"/>
            <w:tcBorders>
              <w:bottom w:val="single" w:sz="8" w:color="105BAB"/>
            </w:tcBorders>
          </w:tcPr>
          <w:p>
            <w:pPr>
              <w:spacing w:after="0"/>
              <w:rPr>
                <w:sz w:val="24"/>
                <w:szCs w:val="24"/>
                <w:color w:val="auto"/>
              </w:rPr>
            </w:pPr>
          </w:p>
        </w:tc>
        <w:tc>
          <w:tcPr>
            <w:tcW w:w="640" w:type="dxa"/>
            <w:vAlign w:val="bottom"/>
            <w:tcBorders>
              <w:bottom w:val="single" w:sz="8" w:color="105BAB"/>
            </w:tcBorders>
          </w:tcPr>
          <w:p>
            <w:pPr>
              <w:jc w:val="center"/>
              <w:ind w:left="32"/>
              <w:spacing w:after="0"/>
              <w:rPr>
                <w:sz w:val="20"/>
                <w:szCs w:val="20"/>
                <w:color w:val="auto"/>
              </w:rPr>
            </w:pPr>
            <w:r>
              <w:rPr>
                <w:rFonts w:ascii="Arial" w:cs="Arial" w:eastAsia="Arial" w:hAnsi="Arial"/>
                <w:sz w:val="10"/>
                <w:szCs w:val="10"/>
                <w:b w:val="1"/>
                <w:bCs w:val="1"/>
                <w:color w:val="105BAB"/>
                <w:w w:val="95"/>
              </w:rPr>
              <w:t>Number</w:t>
            </w:r>
          </w:p>
        </w:tc>
        <w:tc>
          <w:tcPr>
            <w:tcW w:w="840" w:type="dxa"/>
            <w:vAlign w:val="bottom"/>
            <w:tcBorders>
              <w:bottom w:val="single" w:sz="8" w:color="105BAB"/>
            </w:tcBorders>
          </w:tcPr>
          <w:p>
            <w:pPr>
              <w:jc w:val="center"/>
              <w:ind w:left="32"/>
              <w:spacing w:after="0"/>
              <w:rPr>
                <w:sz w:val="20"/>
                <w:szCs w:val="20"/>
                <w:color w:val="auto"/>
              </w:rPr>
            </w:pPr>
            <w:r>
              <w:rPr>
                <w:rFonts w:ascii="Arial" w:cs="Arial" w:eastAsia="Arial" w:hAnsi="Arial"/>
                <w:sz w:val="10"/>
                <w:szCs w:val="10"/>
                <w:b w:val="1"/>
                <w:bCs w:val="1"/>
                <w:color w:val="105BAB"/>
                <w:w w:val="96"/>
              </w:rPr>
              <w:t>Percent of Class</w:t>
            </w:r>
          </w:p>
        </w:tc>
      </w:tr>
      <w:tr>
        <w:trPr>
          <w:trHeight w:val="88"/>
        </w:trPr>
        <w:tc>
          <w:tcPr>
            <w:tcW w:w="8300" w:type="dxa"/>
            <w:vAlign w:val="bottom"/>
          </w:tcPr>
          <w:p>
            <w:pPr>
              <w:ind w:left="40"/>
              <w:spacing w:after="0" w:line="89" w:lineRule="exact"/>
              <w:rPr>
                <w:sz w:val="20"/>
                <w:szCs w:val="20"/>
                <w:color w:val="auto"/>
              </w:rPr>
            </w:pPr>
            <w:r>
              <w:rPr>
                <w:rFonts w:ascii="Arial" w:cs="Arial" w:eastAsia="Arial" w:hAnsi="Arial"/>
                <w:sz w:val="10"/>
                <w:szCs w:val="10"/>
                <w:b w:val="1"/>
                <w:bCs w:val="1"/>
                <w:color w:val="105BAB"/>
              </w:rPr>
              <w:t>Beneficial Owners of More than 5% of Common</w:t>
            </w: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08"/>
        </w:trPr>
        <w:tc>
          <w:tcPr>
            <w:tcW w:w="8300" w:type="dxa"/>
            <w:vAlign w:val="bottom"/>
          </w:tcPr>
          <w:p>
            <w:pPr>
              <w:ind w:left="40"/>
              <w:spacing w:after="0" w:line="108" w:lineRule="exact"/>
              <w:rPr>
                <w:sz w:val="20"/>
                <w:szCs w:val="20"/>
                <w:color w:val="auto"/>
              </w:rPr>
            </w:pPr>
            <w:r>
              <w:rPr>
                <w:rFonts w:ascii="Arial" w:cs="Arial" w:eastAsia="Arial" w:hAnsi="Arial"/>
                <w:sz w:val="10"/>
                <w:szCs w:val="10"/>
                <w:b w:val="1"/>
                <w:bCs w:val="1"/>
                <w:color w:val="105BAB"/>
              </w:rPr>
              <w:t>Stock or Class A Stock</w:t>
            </w: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17"/>
        </w:trPr>
        <w:tc>
          <w:tcPr>
            <w:tcW w:w="8300" w:type="dxa"/>
            <w:vAlign w:val="bottom"/>
            <w:tcBorders>
              <w:bottom w:val="single" w:sz="8" w:color="105BAB"/>
            </w:tcBorders>
          </w:tcPr>
          <w:p>
            <w:pPr>
              <w:ind w:left="40"/>
              <w:spacing w:after="0"/>
              <w:rPr>
                <w:sz w:val="20"/>
                <w:szCs w:val="20"/>
                <w:color w:val="auto"/>
              </w:rPr>
            </w:pPr>
            <w:r>
              <w:rPr>
                <w:rFonts w:ascii="Arial" w:cs="Arial" w:eastAsia="Arial" w:hAnsi="Arial"/>
                <w:sz w:val="10"/>
                <w:szCs w:val="10"/>
                <w:b w:val="1"/>
                <w:bCs w:val="1"/>
                <w:color w:val="105BAB"/>
              </w:rPr>
              <w:t>(Other than Directors and Executive Officers):</w:t>
            </w:r>
          </w:p>
        </w:tc>
        <w:tc>
          <w:tcPr>
            <w:tcW w:w="640" w:type="dxa"/>
            <w:vAlign w:val="bottom"/>
            <w:tcBorders>
              <w:bottom w:val="single" w:sz="8" w:color="105BAB"/>
            </w:tcBorders>
          </w:tcPr>
          <w:p>
            <w:pPr>
              <w:spacing w:after="0"/>
              <w:rPr>
                <w:sz w:val="10"/>
                <w:szCs w:val="10"/>
                <w:color w:val="auto"/>
              </w:rPr>
            </w:pPr>
          </w:p>
        </w:tc>
        <w:tc>
          <w:tcPr>
            <w:tcW w:w="840" w:type="dxa"/>
            <w:vAlign w:val="bottom"/>
            <w:tcBorders>
              <w:bottom w:val="single" w:sz="8" w:color="105BAB"/>
            </w:tcBorders>
          </w:tcPr>
          <w:p>
            <w:pPr>
              <w:spacing w:after="0"/>
              <w:rPr>
                <w:sz w:val="10"/>
                <w:szCs w:val="10"/>
                <w:color w:val="auto"/>
              </w:rPr>
            </w:pPr>
          </w:p>
        </w:tc>
      </w:tr>
      <w:tr>
        <w:trPr>
          <w:trHeight w:val="118"/>
        </w:trPr>
        <w:tc>
          <w:tcPr>
            <w:tcW w:w="8300" w:type="dxa"/>
            <w:vAlign w:val="bottom"/>
            <w:shd w:val="clear" w:color="auto" w:fill="F1F3F9"/>
          </w:tcPr>
          <w:p>
            <w:pPr>
              <w:ind w:left="40"/>
              <w:spacing w:after="0" w:line="118" w:lineRule="exact"/>
              <w:rPr>
                <w:sz w:val="20"/>
                <w:szCs w:val="20"/>
                <w:color w:val="auto"/>
              </w:rPr>
            </w:pPr>
            <w:r>
              <w:rPr>
                <w:rFonts w:ascii="Arial" w:cs="Arial" w:eastAsia="Arial" w:hAnsi="Arial"/>
                <w:sz w:val="9"/>
                <w:szCs w:val="9"/>
                <w:b w:val="1"/>
                <w:bCs w:val="1"/>
                <w:color w:val="105BAB"/>
              </w:rPr>
              <w:t>Sanofi</w:t>
            </w:r>
            <w:r>
              <w:rPr>
                <w:rFonts w:ascii="Arial" w:cs="Arial" w:eastAsia="Arial" w:hAnsi="Arial"/>
                <w:sz w:val="13"/>
                <w:szCs w:val="13"/>
                <w:b w:val="1"/>
                <w:bCs w:val="1"/>
                <w:color w:val="105BAB"/>
                <w:vertAlign w:val="superscript"/>
              </w:rPr>
              <w:t>3</w:t>
            </w: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8300" w:type="dxa"/>
            <w:vAlign w:val="bottom"/>
            <w:shd w:val="clear" w:color="auto" w:fill="F1F3F9"/>
          </w:tcPr>
          <w:p>
            <w:pPr>
              <w:ind w:left="40"/>
              <w:spacing w:after="0" w:line="108" w:lineRule="exact"/>
              <w:rPr>
                <w:sz w:val="20"/>
                <w:szCs w:val="20"/>
                <w:color w:val="auto"/>
              </w:rPr>
            </w:pPr>
            <w:r>
              <w:rPr>
                <w:rFonts w:ascii="Arial" w:cs="Arial" w:eastAsia="Arial" w:hAnsi="Arial"/>
                <w:sz w:val="10"/>
                <w:szCs w:val="10"/>
                <w:color w:val="auto"/>
              </w:rPr>
              <w:t>54, rue La Boetie</w:t>
            </w:r>
          </w:p>
        </w:tc>
        <w:tc>
          <w:tcPr>
            <w:tcW w:w="640" w:type="dxa"/>
            <w:vAlign w:val="bottom"/>
          </w:tcPr>
          <w:p>
            <w:pPr>
              <w:jc w:val="center"/>
              <w:ind w:left="52"/>
              <w:spacing w:after="0" w:line="108" w:lineRule="exact"/>
              <w:rPr>
                <w:sz w:val="20"/>
                <w:szCs w:val="20"/>
                <w:color w:val="auto"/>
              </w:rPr>
            </w:pPr>
            <w:r>
              <w:rPr>
                <w:rFonts w:ascii="Arial" w:cs="Arial" w:eastAsia="Arial" w:hAnsi="Arial"/>
                <w:sz w:val="10"/>
                <w:szCs w:val="10"/>
                <w:color w:val="auto"/>
                <w:w w:val="99"/>
              </w:rPr>
              <w:t>—</w:t>
            </w:r>
          </w:p>
        </w:tc>
        <w:tc>
          <w:tcPr>
            <w:tcW w:w="840" w:type="dxa"/>
            <w:vAlign w:val="bottom"/>
          </w:tcPr>
          <w:p>
            <w:pPr>
              <w:jc w:val="center"/>
              <w:ind w:left="12"/>
              <w:spacing w:after="0" w:line="108" w:lineRule="exact"/>
              <w:rPr>
                <w:sz w:val="20"/>
                <w:szCs w:val="20"/>
                <w:color w:val="auto"/>
              </w:rPr>
            </w:pPr>
            <w:r>
              <w:rPr>
                <w:rFonts w:ascii="Arial" w:cs="Arial" w:eastAsia="Arial" w:hAnsi="Arial"/>
                <w:sz w:val="10"/>
                <w:szCs w:val="10"/>
                <w:color w:val="auto"/>
                <w:w w:val="99"/>
              </w:rPr>
              <w:t>—</w:t>
            </w:r>
          </w:p>
        </w:tc>
      </w:tr>
      <w:tr>
        <w:trPr>
          <w:trHeight w:val="105"/>
        </w:trPr>
        <w:tc>
          <w:tcPr>
            <w:tcW w:w="8300" w:type="dxa"/>
            <w:vAlign w:val="bottom"/>
            <w:tcBorders>
              <w:bottom w:val="single" w:sz="8" w:color="auto"/>
            </w:tcBorders>
            <w:shd w:val="clear" w:color="auto" w:fill="F1F3F9"/>
          </w:tcPr>
          <w:p>
            <w:pPr>
              <w:ind w:left="40"/>
              <w:spacing w:after="0" w:line="105" w:lineRule="exact"/>
              <w:rPr>
                <w:sz w:val="20"/>
                <w:szCs w:val="20"/>
                <w:color w:val="auto"/>
              </w:rPr>
            </w:pPr>
            <w:r>
              <w:rPr>
                <w:rFonts w:ascii="Arial" w:cs="Arial" w:eastAsia="Arial" w:hAnsi="Arial"/>
                <w:sz w:val="10"/>
                <w:szCs w:val="10"/>
                <w:color w:val="auto"/>
              </w:rPr>
              <w:t>75008 Paris, France</w:t>
            </w:r>
          </w:p>
        </w:tc>
        <w:tc>
          <w:tcPr>
            <w:tcW w:w="6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118"/>
        </w:trPr>
        <w:tc>
          <w:tcPr>
            <w:tcW w:w="8300" w:type="dxa"/>
            <w:vAlign w:val="bottom"/>
            <w:shd w:val="clear" w:color="auto" w:fill="D6DAEE"/>
          </w:tcPr>
          <w:p>
            <w:pPr>
              <w:ind w:left="40"/>
              <w:spacing w:after="0" w:line="118" w:lineRule="exact"/>
              <w:rPr>
                <w:sz w:val="20"/>
                <w:szCs w:val="20"/>
                <w:color w:val="auto"/>
              </w:rPr>
            </w:pPr>
            <w:r>
              <w:rPr>
                <w:rFonts w:ascii="Arial" w:cs="Arial" w:eastAsia="Arial" w:hAnsi="Arial"/>
                <w:sz w:val="9"/>
                <w:szCs w:val="9"/>
                <w:b w:val="1"/>
                <w:bCs w:val="1"/>
                <w:color w:val="105BAB"/>
              </w:rPr>
              <w:t>BlackRock, Inc.</w:t>
            </w:r>
            <w:r>
              <w:rPr>
                <w:rFonts w:ascii="Arial" w:cs="Arial" w:eastAsia="Arial" w:hAnsi="Arial"/>
                <w:sz w:val="13"/>
                <w:szCs w:val="13"/>
                <w:b w:val="1"/>
                <w:bCs w:val="1"/>
                <w:color w:val="105BAB"/>
                <w:vertAlign w:val="superscript"/>
              </w:rPr>
              <w:t>4</w:t>
            </w: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8300" w:type="dxa"/>
            <w:vAlign w:val="bottom"/>
            <w:shd w:val="clear" w:color="auto" w:fill="D6DAEE"/>
          </w:tcPr>
          <w:p>
            <w:pPr>
              <w:ind w:left="40"/>
              <w:spacing w:after="0" w:line="108" w:lineRule="exact"/>
              <w:rPr>
                <w:sz w:val="20"/>
                <w:szCs w:val="20"/>
                <w:color w:val="auto"/>
              </w:rPr>
            </w:pPr>
            <w:r>
              <w:rPr>
                <w:rFonts w:ascii="Arial" w:cs="Arial" w:eastAsia="Arial" w:hAnsi="Arial"/>
                <w:sz w:val="10"/>
                <w:szCs w:val="10"/>
                <w:color w:val="auto"/>
              </w:rPr>
              <w:t>55 East 52nd Street</w:t>
            </w:r>
          </w:p>
        </w:tc>
        <w:tc>
          <w:tcPr>
            <w:tcW w:w="640" w:type="dxa"/>
            <w:vAlign w:val="bottom"/>
          </w:tcPr>
          <w:p>
            <w:pPr>
              <w:jc w:val="center"/>
              <w:ind w:left="52"/>
              <w:spacing w:after="0" w:line="108" w:lineRule="exact"/>
              <w:rPr>
                <w:sz w:val="20"/>
                <w:szCs w:val="20"/>
                <w:color w:val="auto"/>
              </w:rPr>
            </w:pPr>
            <w:r>
              <w:rPr>
                <w:rFonts w:ascii="Arial" w:cs="Arial" w:eastAsia="Arial" w:hAnsi="Arial"/>
                <w:sz w:val="10"/>
                <w:szCs w:val="10"/>
                <w:color w:val="auto"/>
                <w:w w:val="99"/>
              </w:rPr>
              <w:t>—</w:t>
            </w:r>
          </w:p>
        </w:tc>
        <w:tc>
          <w:tcPr>
            <w:tcW w:w="840" w:type="dxa"/>
            <w:vAlign w:val="bottom"/>
          </w:tcPr>
          <w:p>
            <w:pPr>
              <w:jc w:val="center"/>
              <w:ind w:left="12"/>
              <w:spacing w:after="0" w:line="108" w:lineRule="exact"/>
              <w:rPr>
                <w:sz w:val="20"/>
                <w:szCs w:val="20"/>
                <w:color w:val="auto"/>
              </w:rPr>
            </w:pPr>
            <w:r>
              <w:rPr>
                <w:rFonts w:ascii="Arial" w:cs="Arial" w:eastAsia="Arial" w:hAnsi="Arial"/>
                <w:sz w:val="10"/>
                <w:szCs w:val="10"/>
                <w:color w:val="auto"/>
                <w:w w:val="99"/>
              </w:rPr>
              <w:t>—</w:t>
            </w:r>
          </w:p>
        </w:tc>
      </w:tr>
      <w:tr>
        <w:trPr>
          <w:trHeight w:val="105"/>
        </w:trPr>
        <w:tc>
          <w:tcPr>
            <w:tcW w:w="8300" w:type="dxa"/>
            <w:vAlign w:val="bottom"/>
            <w:tcBorders>
              <w:bottom w:val="single" w:sz="8" w:color="auto"/>
            </w:tcBorders>
            <w:shd w:val="clear" w:color="auto" w:fill="D6DAEE"/>
          </w:tcPr>
          <w:p>
            <w:pPr>
              <w:ind w:left="40"/>
              <w:spacing w:after="0" w:line="105" w:lineRule="exact"/>
              <w:rPr>
                <w:sz w:val="20"/>
                <w:szCs w:val="20"/>
                <w:color w:val="auto"/>
              </w:rPr>
            </w:pPr>
            <w:r>
              <w:rPr>
                <w:rFonts w:ascii="Arial" w:cs="Arial" w:eastAsia="Arial" w:hAnsi="Arial"/>
                <w:sz w:val="10"/>
                <w:szCs w:val="10"/>
                <w:color w:val="auto"/>
              </w:rPr>
              <w:t>New York, New York 10055</w:t>
            </w:r>
          </w:p>
        </w:tc>
        <w:tc>
          <w:tcPr>
            <w:tcW w:w="6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118"/>
        </w:trPr>
        <w:tc>
          <w:tcPr>
            <w:tcW w:w="8300" w:type="dxa"/>
            <w:vAlign w:val="bottom"/>
            <w:shd w:val="clear" w:color="auto" w:fill="F1F3F9"/>
          </w:tcPr>
          <w:p>
            <w:pPr>
              <w:ind w:left="40"/>
              <w:spacing w:after="0" w:line="118" w:lineRule="exact"/>
              <w:rPr>
                <w:sz w:val="20"/>
                <w:szCs w:val="20"/>
                <w:color w:val="auto"/>
              </w:rPr>
            </w:pPr>
            <w:r>
              <w:rPr>
                <w:rFonts w:ascii="Arial" w:cs="Arial" w:eastAsia="Arial" w:hAnsi="Arial"/>
                <w:sz w:val="9"/>
                <w:szCs w:val="9"/>
                <w:b w:val="1"/>
                <w:bCs w:val="1"/>
                <w:color w:val="105BAB"/>
              </w:rPr>
              <w:t>FMR LLC</w:t>
            </w:r>
            <w:r>
              <w:rPr>
                <w:rFonts w:ascii="Arial" w:cs="Arial" w:eastAsia="Arial" w:hAnsi="Arial"/>
                <w:sz w:val="13"/>
                <w:szCs w:val="13"/>
                <w:b w:val="1"/>
                <w:bCs w:val="1"/>
                <w:color w:val="105BAB"/>
                <w:vertAlign w:val="superscript"/>
              </w:rPr>
              <w:t>5</w:t>
            </w: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8300" w:type="dxa"/>
            <w:vAlign w:val="bottom"/>
            <w:shd w:val="clear" w:color="auto" w:fill="F1F3F9"/>
          </w:tcPr>
          <w:p>
            <w:pPr>
              <w:ind w:left="40"/>
              <w:spacing w:after="0" w:line="108" w:lineRule="exact"/>
              <w:rPr>
                <w:sz w:val="20"/>
                <w:szCs w:val="20"/>
                <w:color w:val="auto"/>
              </w:rPr>
            </w:pPr>
            <w:r>
              <w:rPr>
                <w:rFonts w:ascii="Arial" w:cs="Arial" w:eastAsia="Arial" w:hAnsi="Arial"/>
                <w:sz w:val="10"/>
                <w:szCs w:val="10"/>
                <w:color w:val="auto"/>
              </w:rPr>
              <w:t>245 Summer Street</w:t>
            </w:r>
          </w:p>
        </w:tc>
        <w:tc>
          <w:tcPr>
            <w:tcW w:w="640" w:type="dxa"/>
            <w:vAlign w:val="bottom"/>
          </w:tcPr>
          <w:p>
            <w:pPr>
              <w:jc w:val="center"/>
              <w:ind w:left="52"/>
              <w:spacing w:after="0" w:line="108" w:lineRule="exact"/>
              <w:rPr>
                <w:sz w:val="20"/>
                <w:szCs w:val="20"/>
                <w:color w:val="auto"/>
              </w:rPr>
            </w:pPr>
            <w:r>
              <w:rPr>
                <w:rFonts w:ascii="Arial" w:cs="Arial" w:eastAsia="Arial" w:hAnsi="Arial"/>
                <w:sz w:val="10"/>
                <w:szCs w:val="10"/>
                <w:color w:val="auto"/>
                <w:w w:val="99"/>
              </w:rPr>
              <w:t>—</w:t>
            </w:r>
          </w:p>
        </w:tc>
        <w:tc>
          <w:tcPr>
            <w:tcW w:w="840" w:type="dxa"/>
            <w:vAlign w:val="bottom"/>
          </w:tcPr>
          <w:p>
            <w:pPr>
              <w:jc w:val="center"/>
              <w:ind w:left="12"/>
              <w:spacing w:after="0" w:line="108" w:lineRule="exact"/>
              <w:rPr>
                <w:sz w:val="20"/>
                <w:szCs w:val="20"/>
                <w:color w:val="auto"/>
              </w:rPr>
            </w:pPr>
            <w:r>
              <w:rPr>
                <w:rFonts w:ascii="Arial" w:cs="Arial" w:eastAsia="Arial" w:hAnsi="Arial"/>
                <w:sz w:val="10"/>
                <w:szCs w:val="10"/>
                <w:color w:val="auto"/>
                <w:w w:val="99"/>
              </w:rPr>
              <w:t>—</w:t>
            </w:r>
          </w:p>
        </w:tc>
      </w:tr>
      <w:tr>
        <w:trPr>
          <w:trHeight w:val="105"/>
        </w:trPr>
        <w:tc>
          <w:tcPr>
            <w:tcW w:w="8300" w:type="dxa"/>
            <w:vAlign w:val="bottom"/>
            <w:tcBorders>
              <w:bottom w:val="single" w:sz="8" w:color="auto"/>
            </w:tcBorders>
            <w:shd w:val="clear" w:color="auto" w:fill="F1F3F9"/>
          </w:tcPr>
          <w:p>
            <w:pPr>
              <w:ind w:left="40"/>
              <w:spacing w:after="0" w:line="105" w:lineRule="exact"/>
              <w:rPr>
                <w:sz w:val="20"/>
                <w:szCs w:val="20"/>
                <w:color w:val="auto"/>
              </w:rPr>
            </w:pPr>
            <w:r>
              <w:rPr>
                <w:rFonts w:ascii="Arial" w:cs="Arial" w:eastAsia="Arial" w:hAnsi="Arial"/>
                <w:sz w:val="10"/>
                <w:szCs w:val="10"/>
                <w:color w:val="auto"/>
              </w:rPr>
              <w:t>Boston, Massachusetts 02210</w:t>
            </w:r>
          </w:p>
        </w:tc>
        <w:tc>
          <w:tcPr>
            <w:tcW w:w="6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118"/>
        </w:trPr>
        <w:tc>
          <w:tcPr>
            <w:tcW w:w="8300" w:type="dxa"/>
            <w:vAlign w:val="bottom"/>
            <w:shd w:val="clear" w:color="auto" w:fill="D6DAEE"/>
          </w:tcPr>
          <w:p>
            <w:pPr>
              <w:ind w:left="40"/>
              <w:spacing w:after="0" w:line="118" w:lineRule="exact"/>
              <w:rPr>
                <w:sz w:val="20"/>
                <w:szCs w:val="20"/>
                <w:color w:val="auto"/>
              </w:rPr>
            </w:pPr>
            <w:r>
              <w:rPr>
                <w:rFonts w:ascii="Arial" w:cs="Arial" w:eastAsia="Arial" w:hAnsi="Arial"/>
                <w:sz w:val="9"/>
                <w:szCs w:val="9"/>
                <w:b w:val="1"/>
                <w:bCs w:val="1"/>
                <w:color w:val="105BAB"/>
              </w:rPr>
              <w:t>The Vanguard Group, Inc.</w:t>
            </w:r>
            <w:r>
              <w:rPr>
                <w:rFonts w:ascii="Arial" w:cs="Arial" w:eastAsia="Arial" w:hAnsi="Arial"/>
                <w:sz w:val="13"/>
                <w:szCs w:val="13"/>
                <w:b w:val="1"/>
                <w:bCs w:val="1"/>
                <w:color w:val="105BAB"/>
                <w:vertAlign w:val="superscript"/>
              </w:rPr>
              <w:t>6</w:t>
            </w: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8300" w:type="dxa"/>
            <w:vAlign w:val="bottom"/>
            <w:shd w:val="clear" w:color="auto" w:fill="D6DAEE"/>
          </w:tcPr>
          <w:p>
            <w:pPr>
              <w:ind w:left="40"/>
              <w:spacing w:after="0" w:line="108" w:lineRule="exact"/>
              <w:rPr>
                <w:sz w:val="20"/>
                <w:szCs w:val="20"/>
                <w:color w:val="auto"/>
              </w:rPr>
            </w:pPr>
            <w:r>
              <w:rPr>
                <w:rFonts w:ascii="Arial" w:cs="Arial" w:eastAsia="Arial" w:hAnsi="Arial"/>
                <w:sz w:val="10"/>
                <w:szCs w:val="10"/>
                <w:color w:val="auto"/>
              </w:rPr>
              <w:t>100 Vanguard Blvd.</w:t>
            </w:r>
          </w:p>
        </w:tc>
        <w:tc>
          <w:tcPr>
            <w:tcW w:w="640" w:type="dxa"/>
            <w:vAlign w:val="bottom"/>
          </w:tcPr>
          <w:p>
            <w:pPr>
              <w:jc w:val="center"/>
              <w:ind w:left="52"/>
              <w:spacing w:after="0" w:line="108" w:lineRule="exact"/>
              <w:rPr>
                <w:sz w:val="20"/>
                <w:szCs w:val="20"/>
                <w:color w:val="auto"/>
              </w:rPr>
            </w:pPr>
            <w:r>
              <w:rPr>
                <w:rFonts w:ascii="Arial" w:cs="Arial" w:eastAsia="Arial" w:hAnsi="Arial"/>
                <w:sz w:val="10"/>
                <w:szCs w:val="10"/>
                <w:color w:val="auto"/>
                <w:w w:val="99"/>
              </w:rPr>
              <w:t>—</w:t>
            </w:r>
          </w:p>
        </w:tc>
        <w:tc>
          <w:tcPr>
            <w:tcW w:w="840" w:type="dxa"/>
            <w:vAlign w:val="bottom"/>
          </w:tcPr>
          <w:p>
            <w:pPr>
              <w:jc w:val="center"/>
              <w:ind w:left="12"/>
              <w:spacing w:after="0" w:line="108" w:lineRule="exact"/>
              <w:rPr>
                <w:sz w:val="20"/>
                <w:szCs w:val="20"/>
                <w:color w:val="auto"/>
              </w:rPr>
            </w:pPr>
            <w:r>
              <w:rPr>
                <w:rFonts w:ascii="Arial" w:cs="Arial" w:eastAsia="Arial" w:hAnsi="Arial"/>
                <w:sz w:val="10"/>
                <w:szCs w:val="10"/>
                <w:color w:val="auto"/>
                <w:w w:val="99"/>
              </w:rPr>
              <w:t>—</w:t>
            </w:r>
          </w:p>
        </w:tc>
      </w:tr>
      <w:tr>
        <w:trPr>
          <w:trHeight w:val="105"/>
        </w:trPr>
        <w:tc>
          <w:tcPr>
            <w:tcW w:w="8300" w:type="dxa"/>
            <w:vAlign w:val="bottom"/>
            <w:shd w:val="clear" w:color="auto" w:fill="D6DAEE"/>
          </w:tcPr>
          <w:p>
            <w:pPr>
              <w:ind w:left="40"/>
              <w:spacing w:after="0" w:line="105" w:lineRule="exact"/>
              <w:rPr>
                <w:sz w:val="20"/>
                <w:szCs w:val="20"/>
                <w:color w:val="auto"/>
              </w:rPr>
            </w:pPr>
            <w:r>
              <w:rPr>
                <w:rFonts w:ascii="Arial" w:cs="Arial" w:eastAsia="Arial" w:hAnsi="Arial"/>
                <w:sz w:val="10"/>
                <w:szCs w:val="10"/>
                <w:color w:val="auto"/>
              </w:rPr>
              <w:t>Malvern, PA 19355</w:t>
            </w: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-885825</wp:posOffset>
            </wp:positionV>
            <wp:extent cx="7183755" cy="8921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3755" cy="892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0"/>
          <w:szCs w:val="10"/>
          <w:b w:val="1"/>
          <w:bCs w:val="1"/>
          <w:color w:val="105BAB"/>
        </w:rPr>
        <w:t>Shares of Common Stock</w:t>
      </w:r>
    </w:p>
    <w:p>
      <w:pPr>
        <w:jc w:val="center"/>
        <w:ind w:right="160"/>
        <w:spacing w:after="0"/>
        <w:rPr>
          <w:sz w:val="20"/>
          <w:szCs w:val="20"/>
          <w:color w:val="auto"/>
        </w:rPr>
      </w:pPr>
      <w:r>
        <w:rPr>
          <w:rFonts w:ascii="Arial" w:cs="Arial" w:eastAsia="Arial" w:hAnsi="Arial"/>
          <w:sz w:val="10"/>
          <w:szCs w:val="10"/>
          <w:b w:val="1"/>
          <w:bCs w:val="1"/>
          <w:color w:val="105BAB"/>
        </w:rPr>
        <w:t>Beneficially Owned</w:t>
      </w:r>
      <w:r>
        <w:rPr>
          <w:rFonts w:ascii="Arial" w:cs="Arial" w:eastAsia="Arial" w:hAnsi="Arial"/>
          <w:sz w:val="14"/>
          <w:szCs w:val="14"/>
          <w:b w:val="1"/>
          <w:bCs w:val="1"/>
          <w:color w:val="105BAB"/>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88074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pacing w:after="0" w:line="10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9"/>
          <w:szCs w:val="19"/>
          <w:b w:val="1"/>
          <w:bCs w:val="1"/>
          <w:color w:val="105BAB"/>
          <w:vertAlign w:val="superscript"/>
        </w:rPr>
        <w:t>Number</w:t>
      </w:r>
      <w:r>
        <w:rPr>
          <w:rFonts w:ascii="Arial" w:cs="Arial" w:eastAsia="Arial" w:hAnsi="Arial"/>
          <w:sz w:val="14"/>
          <w:szCs w:val="14"/>
          <w:b w:val="1"/>
          <w:bCs w:val="1"/>
          <w:color w:val="105BAB"/>
          <w:vertAlign w:val="superscript"/>
        </w:rPr>
        <w:t>2</w:t>
      </w:r>
      <w:r>
        <w:rPr>
          <w:sz w:val="20"/>
          <w:szCs w:val="20"/>
          <w:color w:val="auto"/>
        </w:rPr>
        <w:tab/>
      </w:r>
      <w:r>
        <w:rPr>
          <w:rFonts w:ascii="Arial" w:cs="Arial" w:eastAsia="Arial" w:hAnsi="Arial"/>
          <w:sz w:val="8"/>
          <w:szCs w:val="8"/>
          <w:b w:val="1"/>
          <w:bCs w:val="1"/>
          <w:color w:val="105BAB"/>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88074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0745" cy="571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159385</wp:posOffset>
            </wp:positionV>
            <wp:extent cx="88074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pacing w:after="0" w:line="369" w:lineRule="exact"/>
        <w:rPr>
          <w:sz w:val="20"/>
          <w:szCs w:val="20"/>
          <w:color w:val="auto"/>
        </w:rPr>
      </w:pPr>
    </w:p>
    <w:p>
      <w:pPr>
        <w:spacing w:after="0"/>
        <w:tabs>
          <w:tab w:leader="none" w:pos="880" w:val="left"/>
        </w:tabs>
        <w:rPr>
          <w:sz w:val="20"/>
          <w:szCs w:val="20"/>
          <w:color w:val="auto"/>
        </w:rPr>
      </w:pPr>
      <w:r>
        <w:rPr>
          <w:rFonts w:ascii="Arial" w:cs="Arial" w:eastAsia="Arial" w:hAnsi="Arial"/>
          <w:sz w:val="10"/>
          <w:szCs w:val="10"/>
          <w:color w:val="auto"/>
        </w:rPr>
        <w:t>23,880,537</w:t>
      </w:r>
      <w:r>
        <w:rPr>
          <w:sz w:val="20"/>
          <w:szCs w:val="20"/>
          <w:color w:val="auto"/>
        </w:rPr>
        <w:tab/>
      </w:r>
      <w:r>
        <w:rPr>
          <w:rFonts w:ascii="Arial" w:cs="Arial" w:eastAsia="Arial" w:hAnsi="Arial"/>
          <w:sz w:val="10"/>
          <w:szCs w:val="10"/>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88074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pacing w:after="0" w:line="216"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0"/>
          <w:szCs w:val="10"/>
          <w:color w:val="auto"/>
        </w:rPr>
        <w:t>6,011,755</w:t>
      </w:r>
      <w:r>
        <w:rPr>
          <w:sz w:val="20"/>
          <w:szCs w:val="20"/>
          <w:color w:val="auto"/>
        </w:rPr>
        <w:tab/>
      </w:r>
      <w:r>
        <w:rPr>
          <w:rFonts w:ascii="Arial" w:cs="Arial" w:eastAsia="Arial" w:hAnsi="Arial"/>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88074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pacing w:after="0" w:line="216"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0"/>
          <w:szCs w:val="10"/>
          <w:color w:val="auto"/>
        </w:rPr>
        <w:t>5,629,358</w:t>
      </w:r>
      <w:r>
        <w:rPr>
          <w:sz w:val="20"/>
          <w:szCs w:val="20"/>
          <w:color w:val="auto"/>
        </w:rPr>
        <w:tab/>
      </w: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88074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pacing w:after="0" w:line="216"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0"/>
          <w:szCs w:val="10"/>
          <w:color w:val="auto"/>
        </w:rPr>
        <w:t>5,494,051</w:t>
      </w:r>
      <w:r>
        <w:rPr>
          <w:sz w:val="20"/>
          <w:szCs w:val="20"/>
          <w:color w:val="auto"/>
        </w:rPr>
        <w:tab/>
      </w:r>
      <w:r>
        <w:rPr>
          <w:rFonts w:ascii="Arial" w:cs="Arial" w:eastAsia="Arial" w:hAnsi="Arial"/>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88074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0745" cy="57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9808" w:space="160"/>
            <w:col w:w="1520"/>
          </w:cols>
          <w:pgMar w:left="212" w:top="142" w:right="199" w:bottom="1440" w:gutter="0" w:footer="0" w:header="0"/>
          <w:type w:val="continuous"/>
        </w:sectPr>
      </w:pPr>
    </w:p>
    <w:tbl>
      <w:tblPr>
        <w:tblLayout w:type="fixed"/>
        <w:tblInd w:w="8"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105BAB"/>
              </w:rPr>
              <w:t>Directors and Executive Officers:</w:t>
            </w:r>
            <w:r>
              <w:rPr>
                <w:rFonts w:ascii="Arial" w:cs="Arial" w:eastAsia="Arial" w:hAnsi="Arial"/>
                <w:sz w:val="14"/>
                <w:szCs w:val="14"/>
                <w:b w:val="1"/>
                <w:bCs w:val="1"/>
                <w:color w:val="105BAB"/>
                <w:vertAlign w:val="superscript"/>
              </w:rPr>
              <w:t>7</w:t>
            </w:r>
          </w:p>
        </w:tc>
        <w:tc>
          <w:tcPr>
            <w:tcW w:w="4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tcBorders>
              <w:bottom w:val="single" w:sz="8" w:color="auto"/>
            </w:tcBorders>
            <w:shd w:val="clear" w:color="auto" w:fill="F1F3F9"/>
          </w:tcPr>
          <w:p>
            <w:pPr>
              <w:ind w:left="40"/>
              <w:spacing w:after="0" w:line="97" w:lineRule="exact"/>
              <w:rPr>
                <w:sz w:val="20"/>
                <w:szCs w:val="20"/>
                <w:color w:val="auto"/>
              </w:rPr>
            </w:pPr>
            <w:r>
              <w:rPr>
                <w:rFonts w:ascii="Arial" w:cs="Arial" w:eastAsia="Arial" w:hAnsi="Arial"/>
                <w:sz w:val="10"/>
                <w:szCs w:val="10"/>
                <w:color w:val="auto"/>
              </w:rPr>
              <w:t>Leonard S. Schleifer, M.D., Ph.D.</w:t>
            </w:r>
          </w:p>
        </w:tc>
        <w:tc>
          <w:tcPr>
            <w:tcW w:w="4100" w:type="dxa"/>
            <w:vAlign w:val="bottom"/>
            <w:tcBorders>
              <w:bottom w:val="single" w:sz="8" w:color="auto"/>
            </w:tcBorders>
            <w:shd w:val="clear" w:color="auto" w:fill="F1F3F9"/>
          </w:tcPr>
          <w:p>
            <w:pPr>
              <w:ind w:left="3420"/>
              <w:spacing w:after="0" w:line="97" w:lineRule="exact"/>
              <w:rPr>
                <w:sz w:val="20"/>
                <w:szCs w:val="20"/>
                <w:color w:val="auto"/>
              </w:rPr>
            </w:pPr>
            <w:r>
              <w:rPr>
                <w:rFonts w:ascii="Arial" w:cs="Arial" w:eastAsia="Arial" w:hAnsi="Arial"/>
                <w:sz w:val="8"/>
                <w:szCs w:val="8"/>
                <w:color w:val="auto"/>
              </w:rPr>
              <w:t>1,726,565</w:t>
            </w:r>
            <w:r>
              <w:rPr>
                <w:rFonts w:ascii="Arial" w:cs="Arial" w:eastAsia="Arial" w:hAnsi="Arial"/>
                <w:sz w:val="11"/>
                <w:szCs w:val="11"/>
                <w:color w:val="auto"/>
                <w:vertAlign w:val="superscript"/>
              </w:rPr>
              <w:t>8</w:t>
            </w:r>
          </w:p>
        </w:tc>
        <w:tc>
          <w:tcPr>
            <w:tcW w:w="640" w:type="dxa"/>
            <w:vAlign w:val="bottom"/>
            <w:tcBorders>
              <w:bottom w:val="single" w:sz="8" w:color="auto"/>
            </w:tcBorders>
            <w:shd w:val="clear" w:color="auto" w:fill="F1F3F9"/>
          </w:tcPr>
          <w:p>
            <w:pPr>
              <w:jc w:val="center"/>
              <w:ind w:right="72"/>
              <w:spacing w:after="0" w:line="97" w:lineRule="exact"/>
              <w:rPr>
                <w:sz w:val="20"/>
                <w:szCs w:val="20"/>
                <w:color w:val="auto"/>
              </w:rPr>
            </w:pPr>
            <w:r>
              <w:rPr>
                <w:rFonts w:ascii="Arial" w:cs="Arial" w:eastAsia="Arial" w:hAnsi="Arial"/>
                <w:sz w:val="10"/>
                <w:szCs w:val="10"/>
                <w:color w:val="auto"/>
              </w:rPr>
              <w:t>90.3</w:t>
            </w:r>
          </w:p>
        </w:tc>
        <w:tc>
          <w:tcPr>
            <w:tcW w:w="140" w:type="dxa"/>
            <w:vAlign w:val="bottom"/>
            <w:shd w:val="clear" w:color="auto" w:fill="F1F3F9"/>
          </w:tcPr>
          <w:p>
            <w:pPr>
              <w:spacing w:after="0"/>
              <w:rPr>
                <w:sz w:val="8"/>
                <w:szCs w:val="8"/>
                <w:color w:val="auto"/>
              </w:rPr>
            </w:pPr>
          </w:p>
        </w:tc>
        <w:tc>
          <w:tcPr>
            <w:tcW w:w="740" w:type="dxa"/>
            <w:vAlign w:val="bottom"/>
            <w:tcBorders>
              <w:bottom w:val="single" w:sz="8" w:color="auto"/>
            </w:tcBorders>
            <w:shd w:val="clear" w:color="auto" w:fill="F1F3F9"/>
          </w:tcPr>
          <w:p>
            <w:pPr>
              <w:jc w:val="right"/>
              <w:ind w:right="156"/>
              <w:spacing w:after="0" w:line="97" w:lineRule="exact"/>
              <w:rPr>
                <w:sz w:val="20"/>
                <w:szCs w:val="20"/>
                <w:color w:val="auto"/>
              </w:rPr>
            </w:pPr>
            <w:r>
              <w:rPr>
                <w:rFonts w:ascii="Arial" w:cs="Arial" w:eastAsia="Arial" w:hAnsi="Arial"/>
                <w:sz w:val="8"/>
                <w:szCs w:val="8"/>
                <w:color w:val="auto"/>
              </w:rPr>
              <w:t>4,137,194</w:t>
            </w:r>
            <w:r>
              <w:rPr>
                <w:rFonts w:ascii="Arial" w:cs="Arial" w:eastAsia="Arial" w:hAnsi="Arial"/>
                <w:sz w:val="11"/>
                <w:szCs w:val="11"/>
                <w:color w:val="auto"/>
                <w:vertAlign w:val="superscript"/>
              </w:rPr>
              <w:t>9</w:t>
            </w:r>
          </w:p>
        </w:tc>
        <w:tc>
          <w:tcPr>
            <w:tcW w:w="660" w:type="dxa"/>
            <w:vAlign w:val="bottom"/>
            <w:tcBorders>
              <w:bottom w:val="single" w:sz="8" w:color="auto"/>
            </w:tcBorders>
            <w:shd w:val="clear" w:color="auto" w:fill="F1F3F9"/>
          </w:tcPr>
          <w:p>
            <w:pPr>
              <w:ind w:left="240"/>
              <w:spacing w:after="0" w:line="97" w:lineRule="exact"/>
              <w:rPr>
                <w:sz w:val="20"/>
                <w:szCs w:val="20"/>
                <w:color w:val="auto"/>
              </w:rPr>
            </w:pPr>
            <w:r>
              <w:rPr>
                <w:rFonts w:ascii="Arial" w:cs="Arial" w:eastAsia="Arial" w:hAnsi="Arial"/>
                <w:sz w:val="10"/>
                <w:szCs w:val="10"/>
                <w:color w:val="auto"/>
              </w:rPr>
              <w:t>3.8</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tcBorders>
              <w:bottom w:val="single" w:sz="8" w:color="auto"/>
            </w:tcBorders>
            <w:shd w:val="clear" w:color="auto" w:fill="D6DAEE"/>
          </w:tcPr>
          <w:p>
            <w:pPr>
              <w:ind w:left="40"/>
              <w:spacing w:after="0" w:line="97" w:lineRule="exact"/>
              <w:rPr>
                <w:sz w:val="20"/>
                <w:szCs w:val="20"/>
                <w:color w:val="auto"/>
              </w:rPr>
            </w:pPr>
            <w:r>
              <w:rPr>
                <w:rFonts w:ascii="Arial" w:cs="Arial" w:eastAsia="Arial" w:hAnsi="Arial"/>
                <w:sz w:val="10"/>
                <w:szCs w:val="10"/>
                <w:color w:val="auto"/>
              </w:rPr>
              <w:t>P. Roy Vagelos, M.D.</w:t>
            </w:r>
          </w:p>
        </w:tc>
        <w:tc>
          <w:tcPr>
            <w:tcW w:w="4100" w:type="dxa"/>
            <w:vAlign w:val="bottom"/>
            <w:tcBorders>
              <w:bottom w:val="single" w:sz="8" w:color="auto"/>
            </w:tcBorders>
            <w:shd w:val="clear" w:color="auto" w:fill="D6DAEE"/>
          </w:tcPr>
          <w:p>
            <w:pPr>
              <w:ind w:left="3580"/>
              <w:spacing w:after="0" w:line="97"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8"/>
                <w:szCs w:val="8"/>
                <w:color w:val="auto"/>
              </w:rPr>
            </w:pPr>
          </w:p>
        </w:tc>
        <w:tc>
          <w:tcPr>
            <w:tcW w:w="740" w:type="dxa"/>
            <w:vAlign w:val="bottom"/>
            <w:tcBorders>
              <w:bottom w:val="single" w:sz="8" w:color="auto"/>
            </w:tcBorders>
            <w:shd w:val="clear" w:color="auto" w:fill="D6DAEE"/>
          </w:tcPr>
          <w:p>
            <w:pPr>
              <w:jc w:val="right"/>
              <w:ind w:right="116"/>
              <w:spacing w:after="0" w:line="97" w:lineRule="exact"/>
              <w:rPr>
                <w:sz w:val="20"/>
                <w:szCs w:val="20"/>
                <w:color w:val="auto"/>
              </w:rPr>
            </w:pPr>
            <w:r>
              <w:rPr>
                <w:rFonts w:ascii="Arial" w:cs="Arial" w:eastAsia="Arial" w:hAnsi="Arial"/>
                <w:sz w:val="8"/>
                <w:szCs w:val="8"/>
                <w:color w:val="auto"/>
              </w:rPr>
              <w:t>2,561,906</w:t>
            </w:r>
            <w:r>
              <w:rPr>
                <w:rFonts w:ascii="Arial" w:cs="Arial" w:eastAsia="Arial" w:hAnsi="Arial"/>
                <w:sz w:val="11"/>
                <w:szCs w:val="11"/>
                <w:color w:val="auto"/>
                <w:vertAlign w:val="superscript"/>
              </w:rPr>
              <w:t>10</w:t>
            </w:r>
          </w:p>
        </w:tc>
        <w:tc>
          <w:tcPr>
            <w:tcW w:w="660" w:type="dxa"/>
            <w:vAlign w:val="bottom"/>
            <w:tcBorders>
              <w:bottom w:val="single" w:sz="8" w:color="auto"/>
            </w:tcBorders>
            <w:shd w:val="clear" w:color="auto" w:fill="D6DAEE"/>
          </w:tcPr>
          <w:p>
            <w:pPr>
              <w:ind w:left="240"/>
              <w:spacing w:after="0" w:line="97" w:lineRule="exact"/>
              <w:rPr>
                <w:sz w:val="20"/>
                <w:szCs w:val="20"/>
                <w:color w:val="auto"/>
              </w:rPr>
            </w:pPr>
            <w:r>
              <w:rPr>
                <w:rFonts w:ascii="Arial" w:cs="Arial" w:eastAsia="Arial" w:hAnsi="Arial"/>
                <w:sz w:val="10"/>
                <w:szCs w:val="10"/>
                <w:color w:val="auto"/>
              </w:rPr>
              <w:t>2.4</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40" w:type="dxa"/>
            <w:vAlign w:val="bottom"/>
            <w:tcBorders>
              <w:bottom w:val="single" w:sz="8" w:color="auto"/>
            </w:tcBorders>
            <w:shd w:val="clear" w:color="auto" w:fill="F1F3F9"/>
          </w:tcPr>
          <w:p>
            <w:pPr>
              <w:ind w:left="40"/>
              <w:spacing w:after="0" w:line="97" w:lineRule="exact"/>
              <w:rPr>
                <w:sz w:val="20"/>
                <w:szCs w:val="20"/>
                <w:color w:val="auto"/>
              </w:rPr>
            </w:pPr>
            <w:r>
              <w:rPr>
                <w:rFonts w:ascii="Arial" w:cs="Arial" w:eastAsia="Arial" w:hAnsi="Arial"/>
                <w:sz w:val="10"/>
                <w:szCs w:val="10"/>
                <w:color w:val="auto"/>
              </w:rPr>
              <w:t>George D. Yancopoulos, M.D., Ph.D.</w:t>
            </w:r>
          </w:p>
        </w:tc>
        <w:tc>
          <w:tcPr>
            <w:tcW w:w="4100" w:type="dxa"/>
            <w:vAlign w:val="bottom"/>
            <w:tcBorders>
              <w:bottom w:val="single" w:sz="8" w:color="auto"/>
            </w:tcBorders>
            <w:shd w:val="clear" w:color="auto" w:fill="F1F3F9"/>
          </w:tcPr>
          <w:p>
            <w:pPr>
              <w:ind w:left="3540"/>
              <w:spacing w:after="0" w:line="97" w:lineRule="exact"/>
              <w:rPr>
                <w:sz w:val="20"/>
                <w:szCs w:val="20"/>
                <w:color w:val="auto"/>
              </w:rPr>
            </w:pPr>
            <w:r>
              <w:rPr>
                <w:rFonts w:ascii="Arial" w:cs="Arial" w:eastAsia="Arial" w:hAnsi="Arial"/>
                <w:sz w:val="8"/>
                <w:szCs w:val="8"/>
                <w:color w:val="auto"/>
              </w:rPr>
              <w:t>42,750</w:t>
            </w:r>
            <w:r>
              <w:rPr>
                <w:rFonts w:ascii="Arial" w:cs="Arial" w:eastAsia="Arial" w:hAnsi="Arial"/>
                <w:sz w:val="11"/>
                <w:szCs w:val="11"/>
                <w:color w:val="auto"/>
                <w:vertAlign w:val="superscript"/>
              </w:rPr>
              <w:t>11</w:t>
            </w:r>
          </w:p>
        </w:tc>
        <w:tc>
          <w:tcPr>
            <w:tcW w:w="640" w:type="dxa"/>
            <w:vAlign w:val="bottom"/>
            <w:tcBorders>
              <w:bottom w:val="single" w:sz="8" w:color="auto"/>
            </w:tcBorders>
            <w:shd w:val="clear" w:color="auto" w:fill="F1F3F9"/>
          </w:tcPr>
          <w:p>
            <w:pPr>
              <w:jc w:val="right"/>
              <w:ind w:right="232"/>
              <w:spacing w:after="0" w:line="97" w:lineRule="exact"/>
              <w:rPr>
                <w:sz w:val="20"/>
                <w:szCs w:val="20"/>
                <w:color w:val="auto"/>
              </w:rPr>
            </w:pPr>
            <w:r>
              <w:rPr>
                <w:rFonts w:ascii="Arial" w:cs="Arial" w:eastAsia="Arial" w:hAnsi="Arial"/>
                <w:sz w:val="10"/>
                <w:szCs w:val="10"/>
                <w:color w:val="auto"/>
              </w:rPr>
              <w:t>2.2</w:t>
            </w:r>
          </w:p>
        </w:tc>
        <w:tc>
          <w:tcPr>
            <w:tcW w:w="140" w:type="dxa"/>
            <w:vAlign w:val="bottom"/>
            <w:shd w:val="clear" w:color="auto" w:fill="F1F3F9"/>
          </w:tcPr>
          <w:p>
            <w:pPr>
              <w:spacing w:after="0"/>
              <w:rPr>
                <w:sz w:val="8"/>
                <w:szCs w:val="8"/>
                <w:color w:val="auto"/>
              </w:rPr>
            </w:pPr>
          </w:p>
        </w:tc>
        <w:tc>
          <w:tcPr>
            <w:tcW w:w="740" w:type="dxa"/>
            <w:vAlign w:val="bottom"/>
            <w:tcBorders>
              <w:bottom w:val="single" w:sz="8" w:color="auto"/>
            </w:tcBorders>
            <w:shd w:val="clear" w:color="auto" w:fill="F1F3F9"/>
          </w:tcPr>
          <w:p>
            <w:pPr>
              <w:jc w:val="right"/>
              <w:ind w:right="116"/>
              <w:spacing w:after="0" w:line="97" w:lineRule="exact"/>
              <w:rPr>
                <w:sz w:val="20"/>
                <w:szCs w:val="20"/>
                <w:color w:val="auto"/>
              </w:rPr>
            </w:pPr>
            <w:r>
              <w:rPr>
                <w:rFonts w:ascii="Arial" w:cs="Arial" w:eastAsia="Arial" w:hAnsi="Arial"/>
                <w:sz w:val="8"/>
                <w:szCs w:val="8"/>
                <w:color w:val="auto"/>
              </w:rPr>
              <w:t>2,852,225</w:t>
            </w:r>
            <w:r>
              <w:rPr>
                <w:rFonts w:ascii="Arial" w:cs="Arial" w:eastAsia="Arial" w:hAnsi="Arial"/>
                <w:sz w:val="11"/>
                <w:szCs w:val="11"/>
                <w:color w:val="auto"/>
                <w:vertAlign w:val="superscript"/>
              </w:rPr>
              <w:t>12</w:t>
            </w:r>
          </w:p>
        </w:tc>
        <w:tc>
          <w:tcPr>
            <w:tcW w:w="660" w:type="dxa"/>
            <w:vAlign w:val="bottom"/>
            <w:tcBorders>
              <w:bottom w:val="single" w:sz="8" w:color="auto"/>
            </w:tcBorders>
            <w:shd w:val="clear" w:color="auto" w:fill="F1F3F9"/>
          </w:tcPr>
          <w:p>
            <w:pPr>
              <w:ind w:left="240"/>
              <w:spacing w:after="0" w:line="97" w:lineRule="exact"/>
              <w:rPr>
                <w:sz w:val="20"/>
                <w:szCs w:val="20"/>
                <w:color w:val="auto"/>
              </w:rPr>
            </w:pPr>
            <w:r>
              <w:rPr>
                <w:rFonts w:ascii="Arial" w:cs="Arial" w:eastAsia="Arial" w:hAnsi="Arial"/>
                <w:sz w:val="10"/>
                <w:szCs w:val="10"/>
                <w:color w:val="auto"/>
              </w:rPr>
              <w:t>2.6</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N. Anthony Coles, M.D.</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4,350</w:t>
            </w:r>
            <w:r>
              <w:rPr>
                <w:rFonts w:ascii="Arial" w:cs="Arial" w:eastAsia="Arial" w:hAnsi="Arial"/>
                <w:sz w:val="13"/>
                <w:szCs w:val="13"/>
                <w:color w:val="auto"/>
                <w:vertAlign w:val="superscript"/>
              </w:rPr>
              <w:t>13</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Charles A. Baker</w:t>
            </w:r>
          </w:p>
        </w:tc>
        <w:tc>
          <w:tcPr>
            <w:tcW w:w="4100" w:type="dxa"/>
            <w:vAlign w:val="bottom"/>
            <w:tcBorders>
              <w:bottom w:val="single" w:sz="8" w:color="auto"/>
            </w:tcBorders>
            <w:shd w:val="clear" w:color="auto" w:fill="F1F3F9"/>
          </w:tcPr>
          <w:p>
            <w:pPr>
              <w:ind w:left="3540"/>
              <w:spacing w:after="0" w:line="115" w:lineRule="exact"/>
              <w:rPr>
                <w:sz w:val="20"/>
                <w:szCs w:val="20"/>
                <w:color w:val="auto"/>
              </w:rPr>
            </w:pPr>
            <w:r>
              <w:rPr>
                <w:rFonts w:ascii="Arial" w:cs="Arial" w:eastAsia="Arial" w:hAnsi="Arial"/>
                <w:sz w:val="9"/>
                <w:szCs w:val="9"/>
                <w:color w:val="auto"/>
              </w:rPr>
              <w:t>62,384</w:t>
            </w:r>
            <w:r>
              <w:rPr>
                <w:rFonts w:ascii="Arial" w:cs="Arial" w:eastAsia="Arial" w:hAnsi="Arial"/>
                <w:sz w:val="13"/>
                <w:szCs w:val="13"/>
                <w:color w:val="auto"/>
                <w:vertAlign w:val="superscript"/>
              </w:rPr>
              <w:t>14</w:t>
            </w:r>
          </w:p>
        </w:tc>
        <w:tc>
          <w:tcPr>
            <w:tcW w:w="640" w:type="dxa"/>
            <w:vAlign w:val="bottom"/>
            <w:tcBorders>
              <w:bottom w:val="single" w:sz="8" w:color="auto"/>
            </w:tcBorders>
            <w:shd w:val="clear" w:color="auto" w:fill="F1F3F9"/>
          </w:tcPr>
          <w:p>
            <w:pPr>
              <w:jc w:val="right"/>
              <w:ind w:right="232"/>
              <w:spacing w:after="0"/>
              <w:rPr>
                <w:sz w:val="20"/>
                <w:szCs w:val="20"/>
                <w:color w:val="auto"/>
              </w:rPr>
            </w:pPr>
            <w:r>
              <w:rPr>
                <w:rFonts w:ascii="Arial" w:cs="Arial" w:eastAsia="Arial" w:hAnsi="Arial"/>
                <w:sz w:val="10"/>
                <w:szCs w:val="10"/>
                <w:color w:val="auto"/>
              </w:rPr>
              <w:t>3.3</w:t>
            </w:r>
          </w:p>
        </w:tc>
        <w:tc>
          <w:tcPr>
            <w:tcW w:w="140" w:type="dxa"/>
            <w:vAlign w:val="bottom"/>
            <w:shd w:val="clear" w:color="auto" w:fill="F1F3F9"/>
          </w:tcPr>
          <w:p>
            <w:pPr>
              <w:spacing w:after="0"/>
              <w:rPr>
                <w:sz w:val="10"/>
                <w:szCs w:val="10"/>
                <w:color w:val="auto"/>
              </w:rPr>
            </w:pPr>
          </w:p>
        </w:tc>
        <w:tc>
          <w:tcPr>
            <w:tcW w:w="740" w:type="dxa"/>
            <w:vAlign w:val="bottom"/>
            <w:tcBorders>
              <w:bottom w:val="single" w:sz="8" w:color="auto"/>
            </w:tcBorders>
            <w:shd w:val="clear" w:color="auto" w:fill="F1F3F9"/>
          </w:tcPr>
          <w:p>
            <w:pPr>
              <w:jc w:val="right"/>
              <w:ind w:right="116"/>
              <w:spacing w:after="0" w:line="115" w:lineRule="exact"/>
              <w:rPr>
                <w:sz w:val="20"/>
                <w:szCs w:val="20"/>
                <w:color w:val="auto"/>
              </w:rPr>
            </w:pPr>
            <w:r>
              <w:rPr>
                <w:rFonts w:ascii="Arial" w:cs="Arial" w:eastAsia="Arial" w:hAnsi="Arial"/>
                <w:sz w:val="9"/>
                <w:szCs w:val="9"/>
                <w:color w:val="auto"/>
              </w:rPr>
              <w:t>163,724</w:t>
            </w:r>
            <w:r>
              <w:rPr>
                <w:rFonts w:ascii="Arial" w:cs="Arial" w:eastAsia="Arial" w:hAnsi="Arial"/>
                <w:sz w:val="13"/>
                <w:szCs w:val="13"/>
                <w:color w:val="auto"/>
                <w:vertAlign w:val="superscript"/>
              </w:rPr>
              <w:t>15</w:t>
            </w:r>
          </w:p>
        </w:tc>
        <w:tc>
          <w:tcPr>
            <w:tcW w:w="660" w:type="dxa"/>
            <w:vAlign w:val="bottom"/>
            <w:tcBorders>
              <w:bottom w:val="single" w:sz="8" w:color="auto"/>
            </w:tcBorders>
            <w:shd w:val="clear" w:color="auto" w:fill="F1F3F9"/>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Bonnie L. Bassler, Ph.D.</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5,931</w:t>
            </w:r>
            <w:r>
              <w:rPr>
                <w:rFonts w:ascii="Arial" w:cs="Arial" w:eastAsia="Arial" w:hAnsi="Arial"/>
                <w:sz w:val="13"/>
                <w:szCs w:val="13"/>
                <w:color w:val="auto"/>
                <w:vertAlign w:val="superscript"/>
              </w:rPr>
              <w:t>16</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Michael S. Brown, M.D.</w:t>
            </w:r>
          </w:p>
        </w:tc>
        <w:tc>
          <w:tcPr>
            <w:tcW w:w="4100" w:type="dxa"/>
            <w:vAlign w:val="bottom"/>
            <w:tcBorders>
              <w:bottom w:val="single" w:sz="8" w:color="auto"/>
            </w:tcBorders>
            <w:shd w:val="clear" w:color="auto" w:fill="F1F3F9"/>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F1F3F9"/>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F1F3F9"/>
          </w:tcPr>
          <w:p>
            <w:pPr>
              <w:spacing w:after="0"/>
              <w:rPr>
                <w:sz w:val="10"/>
                <w:szCs w:val="10"/>
                <w:color w:val="auto"/>
              </w:rPr>
            </w:pPr>
          </w:p>
        </w:tc>
        <w:tc>
          <w:tcPr>
            <w:tcW w:w="740" w:type="dxa"/>
            <w:vAlign w:val="bottom"/>
            <w:tcBorders>
              <w:bottom w:val="single" w:sz="8" w:color="auto"/>
            </w:tcBorders>
            <w:shd w:val="clear" w:color="auto" w:fill="F1F3F9"/>
          </w:tcPr>
          <w:p>
            <w:pPr>
              <w:jc w:val="right"/>
              <w:ind w:right="116"/>
              <w:spacing w:after="0" w:line="115" w:lineRule="exact"/>
              <w:rPr>
                <w:sz w:val="20"/>
                <w:szCs w:val="20"/>
                <w:color w:val="auto"/>
              </w:rPr>
            </w:pPr>
            <w:r>
              <w:rPr>
                <w:rFonts w:ascii="Arial" w:cs="Arial" w:eastAsia="Arial" w:hAnsi="Arial"/>
                <w:sz w:val="9"/>
                <w:szCs w:val="9"/>
                <w:color w:val="auto"/>
              </w:rPr>
              <w:t>55,689</w:t>
            </w:r>
            <w:r>
              <w:rPr>
                <w:rFonts w:ascii="Arial" w:cs="Arial" w:eastAsia="Arial" w:hAnsi="Arial"/>
                <w:sz w:val="13"/>
                <w:szCs w:val="13"/>
                <w:color w:val="auto"/>
                <w:vertAlign w:val="superscript"/>
              </w:rPr>
              <w:t>17</w:t>
            </w:r>
          </w:p>
        </w:tc>
        <w:tc>
          <w:tcPr>
            <w:tcW w:w="660" w:type="dxa"/>
            <w:vAlign w:val="bottom"/>
            <w:tcBorders>
              <w:bottom w:val="single" w:sz="8" w:color="auto"/>
            </w:tcBorders>
            <w:shd w:val="clear" w:color="auto" w:fill="F1F3F9"/>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Joseph L. Goldstein, M.D.</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49,090</w:t>
            </w:r>
            <w:r>
              <w:rPr>
                <w:rFonts w:ascii="Arial" w:cs="Arial" w:eastAsia="Arial" w:hAnsi="Arial"/>
                <w:sz w:val="13"/>
                <w:szCs w:val="13"/>
                <w:color w:val="auto"/>
                <w:vertAlign w:val="superscript"/>
              </w:rPr>
              <w:t>18</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Christine A. Poon</w:t>
            </w:r>
          </w:p>
        </w:tc>
        <w:tc>
          <w:tcPr>
            <w:tcW w:w="4100" w:type="dxa"/>
            <w:vAlign w:val="bottom"/>
            <w:tcBorders>
              <w:bottom w:val="single" w:sz="8" w:color="auto"/>
            </w:tcBorders>
            <w:shd w:val="clear" w:color="auto" w:fill="F1F3F9"/>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F1F3F9"/>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F1F3F9"/>
          </w:tcPr>
          <w:p>
            <w:pPr>
              <w:spacing w:after="0"/>
              <w:rPr>
                <w:sz w:val="10"/>
                <w:szCs w:val="10"/>
                <w:color w:val="auto"/>
              </w:rPr>
            </w:pPr>
          </w:p>
        </w:tc>
        <w:tc>
          <w:tcPr>
            <w:tcW w:w="740" w:type="dxa"/>
            <w:vAlign w:val="bottom"/>
            <w:tcBorders>
              <w:bottom w:val="single" w:sz="8" w:color="auto"/>
            </w:tcBorders>
            <w:shd w:val="clear" w:color="auto" w:fill="F1F3F9"/>
          </w:tcPr>
          <w:p>
            <w:pPr>
              <w:jc w:val="right"/>
              <w:ind w:right="116"/>
              <w:spacing w:after="0" w:line="115" w:lineRule="exact"/>
              <w:rPr>
                <w:sz w:val="20"/>
                <w:szCs w:val="20"/>
                <w:color w:val="auto"/>
              </w:rPr>
            </w:pPr>
            <w:r>
              <w:rPr>
                <w:rFonts w:ascii="Arial" w:cs="Arial" w:eastAsia="Arial" w:hAnsi="Arial"/>
                <w:sz w:val="9"/>
                <w:szCs w:val="9"/>
                <w:color w:val="auto"/>
              </w:rPr>
              <w:t>102,660</w:t>
            </w:r>
            <w:r>
              <w:rPr>
                <w:rFonts w:ascii="Arial" w:cs="Arial" w:eastAsia="Arial" w:hAnsi="Arial"/>
                <w:sz w:val="13"/>
                <w:szCs w:val="13"/>
                <w:color w:val="auto"/>
                <w:vertAlign w:val="superscript"/>
              </w:rPr>
              <w:t>19</w:t>
            </w:r>
          </w:p>
        </w:tc>
        <w:tc>
          <w:tcPr>
            <w:tcW w:w="660" w:type="dxa"/>
            <w:vAlign w:val="bottom"/>
            <w:tcBorders>
              <w:bottom w:val="single" w:sz="8" w:color="auto"/>
            </w:tcBorders>
            <w:shd w:val="clear" w:color="auto" w:fill="F1F3F9"/>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Arthur F. Ryan</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64,090</w:t>
            </w:r>
            <w:r>
              <w:rPr>
                <w:rFonts w:ascii="Arial" w:cs="Arial" w:eastAsia="Arial" w:hAnsi="Arial"/>
                <w:sz w:val="13"/>
                <w:szCs w:val="13"/>
                <w:color w:val="auto"/>
                <w:vertAlign w:val="superscript"/>
              </w:rPr>
              <w:t>20</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George L. Sing</w:t>
            </w:r>
          </w:p>
        </w:tc>
        <w:tc>
          <w:tcPr>
            <w:tcW w:w="4100" w:type="dxa"/>
            <w:vAlign w:val="bottom"/>
            <w:tcBorders>
              <w:bottom w:val="single" w:sz="8" w:color="auto"/>
            </w:tcBorders>
            <w:shd w:val="clear" w:color="auto" w:fill="F1F3F9"/>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F1F3F9"/>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F1F3F9"/>
          </w:tcPr>
          <w:p>
            <w:pPr>
              <w:spacing w:after="0"/>
              <w:rPr>
                <w:sz w:val="10"/>
                <w:szCs w:val="10"/>
                <w:color w:val="auto"/>
              </w:rPr>
            </w:pPr>
          </w:p>
        </w:tc>
        <w:tc>
          <w:tcPr>
            <w:tcW w:w="740" w:type="dxa"/>
            <w:vAlign w:val="bottom"/>
            <w:tcBorders>
              <w:bottom w:val="single" w:sz="8" w:color="auto"/>
            </w:tcBorders>
            <w:shd w:val="clear" w:color="auto" w:fill="F1F3F9"/>
          </w:tcPr>
          <w:p>
            <w:pPr>
              <w:jc w:val="right"/>
              <w:ind w:right="116"/>
              <w:spacing w:after="0" w:line="115" w:lineRule="exact"/>
              <w:rPr>
                <w:sz w:val="20"/>
                <w:szCs w:val="20"/>
                <w:color w:val="auto"/>
              </w:rPr>
            </w:pPr>
            <w:r>
              <w:rPr>
                <w:rFonts w:ascii="Arial" w:cs="Arial" w:eastAsia="Arial" w:hAnsi="Arial"/>
                <w:sz w:val="9"/>
                <w:szCs w:val="9"/>
                <w:color w:val="auto"/>
              </w:rPr>
              <w:t>244,612</w:t>
            </w:r>
            <w:r>
              <w:rPr>
                <w:rFonts w:ascii="Arial" w:cs="Arial" w:eastAsia="Arial" w:hAnsi="Arial"/>
                <w:sz w:val="13"/>
                <w:szCs w:val="13"/>
                <w:color w:val="auto"/>
                <w:vertAlign w:val="superscript"/>
              </w:rPr>
              <w:t>21</w:t>
            </w:r>
          </w:p>
        </w:tc>
        <w:tc>
          <w:tcPr>
            <w:tcW w:w="660" w:type="dxa"/>
            <w:vAlign w:val="bottom"/>
            <w:tcBorders>
              <w:bottom w:val="single" w:sz="8" w:color="auto"/>
            </w:tcBorders>
            <w:shd w:val="clear" w:color="auto" w:fill="F1F3F9"/>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Marc Tessier-Lavigne, Ph.D.</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62,806</w:t>
            </w:r>
            <w:r>
              <w:rPr>
                <w:rFonts w:ascii="Arial" w:cs="Arial" w:eastAsia="Arial" w:hAnsi="Arial"/>
                <w:sz w:val="13"/>
                <w:szCs w:val="13"/>
                <w:color w:val="auto"/>
                <w:vertAlign w:val="superscript"/>
              </w:rPr>
              <w:t>22</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Robert E. Landry</w:t>
            </w:r>
          </w:p>
        </w:tc>
        <w:tc>
          <w:tcPr>
            <w:tcW w:w="4100" w:type="dxa"/>
            <w:vAlign w:val="bottom"/>
            <w:tcBorders>
              <w:bottom w:val="single" w:sz="8" w:color="auto"/>
            </w:tcBorders>
            <w:shd w:val="clear" w:color="auto" w:fill="F1F3F9"/>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F1F3F9"/>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F1F3F9"/>
          </w:tcPr>
          <w:p>
            <w:pPr>
              <w:spacing w:after="0"/>
              <w:rPr>
                <w:sz w:val="10"/>
                <w:szCs w:val="10"/>
                <w:color w:val="auto"/>
              </w:rPr>
            </w:pPr>
          </w:p>
        </w:tc>
        <w:tc>
          <w:tcPr>
            <w:tcW w:w="740" w:type="dxa"/>
            <w:vAlign w:val="bottom"/>
            <w:tcBorders>
              <w:bottom w:val="single" w:sz="8" w:color="auto"/>
            </w:tcBorders>
            <w:shd w:val="clear" w:color="auto" w:fill="F1F3F9"/>
          </w:tcPr>
          <w:p>
            <w:pPr>
              <w:jc w:val="right"/>
              <w:ind w:right="116"/>
              <w:spacing w:after="0" w:line="115" w:lineRule="exact"/>
              <w:rPr>
                <w:sz w:val="20"/>
                <w:szCs w:val="20"/>
                <w:color w:val="auto"/>
              </w:rPr>
            </w:pPr>
            <w:r>
              <w:rPr>
                <w:rFonts w:ascii="Arial" w:cs="Arial" w:eastAsia="Arial" w:hAnsi="Arial"/>
                <w:sz w:val="9"/>
                <w:szCs w:val="9"/>
                <w:color w:val="auto"/>
              </w:rPr>
              <w:t>110,300</w:t>
            </w:r>
            <w:r>
              <w:rPr>
                <w:rFonts w:ascii="Arial" w:cs="Arial" w:eastAsia="Arial" w:hAnsi="Arial"/>
                <w:sz w:val="13"/>
                <w:szCs w:val="13"/>
                <w:color w:val="auto"/>
                <w:vertAlign w:val="superscript"/>
              </w:rPr>
              <w:t>23</w:t>
            </w:r>
          </w:p>
        </w:tc>
        <w:tc>
          <w:tcPr>
            <w:tcW w:w="660" w:type="dxa"/>
            <w:vAlign w:val="bottom"/>
            <w:tcBorders>
              <w:bottom w:val="single" w:sz="8" w:color="auto"/>
            </w:tcBorders>
            <w:shd w:val="clear" w:color="auto" w:fill="F1F3F9"/>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Neil Stahl, Ph.D.</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511,407</w:t>
            </w:r>
            <w:r>
              <w:rPr>
                <w:rFonts w:ascii="Arial" w:cs="Arial" w:eastAsia="Arial" w:hAnsi="Arial"/>
                <w:sz w:val="13"/>
                <w:szCs w:val="13"/>
                <w:color w:val="auto"/>
                <w:vertAlign w:val="superscript"/>
              </w:rPr>
              <w:t>24</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Daniel P. Van Plew</w:t>
            </w:r>
          </w:p>
        </w:tc>
        <w:tc>
          <w:tcPr>
            <w:tcW w:w="4100" w:type="dxa"/>
            <w:vAlign w:val="bottom"/>
            <w:tcBorders>
              <w:bottom w:val="single" w:sz="8" w:color="auto"/>
            </w:tcBorders>
            <w:shd w:val="clear" w:color="auto" w:fill="F1F3F9"/>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F1F3F9"/>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F1F3F9"/>
          </w:tcPr>
          <w:p>
            <w:pPr>
              <w:spacing w:after="0"/>
              <w:rPr>
                <w:sz w:val="10"/>
                <w:szCs w:val="10"/>
                <w:color w:val="auto"/>
              </w:rPr>
            </w:pPr>
          </w:p>
        </w:tc>
        <w:tc>
          <w:tcPr>
            <w:tcW w:w="740" w:type="dxa"/>
            <w:vAlign w:val="bottom"/>
            <w:tcBorders>
              <w:bottom w:val="single" w:sz="8" w:color="auto"/>
            </w:tcBorders>
            <w:shd w:val="clear" w:color="auto" w:fill="F1F3F9"/>
          </w:tcPr>
          <w:p>
            <w:pPr>
              <w:jc w:val="right"/>
              <w:ind w:right="116"/>
              <w:spacing w:after="0" w:line="115" w:lineRule="exact"/>
              <w:rPr>
                <w:sz w:val="20"/>
                <w:szCs w:val="20"/>
                <w:color w:val="auto"/>
              </w:rPr>
            </w:pPr>
            <w:r>
              <w:rPr>
                <w:rFonts w:ascii="Arial" w:cs="Arial" w:eastAsia="Arial" w:hAnsi="Arial"/>
                <w:sz w:val="9"/>
                <w:szCs w:val="9"/>
                <w:color w:val="auto"/>
              </w:rPr>
              <w:t>323,928</w:t>
            </w:r>
            <w:r>
              <w:rPr>
                <w:rFonts w:ascii="Arial" w:cs="Arial" w:eastAsia="Arial" w:hAnsi="Arial"/>
                <w:sz w:val="13"/>
                <w:szCs w:val="13"/>
                <w:color w:val="auto"/>
                <w:vertAlign w:val="superscript"/>
              </w:rPr>
              <w:t>25</w:t>
            </w:r>
          </w:p>
        </w:tc>
        <w:tc>
          <w:tcPr>
            <w:tcW w:w="660" w:type="dxa"/>
            <w:vAlign w:val="bottom"/>
            <w:tcBorders>
              <w:bottom w:val="single" w:sz="8" w:color="auto"/>
            </w:tcBorders>
            <w:shd w:val="clear" w:color="auto" w:fill="F1F3F9"/>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Huda Y. Zoghbi, M.D.</w:t>
            </w:r>
          </w:p>
        </w:tc>
        <w:tc>
          <w:tcPr>
            <w:tcW w:w="4100" w:type="dxa"/>
            <w:vAlign w:val="bottom"/>
            <w:tcBorders>
              <w:bottom w:val="single" w:sz="8" w:color="auto"/>
            </w:tcBorders>
            <w:shd w:val="clear" w:color="auto" w:fill="D6DAEE"/>
          </w:tcPr>
          <w:p>
            <w:pPr>
              <w:ind w:left="358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D6DAEE"/>
          </w:tcPr>
          <w:p>
            <w:pPr>
              <w:jc w:val="center"/>
              <w:ind w:right="92"/>
              <w:spacing w:after="0"/>
              <w:rPr>
                <w:sz w:val="20"/>
                <w:szCs w:val="20"/>
                <w:color w:val="auto"/>
              </w:rPr>
            </w:pPr>
            <w:r>
              <w:rPr>
                <w:rFonts w:ascii="Arial" w:cs="Arial" w:eastAsia="Arial" w:hAnsi="Arial"/>
                <w:sz w:val="10"/>
                <w:szCs w:val="10"/>
                <w:color w:val="auto"/>
                <w:w w:val="99"/>
              </w:rPr>
              <w:t>—</w:t>
            </w:r>
          </w:p>
        </w:tc>
        <w:tc>
          <w:tcPr>
            <w:tcW w:w="140" w:type="dxa"/>
            <w:vAlign w:val="bottom"/>
            <w:shd w:val="clear" w:color="auto" w:fill="D6DAEE"/>
          </w:tcPr>
          <w:p>
            <w:pPr>
              <w:spacing w:after="0"/>
              <w:rPr>
                <w:sz w:val="10"/>
                <w:szCs w:val="10"/>
                <w:color w:val="auto"/>
              </w:rPr>
            </w:pPr>
          </w:p>
        </w:tc>
        <w:tc>
          <w:tcPr>
            <w:tcW w:w="740" w:type="dxa"/>
            <w:vAlign w:val="bottom"/>
            <w:tcBorders>
              <w:bottom w:val="single" w:sz="8" w:color="auto"/>
            </w:tcBorders>
            <w:shd w:val="clear" w:color="auto" w:fill="D6DAEE"/>
          </w:tcPr>
          <w:p>
            <w:pPr>
              <w:jc w:val="right"/>
              <w:ind w:right="116"/>
              <w:spacing w:after="0" w:line="115" w:lineRule="exact"/>
              <w:rPr>
                <w:sz w:val="20"/>
                <w:szCs w:val="20"/>
                <w:color w:val="auto"/>
              </w:rPr>
            </w:pPr>
            <w:r>
              <w:rPr>
                <w:rFonts w:ascii="Arial" w:cs="Arial" w:eastAsia="Arial" w:hAnsi="Arial"/>
                <w:sz w:val="9"/>
                <w:szCs w:val="9"/>
                <w:color w:val="auto"/>
              </w:rPr>
              <w:t>5,931</w:t>
            </w:r>
            <w:r>
              <w:rPr>
                <w:rFonts w:ascii="Arial" w:cs="Arial" w:eastAsia="Arial" w:hAnsi="Arial"/>
                <w:sz w:val="13"/>
                <w:szCs w:val="13"/>
                <w:color w:val="auto"/>
                <w:vertAlign w:val="superscript"/>
              </w:rPr>
              <w:t>26</w:t>
            </w:r>
          </w:p>
        </w:tc>
        <w:tc>
          <w:tcPr>
            <w:tcW w:w="660" w:type="dxa"/>
            <w:vAlign w:val="bottom"/>
            <w:tcBorders>
              <w:bottom w:val="single" w:sz="8" w:color="auto"/>
            </w:tcBorders>
            <w:shd w:val="clear" w:color="auto" w:fill="D6DAEE"/>
          </w:tcPr>
          <w:p>
            <w:pPr>
              <w:ind w:left="240"/>
              <w:spacing w:after="0"/>
              <w:rPr>
                <w:sz w:val="20"/>
                <w:szCs w:val="20"/>
                <w:color w:val="auto"/>
              </w:rPr>
            </w:pPr>
            <w:r>
              <w:rPr>
                <w:rFonts w:ascii="Arial" w:cs="Arial" w:eastAsia="Arial" w:hAnsi="Arial"/>
                <w:sz w:val="7"/>
                <w:szCs w:val="7"/>
                <w:color w:val="auto"/>
              </w:rPr>
              <w:t>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040" w:type="dxa"/>
            <w:vAlign w:val="bottom"/>
            <w:shd w:val="clear" w:color="auto" w:fill="F1F3F9"/>
          </w:tcPr>
          <w:p>
            <w:pPr>
              <w:ind w:left="40"/>
              <w:spacing w:after="0" w:line="89" w:lineRule="exact"/>
              <w:rPr>
                <w:sz w:val="20"/>
                <w:szCs w:val="20"/>
                <w:color w:val="auto"/>
              </w:rPr>
            </w:pPr>
            <w:r>
              <w:rPr>
                <w:rFonts w:ascii="Arial" w:cs="Arial" w:eastAsia="Arial" w:hAnsi="Arial"/>
                <w:sz w:val="10"/>
                <w:szCs w:val="10"/>
                <w:b w:val="1"/>
                <w:bCs w:val="1"/>
                <w:color w:val="105BAB"/>
              </w:rPr>
              <w:t>All Directors and Executive</w:t>
            </w:r>
          </w:p>
        </w:tc>
        <w:tc>
          <w:tcPr>
            <w:tcW w:w="4100" w:type="dxa"/>
            <w:vAlign w:val="bottom"/>
            <w:shd w:val="clear" w:color="auto" w:fill="F1F3F9"/>
          </w:tcPr>
          <w:p>
            <w:pPr>
              <w:spacing w:after="0"/>
              <w:rPr>
                <w:sz w:val="7"/>
                <w:szCs w:val="7"/>
                <w:color w:val="auto"/>
              </w:rPr>
            </w:pPr>
          </w:p>
        </w:tc>
        <w:tc>
          <w:tcPr>
            <w:tcW w:w="640" w:type="dxa"/>
            <w:vAlign w:val="bottom"/>
            <w:shd w:val="clear" w:color="auto" w:fill="F1F3F9"/>
          </w:tcPr>
          <w:p>
            <w:pPr>
              <w:spacing w:after="0"/>
              <w:rPr>
                <w:sz w:val="7"/>
                <w:szCs w:val="7"/>
                <w:color w:val="auto"/>
              </w:rPr>
            </w:pPr>
          </w:p>
        </w:tc>
        <w:tc>
          <w:tcPr>
            <w:tcW w:w="880" w:type="dxa"/>
            <w:vAlign w:val="bottom"/>
            <w:gridSpan w:val="2"/>
            <w:vMerge w:val="restart"/>
            <w:shd w:val="clear" w:color="auto" w:fill="F1F3F9"/>
          </w:tcPr>
          <w:p>
            <w:pPr>
              <w:jc w:val="right"/>
              <w:ind w:right="116"/>
              <w:spacing w:after="0"/>
              <w:rPr>
                <w:sz w:val="20"/>
                <w:szCs w:val="20"/>
                <w:color w:val="auto"/>
              </w:rPr>
            </w:pPr>
            <w:r>
              <w:rPr>
                <w:rFonts w:ascii="Arial" w:cs="Arial" w:eastAsia="Arial" w:hAnsi="Arial"/>
                <w:sz w:val="10"/>
                <w:szCs w:val="10"/>
                <w:b w:val="1"/>
                <w:bCs w:val="1"/>
                <w:color w:val="auto"/>
              </w:rPr>
              <w:t>11,567,918</w:t>
            </w:r>
            <w:r>
              <w:rPr>
                <w:rFonts w:ascii="Arial" w:cs="Arial" w:eastAsia="Arial" w:hAnsi="Arial"/>
                <w:sz w:val="14"/>
                <w:szCs w:val="14"/>
                <w:b w:val="1"/>
                <w:bCs w:val="1"/>
                <w:color w:val="auto"/>
                <w:vertAlign w:val="superscript"/>
              </w:rPr>
              <w:t>27</w:t>
            </w:r>
          </w:p>
        </w:tc>
        <w:tc>
          <w:tcPr>
            <w:tcW w:w="660" w:type="dxa"/>
            <w:vAlign w:val="bottom"/>
            <w:shd w:val="clear" w:color="auto" w:fill="F1F3F9"/>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40" w:type="dxa"/>
            <w:vAlign w:val="bottom"/>
            <w:shd w:val="clear" w:color="auto" w:fill="F1F3F9"/>
          </w:tcPr>
          <w:p>
            <w:pPr>
              <w:ind w:left="40"/>
              <w:spacing w:after="0"/>
              <w:rPr>
                <w:sz w:val="20"/>
                <w:szCs w:val="20"/>
                <w:color w:val="auto"/>
              </w:rPr>
            </w:pPr>
            <w:r>
              <w:rPr>
                <w:rFonts w:ascii="Arial" w:cs="Arial" w:eastAsia="Arial" w:hAnsi="Arial"/>
                <w:sz w:val="10"/>
                <w:szCs w:val="10"/>
                <w:b w:val="1"/>
                <w:bCs w:val="1"/>
                <w:color w:val="105BAB"/>
              </w:rPr>
              <w:t>Officers as a Group (19 persons)</w:t>
            </w:r>
          </w:p>
        </w:tc>
        <w:tc>
          <w:tcPr>
            <w:tcW w:w="4100" w:type="dxa"/>
            <w:vAlign w:val="bottom"/>
            <w:shd w:val="clear" w:color="auto" w:fill="F1F3F9"/>
          </w:tcPr>
          <w:p>
            <w:pPr>
              <w:ind w:left="3420"/>
              <w:spacing w:after="0"/>
              <w:rPr>
                <w:sz w:val="20"/>
                <w:szCs w:val="20"/>
                <w:color w:val="auto"/>
              </w:rPr>
            </w:pPr>
            <w:r>
              <w:rPr>
                <w:rFonts w:ascii="Arial" w:cs="Arial" w:eastAsia="Arial" w:hAnsi="Arial"/>
                <w:sz w:val="10"/>
                <w:szCs w:val="10"/>
                <w:b w:val="1"/>
                <w:bCs w:val="1"/>
                <w:color w:val="auto"/>
              </w:rPr>
              <w:t>1,831,699</w:t>
            </w:r>
          </w:p>
        </w:tc>
        <w:tc>
          <w:tcPr>
            <w:tcW w:w="640" w:type="dxa"/>
            <w:vAlign w:val="bottom"/>
            <w:shd w:val="clear" w:color="auto" w:fill="F1F3F9"/>
          </w:tcPr>
          <w:p>
            <w:pPr>
              <w:jc w:val="center"/>
              <w:ind w:right="72"/>
              <w:spacing w:after="0"/>
              <w:rPr>
                <w:sz w:val="20"/>
                <w:szCs w:val="20"/>
                <w:color w:val="auto"/>
              </w:rPr>
            </w:pPr>
            <w:r>
              <w:rPr>
                <w:rFonts w:ascii="Arial" w:cs="Arial" w:eastAsia="Arial" w:hAnsi="Arial"/>
                <w:sz w:val="10"/>
                <w:szCs w:val="10"/>
                <w:b w:val="1"/>
                <w:bCs w:val="1"/>
                <w:color w:val="auto"/>
              </w:rPr>
              <w:t>95.8</w:t>
            </w:r>
          </w:p>
        </w:tc>
        <w:tc>
          <w:tcPr>
            <w:tcW w:w="880" w:type="dxa"/>
            <w:vAlign w:val="bottom"/>
            <w:gridSpan w:val="2"/>
            <w:vMerge w:val="continue"/>
            <w:shd w:val="clear" w:color="auto" w:fill="F1F3F9"/>
          </w:tcPr>
          <w:p>
            <w:pPr>
              <w:spacing w:after="0"/>
              <w:rPr>
                <w:sz w:val="10"/>
                <w:szCs w:val="10"/>
                <w:color w:val="auto"/>
              </w:rPr>
            </w:pPr>
          </w:p>
        </w:tc>
        <w:tc>
          <w:tcPr>
            <w:tcW w:w="660" w:type="dxa"/>
            <w:vAlign w:val="bottom"/>
            <w:shd w:val="clear" w:color="auto" w:fill="F1F3F9"/>
          </w:tcPr>
          <w:p>
            <w:pPr>
              <w:ind w:left="180"/>
              <w:spacing w:after="0"/>
              <w:rPr>
                <w:sz w:val="20"/>
                <w:szCs w:val="20"/>
                <w:color w:val="auto"/>
              </w:rPr>
            </w:pPr>
            <w:r>
              <w:rPr>
                <w:rFonts w:ascii="Arial" w:cs="Arial" w:eastAsia="Arial" w:hAnsi="Arial"/>
                <w:sz w:val="10"/>
                <w:szCs w:val="10"/>
                <w:b w:val="1"/>
                <w:bCs w:val="1"/>
                <w:color w:val="auto"/>
              </w:rPr>
              <w:t>10.1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5040" w:type="dxa"/>
            <w:vAlign w:val="bottom"/>
            <w:tcBorders>
              <w:top w:val="single" w:sz="8" w:color="105BAB"/>
              <w:bottom w:val="single" w:sz="8" w:color="auto"/>
            </w:tcBorders>
          </w:tcPr>
          <w:p>
            <w:pPr>
              <w:spacing w:after="0"/>
              <w:rPr>
                <w:sz w:val="17"/>
                <w:szCs w:val="17"/>
                <w:color w:val="auto"/>
              </w:rPr>
            </w:pPr>
          </w:p>
        </w:tc>
        <w:tc>
          <w:tcPr>
            <w:tcW w:w="4100" w:type="dxa"/>
            <w:vAlign w:val="bottom"/>
            <w:tcBorders>
              <w:top w:val="single" w:sz="8" w:color="105BAB"/>
              <w:bottom w:val="single" w:sz="8" w:color="auto"/>
            </w:tcBorders>
          </w:tcPr>
          <w:p>
            <w:pPr>
              <w:spacing w:after="0"/>
              <w:rPr>
                <w:sz w:val="17"/>
                <w:szCs w:val="17"/>
                <w:color w:val="auto"/>
              </w:rPr>
            </w:pPr>
          </w:p>
        </w:tc>
        <w:tc>
          <w:tcPr>
            <w:tcW w:w="640" w:type="dxa"/>
            <w:vAlign w:val="bottom"/>
            <w:tcBorders>
              <w:top w:val="single" w:sz="8" w:color="105BAB"/>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top w:val="single" w:sz="8" w:color="105BAB"/>
              <w:bottom w:val="single" w:sz="8" w:color="auto"/>
            </w:tcBorders>
          </w:tcPr>
          <w:p>
            <w:pPr>
              <w:spacing w:after="0"/>
              <w:rPr>
                <w:sz w:val="17"/>
                <w:szCs w:val="17"/>
                <w:color w:val="auto"/>
              </w:rPr>
            </w:pPr>
          </w:p>
        </w:tc>
        <w:tc>
          <w:tcPr>
            <w:tcW w:w="660" w:type="dxa"/>
            <w:vAlign w:val="bottom"/>
            <w:tcBorders>
              <w:top w:val="single" w:sz="8" w:color="105BAB"/>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88" w:hanging="188"/>
        <w:spacing w:after="0"/>
        <w:tabs>
          <w:tab w:leader="none" w:pos="188" w:val="left"/>
        </w:tabs>
        <w:numPr>
          <w:ilvl w:val="0"/>
          <w:numId w:val="39"/>
        </w:numPr>
        <w:rPr>
          <w:rFonts w:ascii="Arial" w:cs="Arial" w:eastAsia="Arial" w:hAnsi="Arial"/>
          <w:sz w:val="10"/>
          <w:szCs w:val="10"/>
          <w:color w:val="105BAB"/>
        </w:rPr>
      </w:pPr>
      <w:r>
        <w:rPr>
          <w:rFonts w:ascii="Arial" w:cs="Arial" w:eastAsia="Arial" w:hAnsi="Arial"/>
          <w:sz w:val="10"/>
          <w:szCs w:val="10"/>
          <w:color w:val="auto"/>
        </w:rPr>
        <w:t>The inclusion in this table of any Class A stock or common stock, as the case may be, deemed beneficially owned does not constitute an admission of beneficial ownership of those shares.</w:t>
      </w:r>
    </w:p>
    <w:p>
      <w:pPr>
        <w:spacing w:after="0" w:line="155" w:lineRule="exact"/>
        <w:rPr>
          <w:sz w:val="20"/>
          <w:szCs w:val="20"/>
          <w:color w:val="auto"/>
        </w:rPr>
      </w:pPr>
    </w:p>
    <w:p>
      <w:pPr>
        <w:ind w:left="188" w:right="100" w:hanging="188"/>
        <w:spacing w:after="0" w:line="232" w:lineRule="auto"/>
        <w:tabs>
          <w:tab w:leader="none" w:pos="188" w:val="left"/>
        </w:tabs>
        <w:numPr>
          <w:ilvl w:val="0"/>
          <w:numId w:val="40"/>
        </w:numPr>
        <w:rPr>
          <w:rFonts w:ascii="Arial" w:cs="Arial" w:eastAsia="Arial" w:hAnsi="Arial"/>
          <w:sz w:val="10"/>
          <w:szCs w:val="10"/>
          <w:color w:val="105BAB"/>
        </w:rPr>
      </w:pPr>
      <w:r>
        <w:rPr>
          <w:rFonts w:ascii="Arial" w:cs="Arial" w:eastAsia="Arial" w:hAnsi="Arial"/>
          <w:sz w:val="10"/>
          <w:szCs w:val="10"/>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56" w:lineRule="exact"/>
        <w:rPr>
          <w:sz w:val="20"/>
          <w:szCs w:val="20"/>
          <w:color w:val="auto"/>
        </w:rPr>
      </w:pPr>
    </w:p>
    <w:p>
      <w:pPr>
        <w:ind w:left="188" w:right="140" w:hanging="188"/>
        <w:spacing w:after="0" w:line="227" w:lineRule="auto"/>
        <w:tabs>
          <w:tab w:leader="none" w:pos="188" w:val="left"/>
        </w:tabs>
        <w:numPr>
          <w:ilvl w:val="0"/>
          <w:numId w:val="41"/>
        </w:numPr>
        <w:rPr>
          <w:rFonts w:ascii="Arial" w:cs="Arial" w:eastAsia="Arial" w:hAnsi="Arial"/>
          <w:sz w:val="10"/>
          <w:szCs w:val="10"/>
          <w:color w:val="105BAB"/>
        </w:rPr>
      </w:pPr>
      <w:r>
        <w:rPr>
          <w:rFonts w:ascii="Arial" w:cs="Arial" w:eastAsia="Arial" w:hAnsi="Arial"/>
          <w:sz w:val="10"/>
          <w:szCs w:val="10"/>
          <w:color w:val="auto"/>
        </w:rPr>
        <w:t>Based solely on an amendment to a Schedule 13D filed by Sanofi with the SEC on January 9, 2018. According to this amendment, 21,080,985 of the shares are held directly by sanofi-aventis Amérique du Nord and 2,799,552 of the shares are held directly by Aventisub LLC. sanofi-aventis Amérique du Nord is a direct, wholly-owned subsidiary of Sanofi. Aventisub LLC is an indirect, wholly-owned subsidiary of sanofi-aventis Amérique du Nord. Pursuant to the Amended and Restated Investor Agreement, dated as of January 11, 2014 (as amended), by and among Sanofi, sanofi-aventis US LLC, Aventis Pharmaceuticals Inc., and sanofi-aventis Amérique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outstanding shares or voting rights of common stock and Class A stock (taken together), and new equity compensation plans or amendments if not materially consistent with our historical equity compensation practices. See "The Company—Certain Relationships and Related Transactions—Transactions with Related Persons—Amended and Restated Investor Agreement with Sanofi; 2018 Letter Agreement" above for further information regarding the Amended and Restated Investor Agreement with Sanofi.</w:t>
      </w:r>
    </w:p>
    <w:p>
      <w:pPr>
        <w:spacing w:after="0" w:line="157" w:lineRule="exact"/>
        <w:rPr>
          <w:sz w:val="20"/>
          <w:szCs w:val="20"/>
          <w:color w:val="auto"/>
        </w:rPr>
      </w:pPr>
    </w:p>
    <w:p>
      <w:pPr>
        <w:ind w:left="188" w:right="40" w:hanging="188"/>
        <w:spacing w:after="0" w:line="232" w:lineRule="auto"/>
        <w:tabs>
          <w:tab w:leader="none" w:pos="188" w:val="left"/>
        </w:tabs>
        <w:numPr>
          <w:ilvl w:val="0"/>
          <w:numId w:val="42"/>
        </w:numPr>
        <w:rPr>
          <w:rFonts w:ascii="Arial" w:cs="Arial" w:eastAsia="Arial" w:hAnsi="Arial"/>
          <w:sz w:val="10"/>
          <w:szCs w:val="10"/>
          <w:color w:val="105BAB"/>
        </w:rPr>
      </w:pPr>
      <w:r>
        <w:rPr>
          <w:rFonts w:ascii="Arial" w:cs="Arial" w:eastAsia="Arial" w:hAnsi="Arial"/>
          <w:sz w:val="10"/>
          <w:szCs w:val="10"/>
          <w:color w:val="auto"/>
        </w:rPr>
        <w:t>Based solely on an amendment to a Schedule 13G filed by BlackRock, Inc. on January 29, 2018. According to this amendment, BlackRock, Inc. has sole voting power as to 5,418,337 of the shares reported as beneficially owned and sole dispositive power as to all of the shares reported as beneficially owned.</w:t>
      </w:r>
    </w:p>
    <w:p>
      <w:pPr>
        <w:spacing w:after="0" w:line="126"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type w:val="continuous"/>
        </w:sectPr>
      </w:pPr>
    </w:p>
    <w:bookmarkStart w:id="55" w:name="page56"/>
    <w:bookmarkEnd w:id="55"/>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8" w:right="20" w:hanging="208"/>
        <w:spacing w:after="0" w:line="227" w:lineRule="auto"/>
        <w:tabs>
          <w:tab w:leader="none" w:pos="208" w:val="left"/>
        </w:tabs>
        <w:numPr>
          <w:ilvl w:val="0"/>
          <w:numId w:val="43"/>
        </w:numPr>
        <w:rPr>
          <w:rFonts w:ascii="Arial" w:cs="Arial" w:eastAsia="Arial" w:hAnsi="Arial"/>
          <w:sz w:val="10"/>
          <w:szCs w:val="10"/>
          <w:color w:val="105BAB"/>
        </w:rPr>
      </w:pPr>
      <w:r>
        <w:rPr>
          <w:rFonts w:ascii="Arial" w:cs="Arial" w:eastAsia="Arial" w:hAnsi="Arial"/>
          <w:sz w:val="10"/>
          <w:szCs w:val="10"/>
          <w:color w:val="auto"/>
        </w:rPr>
        <w:t>Based solely on an amendment to a Schedule 13G jointly filed by FMR LLC and Abigail P. Johnson on February 13, 2018. According to this amendment, FMR LLC has sole voting power as to 813,612 of the shares reported as beneficially owned and sole dispositive power as to all of the shares reported as beneficially owned.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to form a controlling group with respect to FMR LLC. Neither FMR LLC nor Abigail P. Johnson has the sole power to vote or direct the voting of the shares owned directly by the various investment companies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57" w:lineRule="exact"/>
        <w:rPr>
          <w:sz w:val="20"/>
          <w:szCs w:val="20"/>
          <w:color w:val="auto"/>
        </w:rPr>
      </w:pPr>
    </w:p>
    <w:p>
      <w:pPr>
        <w:jc w:val="both"/>
        <w:ind w:left="208" w:right="40" w:hanging="208"/>
        <w:spacing w:after="0" w:line="230" w:lineRule="auto"/>
        <w:tabs>
          <w:tab w:leader="none" w:pos="208" w:val="left"/>
        </w:tabs>
        <w:numPr>
          <w:ilvl w:val="0"/>
          <w:numId w:val="44"/>
        </w:numPr>
        <w:rPr>
          <w:rFonts w:ascii="Arial" w:cs="Arial" w:eastAsia="Arial" w:hAnsi="Arial"/>
          <w:sz w:val="10"/>
          <w:szCs w:val="10"/>
          <w:color w:val="105BAB"/>
        </w:rPr>
      </w:pPr>
      <w:r>
        <w:rPr>
          <w:rFonts w:ascii="Arial" w:cs="Arial" w:eastAsia="Arial" w:hAnsi="Arial"/>
          <w:sz w:val="10"/>
          <w:szCs w:val="10"/>
          <w:color w:val="auto"/>
        </w:rPr>
        <w:t>Based solely on a Schedule 13G filed by The Vanguard Group, Inc. According to this filing, The Vanguard Group, Inc. has sole voting power as to 111,220, shared voting power as to 18,188, sole dispositive power as to 5,367,013, and shared dispositive power as to 127,038 of the shares reported as beneficially owned. Vanguard Fiduciary Trust Company, a wholly-owned subsidiary of The Vanguard Group, Inc., is the beneficial owner of 86,682 shares as a result of its serving as investment manager of collective trust accounts. Vanguard Investments Australia, Ltd., a wholly-owned subsidiary of The Vanguard Group, Inc., is the beneficial owner of 64,326 shares as a result of its serving as investment manager of Australian investment offerings.</w:t>
      </w:r>
    </w:p>
    <w:p>
      <w:pPr>
        <w:spacing w:after="0" w:line="156" w:lineRule="exact"/>
        <w:rPr>
          <w:sz w:val="20"/>
          <w:szCs w:val="20"/>
          <w:color w:val="auto"/>
        </w:rPr>
      </w:pPr>
    </w:p>
    <w:p>
      <w:pPr>
        <w:ind w:left="208" w:hanging="208"/>
        <w:spacing w:after="0"/>
        <w:tabs>
          <w:tab w:leader="none" w:pos="208" w:val="left"/>
        </w:tabs>
        <w:numPr>
          <w:ilvl w:val="0"/>
          <w:numId w:val="45"/>
        </w:numPr>
        <w:rPr>
          <w:rFonts w:ascii="Arial" w:cs="Arial" w:eastAsia="Arial" w:hAnsi="Arial"/>
          <w:sz w:val="10"/>
          <w:szCs w:val="10"/>
          <w:color w:val="105BAB"/>
        </w:rPr>
      </w:pPr>
      <w:r>
        <w:rPr>
          <w:rFonts w:ascii="Arial" w:cs="Arial" w:eastAsia="Arial" w:hAnsi="Arial"/>
          <w:sz w:val="10"/>
          <w:szCs w:val="10"/>
          <w:color w:val="auto"/>
        </w:rPr>
        <w:t>The address for each director and executive officer is c/o Regeneron Pharmaceuticals, Inc., 777 Old Saw Mill River Road, Tarrytown, New York 10591-6707.</w:t>
      </w:r>
    </w:p>
    <w:p>
      <w:pPr>
        <w:spacing w:after="0" w:line="155" w:lineRule="exact"/>
        <w:rPr>
          <w:rFonts w:ascii="Arial" w:cs="Arial" w:eastAsia="Arial" w:hAnsi="Arial"/>
          <w:sz w:val="10"/>
          <w:szCs w:val="10"/>
          <w:color w:val="105BAB"/>
        </w:rPr>
      </w:pPr>
    </w:p>
    <w:p>
      <w:pPr>
        <w:ind w:left="8"/>
        <w:spacing w:after="0"/>
        <w:rPr>
          <w:rFonts w:ascii="Arial" w:cs="Arial" w:eastAsia="Arial" w:hAnsi="Arial"/>
          <w:sz w:val="10"/>
          <w:szCs w:val="10"/>
          <w:color w:val="105BAB"/>
        </w:rPr>
      </w:pPr>
      <w:r>
        <w:rPr>
          <w:rFonts w:ascii="Arial" w:cs="Arial" w:eastAsia="Arial" w:hAnsi="Arial"/>
          <w:sz w:val="10"/>
          <w:szCs w:val="10"/>
          <w:color w:val="105BAB"/>
        </w:rPr>
        <w:t xml:space="preserve">8   </w:t>
      </w:r>
      <w:r>
        <w:rPr>
          <w:rFonts w:ascii="Arial" w:cs="Arial" w:eastAsia="Arial" w:hAnsi="Arial"/>
          <w:sz w:val="10"/>
          <w:szCs w:val="10"/>
          <w:color w:val="000000"/>
        </w:rPr>
        <w:t>Includes 15,775 shares of Class A stock held in trust for the benefit of Dr. Schleifer's son, of which Dr. Schleifer is a trustee.</w:t>
      </w:r>
    </w:p>
    <w:p>
      <w:pPr>
        <w:spacing w:after="0" w:line="155" w:lineRule="exact"/>
        <w:rPr>
          <w:sz w:val="20"/>
          <w:szCs w:val="20"/>
          <w:color w:val="auto"/>
        </w:rPr>
      </w:pPr>
    </w:p>
    <w:p>
      <w:pPr>
        <w:ind w:left="208" w:right="140" w:hanging="208"/>
        <w:spacing w:after="0" w:line="230" w:lineRule="auto"/>
        <w:tabs>
          <w:tab w:leader="none" w:pos="208" w:val="left"/>
        </w:tabs>
        <w:numPr>
          <w:ilvl w:val="0"/>
          <w:numId w:val="46"/>
        </w:numPr>
        <w:rPr>
          <w:rFonts w:ascii="Arial" w:cs="Arial" w:eastAsia="Arial" w:hAnsi="Arial"/>
          <w:sz w:val="10"/>
          <w:szCs w:val="10"/>
          <w:color w:val="105BAB"/>
        </w:rPr>
      </w:pPr>
      <w:r>
        <w:rPr>
          <w:rFonts w:ascii="Arial" w:cs="Arial" w:eastAsia="Arial" w:hAnsi="Arial"/>
          <w:sz w:val="10"/>
          <w:szCs w:val="10"/>
          <w:color w:val="auto"/>
        </w:rPr>
        <w:t>Includes (i) 2,133,282 shares of common stock purchasable upon the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and (ii) 5,754 shares of common stock held in an account under the Company's 401(k) Savings Plan.</w:t>
      </w:r>
    </w:p>
    <w:p>
      <w:pPr>
        <w:spacing w:after="0" w:line="156" w:lineRule="exact"/>
        <w:rPr>
          <w:sz w:val="20"/>
          <w:szCs w:val="20"/>
          <w:color w:val="auto"/>
        </w:rPr>
      </w:pPr>
    </w:p>
    <w:p>
      <w:pPr>
        <w:ind w:left="208" w:hanging="208"/>
        <w:spacing w:after="0" w:line="228"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Includes (i) 1,601,266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2,310 shares of common stock held in an account under the Company's 401(k) Savings Plan; (iii) 148,544 shares of common stock held in a charitable lead annuity trust, of which Dr. Vagelos is the trustee; (iv) 83,652 shares of common stock held in a trust for his grandchildren, of which Dr. Vagelos's wife is the trustee; (v) 1,203 shares of common stock held in trusts for his grandchildren, of which Dr. Vagelos and/or his wife are trustees; and (vi) 109,385 shares of common stock and 215,699 shares of common stock held by the Marianthi Foundation and the Pindaros Foundation, respectively, both of which are charitable foundations of which Dr. Vagelos is a director and an officer. Dr. Vagelos disclaims beneficial ownership of the shares held by these charitable foundations.</w:t>
      </w:r>
    </w:p>
    <w:p>
      <w:pPr>
        <w:spacing w:after="0" w:line="156" w:lineRule="exact"/>
        <w:rPr>
          <w:rFonts w:ascii="Arial" w:cs="Arial" w:eastAsia="Arial" w:hAnsi="Arial"/>
          <w:sz w:val="10"/>
          <w:szCs w:val="10"/>
          <w:color w:val="105BAB"/>
        </w:rPr>
      </w:pPr>
    </w:p>
    <w:p>
      <w:pPr>
        <w:ind w:left="208" w:hanging="208"/>
        <w:spacing w:after="0"/>
        <w:tabs>
          <w:tab w:leader="none" w:pos="208" w:val="left"/>
        </w:tabs>
        <w:numPr>
          <w:ilvl w:val="0"/>
          <w:numId w:val="47"/>
        </w:numPr>
        <w:rPr>
          <w:rFonts w:ascii="Arial" w:cs="Arial" w:eastAsia="Arial" w:hAnsi="Arial"/>
          <w:sz w:val="8"/>
          <w:szCs w:val="8"/>
          <w:color w:val="105BAB"/>
        </w:rPr>
      </w:pPr>
      <w:r>
        <w:rPr>
          <w:rFonts w:ascii="Arial" w:cs="Arial" w:eastAsia="Arial" w:hAnsi="Arial"/>
          <w:sz w:val="8"/>
          <w:szCs w:val="8"/>
          <w:color w:val="auto"/>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178" w:lineRule="exact"/>
        <w:rPr>
          <w:rFonts w:ascii="Arial" w:cs="Arial" w:eastAsia="Arial" w:hAnsi="Arial"/>
          <w:sz w:val="8"/>
          <w:szCs w:val="8"/>
          <w:color w:val="105BAB"/>
        </w:rPr>
      </w:pPr>
    </w:p>
    <w:p>
      <w:pPr>
        <w:ind w:left="208" w:right="60" w:hanging="208"/>
        <w:spacing w:after="0" w:line="229"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Includes (i) 1,816,080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5,728 shares of common stock held in an account under the Company's 401(k) Savings Plan; (iii) 900,000 shares held in separate grantor retained annuity trusts, of which Dr. Yancopoulos is the trustee; and (iv) 86,820 shares of common stock held in trust for the benefit of Dr. Yancopoulos's children and certain other family members, of which Dr. Yancopoulos is a trustee.</w:t>
      </w:r>
    </w:p>
    <w:p>
      <w:pPr>
        <w:spacing w:after="0" w:line="155" w:lineRule="exact"/>
        <w:rPr>
          <w:rFonts w:ascii="Arial" w:cs="Arial" w:eastAsia="Arial" w:hAnsi="Arial"/>
          <w:sz w:val="10"/>
          <w:szCs w:val="10"/>
          <w:color w:val="105BAB"/>
        </w:rPr>
      </w:pPr>
    </w:p>
    <w:p>
      <w:pPr>
        <w:ind w:left="208" w:right="120" w:hanging="208"/>
        <w:spacing w:after="0" w:line="232"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Consists of 4,350 shares of common stock purchasable upon exercise of options granted pursuant to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hanging="208"/>
        <w:spacing w:after="0"/>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All shares of Class A stock are held by a limited partnership, of which Mr. Baker is a general partner.</w:t>
      </w:r>
    </w:p>
    <w:p>
      <w:pPr>
        <w:spacing w:after="0" w:line="155" w:lineRule="exact"/>
        <w:rPr>
          <w:rFonts w:ascii="Arial" w:cs="Arial" w:eastAsia="Arial" w:hAnsi="Arial"/>
          <w:sz w:val="10"/>
          <w:szCs w:val="10"/>
          <w:color w:val="105BAB"/>
        </w:rPr>
      </w:pPr>
    </w:p>
    <w:p>
      <w:pPr>
        <w:ind w:left="208" w:right="320" w:hanging="208"/>
        <w:spacing w:after="0" w:line="232"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Includes 92,340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right="120" w:hanging="208"/>
        <w:spacing w:after="0" w:line="232"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Consists of 5,931 shares of common stock purchasable upon exercise of options granted pursuant to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right="100" w:hanging="208"/>
        <w:spacing w:after="0" w:line="229"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Consists of (i) 33,840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12,349 shares of common stock held in a trust of which Dr. Brown and his spouse are trustees for the benefit of Dr. Brown's immediate family members; (iii) 5,000 shares of common stock held in a trust of which Dr. Brown's spouse is trustee for the benefit of Dr. Brown's immediate family members; and (iv) 4,500 shares of common stock held by a family charitable foundation of which Dr. Brown is a director and an officer and his wife is a director. Dr. Brown disclaims beneficial ownership of the shares referenced in (iii) and (iv).</w:t>
      </w:r>
    </w:p>
    <w:p>
      <w:pPr>
        <w:spacing w:after="0" w:line="155" w:lineRule="exact"/>
        <w:rPr>
          <w:rFonts w:ascii="Arial" w:cs="Arial" w:eastAsia="Arial" w:hAnsi="Arial"/>
          <w:sz w:val="10"/>
          <w:szCs w:val="10"/>
          <w:color w:val="105BAB"/>
        </w:rPr>
      </w:pPr>
    </w:p>
    <w:p>
      <w:pPr>
        <w:ind w:left="208" w:right="320" w:hanging="208"/>
        <w:spacing w:after="0" w:line="232"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Includes 37,090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right="280" w:hanging="208"/>
        <w:spacing w:after="0" w:line="232" w:lineRule="auto"/>
        <w:tabs>
          <w:tab w:leader="none" w:pos="208" w:val="left"/>
        </w:tabs>
        <w:numPr>
          <w:ilvl w:val="0"/>
          <w:numId w:val="47"/>
        </w:numPr>
        <w:rPr>
          <w:rFonts w:ascii="Arial" w:cs="Arial" w:eastAsia="Arial" w:hAnsi="Arial"/>
          <w:sz w:val="10"/>
          <w:szCs w:val="10"/>
          <w:color w:val="105BAB"/>
        </w:rPr>
      </w:pPr>
      <w:r>
        <w:rPr>
          <w:rFonts w:ascii="Arial" w:cs="Arial" w:eastAsia="Arial" w:hAnsi="Arial"/>
          <w:sz w:val="10"/>
          <w:szCs w:val="10"/>
          <w:color w:val="auto"/>
        </w:rPr>
        <w:t>Includes 101,870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w:t>
      </w:r>
    </w:p>
    <w:p>
      <w:pPr>
        <w:spacing w:after="0" w:line="126" w:lineRule="exact"/>
        <w:rPr>
          <w:sz w:val="20"/>
          <w:szCs w:val="20"/>
          <w:color w:val="auto"/>
        </w:rPr>
      </w:pPr>
    </w:p>
    <w:p>
      <w:pPr>
        <w:ind w:left="11028"/>
        <w:spacing w:after="0"/>
        <w:rPr>
          <w:sz w:val="20"/>
          <w:szCs w:val="20"/>
          <w:color w:val="auto"/>
        </w:rPr>
      </w:pPr>
      <w:r>
        <w:rPr>
          <w:rFonts w:ascii="Arial" w:cs="Arial" w:eastAsia="Arial" w:hAnsi="Arial"/>
          <w:sz w:val="10"/>
          <w:szCs w:val="10"/>
          <w:b w:val="1"/>
          <w:bCs w:val="1"/>
          <w:color w:val="FFFFF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bookmarkStart w:id="56" w:name="page57"/>
    <w:bookmarkEnd w:id="56"/>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8" w:right="320" w:hanging="208"/>
        <w:spacing w:after="0" w:line="232"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33,090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hanging="208"/>
        <w:spacing w:after="0" w:line="230"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(i) 92,340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3,000 shares of common stock held by Mr. Sing's spouse; (iii) 4,500 shares of common stock held by Mr. Sing's spouse as custodian for the benefit of their son; and (iv) 10,000 shares of common stock held in a trust for benefit of Mr. Sing's son.</w:t>
      </w:r>
    </w:p>
    <w:p>
      <w:pPr>
        <w:spacing w:after="0" w:line="155" w:lineRule="exact"/>
        <w:rPr>
          <w:rFonts w:ascii="Arial" w:cs="Arial" w:eastAsia="Arial" w:hAnsi="Arial"/>
          <w:sz w:val="10"/>
          <w:szCs w:val="10"/>
          <w:color w:val="105BAB"/>
        </w:rPr>
      </w:pPr>
    </w:p>
    <w:p>
      <w:pPr>
        <w:ind w:left="208" w:right="320" w:hanging="208"/>
        <w:spacing w:after="0" w:line="232"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61,619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right="160" w:hanging="208"/>
        <w:spacing w:after="0" w:line="230"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(i) 103,092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5,000 shares of restricted stock which vest on September 9, 2018; and (iii) 109 shares of common stock held in an account under the Company's 401(k) Savings Plan.</w:t>
      </w:r>
    </w:p>
    <w:p>
      <w:pPr>
        <w:spacing w:after="0" w:line="155" w:lineRule="exact"/>
        <w:rPr>
          <w:rFonts w:ascii="Arial" w:cs="Arial" w:eastAsia="Arial" w:hAnsi="Arial"/>
          <w:sz w:val="10"/>
          <w:szCs w:val="10"/>
          <w:color w:val="105BAB"/>
        </w:rPr>
      </w:pPr>
    </w:p>
    <w:p>
      <w:pPr>
        <w:ind w:left="208" w:right="160" w:hanging="208"/>
        <w:spacing w:after="0" w:line="230"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(i) 466,784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6,977 shares of common stock held in separate grantor retained annuity trusts of which Dr. Stahl is the trustee; and (iii) 5,673 shares of common stock held in an account under the Company's 401(k) Savings Plan.</w:t>
      </w:r>
    </w:p>
    <w:p>
      <w:pPr>
        <w:spacing w:after="0" w:line="155" w:lineRule="exact"/>
        <w:rPr>
          <w:rFonts w:ascii="Arial" w:cs="Arial" w:eastAsia="Arial" w:hAnsi="Arial"/>
          <w:sz w:val="10"/>
          <w:szCs w:val="10"/>
          <w:color w:val="105BAB"/>
        </w:rPr>
      </w:pPr>
    </w:p>
    <w:p>
      <w:pPr>
        <w:ind w:left="208" w:right="160" w:hanging="208"/>
        <w:spacing w:after="0" w:line="230"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(i) 301,814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6,043 shares of common stock held in a grantor retained annuity trust of which Mr. Van Plew is the trustee; and (iii) 1,488 shares of common stock held in an account under the Company's 401(k) Savings Plan.</w:t>
      </w:r>
    </w:p>
    <w:p>
      <w:pPr>
        <w:spacing w:after="0" w:line="155" w:lineRule="exact"/>
        <w:rPr>
          <w:rFonts w:ascii="Arial" w:cs="Arial" w:eastAsia="Arial" w:hAnsi="Arial"/>
          <w:sz w:val="10"/>
          <w:szCs w:val="10"/>
          <w:color w:val="105BAB"/>
        </w:rPr>
      </w:pPr>
    </w:p>
    <w:p>
      <w:pPr>
        <w:ind w:left="208" w:right="120" w:hanging="208"/>
        <w:spacing w:after="0" w:line="232"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Consists of 5,931 shares of common stock purchasable upon exercise of options granted pursuant to the Regeneron Pharmaceuticals, Inc. 2014 Long-Term Incentive Plan or the Amended and Restated Regeneron Pharmaceuticals, Inc. 2014 Long-Term Incentive Plan that are exercisable or become so within sixty days after April 12, 2018.</w:t>
      </w:r>
    </w:p>
    <w:p>
      <w:pPr>
        <w:spacing w:after="0" w:line="155" w:lineRule="exact"/>
        <w:rPr>
          <w:rFonts w:ascii="Arial" w:cs="Arial" w:eastAsia="Arial" w:hAnsi="Arial"/>
          <w:sz w:val="10"/>
          <w:szCs w:val="10"/>
          <w:color w:val="105BAB"/>
        </w:rPr>
      </w:pPr>
    </w:p>
    <w:p>
      <w:pPr>
        <w:ind w:left="208" w:right="40" w:hanging="208"/>
        <w:spacing w:after="0" w:line="230" w:lineRule="auto"/>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Includes (i) 7,179,796 shares of common stock purchasable upon exercise of options granted pursuant to the Regeneron Pharmaceuticals, Inc. Second Amended and Restated 2000 Long-Term Incentive Plan, the Regeneron Pharmaceuticals, Inc. 2014 Long-Term Incentive Plan, or the Amended and Restated Regeneron Pharmaceuticals, Inc. 2014 Long-Term Incentive Plan that are exercisable or become so within sixty days after April 12, 2018; (ii) 7,500 shares of unvested restricted stock; and (iii) 22,605 shares of common stock held in an account under the Company's 401(k) Savings Plan.</w:t>
      </w:r>
    </w:p>
    <w:p>
      <w:pPr>
        <w:spacing w:after="0" w:line="155" w:lineRule="exact"/>
        <w:rPr>
          <w:rFonts w:ascii="Arial" w:cs="Arial" w:eastAsia="Arial" w:hAnsi="Arial"/>
          <w:sz w:val="10"/>
          <w:szCs w:val="10"/>
          <w:color w:val="105BAB"/>
        </w:rPr>
      </w:pPr>
    </w:p>
    <w:p>
      <w:pPr>
        <w:ind w:left="208" w:hanging="208"/>
        <w:spacing w:after="0"/>
        <w:tabs>
          <w:tab w:leader="none" w:pos="208" w:val="left"/>
        </w:tabs>
        <w:numPr>
          <w:ilvl w:val="0"/>
          <w:numId w:val="48"/>
        </w:numPr>
        <w:rPr>
          <w:rFonts w:ascii="Arial" w:cs="Arial" w:eastAsia="Arial" w:hAnsi="Arial"/>
          <w:sz w:val="10"/>
          <w:szCs w:val="10"/>
          <w:color w:val="105BAB"/>
        </w:rPr>
      </w:pPr>
      <w:r>
        <w:rPr>
          <w:rFonts w:ascii="Arial" w:cs="Arial" w:eastAsia="Arial" w:hAnsi="Arial"/>
          <w:sz w:val="10"/>
          <w:szCs w:val="10"/>
          <w:color w:val="auto"/>
        </w:rPr>
        <w:t>Represents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2376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p>
      <w:pPr>
        <w:spacing w:after="0" w:line="213" w:lineRule="exact"/>
        <w:rPr>
          <w:sz w:val="20"/>
          <w:szCs w:val="20"/>
          <w:color w:val="auto"/>
        </w:rPr>
      </w:pPr>
    </w:p>
    <w:p>
      <w:pPr>
        <w:ind w:left="8"/>
        <w:spacing w:after="0" w:line="260" w:lineRule="auto"/>
        <w:rPr>
          <w:sz w:val="20"/>
          <w:szCs w:val="20"/>
          <w:color w:val="auto"/>
        </w:rPr>
      </w:pPr>
      <w:r>
        <w:rPr>
          <w:rFonts w:ascii="Arial" w:cs="Arial" w:eastAsia="Arial" w:hAnsi="Arial"/>
          <w:sz w:val="16"/>
          <w:szCs w:val="16"/>
          <w:color w:val="105BAB"/>
        </w:rPr>
        <w:t>SHAREHOLDER COMMUNICATIONS</w:t>
      </w:r>
    </w:p>
    <w:p>
      <w:pPr>
        <w:spacing w:after="0" w:line="200" w:lineRule="exact"/>
        <w:rPr>
          <w:sz w:val="20"/>
          <w:szCs w:val="20"/>
          <w:color w:val="auto"/>
        </w:rPr>
      </w:pPr>
    </w:p>
    <w:p>
      <w:pPr>
        <w:spacing w:after="0" w:line="350"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60"/>
        <w:spacing w:after="0" w:line="236" w:lineRule="auto"/>
        <w:rPr>
          <w:sz w:val="20"/>
          <w:szCs w:val="20"/>
          <w:color w:val="auto"/>
        </w:rPr>
      </w:pPr>
      <w:r>
        <w:rPr>
          <w:rFonts w:ascii="Arial" w:cs="Arial" w:eastAsia="Arial" w:hAnsi="Arial"/>
          <w:sz w:val="12"/>
          <w:szCs w:val="12"/>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244475</wp:posOffset>
            </wp:positionV>
            <wp:extent cx="7299325" cy="18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508" w:space="420"/>
            <w:col w:w="9540"/>
          </w:cols>
          <w:pgMar w:left="212" w:top="142" w:right="219" w:bottom="1440" w:gutter="0" w:footer="0" w:header="0"/>
          <w:type w:val="continuous"/>
        </w:sectPr>
      </w:pPr>
    </w:p>
    <w:bookmarkStart w:id="57" w:name="page58"/>
    <w:bookmarkEnd w:id="57"/>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95885</wp:posOffset>
            </wp:positionV>
            <wp:extent cx="4787265" cy="12357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87265" cy="12357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1490980</wp:posOffset>
            </wp:positionV>
            <wp:extent cx="722376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8" w:lineRule="auto"/>
        <w:rPr>
          <w:sz w:val="20"/>
          <w:szCs w:val="20"/>
          <w:color w:val="auto"/>
        </w:rPr>
      </w:pPr>
      <w:r>
        <w:rPr>
          <w:rFonts w:ascii="Arial" w:cs="Arial" w:eastAsia="Arial" w:hAnsi="Arial"/>
          <w:sz w:val="21"/>
          <w:szCs w:val="21"/>
          <w:color w:val="D21C5A"/>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EE"/>
            </w:tcBorders>
            <w:gridSpan w:val="11"/>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INTRODUCTION</w:t>
              </w:r>
            </w:hyperlink>
          </w:p>
        </w:tc>
        <w:tc>
          <w:tcPr>
            <w:tcW w:w="2040" w:type="dxa"/>
            <w:vAlign w:val="bottom"/>
            <w:gridSpan w:val="19"/>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105BAB"/>
              </w:rPr>
              <w:t>48</w:t>
            </w:r>
          </w:p>
        </w:tc>
        <w:tc>
          <w:tcPr>
            <w:tcW w:w="200" w:type="dxa"/>
            <w:vAlign w:val="bottom"/>
          </w:tcPr>
          <w:p>
            <w:pPr>
              <w:spacing w:after="0"/>
              <w:rPr>
                <w:sz w:val="14"/>
                <w:szCs w:val="14"/>
                <w:color w:val="auto"/>
              </w:rPr>
            </w:pPr>
          </w:p>
        </w:tc>
        <w:tc>
          <w:tcPr>
            <w:tcW w:w="2120" w:type="dxa"/>
            <w:vAlign w:val="bottom"/>
            <w:tcBorders>
              <w:bottom w:val="single" w:sz="8" w:color="0000EE"/>
            </w:tcBorders>
            <w:gridSpan w:val="16"/>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COMPENSATION DASHBOARD</w:t>
              </w:r>
            </w:hyperlink>
          </w:p>
        </w:tc>
        <w:tc>
          <w:tcPr>
            <w:tcW w:w="2420" w:type="dxa"/>
            <w:vAlign w:val="bottom"/>
            <w:gridSpan w:val="2"/>
          </w:tcPr>
          <w:p>
            <w:pPr>
              <w:spacing w:after="0"/>
              <w:rPr>
                <w:sz w:val="14"/>
                <w:szCs w:val="14"/>
                <w:color w:val="auto"/>
              </w:rPr>
            </w:pPr>
          </w:p>
        </w:tc>
        <w:tc>
          <w:tcPr>
            <w:tcW w:w="460" w:type="dxa"/>
            <w:vAlign w:val="bottom"/>
          </w:tcPr>
          <w:p>
            <w:pPr>
              <w:jc w:val="right"/>
              <w:ind w:right="71"/>
              <w:spacing w:after="0"/>
              <w:rPr>
                <w:sz w:val="20"/>
                <w:szCs w:val="20"/>
                <w:color w:val="auto"/>
              </w:rPr>
            </w:pPr>
            <w:r>
              <w:rPr>
                <w:rFonts w:ascii="Arial" w:cs="Arial" w:eastAsia="Arial" w:hAnsi="Arial"/>
                <w:sz w:val="14"/>
                <w:szCs w:val="14"/>
                <w:color w:val="105BAB"/>
              </w:rPr>
              <w:t>73</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2240" w:type="dxa"/>
            <w:vAlign w:val="bottom"/>
            <w:gridSpan w:val="28"/>
            <w:vMerge w:val="restart"/>
          </w:tcPr>
          <w:p>
            <w:pPr>
              <w:spacing w:after="0"/>
              <w:rPr>
                <w:rFonts w:ascii="Arial" w:cs="Arial" w:eastAsia="Arial" w:hAnsi="Arial"/>
                <w:sz w:val="10"/>
                <w:szCs w:val="10"/>
                <w:b w:val="1"/>
                <w:bCs w:val="1"/>
                <w:color w:val="0000EE"/>
                <w:w w:val="94"/>
              </w:rPr>
            </w:pPr>
            <w:hyperlink w:anchor="page59">
              <w:r>
                <w:rPr>
                  <w:rFonts w:ascii="Arial" w:cs="Arial" w:eastAsia="Arial" w:hAnsi="Arial"/>
                  <w:sz w:val="10"/>
                  <w:szCs w:val="10"/>
                  <w:b w:val="1"/>
                  <w:bCs w:val="1"/>
                  <w:color w:val="0000EE"/>
                  <w:w w:val="94"/>
                </w:rPr>
                <w:t>Regeneron's General Approach to Compensation</w:t>
              </w:r>
            </w:hyperlink>
          </w:p>
        </w:tc>
        <w:tc>
          <w:tcPr>
            <w:tcW w:w="760" w:type="dxa"/>
            <w:vAlign w:val="bottom"/>
            <w:vMerge w:val="restart"/>
          </w:tcPr>
          <w:p>
            <w:pPr>
              <w:spacing w:after="0"/>
              <w:rPr>
                <w:sz w:val="10"/>
                <w:szCs w:val="10"/>
                <w:color w:val="auto"/>
              </w:rPr>
            </w:pPr>
          </w:p>
        </w:tc>
        <w:tc>
          <w:tcPr>
            <w:tcW w:w="172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7"/>
            <w:vMerge w:val="restart"/>
          </w:tcPr>
          <w:p>
            <w:pPr>
              <w:spacing w:after="0"/>
              <w:rPr>
                <w:rFonts w:ascii="Arial" w:cs="Arial" w:eastAsia="Arial" w:hAnsi="Arial"/>
                <w:sz w:val="10"/>
                <w:szCs w:val="10"/>
                <w:b w:val="1"/>
                <w:bCs w:val="1"/>
                <w:color w:val="0000EE"/>
                <w:w w:val="94"/>
              </w:rPr>
            </w:pPr>
            <w:hyperlink w:anchor="page84">
              <w:r>
                <w:rPr>
                  <w:rFonts w:ascii="Arial" w:cs="Arial" w:eastAsia="Arial" w:hAnsi="Arial"/>
                  <w:sz w:val="10"/>
                  <w:szCs w:val="10"/>
                  <w:b w:val="1"/>
                  <w:bCs w:val="1"/>
                  <w:color w:val="0000EE"/>
                  <w:w w:val="94"/>
                </w:rPr>
                <w:t>2017 Compensation Tables</w:t>
              </w:r>
            </w:hyperlink>
          </w:p>
        </w:tc>
        <w:tc>
          <w:tcPr>
            <w:tcW w:w="3140" w:type="dxa"/>
            <w:vAlign w:val="bottom"/>
            <w:gridSpan w:val="10"/>
            <w:vMerge w:val="restart"/>
          </w:tcPr>
          <w:p>
            <w:pPr>
              <w:spacing w:after="0"/>
              <w:rPr>
                <w:sz w:val="10"/>
                <w:szCs w:val="10"/>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b w:val="1"/>
                <w:bCs w:val="1"/>
                <w:color w:val="auto"/>
              </w:rPr>
              <w:t>73</w:t>
            </w: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2240" w:type="dxa"/>
            <w:vAlign w:val="bottom"/>
            <w:tcBorders>
              <w:bottom w:val="single" w:sz="8" w:color="0000EE"/>
            </w:tcBorders>
            <w:gridSpan w:val="28"/>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0000EE"/>
            </w:tcBorders>
            <w:gridSpan w:val="7"/>
            <w:vMerge w:val="continue"/>
          </w:tcPr>
          <w:p>
            <w:pPr>
              <w:spacing w:after="0"/>
              <w:rPr>
                <w:sz w:val="2"/>
                <w:szCs w:val="2"/>
                <w:color w:val="auto"/>
              </w:rPr>
            </w:pPr>
          </w:p>
        </w:tc>
        <w:tc>
          <w:tcPr>
            <w:tcW w:w="3140" w:type="dxa"/>
            <w:vAlign w:val="bottom"/>
            <w:gridSpan w:val="10"/>
            <w:vMerge w:val="continue"/>
          </w:tcPr>
          <w:p>
            <w:pPr>
              <w:spacing w:after="0"/>
              <w:rPr>
                <w:sz w:val="2"/>
                <w:szCs w:val="2"/>
                <w:color w:val="auto"/>
              </w:rPr>
            </w:pPr>
          </w:p>
        </w:tc>
        <w:tc>
          <w:tcPr>
            <w:tcW w:w="460" w:type="dxa"/>
            <w:vAlign w:val="bottom"/>
            <w:vMerge w:val="restart"/>
          </w:tcPr>
          <w:p>
            <w:pPr>
              <w:jc w:val="right"/>
              <w:ind w:right="71"/>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9"/>
            <w:vMerge w:val="restart"/>
          </w:tcPr>
          <w:p>
            <w:pPr>
              <w:spacing w:after="0" w:line="106" w:lineRule="exact"/>
              <w:rPr>
                <w:rFonts w:ascii="Arial" w:cs="Arial" w:eastAsia="Arial" w:hAnsi="Arial"/>
                <w:sz w:val="10"/>
                <w:szCs w:val="10"/>
                <w:color w:val="0000EE"/>
                <w:w w:val="94"/>
              </w:rPr>
            </w:pPr>
            <w:hyperlink w:anchor="page84">
              <w:r>
                <w:rPr>
                  <w:rFonts w:ascii="Arial" w:cs="Arial" w:eastAsia="Arial" w:hAnsi="Arial"/>
                  <w:sz w:val="10"/>
                  <w:szCs w:val="10"/>
                  <w:color w:val="0000EE"/>
                  <w:w w:val="94"/>
                </w:rPr>
                <w:t>2017 Summary Compensation Table</w:t>
              </w:r>
            </w:hyperlink>
          </w:p>
        </w:tc>
        <w:tc>
          <w:tcPr>
            <w:tcW w:w="2820" w:type="dxa"/>
            <w:vAlign w:val="bottom"/>
            <w:gridSpan w:val="8"/>
            <w:vMerge w:val="restart"/>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0000EE"/>
            </w:tcBorders>
            <w:gridSpan w:val="9"/>
            <w:vMerge w:val="continue"/>
          </w:tcPr>
          <w:p>
            <w:pPr>
              <w:spacing w:after="0"/>
              <w:rPr>
                <w:sz w:val="3"/>
                <w:szCs w:val="3"/>
                <w:color w:val="auto"/>
              </w:rPr>
            </w:pPr>
          </w:p>
        </w:tc>
        <w:tc>
          <w:tcPr>
            <w:tcW w:w="282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280" w:type="dxa"/>
            <w:vAlign w:val="bottom"/>
            <w:vMerge w:val="restart"/>
          </w:tcPr>
          <w:p>
            <w:pPr>
              <w:spacing w:after="0"/>
              <w:rPr>
                <w:sz w:val="9"/>
                <w:szCs w:val="9"/>
                <w:color w:val="auto"/>
              </w:rPr>
            </w:pPr>
          </w:p>
        </w:tc>
        <w:tc>
          <w:tcPr>
            <w:tcW w:w="4100" w:type="dxa"/>
            <w:vAlign w:val="bottom"/>
            <w:gridSpan w:val="16"/>
            <w:vMerge w:val="restart"/>
          </w:tcPr>
          <w:p>
            <w:pPr>
              <w:spacing w:after="0"/>
              <w:rPr>
                <w:rFonts w:ascii="Arial" w:cs="Arial" w:eastAsia="Arial" w:hAnsi="Arial"/>
                <w:sz w:val="10"/>
                <w:szCs w:val="10"/>
                <w:color w:val="0000EE"/>
              </w:rPr>
            </w:pPr>
            <w:hyperlink w:anchor="page85">
              <w:r>
                <w:rPr>
                  <w:rFonts w:ascii="Arial" w:cs="Arial" w:eastAsia="Arial" w:hAnsi="Arial"/>
                  <w:sz w:val="10"/>
                  <w:szCs w:val="10"/>
                  <w:color w:val="0000EE"/>
                </w:rPr>
                <w:t>2017 Grants of Plan-Based Awards</w:t>
              </w:r>
            </w:hyperlink>
          </w:p>
        </w:tc>
        <w:tc>
          <w:tcPr>
            <w:tcW w:w="460" w:type="dxa"/>
            <w:vAlign w:val="bottom"/>
            <w:vMerge w:val="restart"/>
          </w:tcPr>
          <w:p>
            <w:pPr>
              <w:jc w:val="right"/>
              <w:ind w:right="71"/>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100" w:type="dxa"/>
            <w:vAlign w:val="bottom"/>
            <w:gridSpan w:val="16"/>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16"/>
          </w:tcPr>
          <w:p>
            <w:pPr>
              <w:spacing w:after="0"/>
              <w:rPr>
                <w:rFonts w:ascii="Arial" w:cs="Arial" w:eastAsia="Arial" w:hAnsi="Arial"/>
                <w:sz w:val="10"/>
                <w:szCs w:val="10"/>
                <w:color w:val="0000EE"/>
              </w:rPr>
            </w:pPr>
            <w:hyperlink w:anchor="page86">
              <w:r>
                <w:rPr>
                  <w:rFonts w:ascii="Arial" w:cs="Arial" w:eastAsia="Arial" w:hAnsi="Arial"/>
                  <w:sz w:val="10"/>
                  <w:szCs w:val="10"/>
                  <w:color w:val="0000EE"/>
                </w:rPr>
                <w:t>Outstanding Equity Awards at 2017</w:t>
              </w:r>
            </w:hyperlink>
          </w:p>
        </w:tc>
        <w:tc>
          <w:tcPr>
            <w:tcW w:w="460" w:type="dxa"/>
            <w:vAlign w:val="bottom"/>
            <w:vMerge w:val="restart"/>
          </w:tcPr>
          <w:p>
            <w:pPr>
              <w:jc w:val="right"/>
              <w:ind w:right="71"/>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88"/>
        </w:trPr>
        <w:tc>
          <w:tcPr>
            <w:tcW w:w="3180" w:type="dxa"/>
            <w:vAlign w:val="bottom"/>
            <w:gridSpan w:val="30"/>
            <w:vMerge w:val="restart"/>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COMPENSATION DISCUSSION AND ANALYSIS</w:t>
              </w:r>
            </w:hyperlink>
          </w:p>
        </w:tc>
        <w:tc>
          <w:tcPr>
            <w:tcW w:w="1720" w:type="dxa"/>
            <w:vAlign w:val="bottom"/>
            <w:vMerge w:val="restart"/>
          </w:tcPr>
          <w:p>
            <w:pPr>
              <w:jc w:val="right"/>
              <w:spacing w:after="0"/>
              <w:rPr>
                <w:sz w:val="20"/>
                <w:szCs w:val="20"/>
                <w:color w:val="auto"/>
              </w:rPr>
            </w:pPr>
            <w:r>
              <w:rPr>
                <w:rFonts w:ascii="Arial" w:cs="Arial" w:eastAsia="Arial" w:hAnsi="Arial"/>
                <w:sz w:val="14"/>
                <w:szCs w:val="14"/>
                <w:color w:val="105BAB"/>
              </w:rPr>
              <w:t>54</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tcBorders>
              <w:top w:val="single" w:sz="8" w:color="0000EE"/>
            </w:tcBorders>
            <w:gridSpan w:val="12"/>
          </w:tcPr>
          <w:p>
            <w:pPr>
              <w:spacing w:after="0" w:line="88" w:lineRule="exact"/>
              <w:rPr>
                <w:rFonts w:ascii="Arial" w:cs="Arial" w:eastAsia="Arial" w:hAnsi="Arial"/>
                <w:sz w:val="10"/>
                <w:szCs w:val="10"/>
                <w:color w:val="0000EE"/>
              </w:rPr>
            </w:pPr>
            <w:hyperlink w:anchor="page86">
              <w:r>
                <w:rPr>
                  <w:rFonts w:ascii="Arial" w:cs="Arial" w:eastAsia="Arial" w:hAnsi="Arial"/>
                  <w:sz w:val="10"/>
                  <w:szCs w:val="10"/>
                  <w:color w:val="0000EE"/>
                </w:rPr>
                <w:t>Fiscal Year-End</w:t>
              </w:r>
            </w:hyperlink>
          </w:p>
        </w:tc>
        <w:tc>
          <w:tcPr>
            <w:tcW w:w="2600" w:type="dxa"/>
            <w:vAlign w:val="bottom"/>
            <w:gridSpan w:val="4"/>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180" w:type="dxa"/>
            <w:vAlign w:val="bottom"/>
            <w:tcBorders>
              <w:bottom w:val="single" w:sz="8" w:color="0000EE"/>
            </w:tcBorders>
            <w:gridSpan w:val="30"/>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3000" w:type="dxa"/>
            <w:vAlign w:val="bottom"/>
            <w:gridSpan w:val="29"/>
          </w:tcPr>
          <w:p>
            <w:pPr>
              <w:spacing w:after="0" w:line="106" w:lineRule="exact"/>
              <w:rPr>
                <w:rFonts w:ascii="Arial" w:cs="Arial" w:eastAsia="Arial" w:hAnsi="Arial"/>
                <w:sz w:val="10"/>
                <w:szCs w:val="10"/>
                <w:b w:val="1"/>
                <w:bCs w:val="1"/>
                <w:color w:val="0000EE"/>
              </w:rPr>
            </w:pPr>
            <w:hyperlink w:anchor="page65">
              <w:r>
                <w:rPr>
                  <w:rFonts w:ascii="Arial" w:cs="Arial" w:eastAsia="Arial" w:hAnsi="Arial"/>
                  <w:sz w:val="10"/>
                  <w:szCs w:val="10"/>
                  <w:b w:val="1"/>
                  <w:bCs w:val="1"/>
                  <w:color w:val="0000EE"/>
                </w:rPr>
                <w:t>Our Compensation Philosophy and Objectives</w:t>
              </w:r>
            </w:hyperlink>
          </w:p>
        </w:tc>
        <w:tc>
          <w:tcPr>
            <w:tcW w:w="1720" w:type="dxa"/>
            <w:vAlign w:val="bottom"/>
          </w:tcPr>
          <w:p>
            <w:pPr>
              <w:jc w:val="right"/>
              <w:spacing w:after="0" w:line="106" w:lineRule="exact"/>
              <w:rPr>
                <w:sz w:val="20"/>
                <w:szCs w:val="20"/>
                <w:color w:val="auto"/>
              </w:rPr>
            </w:pPr>
            <w:r>
              <w:rPr>
                <w:rFonts w:ascii="Arial" w:cs="Arial" w:eastAsia="Arial" w:hAnsi="Arial"/>
                <w:sz w:val="10"/>
                <w:szCs w:val="10"/>
                <w:b w:val="1"/>
                <w:bCs w:val="1"/>
                <w:color w:val="auto"/>
              </w:rPr>
              <w:t>54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100" w:type="dxa"/>
            <w:vAlign w:val="bottom"/>
            <w:gridSpan w:val="16"/>
          </w:tcPr>
          <w:p>
            <w:pPr>
              <w:spacing w:after="0" w:line="106" w:lineRule="exact"/>
              <w:rPr>
                <w:rFonts w:ascii="Arial" w:cs="Arial" w:eastAsia="Arial" w:hAnsi="Arial"/>
                <w:sz w:val="10"/>
                <w:szCs w:val="10"/>
                <w:color w:val="0000EE"/>
              </w:rPr>
            </w:pPr>
            <w:hyperlink w:anchor="page87">
              <w:r>
                <w:rPr>
                  <w:rFonts w:ascii="Arial" w:cs="Arial" w:eastAsia="Arial" w:hAnsi="Arial"/>
                  <w:sz w:val="10"/>
                  <w:szCs w:val="10"/>
                  <w:color w:val="0000EE"/>
                </w:rPr>
                <w:t>2017 Option Exercises and Stock Vested</w:t>
              </w:r>
            </w:hyperlink>
          </w:p>
        </w:tc>
        <w:tc>
          <w:tcPr>
            <w:tcW w:w="460" w:type="dxa"/>
            <w:vAlign w:val="bottom"/>
          </w:tcPr>
          <w:p>
            <w:pPr>
              <w:jc w:val="right"/>
              <w:ind w:right="71"/>
              <w:spacing w:after="0" w:line="106" w:lineRule="exact"/>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54</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color w:val="auto"/>
              </w:rPr>
              <w:t>76</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80" w:type="dxa"/>
            <w:vAlign w:val="bottom"/>
            <w:gridSpan w:val="26"/>
          </w:tcPr>
          <w:p>
            <w:pPr>
              <w:spacing w:after="0" w:line="88" w:lineRule="exact"/>
              <w:rPr>
                <w:rFonts w:ascii="Arial" w:cs="Arial" w:eastAsia="Arial" w:hAnsi="Arial"/>
                <w:sz w:val="10"/>
                <w:szCs w:val="10"/>
                <w:color w:val="0000EE"/>
              </w:rPr>
            </w:pPr>
            <w:hyperlink w:anchor="page65">
              <w:r>
                <w:rPr>
                  <w:rFonts w:ascii="Arial" w:cs="Arial" w:eastAsia="Arial" w:hAnsi="Arial"/>
                  <w:sz w:val="10"/>
                  <w:szCs w:val="10"/>
                  <w:color w:val="0000EE"/>
                </w:rPr>
                <w:t>Driving Innovation and Balancing Dilution</w:t>
              </w:r>
            </w:hyperlink>
          </w:p>
        </w:tc>
        <w:tc>
          <w:tcPr>
            <w:tcW w:w="920" w:type="dxa"/>
            <w:vAlign w:val="bottom"/>
            <w:gridSpan w:val="3"/>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00" w:type="dxa"/>
            <w:vAlign w:val="bottom"/>
            <w:gridSpan w:val="16"/>
          </w:tcPr>
          <w:p>
            <w:pPr>
              <w:spacing w:after="0" w:line="88" w:lineRule="exact"/>
              <w:rPr>
                <w:rFonts w:ascii="Arial" w:cs="Arial" w:eastAsia="Arial" w:hAnsi="Arial"/>
                <w:sz w:val="10"/>
                <w:szCs w:val="10"/>
                <w:color w:val="0000EE"/>
              </w:rPr>
            </w:pPr>
            <w:hyperlink w:anchor="page87">
              <w:r>
                <w:rPr>
                  <w:rFonts w:ascii="Arial" w:cs="Arial" w:eastAsia="Arial" w:hAnsi="Arial"/>
                  <w:sz w:val="10"/>
                  <w:szCs w:val="10"/>
                  <w:color w:val="0000EE"/>
                </w:rPr>
                <w:t>Post-Employment Compensation</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55</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360" w:type="dxa"/>
            <w:vAlign w:val="bottom"/>
            <w:vMerge w:val="restart"/>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b w:val="1"/>
                <w:bCs w:val="1"/>
                <w:color w:val="auto"/>
              </w:rPr>
              <w:t>80</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440" w:type="dxa"/>
            <w:vAlign w:val="bottom"/>
            <w:tcBorders>
              <w:bottom w:val="single" w:sz="8" w:color="0000EE"/>
            </w:tcBorders>
            <w:gridSpan w:val="17"/>
          </w:tcPr>
          <w:p>
            <w:pPr>
              <w:spacing w:after="0" w:line="88" w:lineRule="exact"/>
              <w:rPr>
                <w:rFonts w:ascii="Arial" w:cs="Arial" w:eastAsia="Arial" w:hAnsi="Arial"/>
                <w:sz w:val="10"/>
                <w:szCs w:val="10"/>
                <w:color w:val="0000EE"/>
                <w:w w:val="94"/>
              </w:rPr>
            </w:pPr>
            <w:hyperlink w:anchor="page66">
              <w:r>
                <w:rPr>
                  <w:rFonts w:ascii="Arial" w:cs="Arial" w:eastAsia="Arial" w:hAnsi="Arial"/>
                  <w:sz w:val="10"/>
                  <w:szCs w:val="10"/>
                  <w:color w:val="0000EE"/>
                  <w:w w:val="94"/>
                </w:rPr>
                <w:t>Compensation Program Simplicity</w:t>
              </w:r>
            </w:hyperlink>
          </w:p>
        </w:tc>
        <w:tc>
          <w:tcPr>
            <w:tcW w:w="280" w:type="dxa"/>
            <w:vAlign w:val="bottom"/>
            <w:gridSpan w:val="4"/>
          </w:tcPr>
          <w:p>
            <w:pPr>
              <w:spacing w:after="0"/>
              <w:rPr>
                <w:sz w:val="7"/>
                <w:szCs w:val="7"/>
                <w:color w:val="auto"/>
              </w:rPr>
            </w:pPr>
          </w:p>
        </w:tc>
        <w:tc>
          <w:tcPr>
            <w:tcW w:w="1280" w:type="dxa"/>
            <w:vAlign w:val="bottom"/>
            <w:gridSpan w:val="8"/>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Borders>
              <w:bottom w:val="single" w:sz="8" w:color="0000EE"/>
            </w:tcBorders>
            <w:gridSpan w:val="11"/>
          </w:tcPr>
          <w:p>
            <w:pPr>
              <w:spacing w:after="0" w:line="88" w:lineRule="exact"/>
              <w:rPr>
                <w:rFonts w:ascii="Arial" w:cs="Arial" w:eastAsia="Arial" w:hAnsi="Arial"/>
                <w:sz w:val="10"/>
                <w:szCs w:val="10"/>
                <w:b w:val="1"/>
                <w:bCs w:val="1"/>
                <w:color w:val="0000EE"/>
                <w:w w:val="92"/>
              </w:rPr>
            </w:pPr>
            <w:hyperlink w:anchor="page91">
              <w:r>
                <w:rPr>
                  <w:rFonts w:ascii="Arial" w:cs="Arial" w:eastAsia="Arial" w:hAnsi="Arial"/>
                  <w:sz w:val="10"/>
                  <w:szCs w:val="10"/>
                  <w:b w:val="1"/>
                  <w:bCs w:val="1"/>
                  <w:color w:val="0000EE"/>
                  <w:w w:val="92"/>
                </w:rPr>
                <w:t>Additional Compensation Information</w:t>
              </w:r>
            </w:hyperlink>
          </w:p>
        </w:tc>
        <w:tc>
          <w:tcPr>
            <w:tcW w:w="20" w:type="dxa"/>
            <w:vAlign w:val="bottom"/>
            <w:tcBorders>
              <w:bottom w:val="single" w:sz="8" w:color="0000EE"/>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67">
              <w:r>
                <w:rPr>
                  <w:rFonts w:ascii="Arial" w:cs="Arial" w:eastAsia="Arial" w:hAnsi="Arial"/>
                  <w:sz w:val="10"/>
                  <w:szCs w:val="10"/>
                  <w:color w:val="0000EE"/>
                </w:rPr>
                <w:t>At-Risk, Performance-Based Pay</w:t>
              </w:r>
            </w:hyperlink>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56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00" w:type="dxa"/>
            <w:vAlign w:val="bottom"/>
            <w:gridSpan w:val="16"/>
          </w:tcPr>
          <w:p>
            <w:pPr>
              <w:spacing w:after="0" w:line="88" w:lineRule="exact"/>
              <w:rPr>
                <w:rFonts w:ascii="Arial" w:cs="Arial" w:eastAsia="Arial" w:hAnsi="Arial"/>
                <w:sz w:val="10"/>
                <w:szCs w:val="10"/>
                <w:color w:val="0000EE"/>
              </w:rPr>
            </w:pPr>
            <w:hyperlink w:anchor="page91">
              <w:r>
                <w:rPr>
                  <w:rFonts w:ascii="Arial" w:cs="Arial" w:eastAsia="Arial" w:hAnsi="Arial"/>
                  <w:sz w:val="10"/>
                  <w:szCs w:val="10"/>
                  <w:color w:val="0000EE"/>
                </w:rPr>
                <w:t>Annual Cash Incentive</w:t>
              </w:r>
            </w:hyperlink>
          </w:p>
        </w:tc>
        <w:tc>
          <w:tcPr>
            <w:tcW w:w="460" w:type="dxa"/>
            <w:vAlign w:val="bottom"/>
          </w:tcPr>
          <w:p>
            <w:pPr>
              <w:jc w:val="right"/>
              <w:ind w:right="71"/>
              <w:spacing w:after="0" w:line="88" w:lineRule="exact"/>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56</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color w:val="auto"/>
              </w:rPr>
              <w:t>81</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380" w:type="dxa"/>
            <w:vAlign w:val="bottom"/>
            <w:gridSpan w:val="15"/>
          </w:tcPr>
          <w:p>
            <w:pPr>
              <w:spacing w:after="0" w:line="88" w:lineRule="exact"/>
              <w:rPr>
                <w:rFonts w:ascii="Arial" w:cs="Arial" w:eastAsia="Arial" w:hAnsi="Arial"/>
                <w:sz w:val="10"/>
                <w:szCs w:val="10"/>
                <w:color w:val="0000EE"/>
              </w:rPr>
            </w:pPr>
            <w:hyperlink w:anchor="page67">
              <w:r>
                <w:rPr>
                  <w:rFonts w:ascii="Arial" w:cs="Arial" w:eastAsia="Arial" w:hAnsi="Arial"/>
                  <w:sz w:val="10"/>
                  <w:szCs w:val="10"/>
                  <w:color w:val="0000EE"/>
                </w:rPr>
                <w:t>Year-over-Year Consistency</w:t>
              </w:r>
            </w:hyperlink>
          </w:p>
        </w:tc>
        <w:tc>
          <w:tcPr>
            <w:tcW w:w="1620" w:type="dxa"/>
            <w:vAlign w:val="bottom"/>
            <w:gridSpan w:val="14"/>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00" w:type="dxa"/>
            <w:vAlign w:val="bottom"/>
            <w:gridSpan w:val="16"/>
          </w:tcPr>
          <w:p>
            <w:pPr>
              <w:spacing w:after="0" w:line="88" w:lineRule="exact"/>
              <w:rPr>
                <w:rFonts w:ascii="Arial" w:cs="Arial" w:eastAsia="Arial" w:hAnsi="Arial"/>
                <w:sz w:val="10"/>
                <w:szCs w:val="10"/>
                <w:color w:val="0000EE"/>
              </w:rPr>
            </w:pPr>
            <w:hyperlink w:anchor="page92">
              <w:r>
                <w:rPr>
                  <w:rFonts w:ascii="Arial" w:cs="Arial" w:eastAsia="Arial" w:hAnsi="Arial"/>
                  <w:sz w:val="10"/>
                  <w:szCs w:val="10"/>
                  <w:color w:val="0000EE"/>
                </w:rPr>
                <w:t>Perquisites and Personal Benefits</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56</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color w:val="auto"/>
              </w:rPr>
              <w:t>84</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100" w:type="dxa"/>
            <w:vAlign w:val="bottom"/>
            <w:gridSpan w:val="27"/>
          </w:tcPr>
          <w:p>
            <w:pPr>
              <w:spacing w:after="0" w:line="88" w:lineRule="exact"/>
              <w:rPr>
                <w:rFonts w:ascii="Arial" w:cs="Arial" w:eastAsia="Arial" w:hAnsi="Arial"/>
                <w:sz w:val="10"/>
                <w:szCs w:val="10"/>
                <w:color w:val="0000EE"/>
                <w:w w:val="93"/>
              </w:rPr>
            </w:pPr>
            <w:hyperlink w:anchor="page67">
              <w:r>
                <w:rPr>
                  <w:rFonts w:ascii="Arial" w:cs="Arial" w:eastAsia="Arial" w:hAnsi="Arial"/>
                  <w:sz w:val="10"/>
                  <w:szCs w:val="10"/>
                  <w:color w:val="0000EE"/>
                  <w:w w:val="93"/>
                </w:rPr>
                <w:t>Linking Compensation to Long-Term Performance</w:t>
              </w:r>
            </w:hyperlink>
          </w:p>
        </w:tc>
        <w:tc>
          <w:tcPr>
            <w:tcW w:w="900" w:type="dxa"/>
            <w:vAlign w:val="bottom"/>
            <w:gridSpan w:val="2"/>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00" w:type="dxa"/>
            <w:vAlign w:val="bottom"/>
            <w:gridSpan w:val="16"/>
          </w:tcPr>
          <w:p>
            <w:pPr>
              <w:spacing w:after="0" w:line="88" w:lineRule="exact"/>
              <w:rPr>
                <w:rFonts w:ascii="Arial" w:cs="Arial" w:eastAsia="Arial" w:hAnsi="Arial"/>
                <w:sz w:val="10"/>
                <w:szCs w:val="10"/>
                <w:color w:val="0000EE"/>
              </w:rPr>
            </w:pPr>
            <w:hyperlink w:anchor="page95">
              <w:r>
                <w:rPr>
                  <w:rFonts w:ascii="Arial" w:cs="Arial" w:eastAsia="Arial" w:hAnsi="Arial"/>
                  <w:sz w:val="10"/>
                  <w:szCs w:val="10"/>
                  <w:color w:val="0000EE"/>
                </w:rPr>
                <w:t>Potential Severance Payments</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color w:val="auto"/>
              </w:rPr>
              <w:t>85</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2000" w:type="dxa"/>
            <w:vAlign w:val="bottom"/>
            <w:gridSpan w:val="25"/>
          </w:tcPr>
          <w:p>
            <w:pPr>
              <w:spacing w:after="0" w:line="88" w:lineRule="exact"/>
              <w:rPr>
                <w:rFonts w:ascii="Arial" w:cs="Arial" w:eastAsia="Arial" w:hAnsi="Arial"/>
                <w:sz w:val="10"/>
                <w:szCs w:val="10"/>
                <w:color w:val="0000EE"/>
                <w:w w:val="93"/>
              </w:rPr>
            </w:pPr>
            <w:hyperlink w:anchor="page68">
              <w:r>
                <w:rPr>
                  <w:rFonts w:ascii="Arial" w:cs="Arial" w:eastAsia="Arial" w:hAnsi="Arial"/>
                  <w:sz w:val="10"/>
                  <w:szCs w:val="10"/>
                  <w:color w:val="0000EE"/>
                  <w:w w:val="93"/>
                </w:rPr>
                <w:t>Use of Independent Expertise and Comparative</w:t>
              </w:r>
            </w:hyperlink>
          </w:p>
        </w:tc>
        <w:tc>
          <w:tcPr>
            <w:tcW w:w="100" w:type="dxa"/>
            <w:vAlign w:val="bottom"/>
            <w:gridSpan w:val="2"/>
          </w:tcPr>
          <w:p>
            <w:pPr>
              <w:spacing w:after="0"/>
              <w:rPr>
                <w:sz w:val="7"/>
                <w:szCs w:val="7"/>
                <w:color w:val="auto"/>
              </w:rPr>
            </w:pPr>
          </w:p>
        </w:tc>
        <w:tc>
          <w:tcPr>
            <w:tcW w:w="90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00" w:type="dxa"/>
            <w:vAlign w:val="bottom"/>
            <w:gridSpan w:val="16"/>
          </w:tcPr>
          <w:p>
            <w:pPr>
              <w:spacing w:after="0" w:line="88" w:lineRule="exact"/>
              <w:rPr>
                <w:rFonts w:ascii="Arial" w:cs="Arial" w:eastAsia="Arial" w:hAnsi="Arial"/>
                <w:sz w:val="10"/>
                <w:szCs w:val="10"/>
                <w:color w:val="0000EE"/>
              </w:rPr>
            </w:pPr>
            <w:hyperlink w:anchor="page96">
              <w:r>
                <w:rPr>
                  <w:rFonts w:ascii="Arial" w:cs="Arial" w:eastAsia="Arial" w:hAnsi="Arial"/>
                  <w:sz w:val="10"/>
                  <w:szCs w:val="10"/>
                  <w:color w:val="0000EE"/>
                </w:rPr>
                <w:t>Pay Ratio</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57</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color w:val="auto"/>
              </w:rPr>
              <w:t>86</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80" w:type="dxa"/>
            <w:vAlign w:val="bottom"/>
          </w:tcPr>
          <w:p>
            <w:pPr>
              <w:spacing w:after="0" w:line="88" w:lineRule="exact"/>
              <w:rPr>
                <w:rFonts w:ascii="Arial" w:cs="Arial" w:eastAsia="Arial" w:hAnsi="Arial"/>
                <w:sz w:val="10"/>
                <w:szCs w:val="10"/>
                <w:color w:val="0000EE"/>
                <w:w w:val="75"/>
              </w:rPr>
            </w:pPr>
            <w:hyperlink w:anchor="page68">
              <w:r>
                <w:rPr>
                  <w:rFonts w:ascii="Arial" w:cs="Arial" w:eastAsia="Arial" w:hAnsi="Arial"/>
                  <w:sz w:val="10"/>
                  <w:szCs w:val="10"/>
                  <w:color w:val="0000EE"/>
                  <w:w w:val="75"/>
                </w:rPr>
                <w:t>Data</w:t>
              </w:r>
            </w:hyperlink>
          </w:p>
        </w:tc>
        <w:tc>
          <w:tcPr>
            <w:tcW w:w="1820" w:type="dxa"/>
            <w:vAlign w:val="bottom"/>
            <w:gridSpan w:val="24"/>
          </w:tcPr>
          <w:p>
            <w:pPr>
              <w:spacing w:after="0"/>
              <w:rPr>
                <w:sz w:val="7"/>
                <w:szCs w:val="7"/>
                <w:color w:val="auto"/>
              </w:rPr>
            </w:pPr>
          </w:p>
        </w:tc>
        <w:tc>
          <w:tcPr>
            <w:tcW w:w="1000" w:type="dxa"/>
            <w:vAlign w:val="bottom"/>
            <w:gridSpan w:val="4"/>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00" w:type="dxa"/>
            <w:vAlign w:val="bottom"/>
            <w:gridSpan w:val="16"/>
          </w:tcPr>
          <w:p>
            <w:pPr>
              <w:spacing w:after="0" w:line="88" w:lineRule="exact"/>
              <w:rPr>
                <w:rFonts w:ascii="Arial" w:cs="Arial" w:eastAsia="Arial" w:hAnsi="Arial"/>
                <w:sz w:val="10"/>
                <w:szCs w:val="10"/>
                <w:color w:val="0000EE"/>
              </w:rPr>
            </w:pPr>
            <w:hyperlink w:anchor="page97">
              <w:r>
                <w:rPr>
                  <w:rFonts w:ascii="Arial" w:cs="Arial" w:eastAsia="Arial" w:hAnsi="Arial"/>
                  <w:sz w:val="10"/>
                  <w:szCs w:val="10"/>
                  <w:color w:val="0000EE"/>
                </w:rPr>
                <w:t>Equity Compensation Information</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57</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68">
              <w:r>
                <w:rPr>
                  <w:rFonts w:ascii="Arial" w:cs="Arial" w:eastAsia="Arial" w:hAnsi="Arial"/>
                  <w:sz w:val="10"/>
                  <w:szCs w:val="10"/>
                  <w:color w:val="0000EE"/>
                </w:rPr>
                <w:t>Measurable Results</w:t>
              </w:r>
            </w:hyperlink>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20" w:type="dxa"/>
            <w:vAlign w:val="bottom"/>
            <w:gridSpan w:val="14"/>
          </w:tcPr>
          <w:p>
            <w:pPr>
              <w:spacing w:after="0" w:line="88" w:lineRule="exact"/>
              <w:rPr>
                <w:rFonts w:ascii="Arial" w:cs="Arial" w:eastAsia="Arial" w:hAnsi="Arial"/>
                <w:sz w:val="10"/>
                <w:szCs w:val="10"/>
                <w:color w:val="0000EE"/>
              </w:rPr>
            </w:pPr>
            <w:hyperlink w:anchor="page97">
              <w:r>
                <w:rPr>
                  <w:rFonts w:ascii="Arial" w:cs="Arial" w:eastAsia="Arial" w:hAnsi="Arial"/>
                  <w:sz w:val="10"/>
                  <w:szCs w:val="10"/>
                  <w:color w:val="0000EE"/>
                </w:rPr>
                <w:t>Corporate Governance Aspects of</w:t>
              </w:r>
            </w:hyperlink>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vMerge w:val="restart"/>
          </w:tcPr>
          <w:p>
            <w:pPr>
              <w:spacing w:after="0"/>
              <w:rPr>
                <w:rFonts w:ascii="Arial" w:cs="Arial" w:eastAsia="Arial" w:hAnsi="Arial"/>
                <w:sz w:val="10"/>
                <w:szCs w:val="10"/>
                <w:b w:val="1"/>
                <w:bCs w:val="1"/>
                <w:color w:val="0000EE"/>
              </w:rPr>
            </w:pPr>
            <w:hyperlink w:anchor="page69">
              <w:r>
                <w:rPr>
                  <w:rFonts w:ascii="Arial" w:cs="Arial" w:eastAsia="Arial" w:hAnsi="Arial"/>
                  <w:sz w:val="10"/>
                  <w:szCs w:val="10"/>
                  <w:b w:val="1"/>
                  <w:bCs w:val="1"/>
                  <w:color w:val="0000EE"/>
                </w:rPr>
                <w:t>Components of Named Executive Officer</w:t>
              </w:r>
            </w:hyperlink>
          </w:p>
        </w:tc>
        <w:tc>
          <w:tcPr>
            <w:tcW w:w="1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Borders>
              <w:bottom w:val="single" w:sz="8" w:color="0000EE"/>
            </w:tcBorders>
            <w:gridSpan w:val="10"/>
          </w:tcPr>
          <w:p>
            <w:pPr>
              <w:spacing w:after="0" w:line="88" w:lineRule="exact"/>
              <w:rPr>
                <w:rFonts w:ascii="Arial" w:cs="Arial" w:eastAsia="Arial" w:hAnsi="Arial"/>
                <w:sz w:val="10"/>
                <w:szCs w:val="10"/>
                <w:color w:val="0000EE"/>
                <w:w w:val="96"/>
              </w:rPr>
            </w:pPr>
            <w:hyperlink w:anchor="page97">
              <w:r>
                <w:rPr>
                  <w:rFonts w:ascii="Arial" w:cs="Arial" w:eastAsia="Arial" w:hAnsi="Arial"/>
                  <w:sz w:val="10"/>
                  <w:szCs w:val="10"/>
                  <w:color w:val="0000EE"/>
                  <w:w w:val="96"/>
                </w:rPr>
                <w:t>the Amended and Restated</w:t>
              </w:r>
            </w:hyperlink>
          </w:p>
        </w:tc>
        <w:tc>
          <w:tcPr>
            <w:tcW w:w="2600" w:type="dxa"/>
            <w:vAlign w:val="bottom"/>
            <w:gridSpan w:val="4"/>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vMerge w:val="continue"/>
          </w:tcPr>
          <w:p>
            <w:pPr>
              <w:spacing w:after="0"/>
              <w:rPr>
                <w:sz w:val="7"/>
                <w:szCs w:val="7"/>
                <w:color w:val="auto"/>
              </w:rPr>
            </w:pPr>
          </w:p>
        </w:tc>
        <w:tc>
          <w:tcPr>
            <w:tcW w:w="1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20" w:type="dxa"/>
            <w:vAlign w:val="bottom"/>
            <w:gridSpan w:val="14"/>
          </w:tcPr>
          <w:p>
            <w:pPr>
              <w:spacing w:after="0" w:line="88" w:lineRule="exact"/>
              <w:rPr>
                <w:rFonts w:ascii="Arial" w:cs="Arial" w:eastAsia="Arial" w:hAnsi="Arial"/>
                <w:sz w:val="10"/>
                <w:szCs w:val="10"/>
                <w:color w:val="0000EE"/>
              </w:rPr>
            </w:pPr>
            <w:hyperlink w:anchor="page97">
              <w:r>
                <w:rPr>
                  <w:rFonts w:ascii="Arial" w:cs="Arial" w:eastAsia="Arial" w:hAnsi="Arial"/>
                  <w:sz w:val="10"/>
                  <w:szCs w:val="10"/>
                  <w:color w:val="0000EE"/>
                </w:rPr>
                <w:t>Regeneron Pharmaceuticals, Inc.</w:t>
              </w:r>
            </w:hyperlink>
          </w:p>
        </w:tc>
        <w:tc>
          <w:tcPr>
            <w:tcW w:w="460" w:type="dxa"/>
            <w:vAlign w:val="bottom"/>
            <w:vMerge w:val="restart"/>
          </w:tcPr>
          <w:p>
            <w:pPr>
              <w:jc w:val="right"/>
              <w:ind w:right="71"/>
              <w:spacing w:after="0"/>
              <w:rPr>
                <w:sz w:val="20"/>
                <w:szCs w:val="20"/>
                <w:color w:val="auto"/>
              </w:rPr>
            </w:pPr>
            <w:r>
              <w:rPr>
                <w:rFonts w:ascii="Arial" w:cs="Arial" w:eastAsia="Arial" w:hAnsi="Arial"/>
                <w:sz w:val="10"/>
                <w:szCs w:val="10"/>
                <w:color w:val="auto"/>
              </w:rPr>
              <w:t>86</w:t>
            </w: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840" w:type="dxa"/>
            <w:vAlign w:val="bottom"/>
            <w:tcBorders>
              <w:top w:val="single" w:sz="8" w:color="0000EE"/>
              <w:bottom w:val="single" w:sz="8" w:color="0000EE"/>
            </w:tcBorders>
            <w:gridSpan w:val="22"/>
          </w:tcPr>
          <w:p>
            <w:pPr>
              <w:spacing w:after="0" w:line="88" w:lineRule="exact"/>
              <w:rPr>
                <w:rFonts w:ascii="Arial" w:cs="Arial" w:eastAsia="Arial" w:hAnsi="Arial"/>
                <w:sz w:val="10"/>
                <w:szCs w:val="10"/>
                <w:b w:val="1"/>
                <w:bCs w:val="1"/>
                <w:color w:val="0000EE"/>
                <w:w w:val="96"/>
              </w:rPr>
            </w:pPr>
            <w:hyperlink w:anchor="page69">
              <w:r>
                <w:rPr>
                  <w:rFonts w:ascii="Arial" w:cs="Arial" w:eastAsia="Arial" w:hAnsi="Arial"/>
                  <w:sz w:val="10"/>
                  <w:szCs w:val="10"/>
                  <w:b w:val="1"/>
                  <w:bCs w:val="1"/>
                  <w:color w:val="0000EE"/>
                  <w:w w:val="96"/>
                </w:rPr>
                <w:t>Pay and Reasons for Using Them: What</w:t>
              </w:r>
            </w:hyperlink>
          </w:p>
        </w:tc>
        <w:tc>
          <w:tcPr>
            <w:tcW w:w="160" w:type="dxa"/>
            <w:vAlign w:val="bottom"/>
            <w:tcBorders>
              <w:bottom w:val="single" w:sz="8" w:color="0000EE"/>
            </w:tcBorders>
            <w:gridSpan w:val="3"/>
          </w:tcPr>
          <w:p>
            <w:pPr>
              <w:spacing w:after="0" w:line="88" w:lineRule="exact"/>
              <w:rPr>
                <w:rFonts w:ascii="Arial" w:cs="Arial" w:eastAsia="Arial" w:hAnsi="Arial"/>
                <w:sz w:val="10"/>
                <w:szCs w:val="10"/>
                <w:b w:val="1"/>
                <w:bCs w:val="1"/>
                <w:color w:val="0000EE"/>
                <w:w w:val="79"/>
              </w:rPr>
            </w:pPr>
            <w:hyperlink w:anchor="page69">
              <w:r>
                <w:rPr>
                  <w:rFonts w:ascii="Arial" w:cs="Arial" w:eastAsia="Arial" w:hAnsi="Arial"/>
                  <w:sz w:val="10"/>
                  <w:szCs w:val="10"/>
                  <w:b w:val="1"/>
                  <w:bCs w:val="1"/>
                  <w:color w:val="0000EE"/>
                  <w:w w:val="79"/>
                </w:rPr>
                <w:t>We</w:t>
              </w:r>
            </w:hyperlink>
          </w:p>
        </w:tc>
        <w:tc>
          <w:tcPr>
            <w:tcW w:w="1000" w:type="dxa"/>
            <w:vAlign w:val="bottom"/>
            <w:gridSpan w:val="4"/>
          </w:tcPr>
          <w:p>
            <w:pPr>
              <w:spacing w:after="0"/>
              <w:rPr>
                <w:sz w:val="7"/>
                <w:szCs w:val="7"/>
                <w:color w:val="auto"/>
              </w:rPr>
            </w:pPr>
          </w:p>
        </w:tc>
        <w:tc>
          <w:tcPr>
            <w:tcW w:w="1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58</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Borders>
              <w:top w:val="single" w:sz="8" w:color="0000EE"/>
              <w:bottom w:val="single" w:sz="8" w:color="0000EE"/>
            </w:tcBorders>
            <w:gridSpan w:val="11"/>
          </w:tcPr>
          <w:p>
            <w:pPr>
              <w:spacing w:after="0" w:line="88" w:lineRule="exact"/>
              <w:rPr>
                <w:rFonts w:ascii="Arial" w:cs="Arial" w:eastAsia="Arial" w:hAnsi="Arial"/>
                <w:sz w:val="10"/>
                <w:szCs w:val="10"/>
                <w:color w:val="0000EE"/>
                <w:w w:val="94"/>
              </w:rPr>
            </w:pPr>
            <w:hyperlink w:anchor="page97">
              <w:r>
                <w:rPr>
                  <w:rFonts w:ascii="Arial" w:cs="Arial" w:eastAsia="Arial" w:hAnsi="Arial"/>
                  <w:sz w:val="10"/>
                  <w:szCs w:val="10"/>
                  <w:color w:val="0000EE"/>
                  <w:w w:val="94"/>
                </w:rPr>
                <w:t>2014 Long-Term Incentive Plan</w:t>
              </w:r>
            </w:hyperlink>
          </w:p>
        </w:tc>
        <w:tc>
          <w:tcPr>
            <w:tcW w:w="120" w:type="dxa"/>
            <w:vAlign w:val="bottom"/>
            <w:tcBorders>
              <w:top w:val="single" w:sz="8" w:color="0000EE"/>
            </w:tcBorders>
            <w:gridSpan w:val="2"/>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000" w:type="dxa"/>
            <w:vAlign w:val="bottom"/>
            <w:gridSpan w:val="25"/>
          </w:tcPr>
          <w:p>
            <w:pPr>
              <w:spacing w:after="0" w:line="88" w:lineRule="exact"/>
              <w:rPr>
                <w:rFonts w:ascii="Arial" w:cs="Arial" w:eastAsia="Arial" w:hAnsi="Arial"/>
                <w:sz w:val="10"/>
                <w:szCs w:val="10"/>
                <w:b w:val="1"/>
                <w:bCs w:val="1"/>
                <w:color w:val="0000EE"/>
              </w:rPr>
            </w:pPr>
            <w:hyperlink w:anchor="page69">
              <w:r>
                <w:rPr>
                  <w:rFonts w:ascii="Arial" w:cs="Arial" w:eastAsia="Arial" w:hAnsi="Arial"/>
                  <w:sz w:val="10"/>
                  <w:szCs w:val="10"/>
                  <w:b w:val="1"/>
                  <w:bCs w:val="1"/>
                  <w:color w:val="0000EE"/>
                </w:rPr>
                <w:t>Pay and Why We Pay It</w:t>
              </w:r>
            </w:hyperlink>
          </w:p>
        </w:tc>
        <w:tc>
          <w:tcPr>
            <w:tcW w:w="1000" w:type="dxa"/>
            <w:vAlign w:val="bottom"/>
            <w:gridSpan w:val="4"/>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20" w:type="dxa"/>
            <w:vAlign w:val="bottom"/>
            <w:gridSpan w:val="14"/>
          </w:tcPr>
          <w:p>
            <w:pPr>
              <w:spacing w:after="0" w:line="88" w:lineRule="exact"/>
              <w:rPr>
                <w:rFonts w:ascii="Arial" w:cs="Arial" w:eastAsia="Arial" w:hAnsi="Arial"/>
                <w:sz w:val="10"/>
                <w:szCs w:val="10"/>
                <w:color w:val="0000EE"/>
              </w:rPr>
            </w:pPr>
            <w:hyperlink w:anchor="page98">
              <w:r>
                <w:rPr>
                  <w:rFonts w:ascii="Arial" w:cs="Arial" w:eastAsia="Arial" w:hAnsi="Arial"/>
                  <w:sz w:val="10"/>
                  <w:szCs w:val="10"/>
                  <w:color w:val="0000EE"/>
                </w:rPr>
                <w:t>Key Equity Metrics</w:t>
              </w:r>
            </w:hyperlink>
          </w:p>
        </w:tc>
        <w:tc>
          <w:tcPr>
            <w:tcW w:w="460" w:type="dxa"/>
            <w:vAlign w:val="bottom"/>
          </w:tcPr>
          <w:p>
            <w:pPr>
              <w:jc w:val="right"/>
              <w:ind w:right="71"/>
              <w:spacing w:after="0" w:line="88" w:lineRule="exact"/>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59</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980" w:type="dxa"/>
            <w:vAlign w:val="bottom"/>
            <w:gridSpan w:val="11"/>
          </w:tcPr>
          <w:p>
            <w:pPr>
              <w:spacing w:after="0" w:line="88" w:lineRule="exact"/>
              <w:rPr>
                <w:rFonts w:ascii="Arial" w:cs="Arial" w:eastAsia="Arial" w:hAnsi="Arial"/>
                <w:sz w:val="10"/>
                <w:szCs w:val="10"/>
                <w:color w:val="0000EE"/>
              </w:rPr>
            </w:pPr>
            <w:hyperlink w:anchor="page70">
              <w:r>
                <w:rPr>
                  <w:rFonts w:ascii="Arial" w:cs="Arial" w:eastAsia="Arial" w:hAnsi="Arial"/>
                  <w:sz w:val="10"/>
                  <w:szCs w:val="10"/>
                  <w:color w:val="0000EE"/>
                </w:rPr>
                <w:t>Base Salary</w:t>
              </w:r>
            </w:hyperlink>
          </w:p>
        </w:tc>
        <w:tc>
          <w:tcPr>
            <w:tcW w:w="2020" w:type="dxa"/>
            <w:vAlign w:val="bottom"/>
            <w:gridSpan w:val="18"/>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20" w:type="dxa"/>
            <w:vAlign w:val="bottom"/>
            <w:gridSpan w:val="14"/>
          </w:tcPr>
          <w:p>
            <w:pPr>
              <w:spacing w:after="0" w:line="88" w:lineRule="exact"/>
              <w:rPr>
                <w:rFonts w:ascii="Arial" w:cs="Arial" w:eastAsia="Arial" w:hAnsi="Arial"/>
                <w:sz w:val="10"/>
                <w:szCs w:val="10"/>
                <w:color w:val="0000EE"/>
              </w:rPr>
            </w:pPr>
            <w:hyperlink w:anchor="page98">
              <w:r>
                <w:rPr>
                  <w:rFonts w:ascii="Arial" w:cs="Arial" w:eastAsia="Arial" w:hAnsi="Arial"/>
                  <w:sz w:val="10"/>
                  <w:szCs w:val="10"/>
                  <w:color w:val="0000EE"/>
                </w:rPr>
                <w:t>Equity Compensation Plan</w:t>
              </w:r>
            </w:hyperlink>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59</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460" w:type="dxa"/>
            <w:vAlign w:val="bottom"/>
            <w:vMerge w:val="restart"/>
          </w:tcPr>
          <w:p>
            <w:pPr>
              <w:jc w:val="right"/>
              <w:ind w:right="71"/>
              <w:spacing w:after="0" w:line="108" w:lineRule="exact"/>
              <w:rPr>
                <w:sz w:val="20"/>
                <w:szCs w:val="20"/>
                <w:color w:val="auto"/>
              </w:rPr>
            </w:pPr>
            <w:r>
              <w:rPr>
                <w:rFonts w:ascii="Arial" w:cs="Arial" w:eastAsia="Arial" w:hAnsi="Arial"/>
                <w:sz w:val="10"/>
                <w:szCs w:val="10"/>
                <w:color w:val="auto"/>
              </w:rPr>
              <w:t>87</w:t>
            </w: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940" w:type="dxa"/>
            <w:vAlign w:val="bottom"/>
            <w:gridSpan w:val="9"/>
          </w:tcPr>
          <w:p>
            <w:pPr>
              <w:spacing w:after="0" w:line="88" w:lineRule="exact"/>
              <w:rPr>
                <w:rFonts w:ascii="Arial" w:cs="Arial" w:eastAsia="Arial" w:hAnsi="Arial"/>
                <w:sz w:val="10"/>
                <w:szCs w:val="10"/>
                <w:color w:val="0000EE"/>
                <w:w w:val="89"/>
              </w:rPr>
            </w:pPr>
            <w:hyperlink w:anchor="page70">
              <w:r>
                <w:rPr>
                  <w:rFonts w:ascii="Arial" w:cs="Arial" w:eastAsia="Arial" w:hAnsi="Arial"/>
                  <w:sz w:val="10"/>
                  <w:szCs w:val="10"/>
                  <w:color w:val="0000EE"/>
                  <w:w w:val="89"/>
                </w:rPr>
                <w:t>Annual Cash Incentive</w:t>
              </w:r>
            </w:hyperlink>
          </w:p>
        </w:tc>
        <w:tc>
          <w:tcPr>
            <w:tcW w:w="2060" w:type="dxa"/>
            <w:vAlign w:val="bottom"/>
            <w:gridSpan w:val="20"/>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20" w:type="dxa"/>
            <w:vAlign w:val="bottom"/>
            <w:gridSpan w:val="14"/>
          </w:tcPr>
          <w:p>
            <w:pPr>
              <w:spacing w:after="0" w:line="88" w:lineRule="exact"/>
              <w:rPr>
                <w:rFonts w:ascii="Arial" w:cs="Arial" w:eastAsia="Arial" w:hAnsi="Arial"/>
                <w:sz w:val="10"/>
                <w:szCs w:val="10"/>
                <w:color w:val="0000EE"/>
              </w:rPr>
            </w:pPr>
            <w:hyperlink w:anchor="page98">
              <w:r>
                <w:rPr>
                  <w:rFonts w:ascii="Arial" w:cs="Arial" w:eastAsia="Arial" w:hAnsi="Arial"/>
                  <w:sz w:val="10"/>
                  <w:szCs w:val="10"/>
                  <w:color w:val="0000EE"/>
                </w:rPr>
                <w:t>Information</w:t>
              </w:r>
            </w:hyperlink>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62</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73">
              <w:r>
                <w:rPr>
                  <w:rFonts w:ascii="Arial" w:cs="Arial" w:eastAsia="Arial" w:hAnsi="Arial"/>
                  <w:sz w:val="10"/>
                  <w:szCs w:val="10"/>
                  <w:color w:val="0000EE"/>
                </w:rPr>
                <w:t>Annual Equity-Based Awards</w:t>
              </w:r>
            </w:hyperlink>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62</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Borders>
              <w:bottom w:val="single" w:sz="8" w:color="0000EE"/>
            </w:tcBorders>
            <w:gridSpan w:val="22"/>
          </w:tcPr>
          <w:p>
            <w:pPr>
              <w:spacing w:after="0" w:line="88" w:lineRule="exact"/>
              <w:rPr>
                <w:rFonts w:ascii="Arial" w:cs="Arial" w:eastAsia="Arial" w:hAnsi="Arial"/>
                <w:sz w:val="10"/>
                <w:szCs w:val="10"/>
                <w:color w:val="0000EE"/>
                <w:w w:val="95"/>
              </w:rPr>
            </w:pPr>
            <w:hyperlink w:anchor="page73">
              <w:r>
                <w:rPr>
                  <w:rFonts w:ascii="Arial" w:cs="Arial" w:eastAsia="Arial" w:hAnsi="Arial"/>
                  <w:sz w:val="10"/>
                  <w:szCs w:val="10"/>
                  <w:color w:val="0000EE"/>
                  <w:w w:val="95"/>
                </w:rPr>
                <w:t>Sustainable Performance Parameters</w:t>
              </w:r>
            </w:hyperlink>
          </w:p>
        </w:tc>
        <w:tc>
          <w:tcPr>
            <w:tcW w:w="1120" w:type="dxa"/>
            <w:vAlign w:val="bottom"/>
            <w:gridSpan w:val="5"/>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gridSpan w:val="27"/>
          </w:tcPr>
          <w:p>
            <w:pPr>
              <w:spacing w:after="0" w:line="88" w:lineRule="exact"/>
              <w:rPr>
                <w:rFonts w:ascii="Arial" w:cs="Arial" w:eastAsia="Arial" w:hAnsi="Arial"/>
                <w:sz w:val="10"/>
                <w:szCs w:val="10"/>
                <w:color w:val="0000EE"/>
              </w:rPr>
            </w:pPr>
            <w:hyperlink w:anchor="page73">
              <w:r>
                <w:rPr>
                  <w:rFonts w:ascii="Arial" w:cs="Arial" w:eastAsia="Arial" w:hAnsi="Arial"/>
                  <w:sz w:val="10"/>
                  <w:szCs w:val="10"/>
                  <w:color w:val="0000EE"/>
                </w:rPr>
                <w:t>Annual Stock Option Awards</w:t>
              </w:r>
            </w:hyperlink>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62</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63</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420" w:type="dxa"/>
            <w:vAlign w:val="bottom"/>
            <w:tcBorders>
              <w:bottom w:val="single" w:sz="8" w:color="0000EE"/>
            </w:tcBorders>
            <w:gridSpan w:val="16"/>
          </w:tcPr>
          <w:p>
            <w:pPr>
              <w:spacing w:after="0" w:line="88" w:lineRule="exact"/>
              <w:rPr>
                <w:rFonts w:ascii="Arial" w:cs="Arial" w:eastAsia="Arial" w:hAnsi="Arial"/>
                <w:sz w:val="10"/>
                <w:szCs w:val="10"/>
                <w:color w:val="0000EE"/>
                <w:w w:val="93"/>
              </w:rPr>
            </w:pPr>
            <w:hyperlink w:anchor="page74">
              <w:r>
                <w:rPr>
                  <w:rFonts w:ascii="Arial" w:cs="Arial" w:eastAsia="Arial" w:hAnsi="Arial"/>
                  <w:sz w:val="10"/>
                  <w:szCs w:val="10"/>
                  <w:color w:val="0000EE"/>
                  <w:w w:val="93"/>
                </w:rPr>
                <w:t>Perquisites and Personal Benefits</w:t>
              </w:r>
            </w:hyperlink>
          </w:p>
        </w:tc>
        <w:tc>
          <w:tcPr>
            <w:tcW w:w="1580" w:type="dxa"/>
            <w:vAlign w:val="bottom"/>
            <w:gridSpan w:val="13"/>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75">
              <w:r>
                <w:rPr>
                  <w:rFonts w:ascii="Arial" w:cs="Arial" w:eastAsia="Arial" w:hAnsi="Arial"/>
                  <w:sz w:val="10"/>
                  <w:szCs w:val="10"/>
                  <w:color w:val="0000EE"/>
                </w:rPr>
                <w:t>Potential Severance Payments</w:t>
              </w:r>
            </w:hyperlink>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64</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65</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tcPr>
          <w:p>
            <w:pPr>
              <w:spacing w:after="0"/>
              <w:rPr>
                <w:sz w:val="19"/>
                <w:szCs w:val="19"/>
                <w:color w:val="auto"/>
              </w:rPr>
            </w:pPr>
          </w:p>
        </w:tc>
        <w:tc>
          <w:tcPr>
            <w:tcW w:w="3000" w:type="dxa"/>
            <w:vAlign w:val="bottom"/>
            <w:gridSpan w:val="29"/>
          </w:tcPr>
          <w:p>
            <w:pPr>
              <w:spacing w:after="0"/>
              <w:rPr>
                <w:rFonts w:ascii="Arial" w:cs="Arial" w:eastAsia="Arial" w:hAnsi="Arial"/>
                <w:sz w:val="10"/>
                <w:szCs w:val="10"/>
                <w:b w:val="1"/>
                <w:bCs w:val="1"/>
                <w:color w:val="0000EE"/>
              </w:rPr>
            </w:pPr>
            <w:hyperlink w:anchor="page76">
              <w:r>
                <w:rPr>
                  <w:rFonts w:ascii="Arial" w:cs="Arial" w:eastAsia="Arial" w:hAnsi="Arial"/>
                  <w:sz w:val="10"/>
                  <w:szCs w:val="10"/>
                  <w:b w:val="1"/>
                  <w:bCs w:val="1"/>
                  <w:color w:val="0000EE"/>
                </w:rPr>
                <w:t>Our Compensation Processes</w:t>
              </w:r>
            </w:hyperlink>
          </w:p>
        </w:tc>
        <w:tc>
          <w:tcPr>
            <w:tcW w:w="1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1380" w:type="dxa"/>
            <w:vAlign w:val="bottom"/>
            <w:tcBorders>
              <w:top w:val="single" w:sz="8" w:color="0000EE"/>
            </w:tcBorders>
            <w:gridSpan w:val="15"/>
          </w:tcPr>
          <w:p>
            <w:pPr>
              <w:spacing w:after="0" w:line="97" w:lineRule="exact"/>
              <w:rPr>
                <w:rFonts w:ascii="Arial" w:cs="Arial" w:eastAsia="Arial" w:hAnsi="Arial"/>
                <w:sz w:val="10"/>
                <w:szCs w:val="10"/>
                <w:color w:val="0000EE"/>
                <w:w w:val="99"/>
              </w:rPr>
            </w:pPr>
            <w:hyperlink w:anchor="page76">
              <w:r>
                <w:rPr>
                  <w:rFonts w:ascii="Arial" w:cs="Arial" w:eastAsia="Arial" w:hAnsi="Arial"/>
                  <w:sz w:val="10"/>
                  <w:szCs w:val="10"/>
                  <w:color w:val="0000EE"/>
                  <w:w w:val="99"/>
                </w:rPr>
                <w:t>Our Compensation Committee</w:t>
              </w:r>
            </w:hyperlink>
          </w:p>
        </w:tc>
        <w:tc>
          <w:tcPr>
            <w:tcW w:w="1620" w:type="dxa"/>
            <w:vAlign w:val="bottom"/>
            <w:gridSpan w:val="14"/>
          </w:tcPr>
          <w:p>
            <w:pPr>
              <w:spacing w:after="0"/>
              <w:rPr>
                <w:sz w:val="8"/>
                <w:szCs w:val="8"/>
                <w:color w:val="auto"/>
              </w:rPr>
            </w:pPr>
          </w:p>
        </w:tc>
        <w:tc>
          <w:tcPr>
            <w:tcW w:w="1720" w:type="dxa"/>
            <w:vAlign w:val="bottom"/>
          </w:tcPr>
          <w:p>
            <w:pPr>
              <w:jc w:val="right"/>
              <w:spacing w:after="0" w:line="97" w:lineRule="exact"/>
              <w:rPr>
                <w:sz w:val="20"/>
                <w:szCs w:val="20"/>
                <w:color w:val="auto"/>
              </w:rPr>
            </w:pPr>
            <w:r>
              <w:rPr>
                <w:rFonts w:ascii="Arial" w:cs="Arial" w:eastAsia="Arial" w:hAnsi="Arial"/>
                <w:sz w:val="10"/>
                <w:szCs w:val="10"/>
                <w:color w:val="auto"/>
              </w:rPr>
              <w:t>65</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540" w:type="dxa"/>
            <w:vAlign w:val="bottom"/>
            <w:tcBorders>
              <w:top w:val="single" w:sz="8" w:color="0000EE"/>
              <w:bottom w:val="single" w:sz="8" w:color="0000EE"/>
            </w:tcBorders>
            <w:gridSpan w:val="5"/>
          </w:tcPr>
          <w:p>
            <w:pPr>
              <w:spacing w:after="0" w:line="88" w:lineRule="exact"/>
              <w:rPr>
                <w:rFonts w:ascii="Arial" w:cs="Arial" w:eastAsia="Arial" w:hAnsi="Arial"/>
                <w:sz w:val="10"/>
                <w:szCs w:val="10"/>
                <w:color w:val="0000EE"/>
                <w:w w:val="89"/>
              </w:rPr>
            </w:pPr>
            <w:hyperlink w:anchor="page76">
              <w:r>
                <w:rPr>
                  <w:rFonts w:ascii="Arial" w:cs="Arial" w:eastAsia="Arial" w:hAnsi="Arial"/>
                  <w:sz w:val="10"/>
                  <w:szCs w:val="10"/>
                  <w:color w:val="0000EE"/>
                  <w:w w:val="89"/>
                </w:rPr>
                <w:t>Management</w:t>
              </w:r>
            </w:hyperlink>
          </w:p>
        </w:tc>
        <w:tc>
          <w:tcPr>
            <w:tcW w:w="740" w:type="dxa"/>
            <w:vAlign w:val="bottom"/>
            <w:tcBorders>
              <w:top w:val="single" w:sz="8" w:color="0000EE"/>
            </w:tcBorders>
            <w:gridSpan w:val="9"/>
          </w:tcPr>
          <w:p>
            <w:pPr>
              <w:spacing w:after="0"/>
              <w:rPr>
                <w:sz w:val="7"/>
                <w:szCs w:val="7"/>
                <w:color w:val="auto"/>
              </w:rPr>
            </w:pPr>
          </w:p>
        </w:tc>
        <w:tc>
          <w:tcPr>
            <w:tcW w:w="1720" w:type="dxa"/>
            <w:vAlign w:val="bottom"/>
            <w:gridSpan w:val="15"/>
          </w:tcPr>
          <w:p>
            <w:pPr>
              <w:spacing w:after="0"/>
              <w:rPr>
                <w:sz w:val="7"/>
                <w:szCs w:val="7"/>
                <w:color w:val="auto"/>
              </w:rPr>
            </w:pPr>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65</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77">
              <w:r>
                <w:rPr>
                  <w:rFonts w:ascii="Arial" w:cs="Arial" w:eastAsia="Arial" w:hAnsi="Arial"/>
                  <w:sz w:val="10"/>
                  <w:szCs w:val="10"/>
                  <w:color w:val="0000EE"/>
                </w:rPr>
                <w:t>Shareholder Input and Outreach</w:t>
              </w:r>
            </w:hyperlink>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66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120" w:type="dxa"/>
            <w:vAlign w:val="bottom"/>
            <w:tcBorders>
              <w:top w:val="single" w:sz="8" w:color="0000EE"/>
            </w:tcBorders>
            <w:gridSpan w:val="13"/>
          </w:tcPr>
          <w:p>
            <w:pPr>
              <w:spacing w:after="0" w:line="88" w:lineRule="exact"/>
              <w:rPr>
                <w:rFonts w:ascii="Arial" w:cs="Arial" w:eastAsia="Arial" w:hAnsi="Arial"/>
                <w:sz w:val="10"/>
                <w:szCs w:val="10"/>
                <w:color w:val="0000EE"/>
              </w:rPr>
            </w:pPr>
            <w:hyperlink w:anchor="page77">
              <w:r>
                <w:rPr>
                  <w:rFonts w:ascii="Arial" w:cs="Arial" w:eastAsia="Arial" w:hAnsi="Arial"/>
                  <w:sz w:val="10"/>
                  <w:szCs w:val="10"/>
                  <w:color w:val="0000EE"/>
                </w:rPr>
                <w:t>Say-on-Pay Vote</w:t>
              </w:r>
            </w:hyperlink>
          </w:p>
        </w:tc>
        <w:tc>
          <w:tcPr>
            <w:tcW w:w="1620" w:type="dxa"/>
            <w:vAlign w:val="bottom"/>
            <w:gridSpan w:val="14"/>
          </w:tcPr>
          <w:p>
            <w:pPr>
              <w:spacing w:after="0"/>
              <w:rPr>
                <w:sz w:val="7"/>
                <w:szCs w:val="7"/>
                <w:color w:val="auto"/>
              </w:rPr>
            </w:pPr>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66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66</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gridSpan w:val="27"/>
          </w:tcPr>
          <w:p>
            <w:pPr>
              <w:spacing w:after="0" w:line="88" w:lineRule="exact"/>
              <w:rPr>
                <w:rFonts w:ascii="Arial" w:cs="Arial" w:eastAsia="Arial" w:hAnsi="Arial"/>
                <w:sz w:val="10"/>
                <w:szCs w:val="10"/>
                <w:color w:val="0000EE"/>
              </w:rPr>
            </w:pPr>
            <w:hyperlink w:anchor="page77">
              <w:r>
                <w:rPr>
                  <w:rFonts w:ascii="Arial" w:cs="Arial" w:eastAsia="Arial" w:hAnsi="Arial"/>
                  <w:sz w:val="10"/>
                  <w:szCs w:val="10"/>
                  <w:color w:val="0000EE"/>
                </w:rPr>
                <w:t>Shareholder Outreach</w:t>
              </w:r>
            </w:hyperlink>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68</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1640" w:type="dxa"/>
            <w:vAlign w:val="bottom"/>
            <w:tcBorders>
              <w:bottom w:val="single" w:sz="8" w:color="0000EE"/>
            </w:tcBorders>
            <w:gridSpan w:val="20"/>
          </w:tcPr>
          <w:p>
            <w:pPr>
              <w:spacing w:after="0" w:line="88" w:lineRule="exact"/>
              <w:rPr>
                <w:rFonts w:ascii="Arial" w:cs="Arial" w:eastAsia="Arial" w:hAnsi="Arial"/>
                <w:sz w:val="10"/>
                <w:szCs w:val="10"/>
                <w:color w:val="0000EE"/>
                <w:w w:val="93"/>
              </w:rPr>
            </w:pPr>
            <w:hyperlink w:anchor="page79">
              <w:r>
                <w:rPr>
                  <w:rFonts w:ascii="Arial" w:cs="Arial" w:eastAsia="Arial" w:hAnsi="Arial"/>
                  <w:sz w:val="10"/>
                  <w:szCs w:val="10"/>
                  <w:color w:val="0000EE"/>
                  <w:w w:val="93"/>
                </w:rPr>
                <w:t>Independent Compensation Consultant</w:t>
              </w:r>
            </w:hyperlink>
          </w:p>
        </w:tc>
        <w:tc>
          <w:tcPr>
            <w:tcW w:w="1360" w:type="dxa"/>
            <w:vAlign w:val="bottom"/>
            <w:gridSpan w:val="9"/>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79">
              <w:r>
                <w:rPr>
                  <w:rFonts w:ascii="Arial" w:cs="Arial" w:eastAsia="Arial" w:hAnsi="Arial"/>
                  <w:sz w:val="10"/>
                  <w:szCs w:val="10"/>
                  <w:color w:val="0000EE"/>
                </w:rPr>
                <w:t>Peer Data</w:t>
              </w:r>
            </w:hyperlink>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68</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1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72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70</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0" w:type="dxa"/>
            <w:vAlign w:val="bottom"/>
          </w:tcPr>
          <w:p>
            <w:pPr>
              <w:spacing w:after="0"/>
              <w:rPr>
                <w:sz w:val="7"/>
                <w:szCs w:val="7"/>
                <w:color w:val="auto"/>
              </w:rPr>
            </w:pPr>
          </w:p>
        </w:tc>
        <w:tc>
          <w:tcPr>
            <w:tcW w:w="3000" w:type="dxa"/>
            <w:vAlign w:val="bottom"/>
            <w:gridSpan w:val="29"/>
          </w:tcPr>
          <w:p>
            <w:pPr>
              <w:spacing w:after="0" w:line="88" w:lineRule="exact"/>
              <w:rPr>
                <w:rFonts w:ascii="Arial" w:cs="Arial" w:eastAsia="Arial" w:hAnsi="Arial"/>
                <w:sz w:val="10"/>
                <w:szCs w:val="10"/>
                <w:color w:val="0000EE"/>
              </w:rPr>
            </w:pPr>
            <w:hyperlink w:anchor="page81">
              <w:r>
                <w:rPr>
                  <w:rFonts w:ascii="Arial" w:cs="Arial" w:eastAsia="Arial" w:hAnsi="Arial"/>
                  <w:sz w:val="10"/>
                  <w:szCs w:val="10"/>
                  <w:color w:val="0000EE"/>
                </w:rPr>
                <w:t>Risk Assessment</w:t>
              </w:r>
            </w:hyperlink>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700" w:type="dxa"/>
            <w:vAlign w:val="bottom"/>
            <w:tcBorders>
              <w:top w:val="single" w:sz="8" w:color="0000EE"/>
            </w:tcBorders>
            <w:gridSpan w:val="7"/>
          </w:tcPr>
          <w:p>
            <w:pPr>
              <w:spacing w:after="0" w:line="88" w:lineRule="exact"/>
              <w:rPr>
                <w:rFonts w:ascii="Arial" w:cs="Arial" w:eastAsia="Arial" w:hAnsi="Arial"/>
                <w:sz w:val="10"/>
                <w:szCs w:val="10"/>
                <w:color w:val="0000EE"/>
                <w:w w:val="94"/>
              </w:rPr>
            </w:pPr>
            <w:hyperlink w:anchor="page81">
              <w:r>
                <w:rPr>
                  <w:rFonts w:ascii="Arial" w:cs="Arial" w:eastAsia="Arial" w:hAnsi="Arial"/>
                  <w:sz w:val="10"/>
                  <w:szCs w:val="10"/>
                  <w:color w:val="0000EE"/>
                  <w:w w:val="94"/>
                </w:rPr>
                <w:t>Tax Implications</w:t>
              </w:r>
            </w:hyperlink>
          </w:p>
        </w:tc>
        <w:tc>
          <w:tcPr>
            <w:tcW w:w="2300" w:type="dxa"/>
            <w:vAlign w:val="bottom"/>
            <w:gridSpan w:val="22"/>
          </w:tcPr>
          <w:p>
            <w:pPr>
              <w:spacing w:after="0"/>
              <w:rPr>
                <w:sz w:val="7"/>
                <w:szCs w:val="7"/>
                <w:color w:val="auto"/>
              </w:rPr>
            </w:pPr>
          </w:p>
        </w:tc>
        <w:tc>
          <w:tcPr>
            <w:tcW w:w="1720" w:type="dxa"/>
            <w:vAlign w:val="bottom"/>
          </w:tcPr>
          <w:p>
            <w:pPr>
              <w:jc w:val="right"/>
              <w:spacing w:after="0" w:line="88" w:lineRule="exact"/>
              <w:rPr>
                <w:sz w:val="20"/>
                <w:szCs w:val="20"/>
                <w:color w:val="auto"/>
              </w:rPr>
            </w:pPr>
            <w:r>
              <w:rPr>
                <w:rFonts w:ascii="Arial" w:cs="Arial" w:eastAsia="Arial" w:hAnsi="Arial"/>
                <w:sz w:val="10"/>
                <w:szCs w:val="10"/>
                <w:color w:val="auto"/>
              </w:rPr>
              <w:t>70</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72</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80" w:type="dxa"/>
            <w:vAlign w:val="bottom"/>
          </w:tcPr>
          <w:p>
            <w:pPr>
              <w:spacing w:after="0"/>
              <w:rPr>
                <w:sz w:val="20"/>
                <w:szCs w:val="20"/>
                <w:color w:val="auto"/>
              </w:rPr>
            </w:pPr>
          </w:p>
        </w:tc>
        <w:tc>
          <w:tcPr>
            <w:tcW w:w="1500" w:type="dxa"/>
            <w:vAlign w:val="bottom"/>
            <w:tcBorders>
              <w:bottom w:val="single" w:sz="8" w:color="0000EE"/>
            </w:tcBorders>
            <w:gridSpan w:val="19"/>
          </w:tcPr>
          <w:p>
            <w:pPr>
              <w:spacing w:after="0"/>
              <w:rPr>
                <w:rFonts w:ascii="Arial" w:cs="Arial" w:eastAsia="Arial" w:hAnsi="Arial"/>
                <w:sz w:val="10"/>
                <w:szCs w:val="10"/>
                <w:b w:val="1"/>
                <w:bCs w:val="1"/>
                <w:color w:val="0000EE"/>
                <w:w w:val="93"/>
              </w:rPr>
            </w:pPr>
            <w:hyperlink w:anchor="page83">
              <w:r>
                <w:rPr>
                  <w:rFonts w:ascii="Arial" w:cs="Arial" w:eastAsia="Arial" w:hAnsi="Arial"/>
                  <w:sz w:val="10"/>
                  <w:szCs w:val="10"/>
                  <w:b w:val="1"/>
                  <w:bCs w:val="1"/>
                  <w:color w:val="0000EE"/>
                  <w:w w:val="93"/>
                </w:rPr>
                <w:t>Compensation Committee Report</w:t>
              </w:r>
            </w:hyperlink>
          </w:p>
        </w:tc>
        <w:tc>
          <w:tcPr>
            <w:tcW w:w="1500" w:type="dxa"/>
            <w:vAlign w:val="bottom"/>
            <w:gridSpan w:val="10"/>
          </w:tcPr>
          <w:p>
            <w:pPr>
              <w:spacing w:after="0"/>
              <w:rPr>
                <w:sz w:val="20"/>
                <w:szCs w:val="20"/>
                <w:color w:val="auto"/>
              </w:rPr>
            </w:pPr>
          </w:p>
        </w:tc>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3000" w:type="dxa"/>
            <w:vAlign w:val="bottom"/>
            <w:gridSpan w:val="29"/>
          </w:tcPr>
          <w:p>
            <w:pPr>
              <w:spacing w:after="0"/>
              <w:rPr>
                <w:rFonts w:ascii="Arial" w:cs="Arial" w:eastAsia="Arial" w:hAnsi="Arial"/>
                <w:sz w:val="10"/>
                <w:szCs w:val="10"/>
                <w:b w:val="1"/>
                <w:bCs w:val="1"/>
                <w:color w:val="0000EE"/>
              </w:rPr>
            </w:pPr>
            <w:hyperlink w:anchor="page83">
              <w:r>
                <w:rPr>
                  <w:rFonts w:ascii="Arial" w:cs="Arial" w:eastAsia="Arial" w:hAnsi="Arial"/>
                  <w:sz w:val="10"/>
                  <w:szCs w:val="10"/>
                  <w:b w:val="1"/>
                  <w:bCs w:val="1"/>
                  <w:color w:val="0000EE"/>
                </w:rPr>
                <w:t>Compensation Committee Interlocks and</w:t>
              </w:r>
            </w:hyperlink>
          </w:p>
        </w:tc>
        <w:tc>
          <w:tcPr>
            <w:tcW w:w="1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860" w:type="dxa"/>
            <w:vAlign w:val="bottom"/>
            <w:tcBorders>
              <w:top w:val="single" w:sz="8" w:color="0000EE"/>
            </w:tcBorders>
            <w:gridSpan w:val="23"/>
          </w:tcPr>
          <w:p>
            <w:pPr>
              <w:spacing w:after="0" w:line="88" w:lineRule="exact"/>
              <w:rPr>
                <w:rFonts w:ascii="Arial" w:cs="Arial" w:eastAsia="Arial" w:hAnsi="Arial"/>
                <w:sz w:val="10"/>
                <w:szCs w:val="10"/>
                <w:b w:val="1"/>
                <w:bCs w:val="1"/>
                <w:color w:val="0000EE"/>
              </w:rPr>
            </w:pPr>
            <w:hyperlink w:anchor="page83">
              <w:r>
                <w:rPr>
                  <w:rFonts w:ascii="Arial" w:cs="Arial" w:eastAsia="Arial" w:hAnsi="Arial"/>
                  <w:sz w:val="10"/>
                  <w:szCs w:val="10"/>
                  <w:b w:val="1"/>
                  <w:bCs w:val="1"/>
                  <w:color w:val="0000EE"/>
                </w:rPr>
                <w:t>Insider Participation</w:t>
              </w:r>
            </w:hyperlink>
          </w:p>
        </w:tc>
        <w:tc>
          <w:tcPr>
            <w:tcW w:w="1140" w:type="dxa"/>
            <w:vAlign w:val="bottom"/>
            <w:gridSpan w:val="6"/>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60" w:type="dxa"/>
            <w:vAlign w:val="bottom"/>
            <w:shd w:val="clear" w:color="auto" w:fill="105BAB"/>
          </w:tcPr>
          <w:p>
            <w:pPr>
              <w:jc w:val="right"/>
              <w:ind w:right="291"/>
              <w:spacing w:after="0" w:line="108" w:lineRule="exact"/>
              <w:rPr>
                <w:sz w:val="20"/>
                <w:szCs w:val="20"/>
                <w:color w:val="auto"/>
              </w:rPr>
            </w:pPr>
            <w:r>
              <w:rPr>
                <w:rFonts w:ascii="Arial" w:cs="Arial" w:eastAsia="Arial" w:hAnsi="Arial"/>
                <w:sz w:val="10"/>
                <w:szCs w:val="10"/>
                <w:b w:val="1"/>
                <w:bCs w:val="1"/>
                <w:color w:val="FFFFFE"/>
                <w:w w:val="89"/>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88265</wp:posOffset>
            </wp:positionV>
            <wp:extent cx="7299325" cy="1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180" w:space="200"/>
            <w:col w:w="10100"/>
          </w:cols>
          <w:pgMar w:left="220" w:top="142" w:right="199" w:bottom="1440" w:gutter="0" w:footer="0" w:header="0"/>
          <w:type w:val="continuous"/>
        </w:sectPr>
      </w:pPr>
    </w:p>
    <w:bookmarkStart w:id="58" w:name="page59"/>
    <w:bookmarkEnd w:id="58"/>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jc w:val="right"/>
        <w:ind w:right="8800"/>
        <w:spacing w:after="0"/>
        <w:rPr>
          <w:sz w:val="20"/>
          <w:szCs w:val="20"/>
          <w:color w:val="auto"/>
        </w:rPr>
      </w:pPr>
      <w:r>
        <w:rPr>
          <w:sz w:val="1"/>
          <w:szCs w:val="1"/>
          <w:color w:val="auto"/>
        </w:rPr>
        <w:drawing>
          <wp:inline distT="0" distB="0" distL="0" distR="0">
            <wp:extent cx="68580" cy="46926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2923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372" w:lineRule="exact"/>
        <w:rPr>
          <w:sz w:val="20"/>
          <w:szCs w:val="20"/>
          <w:color w:val="auto"/>
        </w:rPr>
      </w:pPr>
    </w:p>
    <w:p>
      <w:pPr>
        <w:spacing w:after="0" w:line="256" w:lineRule="auto"/>
        <w:rPr>
          <w:sz w:val="20"/>
          <w:szCs w:val="20"/>
          <w:color w:val="auto"/>
        </w:rPr>
      </w:pPr>
      <w:r>
        <w:rPr>
          <w:rFonts w:ascii="Arial" w:cs="Arial" w:eastAsia="Arial" w:hAnsi="Arial"/>
          <w:sz w:val="21"/>
          <w:szCs w:val="21"/>
          <w:color w:val="105BAB"/>
        </w:rPr>
        <w:t>REGENERON'S GENERAL APPROACH TO COMPENSATION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Our Company Mission and Business Model—Sustainable Growth through Innovation</w:t>
      </w:r>
      <w:r>
        <w:rPr>
          <w:rFonts w:ascii="Arial" w:cs="Arial" w:eastAsia="Arial" w:hAnsi="Arial"/>
          <w:sz w:val="19"/>
          <w:szCs w:val="19"/>
          <w:b w:val="1"/>
          <w:bCs w:val="1"/>
          <w:color w:val="105BAB"/>
          <w:vertAlign w:val="superscript"/>
        </w:rPr>
        <w:t>1</w:t>
      </w:r>
    </w:p>
    <w:p>
      <w:pPr>
        <w:jc w:val="both"/>
        <w:ind w:right="60"/>
        <w:spacing w:after="0" w:line="212" w:lineRule="auto"/>
        <w:rPr>
          <w:sz w:val="20"/>
          <w:szCs w:val="20"/>
          <w:color w:val="auto"/>
        </w:rPr>
      </w:pPr>
      <w:r>
        <w:rPr>
          <w:rFonts w:ascii="Arial" w:cs="Arial" w:eastAsia="Arial" w:hAnsi="Arial"/>
          <w:sz w:val="12"/>
          <w:szCs w:val="12"/>
          <w:color w:val="auto"/>
        </w:rPr>
        <w:t>To understand the compensation of our "Named Executive Officers" or "NEOs,"</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it is important to consider our general approach to compensation and to appreciate how integral our pay practices are to our mission, strategy, and business model. As a science-driven company, we have set out to create an environment where the highest-quality fundamental drug research thrives and where highly committed teams of the best and the brightest can discover, develop, and commercialize new medicines for unmet medical needs.</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Our mission is to use the power of science to bring new medicines to patients—over and over again. Our long-term commitment to science and innovation has shaped our approach to compensation. Regeneron's compensation program is designed to sustain our business model and drive our product pipeline. This design at times requires departing from what could be viewed as the typical market practice.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Our Compensation Philosophy—Reward All Employees for Value Creation</w:t>
      </w:r>
    </w:p>
    <w:p>
      <w:pPr>
        <w:spacing w:after="0" w:line="11"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Our compensation supports our core strategy to create and advance a high-quality, internally-developed product pipeline. The pipeline is directly created by our talented employees, and their engagement and commitment represent a key driver of pipeline success.</w:t>
      </w:r>
    </w:p>
    <w:p>
      <w:pPr>
        <w:spacing w:after="0" w:line="125" w:lineRule="exact"/>
        <w:rPr>
          <w:sz w:val="20"/>
          <w:szCs w:val="20"/>
          <w:color w:val="auto"/>
        </w:rPr>
      </w:pPr>
    </w:p>
    <w:p>
      <w:pPr>
        <w:jc w:val="both"/>
        <w:ind w:right="60"/>
        <w:spacing w:after="0" w:line="248" w:lineRule="auto"/>
        <w:rPr>
          <w:sz w:val="20"/>
          <w:szCs w:val="20"/>
          <w:color w:val="auto"/>
        </w:rPr>
      </w:pPr>
      <w:r>
        <w:rPr>
          <w:rFonts w:ascii="Arial" w:cs="Arial" w:eastAsia="Arial" w:hAnsi="Arial"/>
          <w:sz w:val="12"/>
          <w:szCs w:val="12"/>
          <w:color w:val="auto"/>
        </w:rPr>
        <w:t xml:space="preserve">This is why </w:t>
      </w:r>
      <w:r>
        <w:rPr>
          <w:rFonts w:ascii="Arial" w:cs="Arial" w:eastAsia="Arial" w:hAnsi="Arial"/>
          <w:sz w:val="12"/>
          <w:szCs w:val="12"/>
          <w:b w:val="1"/>
          <w:bCs w:val="1"/>
          <w:color w:val="auto"/>
        </w:rPr>
        <w:t>our equity program is focused on ALL employees.</w:t>
      </w:r>
      <w:r>
        <w:rPr>
          <w:rFonts w:ascii="Arial" w:cs="Arial" w:eastAsia="Arial" w:hAnsi="Arial"/>
          <w:sz w:val="12"/>
          <w:szCs w:val="12"/>
          <w:color w:val="auto"/>
        </w:rPr>
        <w:t xml:space="preserve"> We award equity-based pay to all full-time employees to ensure that when we deliver for patients and for shareholders, everyone shares in the potential upside growth. In addition to a comprehensive annual stock option program covering all levels of employees, we award stock options in the form of initial grants to all new hires. Last year, over 90% of the equity grants were made to our employees who were not NEOs.</w:t>
      </w:r>
    </w:p>
    <w:p>
      <w:pPr>
        <w:spacing w:after="0" w:line="136" w:lineRule="exact"/>
        <w:rPr>
          <w:sz w:val="20"/>
          <w:szCs w:val="20"/>
          <w:color w:val="auto"/>
        </w:rPr>
      </w:pPr>
    </w:p>
    <w:p>
      <w:pPr>
        <w:ind w:right="20"/>
        <w:spacing w:after="0" w:line="269" w:lineRule="auto"/>
        <w:rPr>
          <w:sz w:val="20"/>
          <w:szCs w:val="20"/>
          <w:color w:val="auto"/>
        </w:rPr>
      </w:pPr>
      <w:r>
        <w:rPr>
          <w:rFonts w:ascii="Arial" w:cs="Arial" w:eastAsia="Arial" w:hAnsi="Arial"/>
          <w:sz w:val="11"/>
          <w:szCs w:val="11"/>
          <w:color w:val="auto"/>
        </w:rPr>
        <w:t>We use stock options because they only reward increasing shareholder value over multiple years (consistent with the drug-discovery/development cycle), would be difficult to manipulate by "managing to metrics," and are easy to understand. Many companies rely primarily on full-value equity awards (such as performance stock units or restricted shares) that provide value to employees even when shareholders get mediocre returns or actually lose value. Our options-based program does not provide value unless there is a positive shareholder return.</w:t>
      </w:r>
    </w:p>
    <w:p>
      <w:pPr>
        <w:spacing w:after="0" w:line="124" w:lineRule="exact"/>
        <w:rPr>
          <w:sz w:val="20"/>
          <w:szCs w:val="20"/>
          <w:color w:val="auto"/>
        </w:rPr>
      </w:pPr>
    </w:p>
    <w:p>
      <w:pPr>
        <w:ind w:right="140"/>
        <w:spacing w:after="0" w:line="237" w:lineRule="auto"/>
        <w:rPr>
          <w:sz w:val="20"/>
          <w:szCs w:val="20"/>
          <w:color w:val="auto"/>
        </w:rPr>
      </w:pPr>
      <w:r>
        <w:rPr>
          <w:rFonts w:ascii="Arial" w:cs="Arial" w:eastAsia="Arial" w:hAnsi="Arial"/>
          <w:sz w:val="12"/>
          <w:szCs w:val="12"/>
          <w:color w:val="auto"/>
        </w:rPr>
        <w:t>We try to avoid compensation that our employees would perceive to be unfair because we depend on the quality of their work to drive performance. The broad-based option grant program ensures that all employees can share in our future potential in the same way as executives. In addition, by having our board of directors and senior management heavily populated with top-science talent, we signal to employees our seriousness about the Company's core competencies and primary value driver. And by utilizing a merit-based system, we offer all employees the potential to increase their compensation through their individual performance and promotions.</w:t>
      </w:r>
    </w:p>
    <w:p>
      <w:pPr>
        <w:spacing w:after="0" w:line="200" w:lineRule="exact"/>
        <w:rPr>
          <w:sz w:val="20"/>
          <w:szCs w:val="20"/>
          <w:color w:val="auto"/>
        </w:rPr>
      </w:pPr>
    </w:p>
    <w:p>
      <w:pPr>
        <w:sectPr>
          <w:pgSz w:w="11900" w:h="16838" w:orient="portrait"/>
          <w:cols w:equalWidth="0" w:num="2">
            <w:col w:w="1720" w:space="120"/>
            <w:col w:w="9640"/>
          </w:cols>
          <w:pgMar w:left="220" w:top="142" w:right="199" w:bottom="1440" w:gutter="0" w:footer="0" w:header="0"/>
          <w:type w:val="continuous"/>
        </w:sect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120" w:type="dxa"/>
            <w:vAlign w:val="bottom"/>
            <w:tcBorders>
              <w:top w:val="single" w:sz="8" w:color="105BAB"/>
            </w:tcBorders>
          </w:tcPr>
          <w:p>
            <w:pPr>
              <w:jc w:val="right"/>
              <w:ind w:right="56"/>
              <w:spacing w:after="0"/>
              <w:rPr>
                <w:sz w:val="20"/>
                <w:szCs w:val="20"/>
                <w:color w:val="auto"/>
              </w:rPr>
            </w:pPr>
            <w:r>
              <w:rPr>
                <w:rFonts w:ascii="Arial" w:cs="Arial" w:eastAsia="Arial" w:hAnsi="Arial"/>
                <w:sz w:val="5"/>
                <w:szCs w:val="5"/>
                <w:color w:val="105BAB"/>
                <w:w w:val="70"/>
              </w:rPr>
              <w:t>1</w:t>
            </w:r>
          </w:p>
        </w:tc>
        <w:tc>
          <w:tcPr>
            <w:tcW w:w="11360" w:type="dxa"/>
            <w:vAlign w:val="bottom"/>
            <w:tcBorders>
              <w:top w:val="single" w:sz="8" w:color="105BAB"/>
            </w:tcBorders>
            <w:gridSpan w:val="2"/>
            <w:vMerge w:val="restart"/>
          </w:tcPr>
          <w:p>
            <w:pPr>
              <w:ind w:left="80"/>
              <w:spacing w:after="0"/>
              <w:rPr>
                <w:sz w:val="20"/>
                <w:szCs w:val="20"/>
                <w:color w:val="auto"/>
              </w:rPr>
            </w:pPr>
            <w:r>
              <w:rPr>
                <w:rFonts w:ascii="Arial" w:cs="Arial" w:eastAsia="Arial" w:hAnsi="Arial"/>
                <w:sz w:val="10"/>
                <w:szCs w:val="10"/>
                <w:color w:val="auto"/>
              </w:rPr>
              <w:t>In this section, "we," "us," and "our" refer to the Company and, where applicable, to the Compensation Committee of the Company's Board of Directors.</w:t>
            </w:r>
          </w:p>
        </w:tc>
        <w:tc>
          <w:tcPr>
            <w:tcW w:w="0" w:type="dxa"/>
            <w:vAlign w:val="bottom"/>
          </w:tcPr>
          <w:p>
            <w:pPr>
              <w:spacing w:after="0"/>
              <w:rPr>
                <w:sz w:val="1"/>
                <w:szCs w:val="1"/>
                <w:color w:val="auto"/>
              </w:rPr>
            </w:pPr>
          </w:p>
        </w:tc>
      </w:tr>
      <w:tr>
        <w:trPr>
          <w:trHeight w:val="26"/>
        </w:trPr>
        <w:tc>
          <w:tcPr>
            <w:tcW w:w="120" w:type="dxa"/>
            <w:vAlign w:val="bottom"/>
            <w:vMerge w:val="restart"/>
          </w:tcPr>
          <w:p>
            <w:pPr>
              <w:jc w:val="right"/>
              <w:ind w:right="56"/>
              <w:spacing w:after="0"/>
              <w:rPr>
                <w:sz w:val="20"/>
                <w:szCs w:val="20"/>
                <w:color w:val="auto"/>
              </w:rPr>
            </w:pPr>
            <w:r>
              <w:rPr>
                <w:rFonts w:ascii="Arial" w:cs="Arial" w:eastAsia="Arial" w:hAnsi="Arial"/>
                <w:sz w:val="5"/>
                <w:szCs w:val="5"/>
                <w:color w:val="105BAB"/>
                <w:w w:val="70"/>
              </w:rPr>
              <w:t>2</w:t>
            </w:r>
          </w:p>
        </w:tc>
        <w:tc>
          <w:tcPr>
            <w:tcW w:w="113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
        </w:trPr>
        <w:tc>
          <w:tcPr>
            <w:tcW w:w="120" w:type="dxa"/>
            <w:vAlign w:val="bottom"/>
            <w:vMerge w:val="continue"/>
          </w:tcPr>
          <w:p>
            <w:pPr>
              <w:spacing w:after="0"/>
              <w:rPr>
                <w:sz w:val="5"/>
                <w:szCs w:val="5"/>
                <w:color w:val="auto"/>
              </w:rPr>
            </w:pPr>
          </w:p>
        </w:tc>
        <w:tc>
          <w:tcPr>
            <w:tcW w:w="1136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w w:val="96"/>
              </w:rPr>
              <w:t>These are determined in accordance with SEC rules, and for this year consist of our President and Chief Executive Officer ("CEO"); President and Chief Scientific Officer ("CSO"); Senior Vice President, Finance and Chief Financial Officer ("CFO"); and our two other</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9"/>
                <w:szCs w:val="9"/>
                <w:color w:val="auto"/>
              </w:rPr>
            </w:pPr>
          </w:p>
        </w:tc>
        <w:tc>
          <w:tcPr>
            <w:tcW w:w="11360" w:type="dxa"/>
            <w:vAlign w:val="bottom"/>
            <w:gridSpan w:val="2"/>
          </w:tcPr>
          <w:p>
            <w:pPr>
              <w:ind w:left="80"/>
              <w:spacing w:after="0"/>
              <w:rPr>
                <w:sz w:val="20"/>
                <w:szCs w:val="20"/>
                <w:color w:val="auto"/>
              </w:rPr>
            </w:pPr>
            <w:r>
              <w:rPr>
                <w:rFonts w:ascii="Arial" w:cs="Arial" w:eastAsia="Arial" w:hAnsi="Arial"/>
                <w:sz w:val="10"/>
                <w:szCs w:val="10"/>
                <w:color w:val="auto"/>
              </w:rPr>
              <w:t>highest-paid executives for 2017, our Executive Vice President, Research &amp; Development and our Executive Vice President and General Manager, Industrial Operations and Product Supply.</w:t>
            </w: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105BAB"/>
          </w:tcPr>
          <w:p>
            <w:pPr>
              <w:spacing w:after="0"/>
              <w:rPr>
                <w:sz w:val="9"/>
                <w:szCs w:val="9"/>
                <w:color w:val="auto"/>
              </w:rPr>
            </w:pPr>
          </w:p>
        </w:tc>
        <w:tc>
          <w:tcPr>
            <w:tcW w:w="320" w:type="dxa"/>
            <w:vAlign w:val="bottom"/>
            <w:shd w:val="clear" w:color="auto" w:fill="105BAB"/>
          </w:tcPr>
          <w:p>
            <w:pPr>
              <w:jc w:val="right"/>
              <w:spacing w:after="0" w:line="108" w:lineRule="exact"/>
              <w:rPr>
                <w:sz w:val="20"/>
                <w:szCs w:val="20"/>
                <w:color w:val="auto"/>
              </w:rPr>
            </w:pPr>
            <w:r>
              <w:rPr>
                <w:rFonts w:ascii="Arial" w:cs="Arial" w:eastAsia="Arial" w:hAnsi="Arial"/>
                <w:sz w:val="10"/>
                <w:szCs w:val="10"/>
                <w:b w:val="1"/>
                <w:bCs w:val="1"/>
                <w:color w:val="FFFFFE"/>
              </w:rPr>
              <w:t>48</w:t>
            </w:r>
          </w:p>
        </w:tc>
        <w:tc>
          <w:tcPr>
            <w:tcW w:w="1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10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59" w:name="page60"/>
    <w:bookmarkEnd w:id="59"/>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88"/>
        <w:spacing w:after="0"/>
        <w:rPr>
          <w:sz w:val="20"/>
          <w:szCs w:val="20"/>
          <w:color w:val="auto"/>
        </w:rPr>
      </w:pPr>
      <w:r>
        <w:rPr>
          <w:rFonts w:ascii="Arial" w:cs="Arial" w:eastAsia="Arial" w:hAnsi="Arial"/>
          <w:sz w:val="12"/>
          <w:szCs w:val="12"/>
          <w:b w:val="1"/>
          <w:bCs w:val="1"/>
          <w:color w:val="105BAB"/>
        </w:rPr>
        <w:t>Our Company Culture</w:t>
      </w:r>
    </w:p>
    <w:p>
      <w:pPr>
        <w:spacing w:after="0" w:line="173" w:lineRule="exact"/>
        <w:rPr>
          <w:sz w:val="20"/>
          <w:szCs w:val="20"/>
          <w:color w:val="auto"/>
        </w:rPr>
      </w:pPr>
    </w:p>
    <w:p>
      <w:pPr>
        <w:ind w:left="1788" w:right="20"/>
        <w:spacing w:after="0" w:line="217" w:lineRule="auto"/>
        <w:rPr>
          <w:sz w:val="20"/>
          <w:szCs w:val="20"/>
          <w:color w:val="auto"/>
        </w:rPr>
      </w:pPr>
      <w:r>
        <w:rPr>
          <w:rFonts w:ascii="Arial" w:cs="Arial" w:eastAsia="Arial" w:hAnsi="Arial"/>
          <w:sz w:val="12"/>
          <w:szCs w:val="12"/>
          <w:color w:val="auto"/>
        </w:rPr>
        <w:t>Our compensation model has been instrumental in furthering a culture of loyal and motivated employees with an entrepreneurial spirit. In each of the last five years, our attrition rate was less than half the industry average. For example, our 2017 turnover rate was 7.8% compared to an industry average of 18.3%,</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with turnover of our scientists ranking among the lowest of all employee groups. We continued to retain employees well above the industry average and to attract new talent, even though our stock price declined in 2016 and remained relatively flat year-over-year in 2017.</w:t>
      </w:r>
    </w:p>
    <w:p>
      <w:pPr>
        <w:spacing w:after="0" w:line="140" w:lineRule="exact"/>
        <w:rPr>
          <w:sz w:val="20"/>
          <w:szCs w:val="20"/>
          <w:color w:val="auto"/>
        </w:rPr>
      </w:pPr>
    </w:p>
    <w:p>
      <w:pPr>
        <w:ind w:left="1788" w:right="80"/>
        <w:spacing w:after="0" w:line="239" w:lineRule="auto"/>
        <w:rPr>
          <w:sz w:val="20"/>
          <w:szCs w:val="20"/>
          <w:color w:val="auto"/>
        </w:rPr>
      </w:pPr>
      <w:r>
        <w:rPr>
          <w:rFonts w:ascii="Arial" w:cs="Arial" w:eastAsia="Arial" w:hAnsi="Arial"/>
          <w:sz w:val="12"/>
          <w:szCs w:val="12"/>
          <w:color w:val="auto"/>
        </w:rPr>
        <w:t>Stability and consistency have been important not only to our compensation model, but also our governance. We are led by the longest-serving founder CEO in the S&amp;P 500. He, and our exceptionally stable management and scientific teams, have been the stewards of our long-term focus, and we believe that they are part of the formula for our success.</w:t>
      </w:r>
    </w:p>
    <w:p>
      <w:pPr>
        <w:spacing w:after="0" w:line="139" w:lineRule="exact"/>
        <w:rPr>
          <w:sz w:val="20"/>
          <w:szCs w:val="20"/>
          <w:color w:val="auto"/>
        </w:rPr>
      </w:pPr>
    </w:p>
    <w:p>
      <w:pPr>
        <w:ind w:left="1788" w:right="60"/>
        <w:spacing w:after="0" w:line="237" w:lineRule="auto"/>
        <w:rPr>
          <w:sz w:val="20"/>
          <w:szCs w:val="20"/>
          <w:color w:val="auto"/>
        </w:rPr>
      </w:pPr>
      <w:r>
        <w:rPr>
          <w:rFonts w:ascii="Arial" w:cs="Arial" w:eastAsia="Arial" w:hAnsi="Arial"/>
          <w:sz w:val="12"/>
          <w:szCs w:val="12"/>
          <w:color w:val="auto"/>
        </w:rPr>
        <w:t xml:space="preserve">We also believe that our compensation model has helped us avoid creating a culture where managers overly focus on short-term metrics, which could encourage decision-making that is not in the best interest of the long-term sustainability of our Company and our reputation. The emphasis on the long-term is a core Company belief, consistent with our history of growing through innovation and through a pipeline of internally developed medicines, rather than through price increases. In fact, </w:t>
      </w:r>
      <w:r>
        <w:rPr>
          <w:rFonts w:ascii="Arial" w:cs="Arial" w:eastAsia="Arial" w:hAnsi="Arial"/>
          <w:sz w:val="12"/>
          <w:szCs w:val="12"/>
          <w:b w:val="1"/>
          <w:bCs w:val="1"/>
          <w:color w:val="auto"/>
        </w:rPr>
        <w:t>Regeneron has never increased the price of any of its drugs,</w:t>
      </w:r>
      <w:r>
        <w:rPr>
          <w:rFonts w:ascii="Arial" w:cs="Arial" w:eastAsia="Arial" w:hAnsi="Arial"/>
          <w:sz w:val="12"/>
          <w:szCs w:val="12"/>
          <w:color w:val="auto"/>
        </w:rPr>
        <w:t xml:space="preserve"> </w:t>
      </w:r>
      <w:r>
        <w:rPr>
          <w:rFonts w:ascii="Arial" w:cs="Arial" w:eastAsia="Arial" w:hAnsi="Arial"/>
          <w:sz w:val="12"/>
          <w:szCs w:val="12"/>
          <w:b w:val="1"/>
          <w:bCs w:val="1"/>
          <w:color w:val="auto"/>
        </w:rPr>
        <w:t>all of which were discovered and developed internally</w:t>
      </w:r>
      <w:r>
        <w:rPr>
          <w:rFonts w:ascii="Arial" w:cs="Arial" w:eastAsia="Arial" w:hAnsi="Arial"/>
          <w:sz w:val="12"/>
          <w:szCs w:val="12"/>
          <w:color w:val="auto"/>
        </w:rPr>
        <w:t>.</w:t>
      </w:r>
    </w:p>
    <w:p>
      <w:pPr>
        <w:spacing w:after="0" w:line="139" w:lineRule="exact"/>
        <w:rPr>
          <w:sz w:val="20"/>
          <w:szCs w:val="20"/>
          <w:color w:val="auto"/>
        </w:rPr>
      </w:pPr>
    </w:p>
    <w:p>
      <w:pPr>
        <w:jc w:val="both"/>
        <w:ind w:left="1788" w:right="20"/>
        <w:spacing w:after="0" w:line="237" w:lineRule="auto"/>
        <w:rPr>
          <w:sz w:val="20"/>
          <w:szCs w:val="20"/>
          <w:color w:val="auto"/>
        </w:rPr>
      </w:pPr>
      <w:r>
        <w:rPr>
          <w:rFonts w:ascii="Arial" w:cs="Arial" w:eastAsia="Arial" w:hAnsi="Arial"/>
          <w:sz w:val="12"/>
          <w:szCs w:val="12"/>
          <w:color w:val="auto"/>
        </w:rPr>
        <w:t>Further, many of our employees effectively invest in Regeneron's future by holding their option awards long after they vest and could be exercised for a gain. We think this exemplifies our employees' belief in our future and the long-term ownership culture that we have created with our compensation program. Similarly, our CEO and CSO have generally held their vested, in-the-money option awards until nearly the end of the full 10-year option term.</w:t>
      </w:r>
    </w:p>
    <w:p>
      <w:pPr>
        <w:spacing w:after="0" w:line="118" w:lineRule="exact"/>
        <w:rPr>
          <w:sz w:val="20"/>
          <w:szCs w:val="20"/>
          <w:color w:val="auto"/>
        </w:rPr>
      </w:pPr>
    </w:p>
    <w:p>
      <w:pPr>
        <w:ind w:left="1788"/>
        <w:spacing w:after="0"/>
        <w:rPr>
          <w:sz w:val="20"/>
          <w:szCs w:val="20"/>
          <w:color w:val="auto"/>
        </w:rPr>
      </w:pPr>
      <w:r>
        <w:rPr>
          <w:rFonts w:ascii="Arial" w:cs="Arial" w:eastAsia="Arial" w:hAnsi="Arial"/>
          <w:sz w:val="12"/>
          <w:szCs w:val="12"/>
          <w:b w:val="1"/>
          <w:bCs w:val="1"/>
          <w:color w:val="105BAB"/>
        </w:rPr>
        <w:t>Our Performance</w:t>
      </w:r>
    </w:p>
    <w:p>
      <w:pPr>
        <w:spacing w:after="0" w:line="173" w:lineRule="exact"/>
        <w:rPr>
          <w:sz w:val="20"/>
          <w:szCs w:val="20"/>
          <w:color w:val="auto"/>
        </w:rPr>
      </w:pPr>
    </w:p>
    <w:p>
      <w:pPr>
        <w:jc w:val="both"/>
        <w:ind w:left="1788"/>
        <w:spacing w:after="0" w:line="237" w:lineRule="auto"/>
        <w:rPr>
          <w:sz w:val="20"/>
          <w:szCs w:val="20"/>
          <w:color w:val="auto"/>
        </w:rPr>
      </w:pPr>
      <w:r>
        <w:rPr>
          <w:rFonts w:ascii="Arial" w:cs="Arial" w:eastAsia="Arial" w:hAnsi="Arial"/>
          <w:sz w:val="12"/>
          <w:szCs w:val="12"/>
          <w:color w:val="auto"/>
        </w:rPr>
        <w:t>Our compensation program underpins our strategy of delivering sustainable, long-term growth through continued innovation. We believe the success of our compensation program and our performance are best judged on a long-term basis. We think this approach is particularly appropriate because it allows investors to assess our pipeline progress and financial performance in the relevant context.</w:t>
      </w:r>
    </w:p>
    <w:p>
      <w:pPr>
        <w:spacing w:after="0" w:line="141" w:lineRule="exact"/>
        <w:rPr>
          <w:sz w:val="20"/>
          <w:szCs w:val="20"/>
          <w:color w:val="auto"/>
        </w:rPr>
      </w:pPr>
    </w:p>
    <w:p>
      <w:pPr>
        <w:ind w:left="1788" w:right="160"/>
        <w:spacing w:after="0" w:line="237" w:lineRule="auto"/>
        <w:rPr>
          <w:sz w:val="20"/>
          <w:szCs w:val="20"/>
          <w:color w:val="auto"/>
        </w:rPr>
      </w:pPr>
      <w:r>
        <w:rPr>
          <w:rFonts w:ascii="Arial" w:cs="Arial" w:eastAsia="Arial" w:hAnsi="Arial"/>
          <w:sz w:val="12"/>
          <w:szCs w:val="12"/>
          <w:color w:val="auto"/>
        </w:rPr>
        <w:t>Over the last five years, we delivered on our strategic plan and made great strides as we brought important new medicines to the market; obtained regulatory approval for several new indications of our flagship drug, EYLEA® (aflibercept) Injection; advanced multiple new product candidates into clinical development; grew revenue and earnings; started to diversify our revenue stream; and strengthened our balance sheet. Operational performance highlights from this period include:</w:t>
      </w:r>
    </w:p>
    <w:p>
      <w:pPr>
        <w:spacing w:after="0" w:line="120" w:lineRule="exact"/>
        <w:rPr>
          <w:sz w:val="20"/>
          <w:szCs w:val="20"/>
          <w:color w:val="auto"/>
        </w:rPr>
      </w:pPr>
    </w:p>
    <w:p>
      <w:pPr>
        <w:ind w:left="2008" w:hanging="216"/>
        <w:spacing w:after="0" w:line="259" w:lineRule="auto"/>
        <w:tabs>
          <w:tab w:leader="none" w:pos="2008" w:val="left"/>
        </w:tabs>
        <w:numPr>
          <w:ilvl w:val="0"/>
          <w:numId w:val="49"/>
        </w:numPr>
        <w:rPr>
          <w:rFonts w:ascii="Arial" w:cs="Arial" w:eastAsia="Arial" w:hAnsi="Arial"/>
          <w:sz w:val="10"/>
          <w:szCs w:val="10"/>
          <w:color w:val="105BAB"/>
        </w:rPr>
      </w:pPr>
      <w:r>
        <w:rPr>
          <w:rFonts w:ascii="Arial" w:cs="Arial" w:eastAsia="Arial" w:hAnsi="Arial"/>
          <w:sz w:val="12"/>
          <w:szCs w:val="12"/>
          <w:i w:val="1"/>
          <w:iCs w:val="1"/>
          <w:color w:val="auto"/>
        </w:rPr>
        <w:t xml:space="preserve">New EYLEA Indications. </w:t>
      </w:r>
      <w:r>
        <w:rPr>
          <w:rFonts w:ascii="Arial" w:cs="Arial" w:eastAsia="Arial" w:hAnsi="Arial"/>
          <w:sz w:val="12"/>
          <w:szCs w:val="12"/>
          <w:color w:val="auto"/>
        </w:rPr>
        <w:t>We obtained U.S. Food and Drug Administration ("FDA") approval for three additional EYLEA indications (diabetic macular edema ("DME"), macular edema</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branch retinal vein occlusion, and diabetic retinopathy in patients with DME), and grew EYLEA net product sales in the United States by 163%, to $3.7 billion.</w:t>
      </w:r>
    </w:p>
    <w:p>
      <w:pPr>
        <w:spacing w:after="0" w:line="246" w:lineRule="exact"/>
        <w:rPr>
          <w:sz w:val="20"/>
          <w:szCs w:val="20"/>
          <w:color w:val="auto"/>
        </w:rPr>
      </w:pPr>
    </w:p>
    <w:p>
      <w:pPr>
        <w:ind w:left="208" w:hanging="208"/>
        <w:spacing w:after="0"/>
        <w:tabs>
          <w:tab w:leader="none" w:pos="208" w:val="left"/>
        </w:tabs>
        <w:numPr>
          <w:ilvl w:val="0"/>
          <w:numId w:val="50"/>
        </w:numPr>
        <w:rPr>
          <w:rFonts w:ascii="Arial" w:cs="Arial" w:eastAsia="Arial" w:hAnsi="Arial"/>
          <w:sz w:val="14"/>
          <w:szCs w:val="14"/>
          <w:color w:val="105BAB"/>
          <w:vertAlign w:val="superscript"/>
        </w:rPr>
      </w:pPr>
      <w:r>
        <w:rPr>
          <w:rFonts w:ascii="Arial" w:cs="Arial" w:eastAsia="Arial" w:hAnsi="Arial"/>
          <w:sz w:val="10"/>
          <w:szCs w:val="10"/>
          <w:color w:val="auto"/>
        </w:rPr>
        <w:t>Industry average is based on the Radford U.S. Life Sciences Trends Report for the relevant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2923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5" w:lineRule="exact"/>
        <w:rPr>
          <w:sz w:val="20"/>
          <w:szCs w:val="20"/>
          <w:color w:val="auto"/>
        </w:rPr>
      </w:pPr>
    </w:p>
    <w:p>
      <w:pPr>
        <w:ind w:left="11028"/>
        <w:spacing w:after="0"/>
        <w:rPr>
          <w:sz w:val="20"/>
          <w:szCs w:val="20"/>
          <w:color w:val="auto"/>
        </w:rPr>
      </w:pPr>
      <w:r>
        <w:rPr>
          <w:rFonts w:ascii="Arial" w:cs="Arial" w:eastAsia="Arial" w:hAnsi="Arial"/>
          <w:sz w:val="10"/>
          <w:szCs w:val="10"/>
          <w:b w:val="1"/>
          <w:bCs w:val="1"/>
          <w:color w:val="FFFFF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bookmarkStart w:id="60" w:name="page61"/>
    <w:bookmarkEnd w:id="60"/>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8" w:right="120" w:hanging="216"/>
        <w:spacing w:after="0" w:line="256" w:lineRule="auto"/>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Newly Approved Treatments. </w:t>
      </w:r>
      <w:r>
        <w:rPr>
          <w:rFonts w:ascii="Arial" w:cs="Arial" w:eastAsia="Arial" w:hAnsi="Arial"/>
          <w:sz w:val="12"/>
          <w:szCs w:val="12"/>
          <w:color w:val="auto"/>
        </w:rPr>
        <w:t>We brought three important, novel treatments to patients—PRALUENT® (alirocumab) Injection, KEVZARA® (sarilumab) Injection, and DUPIXENT®</w:t>
      </w:r>
      <w:r>
        <w:rPr>
          <w:rFonts w:ascii="Arial" w:cs="Arial" w:eastAsia="Arial" w:hAnsi="Arial"/>
          <w:sz w:val="12"/>
          <w:szCs w:val="12"/>
          <w:i w:val="1"/>
          <w:iCs w:val="1"/>
          <w:color w:val="auto"/>
        </w:rPr>
        <w:t xml:space="preserve"> </w:t>
      </w:r>
      <w:r>
        <w:rPr>
          <w:rFonts w:ascii="Arial" w:cs="Arial" w:eastAsia="Arial" w:hAnsi="Arial"/>
          <w:sz w:val="12"/>
          <w:szCs w:val="12"/>
          <w:color w:val="auto"/>
        </w:rPr>
        <w:t>(dupilumab) Injection—each of which was both discovered and developed by Regeneron, and took important steps toward greater diversification of our revenues. In particular, the launch of DUPIXENT has compared favorably to other recent launches of antibody-based products targeting dermatological conditions, with DUPIXENT generating $256 million of global net product sales in the nine months it was on the market in 2017.</w:t>
      </w:r>
      <w:r>
        <w:rPr>
          <w:rFonts w:ascii="Arial" w:cs="Arial" w:eastAsia="Arial" w:hAnsi="Arial"/>
          <w:sz w:val="19"/>
          <w:szCs w:val="19"/>
          <w:color w:val="auto"/>
          <w:vertAlign w:val="superscript"/>
        </w:rPr>
        <w:t>4</w:t>
      </w:r>
    </w:p>
    <w:p>
      <w:pPr>
        <w:spacing w:after="0" w:line="27" w:lineRule="exact"/>
        <w:rPr>
          <w:rFonts w:ascii="Arial" w:cs="Arial" w:eastAsia="Arial" w:hAnsi="Arial"/>
          <w:sz w:val="10"/>
          <w:szCs w:val="10"/>
          <w:color w:val="105BAB"/>
        </w:rPr>
      </w:pPr>
    </w:p>
    <w:p>
      <w:pPr>
        <w:ind w:left="2008" w:hanging="216"/>
        <w:spacing w:after="0"/>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Pipeline Progress.  </w:t>
      </w:r>
      <w:r>
        <w:rPr>
          <w:rFonts w:ascii="Arial" w:cs="Arial" w:eastAsia="Arial" w:hAnsi="Arial"/>
          <w:sz w:val="12"/>
          <w:szCs w:val="12"/>
          <w:color w:val="auto"/>
        </w:rPr>
        <w:t>We completed 57 clinical trials, including 16 pivotal studies, and advanced 12 product candidates into clinical development.</w:t>
      </w:r>
    </w:p>
    <w:p>
      <w:pPr>
        <w:spacing w:after="0" w:line="123" w:lineRule="exact"/>
        <w:rPr>
          <w:rFonts w:ascii="Arial" w:cs="Arial" w:eastAsia="Arial" w:hAnsi="Arial"/>
          <w:sz w:val="10"/>
          <w:szCs w:val="10"/>
          <w:color w:val="105BAB"/>
        </w:rPr>
      </w:pPr>
    </w:p>
    <w:p>
      <w:pPr>
        <w:ind w:left="2008" w:right="220" w:hanging="216"/>
        <w:spacing w:after="0" w:line="259" w:lineRule="auto"/>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Revenue Increase. </w:t>
      </w:r>
      <w:r>
        <w:rPr>
          <w:rFonts w:ascii="Arial" w:cs="Arial" w:eastAsia="Arial" w:hAnsi="Arial"/>
          <w:sz w:val="12"/>
          <w:szCs w:val="12"/>
          <w:color w:val="auto"/>
        </w:rPr>
        <w:t>Our progress with expanding our portfolio of internally discovered and developed marketed products translated into an increase in our revenues by 179%, to</w:t>
      </w:r>
      <w:r>
        <w:rPr>
          <w:rFonts w:ascii="Arial" w:cs="Arial" w:eastAsia="Arial" w:hAnsi="Arial"/>
          <w:sz w:val="12"/>
          <w:szCs w:val="12"/>
          <w:i w:val="1"/>
          <w:iCs w:val="1"/>
          <w:color w:val="auto"/>
        </w:rPr>
        <w:t xml:space="preserve"> </w:t>
      </w:r>
      <w:r>
        <w:rPr>
          <w:rFonts w:ascii="Arial" w:cs="Arial" w:eastAsia="Arial" w:hAnsi="Arial"/>
          <w:sz w:val="12"/>
          <w:szCs w:val="12"/>
          <w:color w:val="auto"/>
        </w:rPr>
        <w:t>$5.9 billion. We achieved this organic growth without increasing the price of our products.</w:t>
      </w:r>
    </w:p>
    <w:p>
      <w:pPr>
        <w:spacing w:after="0" w:line="107" w:lineRule="exact"/>
        <w:rPr>
          <w:rFonts w:ascii="Arial" w:cs="Arial" w:eastAsia="Arial" w:hAnsi="Arial"/>
          <w:sz w:val="10"/>
          <w:szCs w:val="10"/>
          <w:color w:val="105BAB"/>
        </w:rPr>
      </w:pPr>
    </w:p>
    <w:p>
      <w:pPr>
        <w:ind w:left="2008" w:hanging="216"/>
        <w:spacing w:after="0"/>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New Income Growth.  </w:t>
      </w:r>
      <w:r>
        <w:rPr>
          <w:rFonts w:ascii="Arial" w:cs="Arial" w:eastAsia="Arial" w:hAnsi="Arial"/>
          <w:sz w:val="12"/>
          <w:szCs w:val="12"/>
          <w:color w:val="auto"/>
        </w:rPr>
        <w:t>We increased our profitability as our net income grew by 190%, to $1.2 billion, and our diluted earnings per share increased by 178%, to $10.34.</w:t>
      </w:r>
    </w:p>
    <w:p>
      <w:pPr>
        <w:spacing w:after="0" w:line="132" w:lineRule="exact"/>
        <w:rPr>
          <w:rFonts w:ascii="Arial" w:cs="Arial" w:eastAsia="Arial" w:hAnsi="Arial"/>
          <w:sz w:val="10"/>
          <w:szCs w:val="10"/>
          <w:color w:val="105BAB"/>
        </w:rPr>
      </w:pPr>
    </w:p>
    <w:p>
      <w:pPr>
        <w:ind w:left="2008" w:right="40" w:hanging="216"/>
        <w:spacing w:after="0" w:line="259" w:lineRule="auto"/>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Strengthening Our Financial Condition. </w:t>
      </w:r>
      <w:r>
        <w:rPr>
          <w:rFonts w:ascii="Arial" w:cs="Arial" w:eastAsia="Arial" w:hAnsi="Arial"/>
          <w:sz w:val="12"/>
          <w:szCs w:val="12"/>
          <w:color w:val="auto"/>
        </w:rPr>
        <w:t>Our cash, cash equivalents, and marketable securities grew by 167%, to $2.9 billion, and we solidified our financial condition by repaying all</w:t>
      </w:r>
      <w:r>
        <w:rPr>
          <w:rFonts w:ascii="Arial" w:cs="Arial" w:eastAsia="Arial" w:hAnsi="Arial"/>
          <w:sz w:val="12"/>
          <w:szCs w:val="12"/>
          <w:i w:val="1"/>
          <w:iCs w:val="1"/>
          <w:color w:val="auto"/>
        </w:rPr>
        <w:t xml:space="preserve"> </w:t>
      </w:r>
      <w:r>
        <w:rPr>
          <w:rFonts w:ascii="Arial" w:cs="Arial" w:eastAsia="Arial" w:hAnsi="Arial"/>
          <w:sz w:val="12"/>
          <w:szCs w:val="12"/>
          <w:color w:val="auto"/>
        </w:rPr>
        <w:t>of our outstanding convertible senior notes and purchasing outstanding warrants we issued as part of a 2011 financing transaction.</w:t>
      </w:r>
    </w:p>
    <w:p>
      <w:pPr>
        <w:spacing w:after="0" w:line="98" w:lineRule="exact"/>
        <w:rPr>
          <w:rFonts w:ascii="Arial" w:cs="Arial" w:eastAsia="Arial" w:hAnsi="Arial"/>
          <w:sz w:val="10"/>
          <w:szCs w:val="10"/>
          <w:color w:val="105BAB"/>
        </w:rPr>
      </w:pPr>
    </w:p>
    <w:p>
      <w:pPr>
        <w:ind w:left="2008" w:right="60" w:hanging="216"/>
        <w:spacing w:after="0" w:line="259" w:lineRule="auto"/>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Deployment of Capital to R&amp;D. </w:t>
      </w:r>
      <w:r>
        <w:rPr>
          <w:rFonts w:ascii="Arial" w:cs="Arial" w:eastAsia="Arial" w:hAnsi="Arial"/>
          <w:sz w:val="12"/>
          <w:szCs w:val="12"/>
          <w:color w:val="auto"/>
        </w:rPr>
        <w:t>Over the last five years, we deployed an aggregate of $7.9 billion to research and development, excluding the additional $3.6 billion deployed to our</w:t>
      </w:r>
      <w:r>
        <w:rPr>
          <w:rFonts w:ascii="Arial" w:cs="Arial" w:eastAsia="Arial" w:hAnsi="Arial"/>
          <w:sz w:val="12"/>
          <w:szCs w:val="12"/>
          <w:i w:val="1"/>
          <w:iCs w:val="1"/>
          <w:color w:val="auto"/>
        </w:rPr>
        <w:t xml:space="preserve"> </w:t>
      </w:r>
      <w:r>
        <w:rPr>
          <w:rFonts w:ascii="Arial" w:cs="Arial" w:eastAsia="Arial" w:hAnsi="Arial"/>
          <w:sz w:val="12"/>
          <w:szCs w:val="12"/>
          <w:color w:val="auto"/>
        </w:rPr>
        <w:t>R&amp;D projects directly by our collaborators over this period. Importantly, our R&amp;D spend was focused on organic growth, not growth through acquisitions.</w:t>
      </w:r>
    </w:p>
    <w:p>
      <w:pPr>
        <w:spacing w:after="0" w:line="107" w:lineRule="exact"/>
        <w:rPr>
          <w:rFonts w:ascii="Arial" w:cs="Arial" w:eastAsia="Arial" w:hAnsi="Arial"/>
          <w:sz w:val="10"/>
          <w:szCs w:val="10"/>
          <w:color w:val="105BAB"/>
        </w:rPr>
      </w:pPr>
    </w:p>
    <w:p>
      <w:pPr>
        <w:ind w:left="2008" w:hanging="216"/>
        <w:spacing w:after="0" w:line="243" w:lineRule="auto"/>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Human Genetics Initiative. </w:t>
      </w:r>
      <w:r>
        <w:rPr>
          <w:rFonts w:ascii="Arial" w:cs="Arial" w:eastAsia="Arial" w:hAnsi="Arial"/>
          <w:sz w:val="12"/>
          <w:szCs w:val="12"/>
          <w:color w:val="auto"/>
        </w:rPr>
        <w:t>We launched Regeneron Genetics Center® (the "RGC"), our human genetics initiative, the objective of which is to expand the use of human genetics for</w:t>
      </w:r>
      <w:r>
        <w:rPr>
          <w:rFonts w:ascii="Arial" w:cs="Arial" w:eastAsia="Arial" w:hAnsi="Arial"/>
          <w:sz w:val="12"/>
          <w:szCs w:val="12"/>
          <w:i w:val="1"/>
          <w:iCs w:val="1"/>
          <w:color w:val="auto"/>
        </w:rPr>
        <w:t xml:space="preserve"> </w:t>
      </w:r>
      <w:r>
        <w:rPr>
          <w:rFonts w:ascii="Arial" w:cs="Arial" w:eastAsia="Arial" w:hAnsi="Arial"/>
          <w:sz w:val="12"/>
          <w:szCs w:val="12"/>
          <w:color w:val="auto"/>
        </w:rPr>
        <w:t>discovering and validating genetic factors that cause or influence a range of diseases where there are major unmet medical needs. Since its founding, the RGC has entered into a number of important collaborations, including those with the Geisinger Health System of Pennsylvania and the UK Biobank, and had sequenced over 250,000 exomes (the portions of a genome that code information for protein synthesis) as of December 31, 2017.</w:t>
      </w:r>
    </w:p>
    <w:p>
      <w:pPr>
        <w:spacing w:after="0" w:line="116" w:lineRule="exact"/>
        <w:rPr>
          <w:rFonts w:ascii="Arial" w:cs="Arial" w:eastAsia="Arial" w:hAnsi="Arial"/>
          <w:sz w:val="10"/>
          <w:szCs w:val="10"/>
          <w:color w:val="105BAB"/>
        </w:rPr>
      </w:pPr>
    </w:p>
    <w:p>
      <w:pPr>
        <w:ind w:left="2008" w:right="140" w:hanging="216"/>
        <w:spacing w:after="0" w:line="259" w:lineRule="auto"/>
        <w:tabs>
          <w:tab w:leader="none" w:pos="2008" w:val="left"/>
        </w:tabs>
        <w:numPr>
          <w:ilvl w:val="0"/>
          <w:numId w:val="51"/>
        </w:numPr>
        <w:rPr>
          <w:rFonts w:ascii="Arial" w:cs="Arial" w:eastAsia="Arial" w:hAnsi="Arial"/>
          <w:sz w:val="10"/>
          <w:szCs w:val="10"/>
          <w:color w:val="105BAB"/>
        </w:rPr>
      </w:pPr>
      <w:r>
        <w:rPr>
          <w:rFonts w:ascii="Arial" w:cs="Arial" w:eastAsia="Arial" w:hAnsi="Arial"/>
          <w:sz w:val="12"/>
          <w:szCs w:val="12"/>
          <w:i w:val="1"/>
          <w:iCs w:val="1"/>
          <w:color w:val="auto"/>
        </w:rPr>
        <w:t xml:space="preserve">Company Recognition. </w:t>
      </w:r>
      <w:r>
        <w:rPr>
          <w:rFonts w:ascii="Arial" w:cs="Arial" w:eastAsia="Arial" w:hAnsi="Arial"/>
          <w:sz w:val="12"/>
          <w:szCs w:val="12"/>
          <w:color w:val="auto"/>
        </w:rPr>
        <w:t>We were recognized four times as the No. 1 employer in the global biopharmaceutical industry by</w:t>
      </w:r>
      <w:r>
        <w:rPr>
          <w:rFonts w:ascii="Arial" w:cs="Arial" w:eastAsia="Arial" w:hAnsi="Arial"/>
          <w:sz w:val="12"/>
          <w:szCs w:val="12"/>
          <w:i w:val="1"/>
          <w:iCs w:val="1"/>
          <w:color w:val="auto"/>
        </w:rPr>
        <w:t xml:space="preserve"> Science </w:t>
      </w:r>
      <w:r>
        <w:rPr>
          <w:rFonts w:ascii="Arial" w:cs="Arial" w:eastAsia="Arial" w:hAnsi="Arial"/>
          <w:sz w:val="12"/>
          <w:szCs w:val="12"/>
          <w:color w:val="auto"/>
        </w:rPr>
        <w:t>magazine, named four times as one of the "100</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Best Companies to Work For" by </w:t>
      </w:r>
      <w:r>
        <w:rPr>
          <w:rFonts w:ascii="Arial" w:cs="Arial" w:eastAsia="Arial" w:hAnsi="Arial"/>
          <w:sz w:val="12"/>
          <w:szCs w:val="12"/>
          <w:i w:val="1"/>
          <w:iCs w:val="1"/>
          <w:color w:val="auto"/>
        </w:rPr>
        <w:t>FORTUNE</w:t>
      </w:r>
      <w:r>
        <w:rPr>
          <w:rFonts w:ascii="Arial" w:cs="Arial" w:eastAsia="Arial" w:hAnsi="Arial"/>
          <w:sz w:val="12"/>
          <w:szCs w:val="12"/>
          <w:color w:val="auto"/>
        </w:rPr>
        <w:t xml:space="preserve"> magazine, and named five times as one of the world's top 10 Most Innovative Companies by </w:t>
      </w:r>
      <w:r>
        <w:rPr>
          <w:rFonts w:ascii="Arial" w:cs="Arial" w:eastAsia="Arial" w:hAnsi="Arial"/>
          <w:sz w:val="12"/>
          <w:szCs w:val="12"/>
          <w:i w:val="1"/>
          <w:iCs w:val="1"/>
          <w:color w:val="auto"/>
        </w:rPr>
        <w:t>Forbes</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8" w:hanging="208"/>
        <w:spacing w:after="0"/>
        <w:tabs>
          <w:tab w:leader="none" w:pos="208" w:val="left"/>
        </w:tabs>
        <w:numPr>
          <w:ilvl w:val="0"/>
          <w:numId w:val="52"/>
        </w:numPr>
        <w:rPr>
          <w:rFonts w:ascii="Arial" w:cs="Arial" w:eastAsia="Arial" w:hAnsi="Arial"/>
          <w:sz w:val="14"/>
          <w:szCs w:val="14"/>
          <w:color w:val="105BAB"/>
          <w:vertAlign w:val="superscript"/>
        </w:rPr>
      </w:pPr>
      <w:r>
        <w:rPr>
          <w:rFonts w:ascii="Arial" w:cs="Arial" w:eastAsia="Arial" w:hAnsi="Arial"/>
          <w:sz w:val="10"/>
          <w:szCs w:val="10"/>
          <w:color w:val="auto"/>
        </w:rPr>
        <w:t>Launch comparison is based on the number of total weekly prescriptions in the first nine months after launch. DUPIXENT global net product sales are recorded by our collaborator, Sanofi, and we and Sanofi share profits and losses from such sales.</w:t>
      </w:r>
    </w:p>
    <w:p>
      <w:pPr>
        <w:spacing w:after="0" w:line="125" w:lineRule="exact"/>
        <w:rPr>
          <w:rFonts w:ascii="Arial" w:cs="Arial" w:eastAsia="Arial" w:hAnsi="Arial"/>
          <w:sz w:val="14"/>
          <w:szCs w:val="14"/>
          <w:color w:val="105BAB"/>
          <w:vertAlign w:val="superscript"/>
        </w:rPr>
      </w:pPr>
    </w:p>
    <w:p>
      <w:pPr>
        <w:ind w:left="348"/>
        <w:spacing w:after="0"/>
        <w:rPr>
          <w:rFonts w:ascii="Arial" w:cs="Arial" w:eastAsia="Arial" w:hAnsi="Arial"/>
          <w:sz w:val="14"/>
          <w:szCs w:val="14"/>
          <w:color w:val="105BAB"/>
          <w:vertAlign w:val="superscript"/>
        </w:rPr>
      </w:pPr>
      <w:r>
        <w:rPr>
          <w:rFonts w:ascii="Arial" w:cs="Arial" w:eastAsia="Arial" w:hAnsi="Arial"/>
          <w:sz w:val="10"/>
          <w:szCs w:val="10"/>
          <w:b w:val="1"/>
          <w:bCs w:val="1"/>
          <w:color w:val="FFFFF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-232410</wp:posOffset>
            </wp:positionV>
            <wp:extent cx="72923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28"/>
          </w:cols>
          <w:pgMar w:left="212" w:top="142" w:right="25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As shown below, over the last five years, our financial growth has been driven primarily by the increase in the number of EYLEA indications and the growth of our EYLEA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82550</wp:posOffset>
            </wp:positionV>
            <wp:extent cx="615442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10"/>
          <w:szCs w:val="10"/>
          <w:b w:val="1"/>
          <w:bCs w:val="1"/>
          <w:color w:val="auto"/>
        </w:rPr>
        <w:t>5-Year Change in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189865</wp:posOffset>
            </wp:positionV>
            <wp:extent cx="3122930" cy="12700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122930" cy="127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right="240"/>
        <w:spacing w:after="0" w:line="239" w:lineRule="auto"/>
        <w:rPr>
          <w:sz w:val="20"/>
          <w:szCs w:val="20"/>
          <w:color w:val="auto"/>
        </w:rPr>
      </w:pPr>
      <w:r>
        <w:rPr>
          <w:rFonts w:ascii="Arial" w:cs="Arial" w:eastAsia="Arial" w:hAnsi="Arial"/>
          <w:sz w:val="12"/>
          <w:szCs w:val="12"/>
          <w:color w:val="auto"/>
        </w:rPr>
        <w:t>In this period, our stock outperformed the S&amp;P 500 index, but, despite progress in many key areas of our business as described above, underperformed the S&amp;P Biotechnology Select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-3810</wp:posOffset>
            </wp:positionV>
            <wp:extent cx="615442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pacing w:after="0" w:line="109" w:lineRule="exact"/>
        <w:rPr>
          <w:sz w:val="20"/>
          <w:szCs w:val="20"/>
          <w:color w:val="auto"/>
        </w:rPr>
      </w:pPr>
    </w:p>
    <w:p>
      <w:pPr>
        <w:ind w:left="1780"/>
        <w:spacing w:after="0"/>
        <w:tabs>
          <w:tab w:leader="none" w:pos="6540" w:val="left"/>
        </w:tabs>
        <w:rPr>
          <w:sz w:val="20"/>
          <w:szCs w:val="20"/>
          <w:color w:val="auto"/>
        </w:rPr>
      </w:pPr>
      <w:r>
        <w:rPr>
          <w:rFonts w:ascii="Arial" w:cs="Arial" w:eastAsia="Arial" w:hAnsi="Arial"/>
          <w:sz w:val="10"/>
          <w:szCs w:val="10"/>
          <w:b w:val="1"/>
          <w:bCs w:val="1"/>
          <w:color w:val="auto"/>
        </w:rPr>
        <w:t>Regeneron 5-Year TSR vs. S&amp;P Indices</w:t>
      </w:r>
      <w:r>
        <w:rPr>
          <w:sz w:val="20"/>
          <w:szCs w:val="20"/>
          <w:color w:val="auto"/>
        </w:rPr>
        <w:tab/>
      </w:r>
      <w:r>
        <w:rPr>
          <w:rFonts w:ascii="Arial" w:cs="Arial" w:eastAsia="Arial" w:hAnsi="Arial"/>
          <w:sz w:val="8"/>
          <w:szCs w:val="8"/>
          <w:color w:val="auto"/>
        </w:rPr>
        <w:t>TSR data reflect total returns (stock price appreciation and, if applicable,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189865</wp:posOffset>
            </wp:positionV>
            <wp:extent cx="2442210" cy="13614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4221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780"/>
        <w:spacing w:after="0"/>
        <w:rPr>
          <w:sz w:val="20"/>
          <w:szCs w:val="20"/>
          <w:color w:val="auto"/>
        </w:rPr>
      </w:pPr>
      <w:r>
        <w:rPr>
          <w:rFonts w:ascii="Arial" w:cs="Arial" w:eastAsia="Arial" w:hAnsi="Arial"/>
          <w:sz w:val="12"/>
          <w:szCs w:val="12"/>
          <w:b w:val="1"/>
          <w:bCs w:val="1"/>
          <w:color w:val="105BAB"/>
        </w:rPr>
        <w:t>Managing Dilution</w:t>
      </w:r>
    </w:p>
    <w:p>
      <w:pPr>
        <w:spacing w:after="0" w:line="173" w:lineRule="exact"/>
        <w:rPr>
          <w:sz w:val="20"/>
          <w:szCs w:val="20"/>
          <w:color w:val="auto"/>
        </w:rPr>
      </w:pPr>
    </w:p>
    <w:p>
      <w:pPr>
        <w:ind w:left="1780"/>
        <w:spacing w:after="0" w:line="237" w:lineRule="auto"/>
        <w:rPr>
          <w:sz w:val="20"/>
          <w:szCs w:val="20"/>
          <w:color w:val="auto"/>
        </w:rPr>
      </w:pPr>
      <w:r>
        <w:rPr>
          <w:rFonts w:ascii="Arial" w:cs="Arial" w:eastAsia="Arial" w:hAnsi="Arial"/>
          <w:sz w:val="12"/>
          <w:szCs w:val="12"/>
          <w:color w:val="auto"/>
        </w:rPr>
        <w:t>In the last five years, the number of our employees more than tripled and we created over 4,200 new full-time jobs. We are aware of the impact of the growing employee population on our equity program, which is why we have reduced the number of options granted per employee, including our CEO, by approximately 50% over the last five years. This allowed us to maintain nearly the same annual burn rate without sacrificing our core business principle of all-employee equity participation. Consistent with our all-employee equity award strategy, over 90% of the equity grants in 2017 were made to our employees who were not NEOs.</w:t>
      </w:r>
    </w:p>
    <w:p>
      <w:pPr>
        <w:spacing w:after="0" w:line="129"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62" w:name="page63"/>
    <w:bookmarkEnd w:id="62"/>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88" w:right="120"/>
        <w:spacing w:after="0" w:line="259" w:lineRule="auto"/>
        <w:rPr>
          <w:sz w:val="20"/>
          <w:szCs w:val="20"/>
          <w:color w:val="auto"/>
        </w:rPr>
      </w:pPr>
      <w:r>
        <w:rPr>
          <w:rFonts w:ascii="Arial" w:cs="Arial" w:eastAsia="Arial" w:hAnsi="Arial"/>
          <w:sz w:val="12"/>
          <w:szCs w:val="12"/>
          <w:color w:val="auto"/>
        </w:rPr>
        <w:t>The steadiness of our recent overall burn rate (</w:t>
      </w:r>
      <w:r>
        <w:rPr>
          <w:rFonts w:ascii="Arial" w:cs="Arial" w:eastAsia="Arial" w:hAnsi="Arial"/>
          <w:sz w:val="12"/>
          <w:szCs w:val="12"/>
          <w:i w:val="1"/>
          <w:iCs w:val="1"/>
          <w:color w:val="auto"/>
        </w:rPr>
        <w:t>i.e.</w:t>
      </w:r>
      <w:r>
        <w:rPr>
          <w:rFonts w:ascii="Arial" w:cs="Arial" w:eastAsia="Arial" w:hAnsi="Arial"/>
          <w:sz w:val="12"/>
          <w:szCs w:val="12"/>
          <w:color w:val="auto"/>
        </w:rPr>
        <w:t>, the burn rate resulting from all equity awards made in a particular year) despite increasing headcount and maintaining a program with full employee participation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74295</wp:posOffset>
            </wp:positionV>
            <wp:extent cx="615442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pacing w:after="0" w:line="233" w:lineRule="exact"/>
        <w:rPr>
          <w:sz w:val="20"/>
          <w:szCs w:val="20"/>
          <w:color w:val="auto"/>
        </w:rPr>
      </w:pPr>
    </w:p>
    <w:p>
      <w:pPr>
        <w:ind w:left="1788"/>
        <w:spacing w:after="0"/>
        <w:tabs>
          <w:tab w:leader="none" w:pos="6008" w:val="left"/>
        </w:tabs>
        <w:rPr>
          <w:sz w:val="20"/>
          <w:szCs w:val="20"/>
          <w:color w:val="auto"/>
        </w:rPr>
      </w:pPr>
      <w:r>
        <w:rPr>
          <w:rFonts w:ascii="Arial" w:cs="Arial" w:eastAsia="Arial" w:hAnsi="Arial"/>
          <w:sz w:val="10"/>
          <w:szCs w:val="10"/>
          <w:b w:val="1"/>
          <w:bCs w:val="1"/>
          <w:color w:val="auto"/>
        </w:rPr>
        <w:t>Regeneron Stock Utilization vs. Headcount</w:t>
      </w:r>
      <w:r>
        <w:rPr>
          <w:sz w:val="20"/>
          <w:szCs w:val="20"/>
          <w:color w:val="auto"/>
        </w:rPr>
        <w:tab/>
      </w:r>
      <w:r>
        <w:rPr>
          <w:rFonts w:ascii="Arial" w:cs="Arial" w:eastAsia="Arial" w:hAnsi="Arial"/>
          <w:sz w:val="8"/>
          <w:szCs w:val="8"/>
          <w:color w:val="auto"/>
        </w:rPr>
        <w:t>Burn rate calculated by dividing the number of shares subject to equity awards (time-based and performance-based stock</w:t>
      </w:r>
    </w:p>
    <w:p>
      <w:pPr>
        <w:spacing w:after="0" w:line="5" w:lineRule="exact"/>
        <w:rPr>
          <w:sz w:val="20"/>
          <w:szCs w:val="20"/>
          <w:color w:val="auto"/>
        </w:rPr>
      </w:pPr>
    </w:p>
    <w:p>
      <w:pPr>
        <w:ind w:left="6028" w:right="80"/>
        <w:spacing w:after="0" w:line="311" w:lineRule="auto"/>
        <w:rPr>
          <w:sz w:val="20"/>
          <w:szCs w:val="20"/>
          <w:color w:val="auto"/>
        </w:rPr>
      </w:pPr>
      <w:r>
        <w:rPr>
          <w:rFonts w:ascii="Arial" w:cs="Arial" w:eastAsia="Arial" w:hAnsi="Arial"/>
          <w:sz w:val="8"/>
          <w:szCs w:val="8"/>
          <w:color w:val="auto"/>
        </w:rPr>
        <w:t>options and restricted stock) granted during the year by the weighted-average number of shares of common stock (including unvested restricted stock) and Class A stock outstanding during the year. A multiplier of 2 is applied to restricted stock awards. Headcount numbers based on the number of employees as of December 31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-40005</wp:posOffset>
            </wp:positionV>
            <wp:extent cx="2625090" cy="1017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25090" cy="101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88"/>
        <w:spacing w:after="0"/>
        <w:rPr>
          <w:sz w:val="20"/>
          <w:szCs w:val="20"/>
          <w:color w:val="auto"/>
        </w:rPr>
      </w:pPr>
      <w:r>
        <w:rPr>
          <w:rFonts w:ascii="Arial" w:cs="Arial" w:eastAsia="Arial" w:hAnsi="Arial"/>
          <w:sz w:val="12"/>
          <w:szCs w:val="12"/>
          <w:b w:val="1"/>
          <w:bCs w:val="1"/>
          <w:color w:val="105BAB"/>
        </w:rPr>
        <w:t>CEO Pay</w:t>
      </w:r>
    </w:p>
    <w:p>
      <w:pPr>
        <w:spacing w:after="0" w:line="173" w:lineRule="exact"/>
        <w:rPr>
          <w:sz w:val="20"/>
          <w:szCs w:val="20"/>
          <w:color w:val="auto"/>
        </w:rPr>
      </w:pPr>
    </w:p>
    <w:p>
      <w:pPr>
        <w:ind w:left="1788"/>
        <w:spacing w:after="0" w:line="212" w:lineRule="auto"/>
        <w:rPr>
          <w:sz w:val="20"/>
          <w:szCs w:val="20"/>
          <w:color w:val="auto"/>
        </w:rPr>
      </w:pPr>
      <w:r>
        <w:rPr>
          <w:rFonts w:ascii="Arial" w:cs="Arial" w:eastAsia="Arial" w:hAnsi="Arial"/>
          <w:sz w:val="12"/>
          <w:szCs w:val="12"/>
          <w:color w:val="auto"/>
        </w:rPr>
        <w:t>The vast majority (95%) of our CEO's direct pay</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is "at risk." This has been a consistent feature of our CEO compensation structure, and the at-risk portion of our CEO pay is significantly greater than the average percentage of at-risk compensation for CEOs and other NEOs in our industry. The high level of at-risk pay also means that we pay well for excellent performance. Options have no value if shareholders do not benefit, so </w:t>
      </w:r>
      <w:r>
        <w:rPr>
          <w:rFonts w:ascii="Arial" w:cs="Arial" w:eastAsia="Arial" w:hAnsi="Arial"/>
          <w:sz w:val="12"/>
          <w:szCs w:val="12"/>
          <w:b w:val="1"/>
          <w:bCs w:val="1"/>
          <w:color w:val="auto"/>
        </w:rPr>
        <w:t>realizable compensation under our pay program is a sign of positive shareholder return</w:t>
      </w:r>
      <w:r>
        <w:rPr>
          <w:rFonts w:ascii="Arial" w:cs="Arial" w:eastAsia="Arial" w:hAnsi="Arial"/>
          <w:sz w:val="12"/>
          <w:szCs w:val="12"/>
          <w:color w:val="auto"/>
        </w:rPr>
        <w:t>.</w:t>
      </w:r>
    </w:p>
    <w:p>
      <w:pPr>
        <w:spacing w:after="0" w:line="140" w:lineRule="exact"/>
        <w:rPr>
          <w:sz w:val="20"/>
          <w:szCs w:val="20"/>
          <w:color w:val="auto"/>
        </w:rPr>
      </w:pPr>
    </w:p>
    <w:p>
      <w:pPr>
        <w:ind w:left="1788"/>
        <w:spacing w:after="0" w:line="236" w:lineRule="auto"/>
        <w:rPr>
          <w:sz w:val="20"/>
          <w:szCs w:val="20"/>
          <w:color w:val="auto"/>
        </w:rPr>
      </w:pPr>
      <w:r>
        <w:rPr>
          <w:rFonts w:ascii="Arial" w:cs="Arial" w:eastAsia="Arial" w:hAnsi="Arial"/>
          <w:sz w:val="12"/>
          <w:szCs w:val="12"/>
          <w:color w:val="auto"/>
        </w:rPr>
        <w:t>CEO total direct compensation declined by 8% in 2017, with equity grant date fair value that was 11% lower and 5% fewer options than in 2016. Looking at our CEO pay and performance from a longer-term perspective, while our total shareholder return increased by 120% over the last five years, our CEO's total direct compensation declined by 14% during that period. Importantly, in line with our dilution-based approach to setting equity compensation, we did not attempt to make up any decline of our stock price in any of these years by granting our CEO a greater number of options to reach a target "value." To the contrary, we have been steadily decreasing the number of his options in the last five years (by 15% versus the prior year in each of 2013, 2014, 2015, and 2016 and by 5% in 2017), just like the grants to our other employees, in order to manage our overall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82550</wp:posOffset>
            </wp:positionV>
            <wp:extent cx="615442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OUR</w:t>
      </w:r>
    </w:p>
    <w:p>
      <w:pPr>
        <w:spacing w:after="0" w:line="5"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SHAREHOLDER</w:t>
      </w:r>
    </w:p>
    <w:p>
      <w:pPr>
        <w:spacing w:after="0" w:line="5"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RETURNS</w:t>
      </w:r>
    </w:p>
    <w:p>
      <w:pPr>
        <w:spacing w:after="0" w:line="5"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HAVE</w:t>
      </w:r>
    </w:p>
    <w:p>
      <w:pPr>
        <w:spacing w:after="0" w:line="5"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OUTPACED</w:t>
      </w:r>
    </w:p>
    <w:p>
      <w:pPr>
        <w:spacing w:after="0" w:line="5"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OUR</w:t>
      </w:r>
    </w:p>
    <w:p>
      <w:pPr>
        <w:spacing w:after="0" w:line="5" w:lineRule="exact"/>
        <w:rPr>
          <w:sz w:val="20"/>
          <w:szCs w:val="20"/>
          <w:color w:val="auto"/>
        </w:rPr>
      </w:pPr>
    </w:p>
    <w:p>
      <w:pPr>
        <w:ind w:left="1788"/>
        <w:spacing w:after="0"/>
        <w:rPr>
          <w:sz w:val="20"/>
          <w:szCs w:val="20"/>
          <w:color w:val="auto"/>
        </w:rPr>
      </w:pPr>
      <w:r>
        <w:rPr>
          <w:rFonts w:ascii="Arial" w:cs="Arial" w:eastAsia="Arial" w:hAnsi="Arial"/>
          <w:sz w:val="16"/>
          <w:szCs w:val="16"/>
          <w:color w:val="105BAB"/>
        </w:rPr>
        <w:t>CEO PAY</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5-Year Change in CEO Total Direct Compensation vs.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5307330" cy="926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07330" cy="926465"/>
                    </a:xfrm>
                    <a:prstGeom prst="rect">
                      <a:avLst/>
                    </a:prstGeom>
                    <a:noFill/>
                  </pic:spPr>
                </pic:pic>
              </a:graphicData>
            </a:graphic>
          </wp:anchor>
        </w:drawing>
      </w:r>
    </w:p>
    <w:p>
      <w:pPr>
        <w:spacing w:after="0" w:line="399" w:lineRule="exact"/>
        <w:rPr>
          <w:sz w:val="20"/>
          <w:szCs w:val="20"/>
          <w:color w:val="auto"/>
        </w:rPr>
      </w:pPr>
    </w:p>
    <w:p>
      <w:pPr>
        <w:ind w:left="3180" w:right="240"/>
        <w:spacing w:after="0" w:line="232" w:lineRule="auto"/>
        <w:rPr>
          <w:sz w:val="20"/>
          <w:szCs w:val="20"/>
          <w:color w:val="auto"/>
        </w:rPr>
      </w:pPr>
      <w:r>
        <w:rPr>
          <w:rFonts w:ascii="Arial" w:cs="Arial" w:eastAsia="Arial" w:hAnsi="Arial"/>
          <w:sz w:val="10"/>
          <w:szCs w:val="10"/>
          <w:color w:val="auto"/>
        </w:rPr>
        <w:t>"CEO total direct compensation" means total compensation as reported in the Summary Compensation Table in the applicable proxy statement (other than amounts reported as "All other compensation").</w:t>
      </w:r>
    </w:p>
    <w:p>
      <w:pPr>
        <w:spacing w:after="0" w:line="1065" w:lineRule="exact"/>
        <w:rPr>
          <w:sz w:val="20"/>
          <w:szCs w:val="20"/>
          <w:color w:val="auto"/>
        </w:rPr>
      </w:pPr>
    </w:p>
    <w:p>
      <w:pPr>
        <w:sectPr>
          <w:pgSz w:w="11900" w:h="16838" w:orient="portrait"/>
          <w:cols w:equalWidth="0" w:num="2">
            <w:col w:w="3028" w:space="120"/>
            <w:col w:w="8320"/>
          </w:cols>
          <w:pgMar w:left="212" w:top="142" w:right="21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08" w:hanging="208"/>
        <w:spacing w:after="0"/>
        <w:tabs>
          <w:tab w:leader="none" w:pos="208" w:val="left"/>
        </w:tabs>
        <w:numPr>
          <w:ilvl w:val="0"/>
          <w:numId w:val="53"/>
        </w:numPr>
        <w:rPr>
          <w:rFonts w:ascii="Arial" w:cs="Arial" w:eastAsia="Arial" w:hAnsi="Arial"/>
          <w:sz w:val="13"/>
          <w:szCs w:val="13"/>
          <w:color w:val="105BAB"/>
          <w:vertAlign w:val="superscript"/>
        </w:rPr>
      </w:pPr>
      <w:r>
        <w:rPr>
          <w:rFonts w:ascii="Arial" w:cs="Arial" w:eastAsia="Arial" w:hAnsi="Arial"/>
          <w:sz w:val="9"/>
          <w:szCs w:val="9"/>
          <w:color w:val="auto"/>
        </w:rPr>
        <w:t>We define "direct pay" or "direct compensation" as total compensation as reported in the Summary Compensation Table in the applicable proxy statement, other than the amounts reported as "All other compensation."</w:t>
      </w:r>
    </w:p>
    <w:p>
      <w:pPr>
        <w:spacing w:after="0" w:line="125" w:lineRule="exact"/>
        <w:rPr>
          <w:rFonts w:ascii="Arial" w:cs="Arial" w:eastAsia="Arial" w:hAnsi="Arial"/>
          <w:sz w:val="13"/>
          <w:szCs w:val="13"/>
          <w:color w:val="105BAB"/>
          <w:vertAlign w:val="superscript"/>
        </w:rPr>
      </w:pPr>
    </w:p>
    <w:p>
      <w:pPr>
        <w:ind w:left="348"/>
        <w:spacing w:after="0"/>
        <w:rPr>
          <w:rFonts w:ascii="Arial" w:cs="Arial" w:eastAsia="Arial" w:hAnsi="Arial"/>
          <w:sz w:val="13"/>
          <w:szCs w:val="13"/>
          <w:color w:val="105BAB"/>
          <w:vertAlign w:val="superscript"/>
        </w:rPr>
      </w:pPr>
      <w:r>
        <w:rPr>
          <w:rFonts w:ascii="Arial" w:cs="Arial" w:eastAsia="Arial" w:hAnsi="Arial"/>
          <w:sz w:val="10"/>
          <w:szCs w:val="10"/>
          <w:b w:val="1"/>
          <w:bCs w:val="1"/>
          <w:color w:val="FFFFF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-232410</wp:posOffset>
            </wp:positionV>
            <wp:extent cx="39522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52240" cy="57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type w:val="continuous"/>
        </w:sectPr>
      </w:pPr>
    </w:p>
    <w:bookmarkStart w:id="63" w:name="page64"/>
    <w:bookmarkEnd w:id="6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80"/>
        <w:spacing w:after="0"/>
        <w:rPr>
          <w:sz w:val="20"/>
          <w:szCs w:val="20"/>
          <w:color w:val="auto"/>
        </w:rPr>
      </w:pPr>
      <w:r>
        <w:rPr>
          <w:rFonts w:ascii="Arial" w:cs="Arial" w:eastAsia="Arial" w:hAnsi="Arial"/>
          <w:sz w:val="12"/>
          <w:szCs w:val="12"/>
          <w:b w:val="1"/>
          <w:bCs w:val="1"/>
          <w:color w:val="105BAB"/>
        </w:rPr>
        <w:t>Shareholder Feedback</w:t>
      </w:r>
    </w:p>
    <w:p>
      <w:pPr>
        <w:spacing w:after="0" w:line="159" w:lineRule="exact"/>
        <w:rPr>
          <w:sz w:val="20"/>
          <w:szCs w:val="20"/>
          <w:color w:val="auto"/>
        </w:rPr>
      </w:pPr>
    </w:p>
    <w:p>
      <w:pPr>
        <w:ind w:left="1780"/>
        <w:spacing w:after="0" w:line="241" w:lineRule="auto"/>
        <w:rPr>
          <w:sz w:val="20"/>
          <w:szCs w:val="20"/>
          <w:color w:val="auto"/>
        </w:rPr>
      </w:pPr>
      <w:r>
        <w:rPr>
          <w:rFonts w:ascii="Arial" w:cs="Arial" w:eastAsia="Arial" w:hAnsi="Arial"/>
          <w:sz w:val="12"/>
          <w:szCs w:val="12"/>
          <w:color w:val="auto"/>
        </w:rPr>
        <w:t xml:space="preserve">While we believe our compensation model is the right one for our Company at this time and is supported by our long-term performance, </w:t>
      </w:r>
      <w:r>
        <w:rPr>
          <w:rFonts w:ascii="Arial" w:cs="Arial" w:eastAsia="Arial" w:hAnsi="Arial"/>
          <w:sz w:val="12"/>
          <w:szCs w:val="12"/>
          <w:b w:val="1"/>
          <w:bCs w:val="1"/>
          <w:color w:val="auto"/>
        </w:rPr>
        <w:t>we actively seek your input on compensation</w:t>
      </w:r>
      <w:r>
        <w:rPr>
          <w:rFonts w:ascii="Arial" w:cs="Arial" w:eastAsia="Arial" w:hAnsi="Arial"/>
          <w:sz w:val="12"/>
          <w:szCs w:val="12"/>
          <w:color w:val="auto"/>
        </w:rPr>
        <w:t xml:space="preserve"> </w:t>
      </w:r>
      <w:r>
        <w:rPr>
          <w:rFonts w:ascii="Arial" w:cs="Arial" w:eastAsia="Arial" w:hAnsi="Arial"/>
          <w:sz w:val="12"/>
          <w:szCs w:val="12"/>
          <w:b w:val="1"/>
          <w:bCs w:val="1"/>
          <w:color w:val="auto"/>
        </w:rPr>
        <w:t>and governance matters and are always open to new ideas</w:t>
      </w:r>
      <w:r>
        <w:rPr>
          <w:rFonts w:ascii="Arial" w:cs="Arial" w:eastAsia="Arial" w:hAnsi="Arial"/>
          <w:sz w:val="12"/>
          <w:szCs w:val="12"/>
          <w:color w:val="auto"/>
        </w:rPr>
        <w:t>. We have instituted a robust shareholder outreach program. Last year, we engaged in direct one-on-one discussions with</w:t>
      </w:r>
      <w:r>
        <w:rPr>
          <w:rFonts w:ascii="Arial" w:cs="Arial" w:eastAsia="Arial" w:hAnsi="Arial"/>
          <w:sz w:val="12"/>
          <w:szCs w:val="12"/>
          <w:b w:val="1"/>
          <w:bCs w:val="1"/>
          <w:color w:val="auto"/>
        </w:rPr>
        <w:t xml:space="preserve"> </w:t>
      </w:r>
      <w:r>
        <w:rPr>
          <w:rFonts w:ascii="Arial" w:cs="Arial" w:eastAsia="Arial" w:hAnsi="Arial"/>
          <w:sz w:val="12"/>
          <w:szCs w:val="12"/>
          <w:color w:val="auto"/>
        </w:rPr>
        <w:t>shareholders collectively representing approximately 53% of the shares of common stock outstanding as of December 31, 2017 (excluding shares held by our directors and executive officers and Sanofi). We encourage director participation as part of our shareholder engagement, and the Compensation Committee Chair has been involved in our outreach. See the subsection "Our Compensation Processes—Shareholder Input and Outreach"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20" w:top="142" w:right="339" w:bottom="1440" w:gutter="0" w:footer="0" w:header="0"/>
        </w:sectPr>
      </w:pPr>
    </w:p>
    <w:bookmarkStart w:id="64" w:name="page65"/>
    <w:bookmarkEnd w:id="64"/>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92340" cy="6578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8"/>
        <w:spacing w:after="0"/>
        <w:rPr>
          <w:sz w:val="20"/>
          <w:szCs w:val="20"/>
          <w:color w:val="auto"/>
        </w:rPr>
      </w:pPr>
      <w:r>
        <w:rPr>
          <w:sz w:val="1"/>
          <w:szCs w:val="1"/>
          <w:color w:val="auto"/>
        </w:rPr>
        <w:drawing>
          <wp:inline distT="0" distB="0" distL="0" distR="0">
            <wp:extent cx="68580" cy="46926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COMPENSATION DISCUSSION AND ANALYSIS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22"/>
          <w:szCs w:val="22"/>
          <w:color w:val="auto"/>
        </w:rPr>
        <w:t>OUR COMPENSATION PHILOSOPHY AND OBJECTIVES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consider the following seven objectives when determining compensation of our NEOs and other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156845</wp:posOffset>
            </wp:positionV>
            <wp:extent cx="597662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76620" cy="5715"/>
                    </a:xfrm>
                    <a:prstGeom prst="rect">
                      <a:avLst/>
                    </a:prstGeom>
                    <a:noFill/>
                  </pic:spPr>
                </pic:pic>
              </a:graphicData>
            </a:graphic>
          </wp:anchor>
        </w:drawing>
      </w:r>
    </w:p>
    <w:p>
      <w:pPr>
        <w:spacing w:after="0" w:line="344" w:lineRule="exact"/>
        <w:rPr>
          <w:sz w:val="20"/>
          <w:szCs w:val="20"/>
          <w:color w:val="auto"/>
        </w:rPr>
      </w:pPr>
    </w:p>
    <w:p>
      <w:pPr>
        <w:ind w:left="2328" w:hanging="256"/>
        <w:spacing w:after="0"/>
        <w:tabs>
          <w:tab w:leader="none" w:pos="23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Driving innovation through our ownership culture while balancing the dilutive impact of equity grants</w:t>
      </w:r>
    </w:p>
    <w:p>
      <w:pPr>
        <w:ind w:left="2328" w:hanging="256"/>
        <w:spacing w:after="0" w:line="234" w:lineRule="auto"/>
        <w:tabs>
          <w:tab w:leader="none" w:pos="23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Design simplicity, long-term orientation, and avoidance of too much emphasis on short-term metrics</w:t>
      </w:r>
    </w:p>
    <w:p>
      <w:pPr>
        <w:ind w:left="2328" w:hanging="256"/>
        <w:spacing w:after="0" w:line="234" w:lineRule="auto"/>
        <w:tabs>
          <w:tab w:leader="none" w:pos="23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At-risk, performance-based pay at all levels, with increased performance accountability as responsibility increases</w:t>
      </w:r>
    </w:p>
    <w:p>
      <w:pPr>
        <w:ind w:left="2328" w:hanging="256"/>
        <w:spacing w:after="0" w:line="234" w:lineRule="auto"/>
        <w:tabs>
          <w:tab w:leader="none" w:pos="23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Year-over-year consistency in making compensation decisions</w:t>
      </w:r>
    </w:p>
    <w:p>
      <w:pPr>
        <w:ind w:left="2328" w:hanging="256"/>
        <w:spacing w:after="0"/>
        <w:tabs>
          <w:tab w:leader="none" w:pos="2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Aligning our executive compensation with shareholder interests by linking compensation to the core elements of our long-term performance</w:t>
      </w:r>
    </w:p>
    <w:p>
      <w:pPr>
        <w:spacing w:after="0" w:line="8" w:lineRule="exact"/>
        <w:rPr>
          <w:rFonts w:ascii="Arial" w:cs="Arial" w:eastAsia="Arial" w:hAnsi="Arial"/>
          <w:sz w:val="11"/>
          <w:szCs w:val="11"/>
          <w:color w:val="auto"/>
        </w:rPr>
      </w:pPr>
    </w:p>
    <w:p>
      <w:pPr>
        <w:ind w:left="2328" w:hanging="256"/>
        <w:spacing w:after="0" w:line="234" w:lineRule="auto"/>
        <w:tabs>
          <w:tab w:leader="none" w:pos="23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Using independent sources of expertise and comparative data to inform our decision-making</w:t>
      </w:r>
    </w:p>
    <w:p>
      <w:pPr>
        <w:ind w:left="2328" w:hanging="256"/>
        <w:spacing w:after="0"/>
        <w:tabs>
          <w:tab w:leader="none" w:pos="232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Assessing our compensation objectives in light of measurable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2923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8"/>
          </w:cols>
          <w:pgMar w:left="212" w:top="142" w:right="299" w:bottom="1440" w:gutter="0" w:footer="0" w:header="0"/>
        </w:sectPr>
      </w:pPr>
    </w:p>
    <w:p>
      <w:pPr>
        <w:spacing w:after="0" w:line="208" w:lineRule="exact"/>
        <w:rPr>
          <w:sz w:val="20"/>
          <w:szCs w:val="20"/>
          <w:color w:val="auto"/>
        </w:rPr>
      </w:pPr>
    </w:p>
    <w:p>
      <w:pPr>
        <w:ind w:left="308" w:hanging="308"/>
        <w:spacing w:after="0" w:line="244" w:lineRule="auto"/>
        <w:tabs>
          <w:tab w:leader="none" w:pos="308" w:val="left"/>
        </w:tabs>
        <w:numPr>
          <w:ilvl w:val="0"/>
          <w:numId w:val="55"/>
        </w:numPr>
        <w:rPr>
          <w:rFonts w:ascii="Arial" w:cs="Arial" w:eastAsia="Arial" w:hAnsi="Arial"/>
          <w:sz w:val="12"/>
          <w:szCs w:val="12"/>
          <w:b w:val="1"/>
          <w:bCs w:val="1"/>
          <w:color w:val="105BAB"/>
        </w:rPr>
      </w:pPr>
      <w:r>
        <w:rPr>
          <w:rFonts w:ascii="Arial" w:cs="Arial" w:eastAsia="Arial" w:hAnsi="Arial"/>
          <w:sz w:val="12"/>
          <w:szCs w:val="12"/>
          <w:b w:val="1"/>
          <w:bCs w:val="1"/>
          <w:color w:val="105BAB"/>
        </w:rPr>
        <w:t>Driving innovation through our ownership culture while balancing the dilutive impact of equity grants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focus on the number of shares underlying option awards as a percentage of basic shares of common stock outstanding when making decisions on equity-based pay for our NEOs. We believe this dilution-based approach allows us to evaluate stock option grants on a consistent basis year-over-year, without regard to fluctuations in the share price, and is aligned more closely with shareholder interests. We also believe this approach allows for a more meaningful comparison to industry peers.</w:t>
      </w:r>
    </w:p>
    <w:p>
      <w:pPr>
        <w:spacing w:after="0" w:line="140" w:lineRule="exact"/>
        <w:rPr>
          <w:sz w:val="20"/>
          <w:szCs w:val="20"/>
          <w:color w:val="auto"/>
        </w:rPr>
      </w:pPr>
    </w:p>
    <w:p>
      <w:pPr>
        <w:ind w:right="20"/>
        <w:spacing w:after="0" w:line="193" w:lineRule="auto"/>
        <w:rPr>
          <w:sz w:val="20"/>
          <w:szCs w:val="20"/>
          <w:color w:val="auto"/>
        </w:rPr>
      </w:pPr>
      <w:r>
        <w:rPr>
          <w:rFonts w:ascii="Arial" w:cs="Arial" w:eastAsia="Arial" w:hAnsi="Arial"/>
          <w:sz w:val="12"/>
          <w:szCs w:val="12"/>
          <w:color w:val="auto"/>
        </w:rPr>
        <w:t>The 2017 CEO option grant as a percent of basic shares outstanding was below the 75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percentile of the market composite data prepared by Radford from the 2017 Radford Global Life Sciences Survey (comprising U.S. public biotechnology and pharmaceutical companies that have between 1,500 and 20,000 employees) and our Peer Group data</w:t>
      </w:r>
      <w:r>
        <w:rPr>
          <w:rFonts w:ascii="Arial" w:cs="Arial" w:eastAsia="Arial" w:hAnsi="Arial"/>
          <w:sz w:val="19"/>
          <w:szCs w:val="19"/>
          <w:color w:val="auto"/>
          <w:vertAlign w:val="superscript"/>
        </w:rPr>
        <w:t>6</w:t>
      </w:r>
      <w:r>
        <w:rPr>
          <w:rFonts w:ascii="Arial" w:cs="Arial" w:eastAsia="Arial" w:hAnsi="Arial"/>
          <w:sz w:val="12"/>
          <w:szCs w:val="12"/>
          <w:color w:val="auto"/>
        </w:rPr>
        <w:t xml:space="preserve"> (we refer to the composite data below as the "Market Composite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582231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2231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8" w:space="380"/>
            <w:col w:w="9080"/>
          </w:cols>
          <w:pgMar w:left="212" w:top="142" w:right="299" w:bottom="1440" w:gutter="0" w:footer="0" w:header="0"/>
          <w:type w:val="continuous"/>
        </w:sectPr>
      </w:pPr>
    </w:p>
    <w:p>
      <w:pPr>
        <w:spacing w:after="0" w:line="66" w:lineRule="exact"/>
        <w:rPr>
          <w:sz w:val="20"/>
          <w:szCs w:val="20"/>
          <w:color w:val="auto"/>
        </w:rPr>
      </w:pPr>
    </w:p>
    <w:p>
      <w:pPr>
        <w:ind w:left="2068"/>
        <w:spacing w:after="0"/>
        <w:tabs>
          <w:tab w:leader="none" w:pos="8308" w:val="left"/>
        </w:tabs>
        <w:rPr>
          <w:sz w:val="20"/>
          <w:szCs w:val="20"/>
          <w:color w:val="auto"/>
        </w:rPr>
      </w:pPr>
      <w:r>
        <w:rPr>
          <w:rFonts w:ascii="Arial" w:cs="Arial" w:eastAsia="Arial" w:hAnsi="Arial"/>
          <w:sz w:val="10"/>
          <w:szCs w:val="10"/>
          <w:b w:val="1"/>
          <w:bCs w:val="1"/>
          <w:color w:val="auto"/>
        </w:rPr>
        <w:t>CEO Grant as a Percentage of Basic Shares Outstanding</w:t>
      </w:r>
      <w:r>
        <w:rPr>
          <w:sz w:val="20"/>
          <w:szCs w:val="20"/>
          <w:color w:val="auto"/>
        </w:rPr>
        <w:tab/>
      </w:r>
      <w:r>
        <w:rPr>
          <w:rFonts w:ascii="Arial" w:cs="Arial" w:eastAsia="Arial" w:hAnsi="Arial"/>
          <w:sz w:val="8"/>
          <w:szCs w:val="8"/>
          <w:color w:val="auto"/>
        </w:rPr>
        <w:t>Based on 2017 stock option award</w:t>
      </w:r>
    </w:p>
    <w:p>
      <w:pPr>
        <w:ind w:left="8328"/>
        <w:spacing w:after="0" w:line="236" w:lineRule="auto"/>
        <w:rPr>
          <w:sz w:val="20"/>
          <w:szCs w:val="20"/>
          <w:color w:val="auto"/>
        </w:rPr>
      </w:pPr>
      <w:r>
        <w:rPr>
          <w:rFonts w:ascii="Arial" w:cs="Arial" w:eastAsia="Arial" w:hAnsi="Arial"/>
          <w:sz w:val="10"/>
          <w:szCs w:val="10"/>
          <w:color w:val="auto"/>
        </w:rPr>
        <w:t>information reported in the Summary</w:t>
      </w:r>
    </w:p>
    <w:p>
      <w:pPr>
        <w:ind w:left="8328"/>
        <w:spacing w:after="0"/>
        <w:rPr>
          <w:sz w:val="20"/>
          <w:szCs w:val="20"/>
          <w:color w:val="auto"/>
        </w:rPr>
      </w:pPr>
      <w:r>
        <w:rPr>
          <w:rFonts w:ascii="Arial" w:cs="Arial" w:eastAsia="Arial" w:hAnsi="Arial"/>
          <w:sz w:val="8"/>
          <w:szCs w:val="8"/>
          <w:color w:val="auto"/>
        </w:rPr>
        <w:t>Compensation Table included in this proxy</w:t>
      </w:r>
    </w:p>
    <w:p>
      <w:pPr>
        <w:spacing w:after="0" w:line="9" w:lineRule="exact"/>
        <w:rPr>
          <w:sz w:val="20"/>
          <w:szCs w:val="20"/>
          <w:color w:val="auto"/>
        </w:rPr>
      </w:pPr>
    </w:p>
    <w:p>
      <w:pPr>
        <w:ind w:left="8328"/>
        <w:spacing w:after="0"/>
        <w:rPr>
          <w:sz w:val="20"/>
          <w:szCs w:val="20"/>
          <w:color w:val="auto"/>
        </w:rPr>
      </w:pPr>
      <w:r>
        <w:rPr>
          <w:rFonts w:ascii="Arial" w:cs="Arial" w:eastAsia="Arial" w:hAnsi="Arial"/>
          <w:sz w:val="10"/>
          <w:szCs w:val="10"/>
          <w:color w:val="auto"/>
        </w:rPr>
        <w:t>statement for Regeneron and on the</w:t>
      </w:r>
    </w:p>
    <w:p>
      <w:pPr>
        <w:ind w:left="8328"/>
        <w:spacing w:after="0"/>
        <w:rPr>
          <w:sz w:val="20"/>
          <w:szCs w:val="20"/>
          <w:color w:val="auto"/>
        </w:rPr>
      </w:pPr>
      <w:r>
        <w:rPr>
          <w:rFonts w:ascii="Arial" w:cs="Arial" w:eastAsia="Arial" w:hAnsi="Arial"/>
          <w:sz w:val="10"/>
          <w:szCs w:val="10"/>
          <w:color w:val="auto"/>
        </w:rPr>
        <w:t>Market Composite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292340" cy="9493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340" cy="94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8" w:hanging="208"/>
        <w:spacing w:after="0"/>
        <w:tabs>
          <w:tab w:leader="none" w:pos="208" w:val="left"/>
        </w:tabs>
        <w:numPr>
          <w:ilvl w:val="0"/>
          <w:numId w:val="56"/>
        </w:numPr>
        <w:rPr>
          <w:rFonts w:ascii="Arial" w:cs="Arial" w:eastAsia="Arial" w:hAnsi="Arial"/>
          <w:sz w:val="14"/>
          <w:szCs w:val="14"/>
          <w:color w:val="105BAB"/>
          <w:vertAlign w:val="superscript"/>
        </w:rPr>
      </w:pPr>
      <w:r>
        <w:rPr>
          <w:rFonts w:ascii="Arial" w:cs="Arial" w:eastAsia="Arial" w:hAnsi="Arial"/>
          <w:sz w:val="10"/>
          <w:szCs w:val="10"/>
          <w:color w:val="auto"/>
        </w:rPr>
        <w:t>See the subsection "Our Compensation Processes—Peer Data" below for a list of the companies included in our Peer Group.</w:t>
      </w:r>
    </w:p>
    <w:p>
      <w:pPr>
        <w:spacing w:after="0" w:line="125" w:lineRule="exact"/>
        <w:rPr>
          <w:rFonts w:ascii="Arial" w:cs="Arial" w:eastAsia="Arial" w:hAnsi="Arial"/>
          <w:sz w:val="14"/>
          <w:szCs w:val="14"/>
          <w:color w:val="105BAB"/>
          <w:vertAlign w:val="superscript"/>
        </w:rPr>
      </w:pPr>
    </w:p>
    <w:p>
      <w:pPr>
        <w:ind w:left="348"/>
        <w:spacing w:after="0"/>
        <w:rPr>
          <w:rFonts w:ascii="Arial" w:cs="Arial" w:eastAsia="Arial" w:hAnsi="Arial"/>
          <w:sz w:val="14"/>
          <w:szCs w:val="14"/>
          <w:color w:val="105BAB"/>
          <w:vertAlign w:val="superscript"/>
        </w:rPr>
      </w:pPr>
      <w:r>
        <w:rPr>
          <w:rFonts w:ascii="Arial" w:cs="Arial" w:eastAsia="Arial" w:hAnsi="Arial"/>
          <w:sz w:val="10"/>
          <w:szCs w:val="10"/>
          <w:b w:val="1"/>
          <w:bCs w:val="1"/>
          <w:color w:val="FFFFF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8"/>
          </w:cols>
          <w:pgMar w:left="212" w:top="142" w:right="299" w:bottom="1440" w:gutter="0" w:footer="0" w:header="0"/>
          <w:type w:val="continuous"/>
        </w:sectPr>
      </w:pPr>
    </w:p>
    <w:bookmarkStart w:id="65" w:name="page66"/>
    <w:bookmarkEnd w:id="65"/>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8" w:hanging="268"/>
        <w:spacing w:after="0" w:line="244" w:lineRule="auto"/>
        <w:tabs>
          <w:tab w:leader="none" w:pos="268" w:val="left"/>
        </w:tabs>
        <w:numPr>
          <w:ilvl w:val="0"/>
          <w:numId w:val="57"/>
        </w:numPr>
        <w:rPr>
          <w:rFonts w:ascii="Arial" w:cs="Arial" w:eastAsia="Arial" w:hAnsi="Arial"/>
          <w:sz w:val="12"/>
          <w:szCs w:val="12"/>
          <w:b w:val="1"/>
          <w:bCs w:val="1"/>
          <w:color w:val="105BAB"/>
        </w:rPr>
      </w:pPr>
      <w:r>
        <w:rPr>
          <w:rFonts w:ascii="Arial" w:cs="Arial" w:eastAsia="Arial" w:hAnsi="Arial"/>
          <w:sz w:val="12"/>
          <w:szCs w:val="12"/>
          <w:b w:val="1"/>
          <w:bCs w:val="1"/>
          <w:color w:val="105BAB"/>
        </w:rPr>
        <w:t>Design simplicity, long-term orientation, and avoidance of too much emphasis on short-term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-439420</wp:posOffset>
            </wp:positionV>
            <wp:extent cx="124142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4142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 xml:space="preserve">Focusing on the number of shares, rather than targeting a specific grant date fair value, avoids rewarding executives with larger grant sizes following a decline in stock price. As an example, when our stock price declined on a year-over-year basis in 2016, we did not make up this decline by granting a greater number of options to our CEO or other NEOs, and our CEO's 2016 total direct pay was over 40% lower than in 2015. In 2017, when our stock price remained relatively flat compared to the prior year, we continued with reductions in our CEO's stock option awards; the number of shares underlying his award was reduced by 5%, contributing to an 11% reduction in grant date fair value and an overall </w:t>
      </w:r>
      <w:r>
        <w:rPr>
          <w:rFonts w:ascii="Arial" w:cs="Arial" w:eastAsia="Arial" w:hAnsi="Arial"/>
          <w:sz w:val="12"/>
          <w:szCs w:val="12"/>
          <w:b w:val="1"/>
          <w:bCs w:val="1"/>
          <w:color w:val="auto"/>
        </w:rPr>
        <w:t>8% reduction</w:t>
      </w:r>
      <w:r>
        <w:rPr>
          <w:rFonts w:ascii="Arial" w:cs="Arial" w:eastAsia="Arial" w:hAnsi="Arial"/>
          <w:sz w:val="12"/>
          <w:szCs w:val="12"/>
          <w:color w:val="auto"/>
        </w:rPr>
        <w:t xml:space="preserve"> </w:t>
      </w:r>
      <w:r>
        <w:rPr>
          <w:rFonts w:ascii="Arial" w:cs="Arial" w:eastAsia="Arial" w:hAnsi="Arial"/>
          <w:sz w:val="12"/>
          <w:szCs w:val="12"/>
          <w:b w:val="1"/>
          <w:bCs w:val="1"/>
          <w:color w:val="auto"/>
        </w:rPr>
        <w:t>in our CEO's total direct compensation compared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598233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82335" cy="5715"/>
                    </a:xfrm>
                    <a:prstGeom prst="rect">
                      <a:avLst/>
                    </a:prstGeom>
                    <a:noFill/>
                  </pic:spPr>
                </pic:pic>
              </a:graphicData>
            </a:graphic>
          </wp:anchor>
        </w:drawing>
      </w:r>
    </w:p>
    <w:p>
      <w:pPr>
        <w:spacing w:after="0" w:line="245" w:lineRule="exact"/>
        <w:rPr>
          <w:sz w:val="20"/>
          <w:szCs w:val="20"/>
          <w:color w:val="auto"/>
        </w:rPr>
      </w:pPr>
    </w:p>
    <w:p>
      <w:pPr>
        <w:spacing w:after="0"/>
        <w:tabs>
          <w:tab w:leader="none" w:pos="3160" w:val="left"/>
        </w:tabs>
        <w:rPr>
          <w:sz w:val="20"/>
          <w:szCs w:val="20"/>
          <w:color w:val="auto"/>
        </w:rPr>
      </w:pPr>
      <w:r>
        <w:rPr>
          <w:rFonts w:ascii="Arial" w:cs="Arial" w:eastAsia="Arial" w:hAnsi="Arial"/>
          <w:sz w:val="10"/>
          <w:szCs w:val="10"/>
          <w:b w:val="1"/>
          <w:bCs w:val="1"/>
          <w:color w:val="auto"/>
        </w:rPr>
        <w:t>Our CEO's annual stock</w:t>
      </w:r>
      <w:r>
        <w:rPr>
          <w:sz w:val="20"/>
          <w:szCs w:val="20"/>
          <w:color w:val="auto"/>
        </w:rPr>
        <w:tab/>
      </w:r>
      <w:r>
        <w:rPr>
          <w:rFonts w:ascii="Arial" w:cs="Arial" w:eastAsia="Arial" w:hAnsi="Arial"/>
          <w:sz w:val="8"/>
          <w:szCs w:val="8"/>
          <w:b w:val="1"/>
          <w:bCs w:val="1"/>
          <w:color w:val="auto"/>
        </w:rPr>
        <w:t>CEO Annual Stock Option Award</w:t>
      </w:r>
    </w:p>
    <w:p>
      <w:pPr>
        <w:spacing w:after="0" w:line="236" w:lineRule="auto"/>
        <w:rPr>
          <w:sz w:val="20"/>
          <w:szCs w:val="20"/>
          <w:color w:val="auto"/>
        </w:rPr>
      </w:pPr>
      <w:r>
        <w:rPr>
          <w:rFonts w:ascii="Arial" w:cs="Arial" w:eastAsia="Arial" w:hAnsi="Arial"/>
          <w:sz w:val="10"/>
          <w:szCs w:val="10"/>
          <w:b w:val="1"/>
          <w:bCs w:val="1"/>
          <w:color w:val="auto"/>
        </w:rPr>
        <w:t>option awards have steadily</w:t>
      </w:r>
    </w:p>
    <w:p>
      <w:pPr>
        <w:spacing w:after="0" w:line="225" w:lineRule="auto"/>
        <w:rPr>
          <w:sz w:val="20"/>
          <w:szCs w:val="20"/>
          <w:color w:val="auto"/>
        </w:rPr>
      </w:pPr>
      <w:r>
        <w:rPr>
          <w:rFonts w:ascii="Arial" w:cs="Arial" w:eastAsia="Arial" w:hAnsi="Arial"/>
          <w:sz w:val="10"/>
          <w:szCs w:val="10"/>
          <w:b w:val="1"/>
          <w:bCs w:val="1"/>
          <w:color w:val="auto"/>
        </w:rPr>
        <w:t>declined as a percentage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-35560</wp:posOffset>
            </wp:positionV>
            <wp:extent cx="1852930" cy="144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852930" cy="144145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0"/>
          <w:szCs w:val="10"/>
          <w:b w:val="1"/>
          <w:bCs w:val="1"/>
          <w:color w:val="auto"/>
        </w:rPr>
        <w:t>the applicable number of</w:t>
      </w:r>
    </w:p>
    <w:p>
      <w:pPr>
        <w:spacing w:after="0" w:line="225" w:lineRule="auto"/>
        <w:rPr>
          <w:sz w:val="20"/>
          <w:szCs w:val="20"/>
          <w:color w:val="auto"/>
        </w:rPr>
      </w:pPr>
      <w:r>
        <w:rPr>
          <w:rFonts w:ascii="Arial" w:cs="Arial" w:eastAsia="Arial" w:hAnsi="Arial"/>
          <w:sz w:val="10"/>
          <w:szCs w:val="10"/>
          <w:b w:val="1"/>
          <w:bCs w:val="1"/>
          <w:color w:val="auto"/>
        </w:rPr>
        <w:t>outstanding shares of</w:t>
      </w:r>
    </w:p>
    <w:p>
      <w:pPr>
        <w:spacing w:after="0" w:line="226" w:lineRule="auto"/>
        <w:rPr>
          <w:sz w:val="20"/>
          <w:szCs w:val="20"/>
          <w:color w:val="auto"/>
        </w:rPr>
      </w:pPr>
      <w:r>
        <w:rPr>
          <w:rFonts w:ascii="Arial" w:cs="Arial" w:eastAsia="Arial" w:hAnsi="Arial"/>
          <w:sz w:val="10"/>
          <w:szCs w:val="10"/>
          <w:b w:val="1"/>
          <w:bCs w:val="1"/>
          <w:color w:val="auto"/>
        </w:rPr>
        <w:t>Regeneron capital stock,</w:t>
      </w:r>
    </w:p>
    <w:p>
      <w:pPr>
        <w:spacing w:after="0" w:line="226" w:lineRule="auto"/>
        <w:rPr>
          <w:sz w:val="20"/>
          <w:szCs w:val="20"/>
          <w:color w:val="auto"/>
        </w:rPr>
      </w:pPr>
      <w:r>
        <w:rPr>
          <w:rFonts w:ascii="Arial" w:cs="Arial" w:eastAsia="Arial" w:hAnsi="Arial"/>
          <w:sz w:val="10"/>
          <w:szCs w:val="10"/>
          <w:b w:val="1"/>
          <w:bCs w:val="1"/>
          <w:color w:val="auto"/>
        </w:rPr>
        <w:t>from 0.291% in 2012 to</w:t>
      </w:r>
    </w:p>
    <w:p>
      <w:pPr>
        <w:spacing w:after="0"/>
        <w:rPr>
          <w:sz w:val="20"/>
          <w:szCs w:val="20"/>
          <w:color w:val="auto"/>
        </w:rPr>
      </w:pPr>
      <w:r>
        <w:rPr>
          <w:rFonts w:ascii="Arial" w:cs="Arial" w:eastAsia="Arial" w:hAnsi="Arial"/>
          <w:sz w:val="10"/>
          <w:szCs w:val="10"/>
          <w:b w:val="1"/>
          <w:bCs w:val="1"/>
          <w:color w:val="auto"/>
        </w:rPr>
        <w:t>0.130%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196723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auto"/>
        </w:rPr>
        <w:t>Share percentages are based on</w:t>
      </w:r>
    </w:p>
    <w:p>
      <w:pPr>
        <w:spacing w:after="0" w:line="225" w:lineRule="auto"/>
        <w:rPr>
          <w:sz w:val="20"/>
          <w:szCs w:val="20"/>
          <w:color w:val="auto"/>
        </w:rPr>
      </w:pPr>
      <w:r>
        <w:rPr>
          <w:rFonts w:ascii="Arial" w:cs="Arial" w:eastAsia="Arial" w:hAnsi="Arial"/>
          <w:sz w:val="10"/>
          <w:szCs w:val="10"/>
          <w:color w:val="auto"/>
        </w:rPr>
        <w:t>96.6 million, 99.4 million,</w:t>
      </w:r>
    </w:p>
    <w:p>
      <w:pPr>
        <w:spacing w:after="0" w:line="226" w:lineRule="auto"/>
        <w:rPr>
          <w:sz w:val="20"/>
          <w:szCs w:val="20"/>
          <w:color w:val="auto"/>
        </w:rPr>
      </w:pPr>
      <w:r>
        <w:rPr>
          <w:rFonts w:ascii="Arial" w:cs="Arial" w:eastAsia="Arial" w:hAnsi="Arial"/>
          <w:sz w:val="10"/>
          <w:szCs w:val="10"/>
          <w:color w:val="auto"/>
        </w:rPr>
        <w:t>101.7 million, 104.1 million,</w:t>
      </w:r>
    </w:p>
    <w:p>
      <w:pPr>
        <w:spacing w:after="0" w:line="225" w:lineRule="auto"/>
        <w:rPr>
          <w:sz w:val="20"/>
          <w:szCs w:val="20"/>
          <w:color w:val="auto"/>
        </w:rPr>
      </w:pPr>
      <w:r>
        <w:rPr>
          <w:rFonts w:ascii="Arial" w:cs="Arial" w:eastAsia="Arial" w:hAnsi="Arial"/>
          <w:sz w:val="10"/>
          <w:szCs w:val="10"/>
          <w:color w:val="auto"/>
        </w:rPr>
        <w:t>105.5 million, and 107.4 million</w:t>
      </w:r>
    </w:p>
    <w:p>
      <w:pPr>
        <w:spacing w:after="0" w:line="226" w:lineRule="auto"/>
        <w:rPr>
          <w:sz w:val="20"/>
          <w:szCs w:val="20"/>
          <w:color w:val="auto"/>
        </w:rPr>
      </w:pPr>
      <w:r>
        <w:rPr>
          <w:rFonts w:ascii="Arial" w:cs="Arial" w:eastAsia="Arial" w:hAnsi="Arial"/>
          <w:sz w:val="10"/>
          <w:szCs w:val="10"/>
          <w:color w:val="auto"/>
        </w:rPr>
        <w:t>shares (in each case consisting of</w:t>
      </w:r>
    </w:p>
    <w:p>
      <w:pPr>
        <w:spacing w:after="0" w:line="225" w:lineRule="auto"/>
        <w:rPr>
          <w:sz w:val="20"/>
          <w:szCs w:val="20"/>
          <w:color w:val="auto"/>
        </w:rPr>
      </w:pPr>
      <w:r>
        <w:rPr>
          <w:rFonts w:ascii="Arial" w:cs="Arial" w:eastAsia="Arial" w:hAnsi="Arial"/>
          <w:sz w:val="10"/>
          <w:szCs w:val="10"/>
          <w:color w:val="auto"/>
        </w:rPr>
        <w:t>common stock and Class A stock)</w:t>
      </w:r>
    </w:p>
    <w:p>
      <w:pPr>
        <w:spacing w:after="0" w:line="226" w:lineRule="auto"/>
        <w:rPr>
          <w:sz w:val="20"/>
          <w:szCs w:val="20"/>
          <w:color w:val="auto"/>
        </w:rPr>
      </w:pPr>
      <w:r>
        <w:rPr>
          <w:rFonts w:ascii="Arial" w:cs="Arial" w:eastAsia="Arial" w:hAnsi="Arial"/>
          <w:sz w:val="10"/>
          <w:szCs w:val="10"/>
          <w:color w:val="auto"/>
        </w:rPr>
        <w:t>outstanding as of October 12,</w:t>
      </w:r>
    </w:p>
    <w:p>
      <w:pPr>
        <w:spacing w:after="0" w:line="226" w:lineRule="auto"/>
        <w:rPr>
          <w:sz w:val="20"/>
          <w:szCs w:val="20"/>
          <w:color w:val="auto"/>
        </w:rPr>
      </w:pPr>
      <w:r>
        <w:rPr>
          <w:rFonts w:ascii="Arial" w:cs="Arial" w:eastAsia="Arial" w:hAnsi="Arial"/>
          <w:sz w:val="10"/>
          <w:szCs w:val="10"/>
          <w:color w:val="auto"/>
        </w:rPr>
        <w:t>2012, October 28, 2013,</w:t>
      </w:r>
    </w:p>
    <w:p>
      <w:pPr>
        <w:spacing w:after="0" w:line="225" w:lineRule="auto"/>
        <w:rPr>
          <w:sz w:val="20"/>
          <w:szCs w:val="20"/>
          <w:color w:val="auto"/>
        </w:rPr>
      </w:pPr>
      <w:r>
        <w:rPr>
          <w:rFonts w:ascii="Arial" w:cs="Arial" w:eastAsia="Arial" w:hAnsi="Arial"/>
          <w:sz w:val="10"/>
          <w:szCs w:val="10"/>
          <w:color w:val="auto"/>
        </w:rPr>
        <w:t>October 16, 2014, October 16,</w:t>
      </w:r>
    </w:p>
    <w:p>
      <w:pPr>
        <w:spacing w:after="0" w:line="226" w:lineRule="auto"/>
        <w:rPr>
          <w:sz w:val="20"/>
          <w:szCs w:val="20"/>
          <w:color w:val="auto"/>
        </w:rPr>
      </w:pPr>
      <w:r>
        <w:rPr>
          <w:rFonts w:ascii="Arial" w:cs="Arial" w:eastAsia="Arial" w:hAnsi="Arial"/>
          <w:sz w:val="10"/>
          <w:szCs w:val="10"/>
          <w:color w:val="auto"/>
        </w:rPr>
        <w:t>2015, October 20, 2016, and</w:t>
      </w:r>
    </w:p>
    <w:p>
      <w:pPr>
        <w:spacing w:after="0" w:line="225" w:lineRule="auto"/>
        <w:rPr>
          <w:sz w:val="20"/>
          <w:szCs w:val="20"/>
          <w:color w:val="auto"/>
        </w:rPr>
      </w:pPr>
      <w:r>
        <w:rPr>
          <w:rFonts w:ascii="Arial" w:cs="Arial" w:eastAsia="Arial" w:hAnsi="Arial"/>
          <w:sz w:val="10"/>
          <w:szCs w:val="10"/>
          <w:color w:val="auto"/>
        </w:rPr>
        <w:t>October 20, 2017, respectively, as</w:t>
      </w:r>
    </w:p>
    <w:p>
      <w:pPr>
        <w:spacing w:after="0" w:line="226" w:lineRule="auto"/>
        <w:rPr>
          <w:sz w:val="20"/>
          <w:szCs w:val="20"/>
          <w:color w:val="auto"/>
        </w:rPr>
      </w:pPr>
      <w:r>
        <w:rPr>
          <w:rFonts w:ascii="Arial" w:cs="Arial" w:eastAsia="Arial" w:hAnsi="Arial"/>
          <w:sz w:val="10"/>
          <w:szCs w:val="10"/>
          <w:color w:val="auto"/>
        </w:rPr>
        <w:t>reported in Regeneron's Quarterly</w:t>
      </w:r>
    </w:p>
    <w:p>
      <w:pPr>
        <w:spacing w:after="0" w:line="225" w:lineRule="auto"/>
        <w:rPr>
          <w:sz w:val="20"/>
          <w:szCs w:val="20"/>
          <w:color w:val="auto"/>
        </w:rPr>
      </w:pPr>
      <w:r>
        <w:rPr>
          <w:rFonts w:ascii="Arial" w:cs="Arial" w:eastAsia="Arial" w:hAnsi="Arial"/>
          <w:sz w:val="10"/>
          <w:szCs w:val="10"/>
          <w:color w:val="auto"/>
        </w:rPr>
        <w:t>Report on Form 10-Q for the third</w:t>
      </w:r>
    </w:p>
    <w:p>
      <w:pPr>
        <w:spacing w:after="0"/>
        <w:rPr>
          <w:sz w:val="20"/>
          <w:szCs w:val="20"/>
          <w:color w:val="auto"/>
        </w:rPr>
      </w:pPr>
      <w:r>
        <w:rPr>
          <w:rFonts w:ascii="Arial" w:cs="Arial" w:eastAsia="Arial" w:hAnsi="Arial"/>
          <w:sz w:val="10"/>
          <w:szCs w:val="10"/>
          <w:color w:val="auto"/>
        </w:rPr>
        <w:t>quarter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98233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82335" cy="5715"/>
                    </a:xfrm>
                    <a:prstGeom prst="rect">
                      <a:avLst/>
                    </a:prstGeom>
                    <a:noFill/>
                  </pic:spPr>
                </pic:pic>
              </a:graphicData>
            </a:graphic>
          </wp:anchor>
        </w:drawing>
      </w:r>
    </w:p>
    <w:p>
      <w:pPr>
        <w:spacing w:after="0" w:line="251"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We generally rely on stock option grants for our equity-based pay of our NEOs because they are simple, pay nothing if shareholders fail to benefit, are in sync with the time required for discovery, development, and commercialization of novel therapies, and would be difficult to "game," unlike some pre-set short-term performance goals.</w:t>
      </w:r>
    </w:p>
    <w:p>
      <w:pPr>
        <w:spacing w:after="0" w:line="139" w:lineRule="exact"/>
        <w:rPr>
          <w:sz w:val="20"/>
          <w:szCs w:val="20"/>
          <w:color w:val="auto"/>
        </w:rPr>
      </w:pPr>
    </w:p>
    <w:p>
      <w:pPr>
        <w:ind w:right="220"/>
        <w:spacing w:after="0" w:line="237" w:lineRule="auto"/>
        <w:rPr>
          <w:sz w:val="20"/>
          <w:szCs w:val="20"/>
          <w:color w:val="auto"/>
        </w:rPr>
      </w:pPr>
      <w:r>
        <w:rPr>
          <w:rFonts w:ascii="Arial" w:cs="Arial" w:eastAsia="Arial" w:hAnsi="Arial"/>
          <w:sz w:val="12"/>
          <w:szCs w:val="12"/>
          <w:color w:val="auto"/>
        </w:rPr>
        <w:t>We believe that our long-term performance and our robust pipeline are evidence of providing our NEOs and other employees with the right incentives. Over the last five years, Regeneron delivered stock price appreciation of 120%. Tying compensation to long-term, Company-wide success has enabled us to avoid using short-term metrics that may encourage decision-making that is not in the best interest of the long-term sustainability of our Company and our reputation. Options support our strategy of driving value creation through innovation, our pipeline, and demand for our products.</w:t>
      </w:r>
    </w:p>
    <w:p>
      <w:pPr>
        <w:spacing w:after="0" w:line="129" w:lineRule="exact"/>
        <w:rPr>
          <w:sz w:val="20"/>
          <w:szCs w:val="20"/>
          <w:color w:val="auto"/>
        </w:rPr>
      </w:pPr>
    </w:p>
    <w:p>
      <w:pPr>
        <w:ind w:left="8960"/>
        <w:spacing w:after="0"/>
        <w:rPr>
          <w:sz w:val="20"/>
          <w:szCs w:val="20"/>
          <w:color w:val="auto"/>
        </w:rPr>
      </w:pPr>
      <w:r>
        <w:rPr>
          <w:rFonts w:ascii="Arial" w:cs="Arial" w:eastAsia="Arial" w:hAnsi="Arial"/>
          <w:sz w:val="10"/>
          <w:szCs w:val="10"/>
          <w:b w:val="1"/>
          <w:bCs w:val="1"/>
          <w:color w:val="FFFFF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5693410</wp:posOffset>
            </wp:positionH>
            <wp:positionV relativeFrom="paragraph">
              <wp:posOffset>-66675</wp:posOffset>
            </wp:positionV>
            <wp:extent cx="285750" cy="685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89535</wp:posOffset>
            </wp:positionV>
            <wp:extent cx="7299325" cy="18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888" w:space="180"/>
            <w:col w:w="9400"/>
          </w:cols>
          <w:pgMar w:left="212" w:top="142" w:right="219" w:bottom="1440" w:gutter="0" w:footer="0" w:header="0"/>
          <w:type w:val="continuous"/>
        </w:sectPr>
      </w:pPr>
    </w:p>
    <w:bookmarkStart w:id="66" w:name="page67"/>
    <w:bookmarkEnd w:id="66"/>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8" w:hanging="308"/>
        <w:spacing w:after="0" w:line="269" w:lineRule="auto"/>
        <w:tabs>
          <w:tab w:leader="none" w:pos="308" w:val="left"/>
        </w:tabs>
        <w:numPr>
          <w:ilvl w:val="0"/>
          <w:numId w:val="58"/>
        </w:numPr>
        <w:rPr>
          <w:rFonts w:ascii="Arial" w:cs="Arial" w:eastAsia="Arial" w:hAnsi="Arial"/>
          <w:sz w:val="11"/>
          <w:szCs w:val="11"/>
          <w:b w:val="1"/>
          <w:bCs w:val="1"/>
          <w:color w:val="105BAB"/>
        </w:rPr>
      </w:pPr>
      <w:r>
        <w:rPr>
          <w:rFonts w:ascii="Arial" w:cs="Arial" w:eastAsia="Arial" w:hAnsi="Arial"/>
          <w:sz w:val="11"/>
          <w:szCs w:val="11"/>
          <w:b w:val="1"/>
          <w:bCs w:val="1"/>
          <w:color w:val="105BAB"/>
        </w:rPr>
        <w:t>At-risk, performance-based pay at all levels, with increased performance accountability as responsibility increases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All of our NEOs' direct pay, except for base salary, is "at risk." At-risk pay comprised 95% of our CEO's direct pay and an average of 92% of our other NEOs' direct pay in 2017 (the breakdown was similar in recent prior years). This is significantly higher than the average percentage of at-risk compensation for NEOs in our industry. The charts below show this by comparing the pay mix for our CEO to the average CEO pay in our industry.</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161290</wp:posOffset>
            </wp:positionV>
            <wp:extent cx="487299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72990" cy="5715"/>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1828" w:space="500"/>
            <w:col w:w="9140"/>
          </w:cols>
          <w:pgMar w:left="212" w:top="142" w:right="219" w:bottom="1440" w:gutter="0" w:footer="0" w:header="0"/>
          <w:type w:val="continuous"/>
        </w:sectPr>
      </w:pPr>
    </w:p>
    <w:p>
      <w:pPr>
        <w:ind w:left="8"/>
        <w:spacing w:after="0"/>
        <w:tabs>
          <w:tab w:leader="none" w:pos="5128" w:val="left"/>
          <w:tab w:leader="none" w:pos="8648" w:val="left"/>
        </w:tabs>
        <w:rPr>
          <w:sz w:val="20"/>
          <w:szCs w:val="20"/>
          <w:color w:val="auto"/>
        </w:rPr>
      </w:pPr>
      <w:r>
        <w:rPr>
          <w:rFonts w:ascii="Arial" w:cs="Arial" w:eastAsia="Arial" w:hAnsi="Arial"/>
          <w:sz w:val="10"/>
          <w:szCs w:val="10"/>
          <w:color w:val="auto"/>
        </w:rPr>
        <w:t>"Equity" (shown as part of the inner circle in the charts)</w:t>
      </w:r>
      <w:r>
        <w:rPr>
          <w:sz w:val="20"/>
          <w:szCs w:val="20"/>
          <w:color w:val="auto"/>
        </w:rPr>
        <w:tab/>
      </w:r>
      <w:r>
        <w:rPr>
          <w:rFonts w:ascii="Arial" w:cs="Arial" w:eastAsia="Arial" w:hAnsi="Arial"/>
          <w:sz w:val="10"/>
          <w:szCs w:val="10"/>
          <w:b w:val="1"/>
          <w:bCs w:val="1"/>
          <w:color w:val="auto"/>
        </w:rPr>
        <w:t>Regeneron CEO Pay Mix</w:t>
      </w:r>
      <w:r>
        <w:rPr>
          <w:sz w:val="20"/>
          <w:szCs w:val="20"/>
          <w:color w:val="auto"/>
        </w:rPr>
        <w:tab/>
      </w:r>
      <w:r>
        <w:rPr>
          <w:rFonts w:ascii="Arial" w:cs="Arial" w:eastAsia="Arial" w:hAnsi="Arial"/>
          <w:sz w:val="8"/>
          <w:szCs w:val="8"/>
          <w:b w:val="1"/>
          <w:bCs w:val="1"/>
          <w:color w:val="auto"/>
        </w:rPr>
        <w:t>Market Composite Average CEO Pay Mix</w:t>
      </w:r>
    </w:p>
    <w:p>
      <w:pPr>
        <w:ind w:left="8"/>
        <w:spacing w:after="0" w:line="236" w:lineRule="auto"/>
        <w:rPr>
          <w:sz w:val="20"/>
          <w:szCs w:val="20"/>
          <w:color w:val="auto"/>
        </w:rPr>
      </w:pPr>
      <w:r>
        <w:rPr>
          <w:rFonts w:ascii="Arial" w:cs="Arial" w:eastAsia="Arial" w:hAnsi="Arial"/>
          <w:sz w:val="10"/>
          <w:szCs w:val="10"/>
          <w:color w:val="auto"/>
        </w:rPr>
        <w:t>reflects the grant date fair value of equity awards; and</w:t>
      </w:r>
    </w:p>
    <w:p>
      <w:pPr>
        <w:ind w:left="8"/>
        <w:spacing w:after="0" w:line="225" w:lineRule="auto"/>
        <w:rPr>
          <w:sz w:val="20"/>
          <w:szCs w:val="20"/>
          <w:color w:val="auto"/>
        </w:rPr>
      </w:pPr>
      <w:r>
        <w:rPr>
          <w:rFonts w:ascii="Arial" w:cs="Arial" w:eastAsia="Arial" w:hAnsi="Arial"/>
          <w:sz w:val="10"/>
          <w:szCs w:val="10"/>
          <w:color w:val="auto"/>
        </w:rPr>
        <w:t>"STIP" (shown as part of the inner circle in the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-35560</wp:posOffset>
            </wp:positionV>
            <wp:extent cx="1137920" cy="11379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37920" cy="1137920"/>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-35560</wp:posOffset>
            </wp:positionV>
            <wp:extent cx="1137920" cy="11379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37920" cy="1137920"/>
                    </a:xfrm>
                    <a:prstGeom prst="rect">
                      <a:avLst/>
                    </a:prstGeom>
                    <a:noFill/>
                  </pic:spPr>
                </pic:pic>
              </a:graphicData>
            </a:graphic>
          </wp:anchor>
        </w:drawing>
      </w:r>
    </w:p>
    <w:p>
      <w:pPr>
        <w:ind w:left="8"/>
        <w:spacing w:after="0" w:line="226" w:lineRule="auto"/>
        <w:rPr>
          <w:sz w:val="20"/>
          <w:szCs w:val="20"/>
          <w:color w:val="auto"/>
        </w:rPr>
      </w:pPr>
      <w:r>
        <w:rPr>
          <w:rFonts w:ascii="Arial" w:cs="Arial" w:eastAsia="Arial" w:hAnsi="Arial"/>
          <w:sz w:val="10"/>
          <w:szCs w:val="10"/>
          <w:color w:val="auto"/>
        </w:rPr>
        <w:t>consists of bonus and/or other applicable</w:t>
      </w:r>
    </w:p>
    <w:p>
      <w:pPr>
        <w:ind w:left="8"/>
        <w:spacing w:after="0" w:line="225" w:lineRule="auto"/>
        <w:rPr>
          <w:sz w:val="20"/>
          <w:szCs w:val="20"/>
          <w:color w:val="auto"/>
        </w:rPr>
      </w:pPr>
      <w:r>
        <w:rPr>
          <w:rFonts w:ascii="Arial" w:cs="Arial" w:eastAsia="Arial" w:hAnsi="Arial"/>
          <w:sz w:val="10"/>
          <w:szCs w:val="10"/>
          <w:color w:val="auto"/>
        </w:rPr>
        <w:t>compensation provided under short-term, non-equity</w:t>
      </w:r>
    </w:p>
    <w:p>
      <w:pPr>
        <w:ind w:left="8"/>
        <w:spacing w:after="0" w:line="226" w:lineRule="auto"/>
        <w:rPr>
          <w:sz w:val="20"/>
          <w:szCs w:val="20"/>
          <w:color w:val="auto"/>
        </w:rPr>
      </w:pPr>
      <w:r>
        <w:rPr>
          <w:rFonts w:ascii="Arial" w:cs="Arial" w:eastAsia="Arial" w:hAnsi="Arial"/>
          <w:sz w:val="10"/>
          <w:szCs w:val="10"/>
          <w:color w:val="auto"/>
        </w:rPr>
        <w:t>incentive plans. "Long-term" compensation (shown as</w:t>
      </w:r>
    </w:p>
    <w:p>
      <w:pPr>
        <w:ind w:left="8"/>
        <w:spacing w:after="0" w:line="226" w:lineRule="auto"/>
        <w:rPr>
          <w:sz w:val="20"/>
          <w:szCs w:val="20"/>
          <w:color w:val="auto"/>
        </w:rPr>
      </w:pPr>
      <w:r>
        <w:rPr>
          <w:rFonts w:ascii="Arial" w:cs="Arial" w:eastAsia="Arial" w:hAnsi="Arial"/>
          <w:sz w:val="10"/>
          <w:szCs w:val="10"/>
          <w:color w:val="auto"/>
        </w:rPr>
        <w:t>part of the middle circle in the charts) consists of equity;</w:t>
      </w:r>
    </w:p>
    <w:p>
      <w:pPr>
        <w:ind w:left="8"/>
        <w:spacing w:after="0" w:line="225" w:lineRule="auto"/>
        <w:rPr>
          <w:sz w:val="20"/>
          <w:szCs w:val="20"/>
          <w:color w:val="auto"/>
        </w:rPr>
      </w:pPr>
      <w:r>
        <w:rPr>
          <w:rFonts w:ascii="Arial" w:cs="Arial" w:eastAsia="Arial" w:hAnsi="Arial"/>
          <w:sz w:val="10"/>
          <w:szCs w:val="10"/>
          <w:color w:val="auto"/>
        </w:rPr>
        <w:t>and "short-term" compensation (shown as part of</w:t>
      </w:r>
    </w:p>
    <w:p>
      <w:pPr>
        <w:ind w:left="8"/>
        <w:spacing w:after="0" w:line="226" w:lineRule="auto"/>
        <w:rPr>
          <w:sz w:val="20"/>
          <w:szCs w:val="20"/>
          <w:color w:val="auto"/>
        </w:rPr>
      </w:pPr>
      <w:r>
        <w:rPr>
          <w:rFonts w:ascii="Arial" w:cs="Arial" w:eastAsia="Arial" w:hAnsi="Arial"/>
          <w:sz w:val="10"/>
          <w:szCs w:val="10"/>
          <w:color w:val="auto"/>
        </w:rPr>
        <w:t>the middle circle in the charts) consists of base</w:t>
      </w:r>
    </w:p>
    <w:p>
      <w:pPr>
        <w:ind w:left="8"/>
        <w:spacing w:after="0" w:line="225" w:lineRule="auto"/>
        <w:rPr>
          <w:sz w:val="20"/>
          <w:szCs w:val="20"/>
          <w:color w:val="auto"/>
        </w:rPr>
      </w:pPr>
      <w:r>
        <w:rPr>
          <w:rFonts w:ascii="Arial" w:cs="Arial" w:eastAsia="Arial" w:hAnsi="Arial"/>
          <w:sz w:val="10"/>
          <w:szCs w:val="10"/>
          <w:color w:val="auto"/>
        </w:rPr>
        <w:t>salary and STIP. "At-risk" compensation (shown as part</w:t>
      </w:r>
    </w:p>
    <w:p>
      <w:pPr>
        <w:ind w:left="8"/>
        <w:spacing w:after="0" w:line="226" w:lineRule="auto"/>
        <w:rPr>
          <w:sz w:val="20"/>
          <w:szCs w:val="20"/>
          <w:color w:val="auto"/>
        </w:rPr>
      </w:pPr>
      <w:r>
        <w:rPr>
          <w:rFonts w:ascii="Arial" w:cs="Arial" w:eastAsia="Arial" w:hAnsi="Arial"/>
          <w:sz w:val="10"/>
          <w:szCs w:val="10"/>
          <w:color w:val="auto"/>
        </w:rPr>
        <w:t>of the outer circle in the charts) consists of</w:t>
      </w:r>
    </w:p>
    <w:p>
      <w:pPr>
        <w:ind w:left="8"/>
        <w:spacing w:after="0" w:line="225" w:lineRule="auto"/>
        <w:rPr>
          <w:sz w:val="20"/>
          <w:szCs w:val="20"/>
          <w:color w:val="auto"/>
        </w:rPr>
      </w:pPr>
      <w:r>
        <w:rPr>
          <w:rFonts w:ascii="Arial" w:cs="Arial" w:eastAsia="Arial" w:hAnsi="Arial"/>
          <w:sz w:val="10"/>
          <w:szCs w:val="10"/>
          <w:color w:val="auto"/>
        </w:rPr>
        <w:t>STIP and equity. Total compensation amounts reflect</w:t>
      </w:r>
    </w:p>
    <w:p>
      <w:pPr>
        <w:ind w:left="8"/>
        <w:spacing w:after="0" w:line="226" w:lineRule="auto"/>
        <w:rPr>
          <w:sz w:val="20"/>
          <w:szCs w:val="20"/>
          <w:color w:val="auto"/>
        </w:rPr>
      </w:pPr>
      <w:r>
        <w:rPr>
          <w:rFonts w:ascii="Arial" w:cs="Arial" w:eastAsia="Arial" w:hAnsi="Arial"/>
          <w:sz w:val="10"/>
          <w:szCs w:val="10"/>
          <w:color w:val="auto"/>
        </w:rPr>
        <w:t>direct compensation (total reported compensation,</w:t>
      </w:r>
    </w:p>
    <w:p>
      <w:pPr>
        <w:ind w:left="8"/>
        <w:spacing w:after="0" w:line="226" w:lineRule="auto"/>
        <w:rPr>
          <w:sz w:val="20"/>
          <w:szCs w:val="20"/>
          <w:color w:val="auto"/>
        </w:rPr>
      </w:pPr>
      <w:r>
        <w:rPr>
          <w:rFonts w:ascii="Arial" w:cs="Arial" w:eastAsia="Arial" w:hAnsi="Arial"/>
          <w:sz w:val="10"/>
          <w:szCs w:val="10"/>
          <w:color w:val="auto"/>
        </w:rPr>
        <w:t>other than amounts reported as "All other</w:t>
      </w:r>
    </w:p>
    <w:p>
      <w:pPr>
        <w:ind w:left="8"/>
        <w:spacing w:after="0"/>
        <w:rPr>
          <w:sz w:val="20"/>
          <w:szCs w:val="20"/>
          <w:color w:val="auto"/>
        </w:rPr>
      </w:pPr>
      <w:r>
        <w:rPr>
          <w:rFonts w:ascii="Arial" w:cs="Arial" w:eastAsia="Arial" w:hAnsi="Arial"/>
          <w:sz w:val="10"/>
          <w:szCs w:val="10"/>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729234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8" w:hanging="308"/>
        <w:spacing w:after="0" w:line="248" w:lineRule="auto"/>
        <w:tabs>
          <w:tab w:leader="none" w:pos="308" w:val="left"/>
        </w:tabs>
        <w:numPr>
          <w:ilvl w:val="0"/>
          <w:numId w:val="59"/>
        </w:numPr>
        <w:rPr>
          <w:rFonts w:ascii="Arial" w:cs="Arial" w:eastAsia="Arial" w:hAnsi="Arial"/>
          <w:sz w:val="12"/>
          <w:szCs w:val="12"/>
          <w:b w:val="1"/>
          <w:bCs w:val="1"/>
          <w:color w:val="105BAB"/>
        </w:rPr>
      </w:pPr>
      <w:r>
        <w:rPr>
          <w:rFonts w:ascii="Arial" w:cs="Arial" w:eastAsia="Arial" w:hAnsi="Arial"/>
          <w:sz w:val="12"/>
          <w:szCs w:val="12"/>
          <w:b w:val="1"/>
          <w:bCs w:val="1"/>
          <w:color w:val="105BAB"/>
        </w:rPr>
        <w:t>Year-over-year consistency in making compensation decisions</w:t>
      </w:r>
    </w:p>
    <w:p>
      <w:pPr>
        <w:spacing w:after="0" w:line="391" w:lineRule="exact"/>
        <w:rPr>
          <w:rFonts w:ascii="Arial" w:cs="Arial" w:eastAsia="Arial" w:hAnsi="Arial"/>
          <w:sz w:val="12"/>
          <w:szCs w:val="12"/>
          <w:b w:val="1"/>
          <w:bCs w:val="1"/>
          <w:color w:val="105BAB"/>
        </w:rPr>
      </w:pPr>
    </w:p>
    <w:p>
      <w:pPr>
        <w:ind w:left="308" w:right="100" w:hanging="308"/>
        <w:spacing w:after="0"/>
        <w:tabs>
          <w:tab w:leader="none" w:pos="308" w:val="left"/>
        </w:tabs>
        <w:numPr>
          <w:ilvl w:val="0"/>
          <w:numId w:val="59"/>
        </w:numPr>
        <w:rPr>
          <w:rFonts w:ascii="Arial" w:cs="Arial" w:eastAsia="Arial" w:hAnsi="Arial"/>
          <w:sz w:val="12"/>
          <w:szCs w:val="12"/>
          <w:b w:val="1"/>
          <w:bCs w:val="1"/>
          <w:color w:val="105BAB"/>
        </w:rPr>
      </w:pPr>
      <w:r>
        <w:rPr>
          <w:rFonts w:ascii="Arial" w:cs="Arial" w:eastAsia="Arial" w:hAnsi="Arial"/>
          <w:sz w:val="12"/>
          <w:szCs w:val="12"/>
          <w:b w:val="1"/>
          <w:bCs w:val="1"/>
          <w:color w:val="105BAB"/>
        </w:rPr>
        <w:t>Aligning our executive compensation with shareholder interests by linking compensation to the core elements of our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-608965</wp:posOffset>
            </wp:positionV>
            <wp:extent cx="13614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614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64" w:lineRule="auto"/>
        <w:rPr>
          <w:sz w:val="20"/>
          <w:szCs w:val="20"/>
          <w:color w:val="auto"/>
        </w:rPr>
      </w:pPr>
      <w:r>
        <w:rPr>
          <w:rFonts w:ascii="Arial" w:cs="Arial" w:eastAsia="Arial" w:hAnsi="Arial"/>
          <w:sz w:val="11"/>
          <w:szCs w:val="11"/>
          <w:color w:val="auto"/>
        </w:rPr>
        <w:t>Regeneron has strived to steer clear of one-off compensation payments and pay plans that frequently change. In line with this approach, the design and application of our compensation plans (including our reliance on stock options as a long-term employee incentive) relating to our NEOs have been remarkably consistent since the Company's inception. Our decision-making process for setting NEO compensation (including their annual salaries, year-end cash incentives, and stock option awards) has been similarly consistent in recent years. See the subsection "Our Compensation Processes" below for further information regarding our compensation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585660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56605" cy="5715"/>
                    </a:xfrm>
                    <a:prstGeom prst="rect">
                      <a:avLst/>
                    </a:prstGeom>
                    <a:noFill/>
                  </pic:spPr>
                </pic:pic>
              </a:graphicData>
            </a:graphic>
          </wp:anchor>
        </w:drawing>
      </w:r>
    </w:p>
    <w:p>
      <w:pPr>
        <w:spacing w:after="0" w:line="243"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Our NEOs receive no reward from their equity-based pay if shareholders do not benefit, which results in a complete alignment of such compensation with shareholder interests. This is in contrast to plans based on full-value equity awards, such as time-based restricted shares, that may transfer value on occasions when shareholders lose money. We also link our NEOs' and other executives' pay to their decisions that affect our performance by incorporating an assessment of the caliber of our drug development pipeline into our compensation decisions.</w:t>
      </w:r>
    </w:p>
    <w:p>
      <w:pPr>
        <w:spacing w:after="0" w:line="468" w:lineRule="exact"/>
        <w:rPr>
          <w:sz w:val="20"/>
          <w:szCs w:val="20"/>
          <w:color w:val="auto"/>
        </w:rPr>
      </w:pPr>
    </w:p>
    <w:p>
      <w:pPr>
        <w:sectPr>
          <w:pgSz w:w="11900" w:h="16838" w:orient="portrait"/>
          <w:cols w:equalWidth="0" w:num="2">
            <w:col w:w="1968" w:space="300"/>
            <w:col w:w="9200"/>
          </w:cols>
          <w:pgMar w:left="212" w:top="142" w:right="219" w:bottom="1440" w:gutter="0" w:footer="0" w:header="0"/>
          <w:type w:val="continuous"/>
        </w:sectPr>
      </w:pPr>
    </w:p>
    <w:p>
      <w:pPr>
        <w:spacing w:after="0" w:line="340" w:lineRule="exact"/>
        <w:rPr>
          <w:sz w:val="20"/>
          <w:szCs w:val="20"/>
          <w:color w:val="auto"/>
        </w:rPr>
      </w:pPr>
    </w:p>
    <w:p>
      <w:pPr>
        <w:ind w:left="208" w:hanging="208"/>
        <w:spacing w:after="0"/>
        <w:tabs>
          <w:tab w:leader="none" w:pos="208" w:val="left"/>
        </w:tabs>
        <w:numPr>
          <w:ilvl w:val="0"/>
          <w:numId w:val="60"/>
        </w:numPr>
        <w:rPr>
          <w:rFonts w:ascii="Arial" w:cs="Arial" w:eastAsia="Arial" w:hAnsi="Arial"/>
          <w:sz w:val="13"/>
          <w:szCs w:val="13"/>
          <w:color w:val="105BAB"/>
          <w:vertAlign w:val="superscript"/>
        </w:rPr>
      </w:pPr>
      <w:r>
        <w:rPr>
          <w:rFonts w:ascii="Arial" w:cs="Arial" w:eastAsia="Arial" w:hAnsi="Arial"/>
          <w:sz w:val="9"/>
          <w:szCs w:val="9"/>
          <w:color w:val="auto"/>
        </w:rPr>
        <w:t>Industry information is based on the Market Composite Data referenced above.</w:t>
      </w:r>
    </w:p>
    <w:p>
      <w:pPr>
        <w:spacing w:after="0" w:line="125" w:lineRule="exact"/>
        <w:rPr>
          <w:rFonts w:ascii="Arial" w:cs="Arial" w:eastAsia="Arial" w:hAnsi="Arial"/>
          <w:sz w:val="13"/>
          <w:szCs w:val="13"/>
          <w:color w:val="105BAB"/>
          <w:vertAlign w:val="superscript"/>
        </w:rPr>
      </w:pPr>
    </w:p>
    <w:p>
      <w:pPr>
        <w:ind w:left="348"/>
        <w:spacing w:after="0"/>
        <w:rPr>
          <w:rFonts w:ascii="Arial" w:cs="Arial" w:eastAsia="Arial" w:hAnsi="Arial"/>
          <w:sz w:val="13"/>
          <w:szCs w:val="13"/>
          <w:color w:val="105BAB"/>
          <w:vertAlign w:val="superscript"/>
        </w:rPr>
      </w:pPr>
      <w:r>
        <w:rPr>
          <w:rFonts w:ascii="Arial" w:cs="Arial" w:eastAsia="Arial" w:hAnsi="Arial"/>
          <w:sz w:val="10"/>
          <w:szCs w:val="10"/>
          <w:b w:val="1"/>
          <w:bCs w:val="1"/>
          <w:color w:val="FFFFF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-232410</wp:posOffset>
            </wp:positionV>
            <wp:extent cx="729234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type w:val="continuous"/>
        </w:sectPr>
      </w:pPr>
    </w:p>
    <w:bookmarkStart w:id="67" w:name="page68"/>
    <w:bookmarkEnd w:id="67"/>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9234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8"/>
          </w:cols>
          <w:pgMar w:left="212"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8" w:hanging="288"/>
        <w:spacing w:after="0" w:line="244" w:lineRule="auto"/>
        <w:tabs>
          <w:tab w:leader="none" w:pos="288" w:val="left"/>
        </w:tabs>
        <w:numPr>
          <w:ilvl w:val="0"/>
          <w:numId w:val="61"/>
        </w:numPr>
        <w:rPr>
          <w:rFonts w:ascii="Arial" w:cs="Arial" w:eastAsia="Arial" w:hAnsi="Arial"/>
          <w:sz w:val="12"/>
          <w:szCs w:val="12"/>
          <w:b w:val="1"/>
          <w:bCs w:val="1"/>
          <w:color w:val="105BAB"/>
        </w:rPr>
      </w:pPr>
      <w:r>
        <w:rPr>
          <w:rFonts w:ascii="Arial" w:cs="Arial" w:eastAsia="Arial" w:hAnsi="Arial"/>
          <w:sz w:val="12"/>
          <w:szCs w:val="12"/>
          <w:b w:val="1"/>
          <w:bCs w:val="1"/>
          <w:color w:val="105BAB"/>
        </w:rPr>
        <w:t>Using independent sources of expertise and comparative data to inform our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1052195</wp:posOffset>
            </wp:positionV>
            <wp:extent cx="135001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500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8" w:right="40" w:hanging="288"/>
        <w:spacing w:after="0" w:line="248" w:lineRule="auto"/>
        <w:tabs>
          <w:tab w:leader="none" w:pos="288" w:val="left"/>
        </w:tabs>
        <w:numPr>
          <w:ilvl w:val="0"/>
          <w:numId w:val="62"/>
        </w:numPr>
        <w:rPr>
          <w:rFonts w:ascii="Arial" w:cs="Arial" w:eastAsia="Arial" w:hAnsi="Arial"/>
          <w:sz w:val="12"/>
          <w:szCs w:val="12"/>
          <w:b w:val="1"/>
          <w:bCs w:val="1"/>
          <w:color w:val="105BAB"/>
        </w:rPr>
      </w:pPr>
      <w:r>
        <w:rPr>
          <w:rFonts w:ascii="Arial" w:cs="Arial" w:eastAsia="Arial" w:hAnsi="Arial"/>
          <w:sz w:val="12"/>
          <w:szCs w:val="12"/>
          <w:b w:val="1"/>
          <w:bCs w:val="1"/>
          <w:color w:val="105BAB"/>
        </w:rPr>
        <w:t>Assessing our compensation objectives in light of measurable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The Compensation Committee retains its independent compensation consultant, Frederic W. Cook &amp; Co., to perform projects at its direction and to provide professional expertise. We also use data compiled by management's consultant, Radford. Comparative compensation data are used to review each component of our NEOs' compensation against the Peer Group as well as their total annual compensation in relation to the Peer Group, while taking into account various factors such as the executive's performance, past compensation history, experience, and the role in the Company's success. We also look at survey data for companies in our area, in our industry, and in our size range to inform our compensation deliberations.</w:t>
      </w:r>
    </w:p>
    <w:p>
      <w:pPr>
        <w:spacing w:after="0" w:line="141"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We use Peer Group data as a point of reference, but Peer Group data do not represent the only factor considered and we do not peg compensation to a specific percentile of our Peer Group. We also consider the practices of our "Biotech R&amp;D Peers"—the 10-company sub-group of peers viewed as having businesses and drug discovery and development cultures that are most similar to Regeneron's, with similarly-sized employee bases. See the subsection "Our Compensation Processes—Peer Data" below for additional information.</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The Compensation Committee's consultant does not perform any other services for the Company (other than those provided to the Corporate Governance and Compliance Committee with respect to non-employee director compensation matters, as discussed under "Board of Directors—Compensation of Directors" above) and has been determined by the Committee to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586803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68035" cy="571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60"/>
        <w:spacing w:after="0" w:line="237" w:lineRule="auto"/>
        <w:rPr>
          <w:sz w:val="20"/>
          <w:szCs w:val="20"/>
          <w:color w:val="auto"/>
        </w:rPr>
      </w:pPr>
      <w:r>
        <w:rPr>
          <w:rFonts w:ascii="Arial" w:cs="Arial" w:eastAsia="Arial" w:hAnsi="Arial"/>
          <w:sz w:val="12"/>
          <w:szCs w:val="12"/>
          <w:color w:val="auto"/>
        </w:rPr>
        <w:t>As a science-focused company, we believe in assessing our compensation philosophy and objectives, as they relate to our NEOs and other employees, in light of measurable results. We periodically review our compensation program and have an open discussion about our approach to compensation and approaches utilized by other companies in our industry.</w:t>
      </w:r>
    </w:p>
    <w:p>
      <w:pPr>
        <w:spacing w:after="0" w:line="129" w:lineRule="exact"/>
        <w:rPr>
          <w:sz w:val="20"/>
          <w:szCs w:val="20"/>
          <w:color w:val="auto"/>
        </w:rPr>
      </w:pPr>
    </w:p>
    <w:p>
      <w:pPr>
        <w:sectPr>
          <w:pgSz w:w="11900" w:h="16838" w:orient="portrait"/>
          <w:cols w:equalWidth="0" w:num="2">
            <w:col w:w="1968" w:space="280"/>
            <w:col w:w="9200"/>
          </w:cols>
          <w:pgMar w:left="212" w:top="142" w:right="239" w:bottom="1440" w:gutter="0" w:footer="0" w:header="0"/>
          <w:type w:val="continuous"/>
        </w:sectPr>
      </w:pPr>
    </w:p>
    <w:p>
      <w:pPr>
        <w:ind w:left="11028"/>
        <w:spacing w:after="0"/>
        <w:rPr>
          <w:sz w:val="20"/>
          <w:szCs w:val="20"/>
          <w:color w:val="auto"/>
        </w:rPr>
      </w:pPr>
      <w:r>
        <w:rPr>
          <w:rFonts w:ascii="Arial" w:cs="Arial" w:eastAsia="Arial" w:hAnsi="Arial"/>
          <w:sz w:val="10"/>
          <w:szCs w:val="10"/>
          <w:b w:val="1"/>
          <w:bCs w:val="1"/>
          <w:color w:val="FFFFF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142" w:right="239" w:bottom="1440" w:gutter="0" w:footer="0" w:header="0"/>
          <w:type w:val="continuous"/>
        </w:sectPr>
      </w:pPr>
    </w:p>
    <w:bookmarkStart w:id="68" w:name="page69"/>
    <w:bookmarkEnd w:id="68"/>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COMPONENTS OF NAMED EXECUTIVE OFFICER PAY AND REASONS FOR USING THEM:</w:t>
      </w:r>
    </w:p>
    <w:p>
      <w:pPr>
        <w:spacing w:after="0"/>
        <w:rPr>
          <w:sz w:val="20"/>
          <w:szCs w:val="20"/>
          <w:color w:val="auto"/>
        </w:rPr>
      </w:pPr>
      <w:r>
        <w:rPr>
          <w:rFonts w:ascii="Arial" w:cs="Arial" w:eastAsia="Arial" w:hAnsi="Arial"/>
          <w:sz w:val="22"/>
          <w:szCs w:val="22"/>
          <w:color w:val="105BAB"/>
        </w:rPr>
        <w:t>WHAT WE PAY AND WHY WE PAY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2923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49" w:lineRule="exact"/>
        <w:rPr>
          <w:sz w:val="20"/>
          <w:szCs w:val="20"/>
          <w:color w:val="auto"/>
        </w:rPr>
      </w:pPr>
    </w:p>
    <w:p>
      <w:pPr>
        <w:ind w:right="9760"/>
        <w:spacing w:after="0" w:line="256" w:lineRule="auto"/>
        <w:rPr>
          <w:sz w:val="20"/>
          <w:szCs w:val="20"/>
          <w:color w:val="auto"/>
        </w:rPr>
      </w:pPr>
      <w:r>
        <w:rPr>
          <w:rFonts w:ascii="Arial" w:cs="Arial" w:eastAsia="Arial" w:hAnsi="Arial"/>
          <w:sz w:val="21"/>
          <w:szCs w:val="21"/>
          <w:color w:val="105BAB"/>
        </w:rPr>
        <w:t>OUR NEO COMPENSATION HAS FIVE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-621030</wp:posOffset>
            </wp:positionV>
            <wp:extent cx="3414395" cy="5721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14395" cy="5721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121920</wp:posOffset>
            </wp:positionV>
            <wp:extent cx="720090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0900" cy="57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WE USE THESE FIVE PAY</w:t>
            </w:r>
          </w:p>
        </w:tc>
        <w:tc>
          <w:tcPr>
            <w:tcW w:w="380" w:type="dxa"/>
            <w:vAlign w:val="bottom"/>
            <w:tcBorders>
              <w:bottom w:val="single" w:sz="8" w:color="105BAB"/>
            </w:tcBorders>
          </w:tcPr>
          <w:p>
            <w:pPr>
              <w:spacing w:after="0"/>
              <w:rPr>
                <w:sz w:val="10"/>
                <w:szCs w:val="10"/>
                <w:color w:val="auto"/>
              </w:rPr>
            </w:pPr>
          </w:p>
        </w:tc>
        <w:tc>
          <w:tcPr>
            <w:tcW w:w="1780" w:type="dxa"/>
            <w:vAlign w:val="bottom"/>
            <w:tcBorders>
              <w:bottom w:val="single" w:sz="8" w:color="105BAB"/>
            </w:tcBorders>
            <w:gridSpan w:val="3"/>
          </w:tcPr>
          <w:p>
            <w:pPr>
              <w:ind w:left="240"/>
              <w:spacing w:after="0"/>
              <w:rPr>
                <w:sz w:val="20"/>
                <w:szCs w:val="20"/>
                <w:color w:val="auto"/>
              </w:rPr>
            </w:pPr>
            <w:r>
              <w:rPr>
                <w:rFonts w:ascii="Arial" w:cs="Arial" w:eastAsia="Arial" w:hAnsi="Arial"/>
                <w:sz w:val="10"/>
                <w:szCs w:val="10"/>
                <w:b w:val="1"/>
                <w:bCs w:val="1"/>
                <w:color w:val="105BAB"/>
                <w:w w:val="97"/>
              </w:rPr>
              <w:t>COMPENSATION COMPONENTS</w:t>
            </w:r>
          </w:p>
        </w:tc>
        <w:tc>
          <w:tcPr>
            <w:tcW w:w="560" w:type="dxa"/>
            <w:vAlign w:val="bottom"/>
            <w:tcBorders>
              <w:bottom w:val="single" w:sz="8" w:color="105BAB"/>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8620" w:type="dxa"/>
            <w:vAlign w:val="bottom"/>
            <w:gridSpan w:val="4"/>
          </w:tcPr>
          <w:p>
            <w:pPr>
              <w:spacing w:after="0" w:line="89" w:lineRule="exact"/>
              <w:rPr>
                <w:sz w:val="20"/>
                <w:szCs w:val="20"/>
                <w:color w:val="auto"/>
              </w:rPr>
            </w:pPr>
            <w:r>
              <w:rPr>
                <w:rFonts w:ascii="Arial" w:cs="Arial" w:eastAsia="Arial" w:hAnsi="Arial"/>
                <w:sz w:val="10"/>
                <w:szCs w:val="10"/>
                <w:b w:val="1"/>
                <w:bCs w:val="1"/>
                <w:color w:val="auto"/>
              </w:rPr>
              <w:t>COMPONENTS TO ACHIEVE THE</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jc w:val="center"/>
              <w:spacing w:after="0" w:line="89" w:lineRule="exact"/>
              <w:rPr>
                <w:sz w:val="20"/>
                <w:szCs w:val="20"/>
                <w:color w:val="auto"/>
              </w:rPr>
            </w:pPr>
            <w:r>
              <w:rPr>
                <w:rFonts w:ascii="Arial" w:cs="Arial" w:eastAsia="Arial" w:hAnsi="Arial"/>
                <w:sz w:val="10"/>
                <w:szCs w:val="10"/>
                <w:b w:val="1"/>
                <w:bCs w:val="1"/>
                <w:color w:val="105BAB"/>
                <w:w w:val="94"/>
              </w:rPr>
              <w:t>Annual</w:t>
            </w:r>
          </w:p>
        </w:tc>
        <w:tc>
          <w:tcPr>
            <w:tcW w:w="680" w:type="dxa"/>
            <w:vAlign w:val="bottom"/>
          </w:tcPr>
          <w:p>
            <w:pPr>
              <w:jc w:val="center"/>
              <w:spacing w:after="0" w:line="89" w:lineRule="exact"/>
              <w:rPr>
                <w:sz w:val="20"/>
                <w:szCs w:val="20"/>
                <w:color w:val="auto"/>
              </w:rPr>
            </w:pPr>
            <w:r>
              <w:rPr>
                <w:rFonts w:ascii="Arial" w:cs="Arial" w:eastAsia="Arial" w:hAnsi="Arial"/>
                <w:sz w:val="10"/>
                <w:szCs w:val="10"/>
                <w:b w:val="1"/>
                <w:bCs w:val="1"/>
                <w:color w:val="105BAB"/>
                <w:w w:val="96"/>
              </w:rPr>
              <w:t>Perquisites</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620" w:type="dxa"/>
            <w:vAlign w:val="bottom"/>
            <w:gridSpan w:val="4"/>
          </w:tcPr>
          <w:p>
            <w:pPr>
              <w:spacing w:after="0" w:line="108" w:lineRule="exact"/>
              <w:rPr>
                <w:sz w:val="20"/>
                <w:szCs w:val="20"/>
                <w:color w:val="auto"/>
              </w:rPr>
            </w:pPr>
            <w:r>
              <w:rPr>
                <w:rFonts w:ascii="Arial" w:cs="Arial" w:eastAsia="Arial" w:hAnsi="Arial"/>
                <w:sz w:val="10"/>
                <w:szCs w:val="10"/>
                <w:b w:val="1"/>
                <w:bCs w:val="1"/>
                <w:color w:val="auto"/>
              </w:rPr>
              <w:t>FOLLOWING SIX OBJECTIVES:</w:t>
            </w:r>
          </w:p>
        </w:tc>
        <w:tc>
          <w:tcPr>
            <w:tcW w:w="38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Annual</w:t>
            </w:r>
          </w:p>
        </w:tc>
        <w:tc>
          <w:tcPr>
            <w:tcW w:w="4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Stock</w:t>
            </w: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89"/>
              </w:rPr>
              <w:t>and</w:t>
            </w:r>
          </w:p>
        </w:tc>
        <w:tc>
          <w:tcPr>
            <w:tcW w:w="7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105BAB"/>
                <w:w w:val="99"/>
              </w:rPr>
              <w:t>Potential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jc w:val="center"/>
              <w:ind w:right="36"/>
              <w:spacing w:after="0" w:line="108" w:lineRule="exact"/>
              <w:rPr>
                <w:sz w:val="20"/>
                <w:szCs w:val="20"/>
                <w:color w:val="auto"/>
              </w:rPr>
            </w:pPr>
            <w:r>
              <w:rPr>
                <w:rFonts w:ascii="Arial" w:cs="Arial" w:eastAsia="Arial" w:hAnsi="Arial"/>
                <w:sz w:val="10"/>
                <w:szCs w:val="10"/>
                <w:b w:val="1"/>
                <w:bCs w:val="1"/>
                <w:color w:val="105BAB"/>
                <w:w w:val="91"/>
              </w:rPr>
              <w:t>Base</w:t>
            </w:r>
          </w:p>
        </w:tc>
        <w:tc>
          <w:tcPr>
            <w:tcW w:w="6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7"/>
              </w:rPr>
              <w:t>Cash</w:t>
            </w:r>
          </w:p>
        </w:tc>
        <w:tc>
          <w:tcPr>
            <w:tcW w:w="4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9"/>
              </w:rPr>
              <w:t>Option</w:t>
            </w: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Personal</w:t>
            </w:r>
          </w:p>
        </w:tc>
        <w:tc>
          <w:tcPr>
            <w:tcW w:w="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105BAB"/>
                <w:w w:val="95"/>
              </w:rPr>
              <w:t>Severance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620" w:type="dxa"/>
            <w:vAlign w:val="bottom"/>
          </w:tcPr>
          <w:p>
            <w:pPr>
              <w:ind w:left="60"/>
              <w:spacing w:after="0"/>
              <w:rPr>
                <w:sz w:val="20"/>
                <w:szCs w:val="20"/>
                <w:color w:val="auto"/>
              </w:rPr>
            </w:pPr>
            <w:r>
              <w:rPr>
                <w:rFonts w:ascii="Arial" w:cs="Arial" w:eastAsia="Arial" w:hAnsi="Arial"/>
                <w:sz w:val="10"/>
                <w:szCs w:val="10"/>
                <w:b w:val="1"/>
                <w:bCs w:val="1"/>
                <w:color w:val="105BAB"/>
              </w:rPr>
              <w:t>Objective</w:t>
            </w:r>
          </w:p>
        </w:tc>
        <w:tc>
          <w:tcPr>
            <w:tcW w:w="380" w:type="dxa"/>
            <w:vAlign w:val="bottom"/>
          </w:tcPr>
          <w:p>
            <w:pPr>
              <w:jc w:val="center"/>
              <w:ind w:right="36"/>
              <w:spacing w:after="0"/>
              <w:rPr>
                <w:sz w:val="20"/>
                <w:szCs w:val="20"/>
                <w:color w:val="auto"/>
              </w:rPr>
            </w:pPr>
            <w:r>
              <w:rPr>
                <w:rFonts w:ascii="Arial" w:cs="Arial" w:eastAsia="Arial" w:hAnsi="Arial"/>
                <w:sz w:val="10"/>
                <w:szCs w:val="10"/>
                <w:b w:val="1"/>
                <w:bCs w:val="1"/>
                <w:color w:val="105BAB"/>
                <w:w w:val="99"/>
              </w:rPr>
              <w:t>Salary</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105BAB"/>
                <w:w w:val="98"/>
              </w:rPr>
              <w:t>Incentives</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105BAB"/>
                <w:w w:val="99"/>
              </w:rPr>
              <w:t>Awards</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105BAB"/>
                <w:w w:val="91"/>
              </w:rPr>
              <w:t>Benefits</w:t>
            </w:r>
          </w:p>
        </w:tc>
        <w:tc>
          <w:tcPr>
            <w:tcW w:w="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105BAB"/>
                <w:w w:val="97"/>
              </w:rPr>
              <w:t>Payments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Borders>
              <w:top w:val="single" w:sz="8" w:color="105BAB"/>
            </w:tcBorders>
          </w:tcPr>
          <w:p>
            <w:pPr>
              <w:ind w:left="60"/>
              <w:spacing w:after="0"/>
              <w:rPr>
                <w:sz w:val="20"/>
                <w:szCs w:val="20"/>
                <w:color w:val="auto"/>
              </w:rPr>
            </w:pPr>
            <w:r>
              <w:rPr>
                <w:rFonts w:ascii="Arial" w:cs="Arial" w:eastAsia="Arial" w:hAnsi="Arial"/>
                <w:sz w:val="10"/>
                <w:szCs w:val="10"/>
                <w:color w:val="auto"/>
              </w:rPr>
              <w:t>Attract and retain top talent</w:t>
            </w:r>
          </w:p>
        </w:tc>
        <w:tc>
          <w:tcPr>
            <w:tcW w:w="380" w:type="dxa"/>
            <w:vAlign w:val="bottom"/>
            <w:tcBorders>
              <w:top w:val="single" w:sz="8" w:color="105BAB"/>
            </w:tcBorders>
          </w:tcPr>
          <w:p>
            <w:pPr>
              <w:jc w:val="center"/>
              <w:ind w:right="36"/>
              <w:spacing w:after="0"/>
              <w:rPr>
                <w:sz w:val="20"/>
                <w:szCs w:val="20"/>
                <w:color w:val="auto"/>
              </w:rPr>
            </w:pPr>
            <w:r>
              <w:rPr>
                <w:rFonts w:ascii="Arial" w:cs="Arial" w:eastAsia="Arial" w:hAnsi="Arial"/>
                <w:sz w:val="8"/>
                <w:szCs w:val="8"/>
                <w:color w:val="105BAB"/>
                <w:w w:val="73"/>
              </w:rPr>
              <w:t>·</w:t>
            </w:r>
          </w:p>
        </w:tc>
        <w:tc>
          <w:tcPr>
            <w:tcW w:w="620" w:type="dxa"/>
            <w:vAlign w:val="bottom"/>
            <w:tcBorders>
              <w:top w:val="single" w:sz="8" w:color="105BAB"/>
            </w:tcBorders>
          </w:tcPr>
          <w:p>
            <w:pPr>
              <w:jc w:val="center"/>
              <w:spacing w:after="0"/>
              <w:rPr>
                <w:sz w:val="20"/>
                <w:szCs w:val="20"/>
                <w:color w:val="auto"/>
              </w:rPr>
            </w:pPr>
            <w:r>
              <w:rPr>
                <w:rFonts w:ascii="Arial" w:cs="Arial" w:eastAsia="Arial" w:hAnsi="Arial"/>
                <w:sz w:val="8"/>
                <w:szCs w:val="8"/>
                <w:color w:val="105BAB"/>
                <w:w w:val="73"/>
              </w:rPr>
              <w:t>·</w:t>
            </w:r>
          </w:p>
        </w:tc>
        <w:tc>
          <w:tcPr>
            <w:tcW w:w="480" w:type="dxa"/>
            <w:vAlign w:val="bottom"/>
            <w:tcBorders>
              <w:top w:val="single" w:sz="8" w:color="105BAB"/>
            </w:tcBorders>
          </w:tcPr>
          <w:p>
            <w:pPr>
              <w:jc w:val="center"/>
              <w:spacing w:after="0"/>
              <w:rPr>
                <w:sz w:val="20"/>
                <w:szCs w:val="20"/>
                <w:color w:val="auto"/>
              </w:rPr>
            </w:pPr>
            <w:r>
              <w:rPr>
                <w:rFonts w:ascii="Arial" w:cs="Arial" w:eastAsia="Arial" w:hAnsi="Arial"/>
                <w:sz w:val="8"/>
                <w:szCs w:val="8"/>
                <w:color w:val="105BAB"/>
                <w:w w:val="73"/>
              </w:rPr>
              <w:t>·</w:t>
            </w:r>
          </w:p>
        </w:tc>
        <w:tc>
          <w:tcPr>
            <w:tcW w:w="680" w:type="dxa"/>
            <w:vAlign w:val="bottom"/>
            <w:tcBorders>
              <w:top w:val="single" w:sz="8" w:color="105BAB"/>
            </w:tcBorders>
          </w:tcPr>
          <w:p>
            <w:pPr>
              <w:jc w:val="center"/>
              <w:spacing w:after="0"/>
              <w:rPr>
                <w:sz w:val="20"/>
                <w:szCs w:val="20"/>
                <w:color w:val="auto"/>
              </w:rPr>
            </w:pPr>
            <w:r>
              <w:rPr>
                <w:rFonts w:ascii="Arial" w:cs="Arial" w:eastAsia="Arial" w:hAnsi="Arial"/>
                <w:sz w:val="8"/>
                <w:szCs w:val="8"/>
                <w:color w:val="105BAB"/>
                <w:w w:val="73"/>
              </w:rPr>
              <w:t>·</w:t>
            </w:r>
          </w:p>
        </w:tc>
        <w:tc>
          <w:tcPr>
            <w:tcW w:w="560" w:type="dxa"/>
            <w:vAlign w:val="bottom"/>
            <w:tcBorders>
              <w:top w:val="single" w:sz="8" w:color="105BAB"/>
            </w:tcBorders>
          </w:tcPr>
          <w:p>
            <w:pPr>
              <w:jc w:val="center"/>
              <w:ind w:left="15"/>
              <w:spacing w:after="0"/>
              <w:rPr>
                <w:sz w:val="20"/>
                <w:szCs w:val="20"/>
                <w:color w:val="auto"/>
              </w:rPr>
            </w:pPr>
            <w:r>
              <w:rPr>
                <w:rFonts w:ascii="Arial" w:cs="Arial" w:eastAsia="Arial" w:hAnsi="Arial"/>
                <w:sz w:val="8"/>
                <w:szCs w:val="8"/>
                <w:color w:val="105BAB"/>
                <w:w w:val="7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0"/>
                <w:szCs w:val="10"/>
                <w:color w:val="auto"/>
              </w:rPr>
              <w:t>Provide stability and manage risk</w:t>
            </w:r>
          </w:p>
        </w:tc>
        <w:tc>
          <w:tcPr>
            <w:tcW w:w="380" w:type="dxa"/>
            <w:vAlign w:val="bottom"/>
          </w:tcPr>
          <w:p>
            <w:pPr>
              <w:jc w:val="center"/>
              <w:ind w:right="36"/>
              <w:spacing w:after="0"/>
              <w:rPr>
                <w:sz w:val="20"/>
                <w:szCs w:val="20"/>
                <w:color w:val="auto"/>
              </w:rPr>
            </w:pPr>
            <w:r>
              <w:rPr>
                <w:rFonts w:ascii="Arial" w:cs="Arial" w:eastAsia="Arial" w:hAnsi="Arial"/>
                <w:sz w:val="8"/>
                <w:szCs w:val="8"/>
                <w:color w:val="105BAB"/>
                <w:w w:val="73"/>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center"/>
              <w:ind w:left="15"/>
              <w:spacing w:after="0"/>
              <w:rPr>
                <w:sz w:val="20"/>
                <w:szCs w:val="20"/>
                <w:color w:val="auto"/>
              </w:rPr>
            </w:pPr>
            <w:r>
              <w:rPr>
                <w:rFonts w:ascii="Arial" w:cs="Arial" w:eastAsia="Arial" w:hAnsi="Arial"/>
                <w:sz w:val="8"/>
                <w:szCs w:val="8"/>
                <w:color w:val="105BAB"/>
                <w:w w:val="7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0"/>
                <w:szCs w:val="10"/>
                <w:color w:val="auto"/>
              </w:rPr>
              <w:t>Reward annual performance</w:t>
            </w:r>
          </w:p>
        </w:tc>
        <w:tc>
          <w:tcPr>
            <w:tcW w:w="3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0"/>
                <w:szCs w:val="10"/>
                <w:color w:val="auto"/>
              </w:rPr>
              <w:t>Balance immediate focus with pursuit of sustainable long-term performance</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680" w:type="dxa"/>
            <w:vAlign w:val="bottom"/>
          </w:tcPr>
          <w:p>
            <w:pPr>
              <w:spacing w:after="0"/>
              <w:rPr>
                <w:sz w:val="18"/>
                <w:szCs w:val="18"/>
                <w:color w:val="auto"/>
              </w:rPr>
            </w:pPr>
          </w:p>
        </w:tc>
        <w:tc>
          <w:tcPr>
            <w:tcW w:w="560" w:type="dxa"/>
            <w:vAlign w:val="bottom"/>
          </w:tcPr>
          <w:p>
            <w:pPr>
              <w:jc w:val="center"/>
              <w:ind w:left="15"/>
              <w:spacing w:after="0"/>
              <w:rPr>
                <w:sz w:val="20"/>
                <w:szCs w:val="20"/>
                <w:color w:val="auto"/>
              </w:rPr>
            </w:pPr>
            <w:r>
              <w:rPr>
                <w:rFonts w:ascii="Arial" w:cs="Arial" w:eastAsia="Arial" w:hAnsi="Arial"/>
                <w:sz w:val="8"/>
                <w:szCs w:val="8"/>
                <w:color w:val="105BAB"/>
                <w:w w:val="7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0"/>
                <w:szCs w:val="10"/>
                <w:color w:val="auto"/>
              </w:rPr>
              <w:t>Align our employees' interests with those of shareholders and reward exceptional performance</w:t>
            </w:r>
          </w:p>
        </w:tc>
        <w:tc>
          <w:tcPr>
            <w:tcW w:w="3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48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0"/>
                <w:szCs w:val="10"/>
                <w:color w:val="auto"/>
              </w:rPr>
              <w:t>Promote a culture of scientific innovation, teamwork, and ethical behavior</w:t>
            </w:r>
          </w:p>
        </w:tc>
        <w:tc>
          <w:tcPr>
            <w:tcW w:w="380" w:type="dxa"/>
            <w:vAlign w:val="bottom"/>
          </w:tcPr>
          <w:p>
            <w:pPr>
              <w:jc w:val="center"/>
              <w:ind w:right="36"/>
              <w:spacing w:after="0"/>
              <w:rPr>
                <w:sz w:val="20"/>
                <w:szCs w:val="20"/>
                <w:color w:val="auto"/>
              </w:rPr>
            </w:pPr>
            <w:r>
              <w:rPr>
                <w:rFonts w:ascii="Arial" w:cs="Arial" w:eastAsia="Arial" w:hAnsi="Arial"/>
                <w:sz w:val="8"/>
                <w:szCs w:val="8"/>
                <w:color w:val="105BAB"/>
                <w:w w:val="73"/>
              </w:rPr>
              <w:t>·</w:t>
            </w:r>
          </w:p>
        </w:tc>
        <w:tc>
          <w:tcPr>
            <w:tcW w:w="62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48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680" w:type="dxa"/>
            <w:vAlign w:val="bottom"/>
          </w:tcPr>
          <w:p>
            <w:pPr>
              <w:jc w:val="center"/>
              <w:spacing w:after="0"/>
              <w:rPr>
                <w:sz w:val="20"/>
                <w:szCs w:val="20"/>
                <w:color w:val="auto"/>
              </w:rPr>
            </w:pPr>
            <w:r>
              <w:rPr>
                <w:rFonts w:ascii="Arial" w:cs="Arial" w:eastAsia="Arial" w:hAnsi="Arial"/>
                <w:sz w:val="8"/>
                <w:szCs w:val="8"/>
                <w:color w:val="105BAB"/>
                <w:w w:val="73"/>
              </w:rPr>
              <w:t>·</w:t>
            </w:r>
          </w:p>
        </w:tc>
        <w:tc>
          <w:tcPr>
            <w:tcW w:w="560" w:type="dxa"/>
            <w:vAlign w:val="bottom"/>
          </w:tcPr>
          <w:p>
            <w:pPr>
              <w:jc w:val="center"/>
              <w:ind w:left="15"/>
              <w:spacing w:after="0"/>
              <w:rPr>
                <w:sz w:val="20"/>
                <w:szCs w:val="20"/>
                <w:color w:val="auto"/>
              </w:rPr>
            </w:pPr>
            <w:r>
              <w:rPr>
                <w:rFonts w:ascii="Arial" w:cs="Arial" w:eastAsia="Arial" w:hAnsi="Arial"/>
                <w:sz w:val="8"/>
                <w:szCs w:val="8"/>
                <w:color w:val="105BAB"/>
                <w:w w:val="7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20" w:type="dxa"/>
            <w:vAlign w:val="bottom"/>
            <w:tcBorders>
              <w:bottom w:val="single" w:sz="8" w:color="105BAB"/>
            </w:tcBorders>
          </w:tcPr>
          <w:p>
            <w:pPr>
              <w:spacing w:after="0"/>
              <w:rPr>
                <w:sz w:val="8"/>
                <w:szCs w:val="8"/>
                <w:color w:val="auto"/>
              </w:rPr>
            </w:pPr>
          </w:p>
        </w:tc>
        <w:tc>
          <w:tcPr>
            <w:tcW w:w="380" w:type="dxa"/>
            <w:vAlign w:val="bottom"/>
            <w:tcBorders>
              <w:bottom w:val="single" w:sz="8" w:color="105BAB"/>
            </w:tcBorders>
          </w:tcPr>
          <w:p>
            <w:pPr>
              <w:spacing w:after="0"/>
              <w:rPr>
                <w:sz w:val="8"/>
                <w:szCs w:val="8"/>
                <w:color w:val="auto"/>
              </w:rPr>
            </w:pPr>
          </w:p>
        </w:tc>
        <w:tc>
          <w:tcPr>
            <w:tcW w:w="620" w:type="dxa"/>
            <w:vAlign w:val="bottom"/>
            <w:tcBorders>
              <w:bottom w:val="single" w:sz="8" w:color="105BAB"/>
            </w:tcBorders>
          </w:tcPr>
          <w:p>
            <w:pPr>
              <w:spacing w:after="0"/>
              <w:rPr>
                <w:sz w:val="8"/>
                <w:szCs w:val="8"/>
                <w:color w:val="auto"/>
              </w:rPr>
            </w:pPr>
          </w:p>
        </w:tc>
        <w:tc>
          <w:tcPr>
            <w:tcW w:w="480" w:type="dxa"/>
            <w:vAlign w:val="bottom"/>
            <w:tcBorders>
              <w:bottom w:val="single" w:sz="8" w:color="105BAB"/>
            </w:tcBorders>
          </w:tcPr>
          <w:p>
            <w:pPr>
              <w:spacing w:after="0"/>
              <w:rPr>
                <w:sz w:val="8"/>
                <w:szCs w:val="8"/>
                <w:color w:val="auto"/>
              </w:rPr>
            </w:pPr>
          </w:p>
        </w:tc>
        <w:tc>
          <w:tcPr>
            <w:tcW w:w="680" w:type="dxa"/>
            <w:vAlign w:val="bottom"/>
            <w:tcBorders>
              <w:bottom w:val="single" w:sz="8" w:color="105BAB"/>
            </w:tcBorders>
          </w:tcPr>
          <w:p>
            <w:pPr>
              <w:spacing w:after="0"/>
              <w:rPr>
                <w:sz w:val="8"/>
                <w:szCs w:val="8"/>
                <w:color w:val="auto"/>
              </w:rPr>
            </w:pPr>
          </w:p>
        </w:tc>
        <w:tc>
          <w:tcPr>
            <w:tcW w:w="560" w:type="dxa"/>
            <w:vAlign w:val="bottom"/>
            <w:tcBorders>
              <w:bottom w:val="single" w:sz="8" w:color="105BAB"/>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20" w:type="dxa"/>
            <w:vAlign w:val="bottom"/>
            <w:shd w:val="clear" w:color="auto" w:fill="105BAB"/>
          </w:tcPr>
          <w:p>
            <w:pPr>
              <w:jc w:val="right"/>
              <w:spacing w:after="0" w:line="108" w:lineRule="exact"/>
              <w:rPr>
                <w:sz w:val="20"/>
                <w:szCs w:val="20"/>
                <w:color w:val="auto"/>
              </w:rPr>
            </w:pPr>
            <w:r>
              <w:rPr>
                <w:rFonts w:ascii="Arial" w:cs="Arial" w:eastAsia="Arial" w:hAnsi="Arial"/>
                <w:sz w:val="10"/>
                <w:szCs w:val="10"/>
                <w:b w:val="1"/>
                <w:bCs w:val="1"/>
                <w:color w:val="FFFFFE"/>
              </w:rPr>
              <w:t>58</w:t>
            </w:r>
          </w:p>
        </w:tc>
        <w:tc>
          <w:tcPr>
            <w:tcW w:w="15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66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69" w:name="page70"/>
    <w:bookmarkEnd w:id="69"/>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507365</wp:posOffset>
            </wp:positionV>
            <wp:extent cx="720090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0900" cy="5715"/>
                    </a:xfrm>
                    <a:prstGeom prst="rect">
                      <a:avLst/>
                    </a:prstGeom>
                    <a:noFill/>
                  </pic:spPr>
                </pic:pic>
              </a:graphicData>
            </a:graphic>
          </wp:anchor>
        </w:drawing>
      </w:r>
    </w:p>
    <w:p>
      <w:pPr>
        <w:sectPr>
          <w:pgSz w:w="11900" w:h="16838" w:orient="portrait"/>
          <w:cols w:equalWidth="0" w:num="1">
            <w:col w:w="11340"/>
          </w:cols>
          <w:pgMar w:left="220" w:top="1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68" w:lineRule="auto"/>
        <w:rPr>
          <w:sz w:val="20"/>
          <w:szCs w:val="20"/>
          <w:color w:val="auto"/>
        </w:rPr>
      </w:pPr>
      <w:r>
        <w:rPr>
          <w:rFonts w:ascii="Arial" w:cs="Arial" w:eastAsia="Arial" w:hAnsi="Arial"/>
          <w:sz w:val="21"/>
          <w:szCs w:val="21"/>
          <w:color w:val="105BAB"/>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color w:val="auto"/>
        </w:rPr>
        <w:t>The base salary component of NEO pay generally comprises a steadily smaller percentage of overall compensation as executives' level of responsibility rises.</w:t>
      </w:r>
    </w:p>
    <w:p>
      <w:pPr>
        <w:spacing w:after="0" w:line="141"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All of our NEOs' direct pay, except for base salary, is performance-dependent. We do this to align these senior executives' at-risk pay with their levels of authority and with shareholders' interests.</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Like many companies, we consider factors including the executive's scope of responsibilities, experience, annual performance, and future potential when setting base salaries. We also consider base salaries of comparable positions in the region, among our peers, and in the broader biopharmaceutical industry. Finally, while there is no target benchmark level for salaries, we obtain data and compensation expertise from compensation consultants and other independent sources. See the subsections "Our Compensation Processes—Independent Compensation Consultant" and "Our Compensation Processes—Peer Data" for further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A chart of our NEOs' base salaries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628586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8586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600"/>
            <w:col w:w="9900"/>
          </w:cols>
          <w:pgMar w:left="220" w:top="142" w:right="339" w:bottom="1440" w:gutter="0" w:footer="0" w:header="0"/>
          <w:type w:val="continuous"/>
        </w:sectPr>
      </w:pPr>
    </w:p>
    <w:p>
      <w:pPr>
        <w:spacing w:after="0" w:line="58"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3520" w:type="dxa"/>
            <w:vAlign w:val="bottom"/>
          </w:tcPr>
          <w:p>
            <w:pPr>
              <w:jc w:val="right"/>
              <w:ind w:right="12"/>
              <w:spacing w:after="0"/>
              <w:rPr>
                <w:sz w:val="20"/>
                <w:szCs w:val="20"/>
                <w:color w:val="auto"/>
              </w:rPr>
            </w:pPr>
            <w:r>
              <w:rPr>
                <w:rFonts w:ascii="Arial" w:cs="Arial" w:eastAsia="Arial" w:hAnsi="Arial"/>
                <w:sz w:val="10"/>
                <w:szCs w:val="10"/>
                <w:b w:val="1"/>
                <w:bCs w:val="1"/>
                <w:color w:val="105BAB"/>
              </w:rPr>
              <w:t>2017 Base</w:t>
            </w:r>
          </w:p>
        </w:tc>
        <w:tc>
          <w:tcPr>
            <w:tcW w:w="720" w:type="dxa"/>
            <w:vAlign w:val="bottom"/>
          </w:tcPr>
          <w:p>
            <w:pPr>
              <w:jc w:val="right"/>
              <w:ind w:right="112"/>
              <w:spacing w:after="0"/>
              <w:rPr>
                <w:sz w:val="20"/>
                <w:szCs w:val="20"/>
                <w:color w:val="auto"/>
              </w:rPr>
            </w:pPr>
            <w:r>
              <w:rPr>
                <w:rFonts w:ascii="Arial" w:cs="Arial" w:eastAsia="Arial" w:hAnsi="Arial"/>
                <w:sz w:val="10"/>
                <w:szCs w:val="10"/>
                <w:b w:val="1"/>
                <w:bCs w:val="1"/>
                <w:color w:val="105BAB"/>
              </w:rPr>
              <w:t>2018 Base</w:t>
            </w:r>
          </w:p>
        </w:tc>
        <w:tc>
          <w:tcPr>
            <w:tcW w:w="1060" w:type="dxa"/>
            <w:vAlign w:val="bottom"/>
          </w:tcPr>
          <w:p>
            <w:pPr>
              <w:jc w:val="right"/>
              <w:ind w:right="152"/>
              <w:spacing w:after="0"/>
              <w:rPr>
                <w:sz w:val="20"/>
                <w:szCs w:val="20"/>
                <w:color w:val="auto"/>
              </w:rPr>
            </w:pPr>
            <w:r>
              <w:rPr>
                <w:rFonts w:ascii="Arial" w:cs="Arial" w:eastAsia="Arial" w:hAnsi="Arial"/>
                <w:sz w:val="10"/>
                <w:szCs w:val="10"/>
                <w:b w:val="1"/>
                <w:bCs w:val="1"/>
                <w:color w:val="105BAB"/>
              </w:rPr>
              <w:t>Year-over-Year</w:t>
            </w:r>
          </w:p>
        </w:tc>
      </w:tr>
      <w:tr>
        <w:trPr>
          <w:trHeight w:val="117"/>
        </w:trPr>
        <w:tc>
          <w:tcPr>
            <w:tcW w:w="4600" w:type="dxa"/>
            <w:vAlign w:val="bottom"/>
            <w:tcBorders>
              <w:bottom w:val="single" w:sz="8" w:color="105BAB"/>
            </w:tcBorders>
          </w:tcPr>
          <w:p>
            <w:pPr>
              <w:ind w:left="40"/>
              <w:spacing w:after="0"/>
              <w:rPr>
                <w:sz w:val="20"/>
                <w:szCs w:val="20"/>
                <w:color w:val="auto"/>
              </w:rPr>
            </w:pPr>
            <w:r>
              <w:rPr>
                <w:rFonts w:ascii="Arial" w:cs="Arial" w:eastAsia="Arial" w:hAnsi="Arial"/>
                <w:sz w:val="10"/>
                <w:szCs w:val="10"/>
                <w:b w:val="1"/>
                <w:bCs w:val="1"/>
                <w:color w:val="105BAB"/>
              </w:rPr>
              <w:t>Named Executive Officer</w:t>
            </w:r>
          </w:p>
        </w:tc>
        <w:tc>
          <w:tcPr>
            <w:tcW w:w="3520" w:type="dxa"/>
            <w:vAlign w:val="bottom"/>
            <w:tcBorders>
              <w:bottom w:val="single" w:sz="8" w:color="105BAB"/>
            </w:tcBorders>
          </w:tcPr>
          <w:p>
            <w:pPr>
              <w:jc w:val="right"/>
              <w:ind w:right="32"/>
              <w:spacing w:after="0"/>
              <w:rPr>
                <w:sz w:val="20"/>
                <w:szCs w:val="20"/>
                <w:color w:val="auto"/>
              </w:rPr>
            </w:pPr>
            <w:r>
              <w:rPr>
                <w:rFonts w:ascii="Arial" w:cs="Arial" w:eastAsia="Arial" w:hAnsi="Arial"/>
                <w:sz w:val="10"/>
                <w:szCs w:val="10"/>
                <w:b w:val="1"/>
                <w:bCs w:val="1"/>
                <w:color w:val="105BAB"/>
              </w:rPr>
              <w:t>Salary ($)</w:t>
            </w:r>
          </w:p>
        </w:tc>
        <w:tc>
          <w:tcPr>
            <w:tcW w:w="720" w:type="dxa"/>
            <w:vAlign w:val="bottom"/>
            <w:tcBorders>
              <w:bottom w:val="single" w:sz="8" w:color="105BAB"/>
            </w:tcBorders>
          </w:tcPr>
          <w:p>
            <w:pPr>
              <w:jc w:val="right"/>
              <w:ind w:right="132"/>
              <w:spacing w:after="0"/>
              <w:rPr>
                <w:sz w:val="20"/>
                <w:szCs w:val="20"/>
                <w:color w:val="auto"/>
              </w:rPr>
            </w:pPr>
            <w:r>
              <w:rPr>
                <w:rFonts w:ascii="Arial" w:cs="Arial" w:eastAsia="Arial" w:hAnsi="Arial"/>
                <w:sz w:val="10"/>
                <w:szCs w:val="10"/>
                <w:b w:val="1"/>
                <w:bCs w:val="1"/>
                <w:color w:val="105BAB"/>
              </w:rPr>
              <w:t>Salary ($)</w:t>
            </w:r>
          </w:p>
        </w:tc>
        <w:tc>
          <w:tcPr>
            <w:tcW w:w="1060" w:type="dxa"/>
            <w:vAlign w:val="bottom"/>
            <w:tcBorders>
              <w:bottom w:val="single" w:sz="8" w:color="105BAB"/>
            </w:tcBorders>
          </w:tcPr>
          <w:p>
            <w:pPr>
              <w:jc w:val="right"/>
              <w:ind w:right="232"/>
              <w:spacing w:after="0"/>
              <w:rPr>
                <w:sz w:val="20"/>
                <w:szCs w:val="20"/>
                <w:color w:val="auto"/>
              </w:rPr>
            </w:pPr>
            <w:r>
              <w:rPr>
                <w:rFonts w:ascii="Arial" w:cs="Arial" w:eastAsia="Arial" w:hAnsi="Arial"/>
                <w:sz w:val="10"/>
                <w:szCs w:val="10"/>
                <w:b w:val="1"/>
                <w:bCs w:val="1"/>
                <w:color w:val="105BAB"/>
              </w:rPr>
              <w:t>Change (%)</w:t>
            </w:r>
          </w:p>
        </w:tc>
      </w:tr>
      <w:tr>
        <w:trPr>
          <w:trHeight w:val="223"/>
        </w:trPr>
        <w:tc>
          <w:tcPr>
            <w:tcW w:w="4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Leonard S. Schleifer, M.D., Ph.D.</w:t>
            </w:r>
          </w:p>
        </w:tc>
        <w:tc>
          <w:tcPr>
            <w:tcW w:w="3520" w:type="dxa"/>
            <w:vAlign w:val="bottom"/>
            <w:tcBorders>
              <w:bottom w:val="single" w:sz="8" w:color="auto"/>
            </w:tcBorders>
            <w:shd w:val="clear" w:color="auto" w:fill="F1F3F9"/>
          </w:tcPr>
          <w:p>
            <w:pPr>
              <w:jc w:val="right"/>
              <w:ind w:right="12"/>
              <w:spacing w:after="0"/>
              <w:rPr>
                <w:sz w:val="20"/>
                <w:szCs w:val="20"/>
                <w:color w:val="auto"/>
              </w:rPr>
            </w:pPr>
            <w:r>
              <w:rPr>
                <w:rFonts w:ascii="Arial" w:cs="Arial" w:eastAsia="Arial" w:hAnsi="Arial"/>
                <w:sz w:val="10"/>
                <w:szCs w:val="10"/>
                <w:color w:val="auto"/>
              </w:rPr>
              <w:t>1,285,500</w:t>
            </w:r>
          </w:p>
        </w:tc>
        <w:tc>
          <w:tcPr>
            <w:tcW w:w="720" w:type="dxa"/>
            <w:vAlign w:val="bottom"/>
            <w:tcBorders>
              <w:bottom w:val="single" w:sz="8" w:color="auto"/>
            </w:tcBorders>
            <w:shd w:val="clear" w:color="auto" w:fill="F1F3F9"/>
          </w:tcPr>
          <w:p>
            <w:pPr>
              <w:jc w:val="right"/>
              <w:ind w:right="112"/>
              <w:spacing w:after="0"/>
              <w:rPr>
                <w:sz w:val="20"/>
                <w:szCs w:val="20"/>
                <w:color w:val="auto"/>
              </w:rPr>
            </w:pPr>
            <w:r>
              <w:rPr>
                <w:rFonts w:ascii="Arial" w:cs="Arial" w:eastAsia="Arial" w:hAnsi="Arial"/>
                <w:sz w:val="10"/>
                <w:szCs w:val="10"/>
                <w:color w:val="auto"/>
              </w:rPr>
              <w:t>1,330,500</w:t>
            </w:r>
          </w:p>
        </w:tc>
        <w:tc>
          <w:tcPr>
            <w:tcW w:w="1060" w:type="dxa"/>
            <w:vAlign w:val="bottom"/>
            <w:tcBorders>
              <w:bottom w:val="single" w:sz="8" w:color="auto"/>
            </w:tcBorders>
            <w:shd w:val="clear" w:color="auto" w:fill="F1F3F9"/>
          </w:tcPr>
          <w:p>
            <w:pPr>
              <w:jc w:val="right"/>
              <w:ind w:right="332"/>
              <w:spacing w:after="0"/>
              <w:rPr>
                <w:sz w:val="20"/>
                <w:szCs w:val="20"/>
                <w:color w:val="auto"/>
              </w:rPr>
            </w:pPr>
            <w:r>
              <w:rPr>
                <w:rFonts w:ascii="Arial" w:cs="Arial" w:eastAsia="Arial" w:hAnsi="Arial"/>
                <w:sz w:val="10"/>
                <w:szCs w:val="10"/>
                <w:color w:val="auto"/>
              </w:rPr>
              <w:t>3.50</w:t>
            </w:r>
            <w:r>
              <w:rPr>
                <w:rFonts w:ascii="Arial" w:cs="Arial" w:eastAsia="Arial" w:hAnsi="Arial"/>
                <w:sz w:val="14"/>
                <w:szCs w:val="14"/>
                <w:color w:val="auto"/>
                <w:vertAlign w:val="superscript"/>
              </w:rPr>
              <w:t>1</w:t>
            </w:r>
          </w:p>
        </w:tc>
      </w:tr>
      <w:tr>
        <w:trPr>
          <w:trHeight w:val="223"/>
        </w:trPr>
        <w:tc>
          <w:tcPr>
            <w:tcW w:w="4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George D. Yancopoulos, M.D., Ph.D.</w:t>
            </w:r>
          </w:p>
        </w:tc>
        <w:tc>
          <w:tcPr>
            <w:tcW w:w="3520" w:type="dxa"/>
            <w:vAlign w:val="bottom"/>
            <w:tcBorders>
              <w:bottom w:val="single" w:sz="8" w:color="auto"/>
            </w:tcBorders>
            <w:shd w:val="clear" w:color="auto" w:fill="D6DAEE"/>
          </w:tcPr>
          <w:p>
            <w:pPr>
              <w:jc w:val="right"/>
              <w:ind w:right="12"/>
              <w:spacing w:after="0"/>
              <w:rPr>
                <w:sz w:val="20"/>
                <w:szCs w:val="20"/>
                <w:color w:val="auto"/>
              </w:rPr>
            </w:pPr>
            <w:r>
              <w:rPr>
                <w:rFonts w:ascii="Arial" w:cs="Arial" w:eastAsia="Arial" w:hAnsi="Arial"/>
                <w:sz w:val="10"/>
                <w:szCs w:val="10"/>
                <w:color w:val="auto"/>
              </w:rPr>
              <w:t>1,092,700</w:t>
            </w:r>
          </w:p>
        </w:tc>
        <w:tc>
          <w:tcPr>
            <w:tcW w:w="720" w:type="dxa"/>
            <w:vAlign w:val="bottom"/>
            <w:tcBorders>
              <w:bottom w:val="single" w:sz="8" w:color="auto"/>
            </w:tcBorders>
            <w:shd w:val="clear" w:color="auto" w:fill="D6DAEE"/>
          </w:tcPr>
          <w:p>
            <w:pPr>
              <w:jc w:val="right"/>
              <w:ind w:right="112"/>
              <w:spacing w:after="0"/>
              <w:rPr>
                <w:sz w:val="20"/>
                <w:szCs w:val="20"/>
                <w:color w:val="auto"/>
              </w:rPr>
            </w:pPr>
            <w:r>
              <w:rPr>
                <w:rFonts w:ascii="Arial" w:cs="Arial" w:eastAsia="Arial" w:hAnsi="Arial"/>
                <w:sz w:val="10"/>
                <w:szCs w:val="10"/>
                <w:color w:val="auto"/>
              </w:rPr>
              <w:t>1,130,900</w:t>
            </w:r>
          </w:p>
        </w:tc>
        <w:tc>
          <w:tcPr>
            <w:tcW w:w="1060" w:type="dxa"/>
            <w:vAlign w:val="bottom"/>
            <w:tcBorders>
              <w:bottom w:val="single" w:sz="8" w:color="auto"/>
            </w:tcBorders>
            <w:shd w:val="clear" w:color="auto" w:fill="D6DAEE"/>
          </w:tcPr>
          <w:p>
            <w:pPr>
              <w:jc w:val="right"/>
              <w:ind w:right="332"/>
              <w:spacing w:after="0"/>
              <w:rPr>
                <w:sz w:val="20"/>
                <w:szCs w:val="20"/>
                <w:color w:val="auto"/>
              </w:rPr>
            </w:pPr>
            <w:r>
              <w:rPr>
                <w:rFonts w:ascii="Arial" w:cs="Arial" w:eastAsia="Arial" w:hAnsi="Arial"/>
                <w:sz w:val="10"/>
                <w:szCs w:val="10"/>
                <w:color w:val="auto"/>
              </w:rPr>
              <w:t>3.50</w:t>
            </w:r>
            <w:r>
              <w:rPr>
                <w:rFonts w:ascii="Arial" w:cs="Arial" w:eastAsia="Arial" w:hAnsi="Arial"/>
                <w:sz w:val="14"/>
                <w:szCs w:val="14"/>
                <w:color w:val="auto"/>
                <w:vertAlign w:val="superscript"/>
              </w:rPr>
              <w:t>1</w:t>
            </w:r>
          </w:p>
        </w:tc>
      </w:tr>
      <w:tr>
        <w:trPr>
          <w:trHeight w:val="223"/>
        </w:trPr>
        <w:tc>
          <w:tcPr>
            <w:tcW w:w="460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Robert E. Landry</w:t>
            </w:r>
          </w:p>
        </w:tc>
        <w:tc>
          <w:tcPr>
            <w:tcW w:w="3520" w:type="dxa"/>
            <w:vAlign w:val="bottom"/>
            <w:tcBorders>
              <w:bottom w:val="single" w:sz="8" w:color="auto"/>
            </w:tcBorders>
            <w:shd w:val="clear" w:color="auto" w:fill="F1F3F9"/>
          </w:tcPr>
          <w:p>
            <w:pPr>
              <w:jc w:val="right"/>
              <w:ind w:right="12"/>
              <w:spacing w:after="0"/>
              <w:rPr>
                <w:sz w:val="20"/>
                <w:szCs w:val="20"/>
                <w:color w:val="auto"/>
              </w:rPr>
            </w:pPr>
            <w:r>
              <w:rPr>
                <w:rFonts w:ascii="Arial" w:cs="Arial" w:eastAsia="Arial" w:hAnsi="Arial"/>
                <w:sz w:val="10"/>
                <w:szCs w:val="10"/>
                <w:color w:val="auto"/>
              </w:rPr>
              <w:t>618,000</w:t>
            </w:r>
          </w:p>
        </w:tc>
        <w:tc>
          <w:tcPr>
            <w:tcW w:w="720" w:type="dxa"/>
            <w:vAlign w:val="bottom"/>
            <w:tcBorders>
              <w:bottom w:val="single" w:sz="8" w:color="auto"/>
            </w:tcBorders>
            <w:shd w:val="clear" w:color="auto" w:fill="F1F3F9"/>
          </w:tcPr>
          <w:p>
            <w:pPr>
              <w:jc w:val="right"/>
              <w:ind w:right="112"/>
              <w:spacing w:after="0"/>
              <w:rPr>
                <w:sz w:val="20"/>
                <w:szCs w:val="20"/>
                <w:color w:val="auto"/>
              </w:rPr>
            </w:pPr>
            <w:r>
              <w:rPr>
                <w:rFonts w:ascii="Arial" w:cs="Arial" w:eastAsia="Arial" w:hAnsi="Arial"/>
                <w:sz w:val="10"/>
                <w:szCs w:val="10"/>
                <w:color w:val="auto"/>
              </w:rPr>
              <w:t>680,000</w:t>
            </w:r>
          </w:p>
        </w:tc>
        <w:tc>
          <w:tcPr>
            <w:tcW w:w="1060" w:type="dxa"/>
            <w:vAlign w:val="bottom"/>
            <w:tcBorders>
              <w:bottom w:val="single" w:sz="8" w:color="auto"/>
            </w:tcBorders>
            <w:shd w:val="clear" w:color="auto" w:fill="F1F3F9"/>
          </w:tcPr>
          <w:p>
            <w:pPr>
              <w:jc w:val="right"/>
              <w:ind w:right="332"/>
              <w:spacing w:after="0"/>
              <w:rPr>
                <w:sz w:val="20"/>
                <w:szCs w:val="20"/>
                <w:color w:val="auto"/>
              </w:rPr>
            </w:pPr>
            <w:r>
              <w:rPr>
                <w:rFonts w:ascii="Arial" w:cs="Arial" w:eastAsia="Arial" w:hAnsi="Arial"/>
                <w:sz w:val="10"/>
                <w:szCs w:val="10"/>
                <w:color w:val="auto"/>
              </w:rPr>
              <w:t>10.03</w:t>
            </w:r>
            <w:r>
              <w:rPr>
                <w:rFonts w:ascii="Arial" w:cs="Arial" w:eastAsia="Arial" w:hAnsi="Arial"/>
                <w:sz w:val="14"/>
                <w:szCs w:val="14"/>
                <w:color w:val="auto"/>
                <w:vertAlign w:val="superscript"/>
              </w:rPr>
              <w:t>2</w:t>
            </w:r>
          </w:p>
        </w:tc>
      </w:tr>
      <w:tr>
        <w:trPr>
          <w:trHeight w:val="223"/>
        </w:trPr>
        <w:tc>
          <w:tcPr>
            <w:tcW w:w="460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Neil Stahl, Ph.D.</w:t>
            </w:r>
          </w:p>
        </w:tc>
        <w:tc>
          <w:tcPr>
            <w:tcW w:w="3520" w:type="dxa"/>
            <w:vAlign w:val="bottom"/>
            <w:tcBorders>
              <w:bottom w:val="single" w:sz="8" w:color="auto"/>
            </w:tcBorders>
            <w:shd w:val="clear" w:color="auto" w:fill="D6DAEE"/>
          </w:tcPr>
          <w:p>
            <w:pPr>
              <w:jc w:val="right"/>
              <w:ind w:right="12"/>
              <w:spacing w:after="0"/>
              <w:rPr>
                <w:sz w:val="20"/>
                <w:szCs w:val="20"/>
                <w:color w:val="auto"/>
              </w:rPr>
            </w:pPr>
            <w:r>
              <w:rPr>
                <w:rFonts w:ascii="Arial" w:cs="Arial" w:eastAsia="Arial" w:hAnsi="Arial"/>
                <w:sz w:val="10"/>
                <w:szCs w:val="10"/>
                <w:color w:val="auto"/>
              </w:rPr>
              <w:t>641,000</w:t>
            </w:r>
          </w:p>
        </w:tc>
        <w:tc>
          <w:tcPr>
            <w:tcW w:w="720" w:type="dxa"/>
            <w:vAlign w:val="bottom"/>
            <w:tcBorders>
              <w:bottom w:val="single" w:sz="8" w:color="auto"/>
            </w:tcBorders>
            <w:shd w:val="clear" w:color="auto" w:fill="D6DAEE"/>
          </w:tcPr>
          <w:p>
            <w:pPr>
              <w:jc w:val="right"/>
              <w:ind w:right="112"/>
              <w:spacing w:after="0"/>
              <w:rPr>
                <w:sz w:val="20"/>
                <w:szCs w:val="20"/>
                <w:color w:val="auto"/>
              </w:rPr>
            </w:pPr>
            <w:r>
              <w:rPr>
                <w:rFonts w:ascii="Arial" w:cs="Arial" w:eastAsia="Arial" w:hAnsi="Arial"/>
                <w:sz w:val="10"/>
                <w:szCs w:val="10"/>
                <w:color w:val="auto"/>
              </w:rPr>
              <w:t>663,400</w:t>
            </w:r>
          </w:p>
        </w:tc>
        <w:tc>
          <w:tcPr>
            <w:tcW w:w="1060" w:type="dxa"/>
            <w:vAlign w:val="bottom"/>
            <w:tcBorders>
              <w:bottom w:val="single" w:sz="8" w:color="auto"/>
            </w:tcBorders>
            <w:shd w:val="clear" w:color="auto" w:fill="D6DAEE"/>
          </w:tcPr>
          <w:p>
            <w:pPr>
              <w:jc w:val="right"/>
              <w:ind w:right="332"/>
              <w:spacing w:after="0"/>
              <w:rPr>
                <w:sz w:val="20"/>
                <w:szCs w:val="20"/>
                <w:color w:val="auto"/>
              </w:rPr>
            </w:pPr>
            <w:r>
              <w:rPr>
                <w:rFonts w:ascii="Arial" w:cs="Arial" w:eastAsia="Arial" w:hAnsi="Arial"/>
                <w:sz w:val="10"/>
                <w:szCs w:val="10"/>
                <w:color w:val="auto"/>
              </w:rPr>
              <w:t>3.50</w:t>
            </w:r>
            <w:r>
              <w:rPr>
                <w:rFonts w:ascii="Arial" w:cs="Arial" w:eastAsia="Arial" w:hAnsi="Arial"/>
                <w:sz w:val="14"/>
                <w:szCs w:val="14"/>
                <w:color w:val="auto"/>
                <w:vertAlign w:val="superscript"/>
              </w:rPr>
              <w:t>1</w:t>
            </w:r>
          </w:p>
        </w:tc>
      </w:tr>
      <w:tr>
        <w:trPr>
          <w:trHeight w:val="223"/>
        </w:trPr>
        <w:tc>
          <w:tcPr>
            <w:tcW w:w="4600" w:type="dxa"/>
            <w:vAlign w:val="bottom"/>
            <w:tcBorders>
              <w:bottom w:val="single" w:sz="8" w:color="105BAB"/>
            </w:tcBorders>
            <w:shd w:val="clear" w:color="auto" w:fill="F1F3F9"/>
          </w:tcPr>
          <w:p>
            <w:pPr>
              <w:ind w:left="40"/>
              <w:spacing w:after="0"/>
              <w:rPr>
                <w:sz w:val="20"/>
                <w:szCs w:val="20"/>
                <w:color w:val="auto"/>
              </w:rPr>
            </w:pPr>
            <w:r>
              <w:rPr>
                <w:rFonts w:ascii="Arial" w:cs="Arial" w:eastAsia="Arial" w:hAnsi="Arial"/>
                <w:sz w:val="10"/>
                <w:szCs w:val="10"/>
                <w:color w:val="auto"/>
              </w:rPr>
              <w:t>Daniel P. Van Plew</w:t>
            </w:r>
          </w:p>
        </w:tc>
        <w:tc>
          <w:tcPr>
            <w:tcW w:w="3520" w:type="dxa"/>
            <w:vAlign w:val="bottom"/>
            <w:tcBorders>
              <w:bottom w:val="single" w:sz="8" w:color="105BAB"/>
            </w:tcBorders>
            <w:shd w:val="clear" w:color="auto" w:fill="F1F3F9"/>
          </w:tcPr>
          <w:p>
            <w:pPr>
              <w:jc w:val="right"/>
              <w:ind w:right="12"/>
              <w:spacing w:after="0"/>
              <w:rPr>
                <w:sz w:val="20"/>
                <w:szCs w:val="20"/>
                <w:color w:val="auto"/>
              </w:rPr>
            </w:pPr>
            <w:r>
              <w:rPr>
                <w:rFonts w:ascii="Arial" w:cs="Arial" w:eastAsia="Arial" w:hAnsi="Arial"/>
                <w:sz w:val="10"/>
                <w:szCs w:val="10"/>
                <w:color w:val="auto"/>
              </w:rPr>
              <w:t>560,000</w:t>
            </w:r>
          </w:p>
        </w:tc>
        <w:tc>
          <w:tcPr>
            <w:tcW w:w="720" w:type="dxa"/>
            <w:vAlign w:val="bottom"/>
            <w:tcBorders>
              <w:bottom w:val="single" w:sz="8" w:color="105BAB"/>
            </w:tcBorders>
            <w:shd w:val="clear" w:color="auto" w:fill="F1F3F9"/>
          </w:tcPr>
          <w:p>
            <w:pPr>
              <w:jc w:val="right"/>
              <w:ind w:right="112"/>
              <w:spacing w:after="0"/>
              <w:rPr>
                <w:sz w:val="20"/>
                <w:szCs w:val="20"/>
                <w:color w:val="auto"/>
              </w:rPr>
            </w:pPr>
            <w:r>
              <w:rPr>
                <w:rFonts w:ascii="Arial" w:cs="Arial" w:eastAsia="Arial" w:hAnsi="Arial"/>
                <w:sz w:val="10"/>
                <w:szCs w:val="10"/>
                <w:color w:val="auto"/>
              </w:rPr>
              <w:t>660,000</w:t>
            </w:r>
          </w:p>
        </w:tc>
        <w:tc>
          <w:tcPr>
            <w:tcW w:w="1060" w:type="dxa"/>
            <w:vAlign w:val="bottom"/>
            <w:tcBorders>
              <w:bottom w:val="single" w:sz="8" w:color="105BAB"/>
            </w:tcBorders>
            <w:shd w:val="clear" w:color="auto" w:fill="F1F3F9"/>
          </w:tcPr>
          <w:p>
            <w:pPr>
              <w:jc w:val="right"/>
              <w:ind w:right="332"/>
              <w:spacing w:after="0"/>
              <w:rPr>
                <w:sz w:val="20"/>
                <w:szCs w:val="20"/>
                <w:color w:val="auto"/>
              </w:rPr>
            </w:pPr>
            <w:r>
              <w:rPr>
                <w:rFonts w:ascii="Arial" w:cs="Arial" w:eastAsia="Arial" w:hAnsi="Arial"/>
                <w:sz w:val="10"/>
                <w:szCs w:val="10"/>
                <w:color w:val="auto"/>
              </w:rPr>
              <w:t>17.86</w:t>
            </w:r>
            <w:r>
              <w:rPr>
                <w:rFonts w:ascii="Arial" w:cs="Arial" w:eastAsia="Arial" w:hAnsi="Arial"/>
                <w:sz w:val="14"/>
                <w:szCs w:val="14"/>
                <w:color w:val="auto"/>
                <w:vertAlign w:val="superscript"/>
              </w:rPr>
              <w:t>3</w:t>
            </w:r>
          </w:p>
        </w:tc>
      </w:tr>
    </w:tbl>
    <w:p>
      <w:pPr>
        <w:spacing w:after="0" w:line="158" w:lineRule="exact"/>
        <w:rPr>
          <w:sz w:val="20"/>
          <w:szCs w:val="20"/>
          <w:color w:val="auto"/>
        </w:rPr>
      </w:pPr>
    </w:p>
    <w:p>
      <w:pPr>
        <w:ind w:left="1900" w:hanging="467"/>
        <w:spacing w:after="0"/>
        <w:tabs>
          <w:tab w:leader="none" w:pos="1900" w:val="left"/>
        </w:tabs>
        <w:numPr>
          <w:ilvl w:val="0"/>
          <w:numId w:val="63"/>
        </w:numPr>
        <w:rPr>
          <w:rFonts w:ascii="Arial" w:cs="Arial" w:eastAsia="Arial" w:hAnsi="Arial"/>
          <w:sz w:val="10"/>
          <w:szCs w:val="10"/>
          <w:color w:val="105BAB"/>
        </w:rPr>
      </w:pPr>
      <w:r>
        <w:rPr>
          <w:rFonts w:ascii="Arial" w:cs="Arial" w:eastAsia="Arial" w:hAnsi="Arial"/>
          <w:sz w:val="10"/>
          <w:szCs w:val="10"/>
          <w:color w:val="auto"/>
        </w:rPr>
        <w:t>Merit increases consistent with those for other employees.</w:t>
      </w:r>
    </w:p>
    <w:p>
      <w:pPr>
        <w:ind w:left="1900" w:right="40" w:hanging="467"/>
        <w:spacing w:after="0" w:line="225" w:lineRule="auto"/>
        <w:tabs>
          <w:tab w:leader="none" w:pos="1900" w:val="left"/>
        </w:tabs>
        <w:numPr>
          <w:ilvl w:val="0"/>
          <w:numId w:val="64"/>
        </w:numPr>
        <w:rPr>
          <w:rFonts w:ascii="Arial" w:cs="Arial" w:eastAsia="Arial" w:hAnsi="Arial"/>
          <w:sz w:val="10"/>
          <w:szCs w:val="10"/>
          <w:color w:val="105BAB"/>
        </w:rPr>
      </w:pPr>
      <w:r>
        <w:rPr>
          <w:rFonts w:ascii="Arial" w:cs="Arial" w:eastAsia="Arial" w:hAnsi="Arial"/>
          <w:sz w:val="10"/>
          <w:szCs w:val="10"/>
          <w:color w:val="auto"/>
        </w:rPr>
        <w:t>Reflects a $40,400 base salary adjustment to ensure greater competitiveness and alignment with relevant market metrics of the base salary paid to Mr. Landry, as well as Mr. Landry's expanded responsibilities of managing Regeneron's increasingly more complex global finance function.</w:t>
      </w:r>
    </w:p>
    <w:p>
      <w:pPr>
        <w:spacing w:after="0" w:line="1" w:lineRule="exact"/>
        <w:rPr>
          <w:sz w:val="20"/>
          <w:szCs w:val="20"/>
          <w:color w:val="auto"/>
        </w:rPr>
      </w:pPr>
    </w:p>
    <w:p>
      <w:pPr>
        <w:ind w:left="1900" w:right="400" w:hanging="467"/>
        <w:spacing w:after="0" w:line="232" w:lineRule="auto"/>
        <w:tabs>
          <w:tab w:leader="none" w:pos="1900" w:val="left"/>
        </w:tabs>
        <w:numPr>
          <w:ilvl w:val="0"/>
          <w:numId w:val="65"/>
        </w:numPr>
        <w:rPr>
          <w:rFonts w:ascii="Arial" w:cs="Arial" w:eastAsia="Arial" w:hAnsi="Arial"/>
          <w:sz w:val="10"/>
          <w:szCs w:val="10"/>
          <w:color w:val="105BAB"/>
        </w:rPr>
      </w:pPr>
      <w:r>
        <w:rPr>
          <w:rFonts w:ascii="Arial" w:cs="Arial" w:eastAsia="Arial" w:hAnsi="Arial"/>
          <w:sz w:val="10"/>
          <w:szCs w:val="10"/>
          <w:color w:val="auto"/>
        </w:rPr>
        <w:t>Reflects a $80,400 base salary adjustment in recognition of the increased importance to Regeneron's business, growth in the number of employees, and strong and reliable performance of the Company's Industrial Operations and Product Supply organization, including significant expansion of commercial and clinical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20090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0900" cy="5715"/>
                    </a:xfrm>
                    <a:prstGeom prst="rect">
                      <a:avLst/>
                    </a:prstGeom>
                    <a:noFill/>
                  </pic:spPr>
                </pic:pic>
              </a:graphicData>
            </a:graphic>
          </wp:anchor>
        </w:drawing>
      </w:r>
    </w:p>
    <w:p>
      <w:pPr>
        <w:sectPr>
          <w:pgSz w:w="11900" w:h="16838" w:orient="portrait"/>
          <w:cols w:equalWidth="0" w:num="1">
            <w:col w:w="11340"/>
          </w:cols>
          <w:pgMar w:left="220" w:top="142" w:right="339" w:bottom="1440" w:gutter="0" w:footer="0" w:header="0"/>
          <w:type w:val="continuous"/>
        </w:sect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21"/>
          <w:szCs w:val="21"/>
          <w:color w:val="105BAB"/>
        </w:rPr>
        <w:t>ANNUAL CASH INCENTIVE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20"/>
        <w:spacing w:after="0" w:line="239" w:lineRule="auto"/>
        <w:rPr>
          <w:sz w:val="20"/>
          <w:szCs w:val="20"/>
          <w:color w:val="auto"/>
        </w:rPr>
      </w:pPr>
      <w:r>
        <w:rPr>
          <w:rFonts w:ascii="Arial" w:cs="Arial" w:eastAsia="Arial" w:hAnsi="Arial"/>
          <w:sz w:val="12"/>
          <w:szCs w:val="12"/>
          <w:color w:val="auto"/>
        </w:rPr>
        <w:t>Our NEOs are eligible for cash incentives based on annual performance. We use these annual incentive opportunities to reward short-term achievements and milestones towards our long-term goals.</w:t>
      </w:r>
    </w:p>
    <w:p>
      <w:pPr>
        <w:spacing w:after="0" w:line="139" w:lineRule="exact"/>
        <w:rPr>
          <w:sz w:val="20"/>
          <w:szCs w:val="20"/>
          <w:color w:val="auto"/>
        </w:rPr>
      </w:pPr>
    </w:p>
    <w:p>
      <w:pPr>
        <w:ind w:right="400"/>
        <w:spacing w:after="0" w:line="239" w:lineRule="auto"/>
        <w:rPr>
          <w:sz w:val="20"/>
          <w:szCs w:val="20"/>
          <w:color w:val="auto"/>
        </w:rPr>
      </w:pPr>
      <w:r>
        <w:rPr>
          <w:rFonts w:ascii="Arial" w:cs="Arial" w:eastAsia="Arial" w:hAnsi="Arial"/>
          <w:sz w:val="12"/>
          <w:szCs w:val="12"/>
          <w:color w:val="auto"/>
        </w:rPr>
        <w:t>We focus on our overall corporate performance to determine the cash incentives of our CEO and our CSO. Our other NEOs' cash incentives are assessed on both our overall corporate performance and on their individual contributions to it.</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Assessment of the contributions made to our product pipeline is a key factor considered for calculating the Company performance multiplier because the pipeline is so critical to our strategy. Measuring progress towards realizing the pipeline's full long-term potential includes, in addition to objective short-term measures, some subjective assessment of the quality of achievement. We believe this approach to be preferable to using a rigid formula that could drive short-term actions that sacrifice lasting shareholder value or may not be in the best interest of patients, such as limiting R&amp;D expenditures.</w:t>
      </w:r>
    </w:p>
    <w:p>
      <w:pPr>
        <w:spacing w:after="0" w:line="129" w:lineRule="exact"/>
        <w:rPr>
          <w:sz w:val="20"/>
          <w:szCs w:val="20"/>
          <w:color w:val="auto"/>
        </w:rPr>
      </w:pPr>
    </w:p>
    <w:p>
      <w:pPr>
        <w:ind w:left="9580"/>
        <w:spacing w:after="0"/>
        <w:rPr>
          <w:sz w:val="20"/>
          <w:szCs w:val="20"/>
          <w:color w:val="auto"/>
        </w:rPr>
      </w:pPr>
      <w:r>
        <w:rPr>
          <w:rFonts w:ascii="Arial" w:cs="Arial" w:eastAsia="Arial" w:hAnsi="Arial"/>
          <w:sz w:val="10"/>
          <w:szCs w:val="10"/>
          <w:b w:val="1"/>
          <w:bCs w:val="1"/>
          <w:color w:val="FFFFF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-66675</wp:posOffset>
            </wp:positionV>
            <wp:extent cx="285750" cy="685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89535</wp:posOffset>
            </wp:positionV>
            <wp:extent cx="7299325" cy="18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140" w:space="300"/>
            <w:col w:w="9900"/>
          </w:cols>
          <w:pgMar w:left="220" w:top="142" w:right="339" w:bottom="1440" w:gutter="0" w:footer="0" w:header="0"/>
          <w:type w:val="continuous"/>
        </w:sectPr>
      </w:pPr>
    </w:p>
    <w:bookmarkStart w:id="70" w:name="page71"/>
    <w:bookmarkEnd w:id="70"/>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380" w:right="300"/>
        <w:spacing w:after="0" w:line="237" w:lineRule="auto"/>
        <w:rPr>
          <w:sz w:val="20"/>
          <w:szCs w:val="20"/>
          <w:color w:val="auto"/>
        </w:rPr>
      </w:pPr>
      <w:r>
        <w:rPr>
          <w:rFonts w:ascii="Arial" w:cs="Arial" w:eastAsia="Arial" w:hAnsi="Arial"/>
          <w:sz w:val="12"/>
          <w:szCs w:val="12"/>
          <w:color w:val="auto"/>
        </w:rPr>
        <w:t>However, using some degree of subjectivity in assessing the annual progress made within the product pipeline does not imply a lack of concrete performance considerations. For 2017, the Compensation Committee set the Company performance multiplier at 1.6, from a possible range of 0 to 2.0. The key factors that drove the Compensation Committee's decision included the following:</w:t>
      </w:r>
    </w:p>
    <w:p>
      <w:pPr>
        <w:spacing w:after="0" w:line="145" w:lineRule="exact"/>
        <w:rPr>
          <w:sz w:val="20"/>
          <w:szCs w:val="20"/>
          <w:color w:val="auto"/>
        </w:rPr>
      </w:pPr>
    </w:p>
    <w:p>
      <w:pPr>
        <w:ind w:left="1620" w:hanging="232"/>
        <w:spacing w:after="0"/>
        <w:tabs>
          <w:tab w:leader="none" w:pos="1620" w:val="left"/>
        </w:tabs>
        <w:numPr>
          <w:ilvl w:val="0"/>
          <w:numId w:val="66"/>
        </w:numPr>
        <w:rPr>
          <w:rFonts w:ascii="Arial" w:cs="Arial" w:eastAsia="Arial" w:hAnsi="Arial"/>
          <w:sz w:val="12"/>
          <w:szCs w:val="12"/>
          <w:b w:val="1"/>
          <w:bCs w:val="1"/>
          <w:color w:val="105BAB"/>
        </w:rPr>
      </w:pPr>
      <w:r>
        <w:rPr>
          <w:rFonts w:ascii="Arial" w:cs="Arial" w:eastAsia="Arial" w:hAnsi="Arial"/>
          <w:sz w:val="12"/>
          <w:szCs w:val="12"/>
          <w:b w:val="1"/>
          <w:bCs w:val="1"/>
          <w:color w:val="105BAB"/>
        </w:rPr>
        <w:t>Regulatory Approvals for New Products</w:t>
      </w:r>
    </w:p>
    <w:p>
      <w:pPr>
        <w:spacing w:after="0" w:line="128" w:lineRule="exact"/>
        <w:rPr>
          <w:rFonts w:ascii="Arial" w:cs="Arial" w:eastAsia="Arial" w:hAnsi="Arial"/>
          <w:sz w:val="12"/>
          <w:szCs w:val="12"/>
          <w:b w:val="1"/>
          <w:bCs w:val="1"/>
          <w:color w:val="105BAB"/>
        </w:rPr>
      </w:pPr>
    </w:p>
    <w:p>
      <w:pPr>
        <w:ind w:left="1860" w:right="140" w:hanging="238"/>
        <w:spacing w:after="0" w:line="197" w:lineRule="auto"/>
        <w:tabs>
          <w:tab w:leader="none" w:pos="1860" w:val="left"/>
        </w:tabs>
        <w:numPr>
          <w:ilvl w:val="1"/>
          <w:numId w:val="66"/>
        </w:numPr>
        <w:rPr>
          <w:rFonts w:ascii="Arial" w:cs="Arial" w:eastAsia="Arial" w:hAnsi="Arial"/>
          <w:sz w:val="18"/>
          <w:szCs w:val="18"/>
          <w:color w:val="105BAB"/>
          <w:vertAlign w:val="superscript"/>
        </w:rPr>
      </w:pPr>
      <w:r>
        <w:rPr>
          <w:rFonts w:ascii="Arial" w:cs="Arial" w:eastAsia="Arial" w:hAnsi="Arial"/>
          <w:sz w:val="11"/>
          <w:szCs w:val="11"/>
          <w:color w:val="auto"/>
        </w:rPr>
        <w:t>We received FDA and European Commission approvals for (1) DUPIXENT for the treatment of adults with moderate-to-severe atopic dermatitis and (2) KEVZARA for the treatment of adult patients with moderately to severely active rheumatoid arthritis. We were just one of three companies to have had more than one novel treatment approved by the FDA in 2017.</w:t>
      </w:r>
    </w:p>
    <w:p>
      <w:pPr>
        <w:spacing w:after="0" w:line="144" w:lineRule="exact"/>
        <w:rPr>
          <w:rFonts w:ascii="Arial" w:cs="Arial" w:eastAsia="Arial" w:hAnsi="Arial"/>
          <w:sz w:val="18"/>
          <w:szCs w:val="18"/>
          <w:color w:val="105BAB"/>
          <w:vertAlign w:val="superscript"/>
        </w:rPr>
      </w:pPr>
    </w:p>
    <w:p>
      <w:pPr>
        <w:ind w:left="1620" w:hanging="232"/>
        <w:spacing w:after="0"/>
        <w:tabs>
          <w:tab w:leader="none" w:pos="1620" w:val="left"/>
        </w:tabs>
        <w:numPr>
          <w:ilvl w:val="0"/>
          <w:numId w:val="66"/>
        </w:numPr>
        <w:rPr>
          <w:rFonts w:ascii="Arial" w:cs="Arial" w:eastAsia="Arial" w:hAnsi="Arial"/>
          <w:sz w:val="12"/>
          <w:szCs w:val="12"/>
          <w:b w:val="1"/>
          <w:bCs w:val="1"/>
          <w:color w:val="105BAB"/>
        </w:rPr>
      </w:pPr>
      <w:r>
        <w:rPr>
          <w:rFonts w:ascii="Arial" w:cs="Arial" w:eastAsia="Arial" w:hAnsi="Arial"/>
          <w:sz w:val="12"/>
          <w:szCs w:val="12"/>
          <w:b w:val="1"/>
          <w:bCs w:val="1"/>
          <w:color w:val="105BAB"/>
        </w:rPr>
        <w:t>Support of Further Commercialization of Marketed Products</w:t>
      </w:r>
    </w:p>
    <w:p>
      <w:pPr>
        <w:spacing w:after="0" w:line="61" w:lineRule="exact"/>
        <w:rPr>
          <w:rFonts w:ascii="Arial" w:cs="Arial" w:eastAsia="Arial" w:hAnsi="Arial"/>
          <w:sz w:val="12"/>
          <w:szCs w:val="12"/>
          <w:b w:val="1"/>
          <w:bCs w:val="1"/>
          <w:color w:val="105BAB"/>
        </w:rPr>
      </w:pPr>
    </w:p>
    <w:p>
      <w:pPr>
        <w:ind w:left="1860" w:hanging="238"/>
        <w:spacing w:after="0"/>
        <w:tabs>
          <w:tab w:leader="none" w:pos="1860" w:val="left"/>
        </w:tabs>
        <w:numPr>
          <w:ilvl w:val="1"/>
          <w:numId w:val="66"/>
        </w:numPr>
        <w:rPr>
          <w:rFonts w:ascii="Arial" w:cs="Arial" w:eastAsia="Arial" w:hAnsi="Arial"/>
          <w:sz w:val="18"/>
          <w:szCs w:val="18"/>
          <w:color w:val="105BAB"/>
          <w:vertAlign w:val="superscript"/>
        </w:rPr>
      </w:pPr>
      <w:r>
        <w:rPr>
          <w:rFonts w:ascii="Arial" w:cs="Arial" w:eastAsia="Arial" w:hAnsi="Arial"/>
          <w:sz w:val="11"/>
          <w:szCs w:val="11"/>
          <w:color w:val="auto"/>
        </w:rPr>
        <w:t>We submitted to the FDA the supplemental Biologics License Application (sBLA) for a 12-week dosing interval of EYLEA in patients with neovascular age-related macular degeneration.</w:t>
      </w:r>
    </w:p>
    <w:p>
      <w:pPr>
        <w:spacing w:after="0" w:line="97" w:lineRule="exact"/>
        <w:rPr>
          <w:rFonts w:ascii="Arial" w:cs="Arial" w:eastAsia="Arial" w:hAnsi="Arial"/>
          <w:sz w:val="18"/>
          <w:szCs w:val="18"/>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A Phase 3 study of EYLEA for the treatment of non-proliferative diabetic retinopathy in patients without DME completed enrollment.</w:t>
      </w:r>
    </w:p>
    <w:p>
      <w:pPr>
        <w:spacing w:after="0" w:line="97" w:lineRule="exact"/>
        <w:rPr>
          <w:rFonts w:ascii="Arial" w:cs="Arial" w:eastAsia="Arial" w:hAnsi="Arial"/>
          <w:sz w:val="17"/>
          <w:szCs w:val="17"/>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We reported positive results from Phase 3 studies of dupilumab for the treatment of asthma. A Phase 3 study in pediatric patients was also initiated.</w:t>
      </w:r>
    </w:p>
    <w:p>
      <w:pPr>
        <w:spacing w:after="0" w:line="97" w:lineRule="exact"/>
        <w:rPr>
          <w:rFonts w:ascii="Arial" w:cs="Arial" w:eastAsia="Arial" w:hAnsi="Arial"/>
          <w:sz w:val="17"/>
          <w:szCs w:val="17"/>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Phase 3 studies of dupilumab in adolescent and pediatric patients with atopic dermatitis were initiated.</w:t>
      </w:r>
    </w:p>
    <w:p>
      <w:pPr>
        <w:spacing w:after="0" w:line="97" w:lineRule="exact"/>
        <w:rPr>
          <w:rFonts w:ascii="Arial" w:cs="Arial" w:eastAsia="Arial" w:hAnsi="Arial"/>
          <w:sz w:val="17"/>
          <w:szCs w:val="17"/>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Two phase 3 studies of dupilumab in nasal polyps completed enrollment.</w:t>
      </w:r>
    </w:p>
    <w:p>
      <w:pPr>
        <w:spacing w:after="0" w:line="97" w:lineRule="exact"/>
        <w:rPr>
          <w:rFonts w:ascii="Arial" w:cs="Arial" w:eastAsia="Arial" w:hAnsi="Arial"/>
          <w:sz w:val="17"/>
          <w:szCs w:val="17"/>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We reported positive results in the Phase 2 study of dupilumab in eosinophilic esophagitis.</w:t>
      </w:r>
    </w:p>
    <w:p>
      <w:pPr>
        <w:spacing w:after="0" w:line="143" w:lineRule="exact"/>
        <w:rPr>
          <w:rFonts w:ascii="Arial" w:cs="Arial" w:eastAsia="Arial" w:hAnsi="Arial"/>
          <w:sz w:val="17"/>
          <w:szCs w:val="17"/>
          <w:color w:val="105BAB"/>
          <w:vertAlign w:val="superscript"/>
        </w:rPr>
      </w:pPr>
    </w:p>
    <w:p>
      <w:pPr>
        <w:ind w:left="1620" w:hanging="232"/>
        <w:spacing w:after="0"/>
        <w:tabs>
          <w:tab w:leader="none" w:pos="1620" w:val="left"/>
        </w:tabs>
        <w:numPr>
          <w:ilvl w:val="0"/>
          <w:numId w:val="66"/>
        </w:numPr>
        <w:rPr>
          <w:rFonts w:ascii="Arial" w:cs="Arial" w:eastAsia="Arial" w:hAnsi="Arial"/>
          <w:sz w:val="12"/>
          <w:szCs w:val="12"/>
          <w:b w:val="1"/>
          <w:bCs w:val="1"/>
          <w:color w:val="105BAB"/>
        </w:rPr>
      </w:pPr>
      <w:r>
        <w:rPr>
          <w:rFonts w:ascii="Arial" w:cs="Arial" w:eastAsia="Arial" w:hAnsi="Arial"/>
          <w:sz w:val="12"/>
          <w:szCs w:val="12"/>
          <w:b w:val="1"/>
          <w:bCs w:val="1"/>
          <w:color w:val="105BAB"/>
        </w:rPr>
        <w:t>Late-Stage Clinical Programs</w:t>
      </w:r>
    </w:p>
    <w:p>
      <w:pPr>
        <w:spacing w:after="0" w:line="128" w:lineRule="exact"/>
        <w:rPr>
          <w:rFonts w:ascii="Arial" w:cs="Arial" w:eastAsia="Arial" w:hAnsi="Arial"/>
          <w:sz w:val="12"/>
          <w:szCs w:val="12"/>
          <w:b w:val="1"/>
          <w:bCs w:val="1"/>
          <w:color w:val="105BAB"/>
        </w:rPr>
      </w:pPr>
    </w:p>
    <w:p>
      <w:pPr>
        <w:ind w:left="1860" w:right="80" w:hanging="238"/>
        <w:spacing w:after="0" w:line="199" w:lineRule="auto"/>
        <w:tabs>
          <w:tab w:leader="none" w:pos="1860" w:val="left"/>
        </w:tabs>
        <w:numPr>
          <w:ilvl w:val="1"/>
          <w:numId w:val="66"/>
        </w:numPr>
        <w:rPr>
          <w:rFonts w:ascii="Arial" w:cs="Arial" w:eastAsia="Arial" w:hAnsi="Arial"/>
          <w:sz w:val="19"/>
          <w:szCs w:val="19"/>
          <w:color w:val="105BAB"/>
          <w:vertAlign w:val="superscript"/>
        </w:rPr>
      </w:pPr>
      <w:r>
        <w:rPr>
          <w:rFonts w:ascii="Arial" w:cs="Arial" w:eastAsia="Arial" w:hAnsi="Arial"/>
          <w:sz w:val="12"/>
          <w:szCs w:val="12"/>
          <w:color w:val="auto"/>
        </w:rPr>
        <w:t>We reported positive top-line results from a pivotal Phase 2 study of cemiplimab in advanced cutaneous squamous cell carcinoma ("CSCC"). The FDA granted Breakthrough Therapy designation to cemiplimab for the treatment of adults with metastatic CSCC and adults with locally advanced and unresectable CSCC. A Phase 3 study as a first-line treatment for non-small cell lung cancer and a Phase 3 study in cervical cancer were initiated. A potentially pivotal Phase 2 study in basal cell carcinoma was also initiated.</w:t>
      </w:r>
    </w:p>
    <w:p>
      <w:pPr>
        <w:spacing w:after="0" w:line="112" w:lineRule="exact"/>
        <w:rPr>
          <w:rFonts w:ascii="Arial" w:cs="Arial" w:eastAsia="Arial" w:hAnsi="Arial"/>
          <w:sz w:val="19"/>
          <w:szCs w:val="19"/>
          <w:color w:val="105BAB"/>
          <w:vertAlign w:val="superscript"/>
        </w:rPr>
      </w:pPr>
    </w:p>
    <w:p>
      <w:pPr>
        <w:ind w:left="1860" w:hanging="238"/>
        <w:spacing w:after="0" w:line="185" w:lineRule="auto"/>
        <w:tabs>
          <w:tab w:leader="none" w:pos="1860" w:val="left"/>
        </w:tabs>
        <w:numPr>
          <w:ilvl w:val="1"/>
          <w:numId w:val="66"/>
        </w:numPr>
        <w:rPr>
          <w:rFonts w:ascii="Arial" w:cs="Arial" w:eastAsia="Arial" w:hAnsi="Arial"/>
          <w:sz w:val="19"/>
          <w:szCs w:val="19"/>
          <w:color w:val="105BAB"/>
          <w:vertAlign w:val="superscript"/>
        </w:rPr>
      </w:pPr>
      <w:r>
        <w:rPr>
          <w:rFonts w:ascii="Arial" w:cs="Arial" w:eastAsia="Arial" w:hAnsi="Arial"/>
          <w:sz w:val="12"/>
          <w:szCs w:val="12"/>
          <w:color w:val="auto"/>
        </w:rPr>
        <w:t>Phase 3 efficacy studies of fasinumab in osteoarthritis of the knee or hip were initiated, while the Phase 3 long-term safety study in osteoarthritis continued patient enrollment. A Phase 3 study in chronic low back pain in patients with concomitant osteoarthritis of the knee and hip was also initiated.</w:t>
      </w:r>
    </w:p>
    <w:p>
      <w:pPr>
        <w:spacing w:after="0" w:line="112" w:lineRule="exact"/>
        <w:rPr>
          <w:rFonts w:ascii="Arial" w:cs="Arial" w:eastAsia="Arial" w:hAnsi="Arial"/>
          <w:sz w:val="19"/>
          <w:szCs w:val="19"/>
          <w:color w:val="105BAB"/>
          <w:vertAlign w:val="superscript"/>
        </w:rPr>
      </w:pPr>
    </w:p>
    <w:p>
      <w:pPr>
        <w:ind w:left="1860" w:right="100" w:hanging="238"/>
        <w:spacing w:after="0" w:line="185" w:lineRule="auto"/>
        <w:tabs>
          <w:tab w:leader="none" w:pos="1860" w:val="left"/>
        </w:tabs>
        <w:numPr>
          <w:ilvl w:val="1"/>
          <w:numId w:val="66"/>
        </w:numPr>
        <w:rPr>
          <w:rFonts w:ascii="Arial" w:cs="Arial" w:eastAsia="Arial" w:hAnsi="Arial"/>
          <w:sz w:val="19"/>
          <w:szCs w:val="19"/>
          <w:color w:val="105BAB"/>
          <w:vertAlign w:val="superscript"/>
        </w:rPr>
      </w:pPr>
      <w:r>
        <w:rPr>
          <w:rFonts w:ascii="Arial" w:cs="Arial" w:eastAsia="Arial" w:hAnsi="Arial"/>
          <w:sz w:val="12"/>
          <w:szCs w:val="12"/>
          <w:color w:val="auto"/>
        </w:rPr>
        <w:t>We reported negative data from our Phase 3 study of suptavumab in respiratory syncytial virus. Although the therapy showed signs of activity in one patient population, it failed to meet the primary endpoint. We have discontinued further development of suptavumab.</w:t>
      </w:r>
    </w:p>
    <w:p>
      <w:pPr>
        <w:spacing w:after="0" w:line="143" w:lineRule="exact"/>
        <w:rPr>
          <w:rFonts w:ascii="Arial" w:cs="Arial" w:eastAsia="Arial" w:hAnsi="Arial"/>
          <w:sz w:val="19"/>
          <w:szCs w:val="19"/>
          <w:color w:val="105BAB"/>
          <w:vertAlign w:val="superscript"/>
        </w:rPr>
      </w:pPr>
    </w:p>
    <w:p>
      <w:pPr>
        <w:ind w:left="1620" w:hanging="232"/>
        <w:spacing w:after="0"/>
        <w:tabs>
          <w:tab w:leader="none" w:pos="1620" w:val="left"/>
        </w:tabs>
        <w:numPr>
          <w:ilvl w:val="0"/>
          <w:numId w:val="66"/>
        </w:numPr>
        <w:rPr>
          <w:rFonts w:ascii="Arial" w:cs="Arial" w:eastAsia="Arial" w:hAnsi="Arial"/>
          <w:sz w:val="12"/>
          <w:szCs w:val="12"/>
          <w:b w:val="1"/>
          <w:bCs w:val="1"/>
          <w:color w:val="105BAB"/>
        </w:rPr>
      </w:pPr>
      <w:r>
        <w:rPr>
          <w:rFonts w:ascii="Arial" w:cs="Arial" w:eastAsia="Arial" w:hAnsi="Arial"/>
          <w:sz w:val="12"/>
          <w:szCs w:val="12"/>
          <w:b w:val="1"/>
          <w:bCs w:val="1"/>
          <w:color w:val="105BAB"/>
        </w:rPr>
        <w:t>Earlier-Stage Clinical Programs and Advancement of New Product Candidates into Clinical Development</w:t>
      </w:r>
    </w:p>
    <w:p>
      <w:pPr>
        <w:spacing w:after="0" w:line="49" w:lineRule="exact"/>
        <w:rPr>
          <w:rFonts w:ascii="Arial" w:cs="Arial" w:eastAsia="Arial" w:hAnsi="Arial"/>
          <w:sz w:val="12"/>
          <w:szCs w:val="12"/>
          <w:b w:val="1"/>
          <w:bCs w:val="1"/>
          <w:color w:val="105BAB"/>
        </w:rPr>
      </w:pPr>
    </w:p>
    <w:p>
      <w:pPr>
        <w:ind w:left="1860" w:hanging="238"/>
        <w:spacing w:after="0"/>
        <w:tabs>
          <w:tab w:leader="none" w:pos="1860" w:val="left"/>
        </w:tabs>
        <w:numPr>
          <w:ilvl w:val="1"/>
          <w:numId w:val="66"/>
        </w:numPr>
        <w:rPr>
          <w:rFonts w:ascii="Arial" w:cs="Arial" w:eastAsia="Arial" w:hAnsi="Arial"/>
          <w:sz w:val="19"/>
          <w:szCs w:val="19"/>
          <w:color w:val="105BAB"/>
          <w:vertAlign w:val="superscript"/>
        </w:rPr>
      </w:pPr>
      <w:r>
        <w:rPr>
          <w:rFonts w:ascii="Arial" w:cs="Arial" w:eastAsia="Arial" w:hAnsi="Arial"/>
          <w:sz w:val="12"/>
          <w:szCs w:val="12"/>
          <w:color w:val="auto"/>
        </w:rPr>
        <w:t>The FDA granted Breakthrough Therapy designation for evinacumab for the treatment of hypercholesterolemia in patients with homozygous familial hypercholesterolemia.</w:t>
      </w:r>
    </w:p>
    <w:p>
      <w:pPr>
        <w:spacing w:after="0" w:line="97" w:lineRule="exact"/>
        <w:rPr>
          <w:rFonts w:ascii="Arial" w:cs="Arial" w:eastAsia="Arial" w:hAnsi="Arial"/>
          <w:sz w:val="19"/>
          <w:szCs w:val="19"/>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We advanced one new product candidate (REGN3918) into Phase 1 clinical development.</w:t>
      </w:r>
    </w:p>
    <w:p>
      <w:pPr>
        <w:spacing w:after="0" w:line="97" w:lineRule="exact"/>
        <w:rPr>
          <w:rFonts w:ascii="Arial" w:cs="Arial" w:eastAsia="Arial" w:hAnsi="Arial"/>
          <w:sz w:val="17"/>
          <w:szCs w:val="17"/>
          <w:color w:val="105BAB"/>
          <w:vertAlign w:val="superscript"/>
        </w:rPr>
      </w:pPr>
    </w:p>
    <w:p>
      <w:pPr>
        <w:ind w:left="1860" w:hanging="238"/>
        <w:spacing w:after="0" w:line="190" w:lineRule="auto"/>
        <w:tabs>
          <w:tab w:leader="none" w:pos="1860" w:val="left"/>
        </w:tabs>
        <w:numPr>
          <w:ilvl w:val="1"/>
          <w:numId w:val="66"/>
        </w:numPr>
        <w:rPr>
          <w:rFonts w:ascii="Arial" w:cs="Arial" w:eastAsia="Arial" w:hAnsi="Arial"/>
          <w:sz w:val="17"/>
          <w:szCs w:val="17"/>
          <w:color w:val="105BAB"/>
          <w:vertAlign w:val="superscript"/>
        </w:rPr>
      </w:pPr>
      <w:r>
        <w:rPr>
          <w:rFonts w:ascii="Arial" w:cs="Arial" w:eastAsia="Arial" w:hAnsi="Arial"/>
          <w:sz w:val="11"/>
          <w:szCs w:val="11"/>
          <w:color w:val="auto"/>
        </w:rPr>
        <w:t>Our two Phase 2 studies of the angiopoietin2 antibody nesvacumab added to EYLEA did not provide sufficient differentiation to warrant Phase 3 development.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42" w:right="259" w:bottom="1440" w:gutter="0" w:footer="0" w:header="0"/>
          <w:type w:val="continuous"/>
        </w:sectPr>
      </w:pPr>
    </w:p>
    <w:bookmarkStart w:id="71" w:name="page72"/>
    <w:bookmarkEnd w:id="7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20" w:hanging="232"/>
        <w:spacing w:after="0"/>
        <w:tabs>
          <w:tab w:leader="none" w:pos="1620" w:val="left"/>
        </w:tabs>
        <w:numPr>
          <w:ilvl w:val="0"/>
          <w:numId w:val="67"/>
        </w:numPr>
        <w:rPr>
          <w:rFonts w:ascii="Arial" w:cs="Arial" w:eastAsia="Arial" w:hAnsi="Arial"/>
          <w:sz w:val="12"/>
          <w:szCs w:val="12"/>
          <w:b w:val="1"/>
          <w:bCs w:val="1"/>
          <w:color w:val="105BAB"/>
        </w:rPr>
      </w:pPr>
      <w:r>
        <w:rPr>
          <w:rFonts w:ascii="Arial" w:cs="Arial" w:eastAsia="Arial" w:hAnsi="Arial"/>
          <w:sz w:val="12"/>
          <w:szCs w:val="12"/>
          <w:b w:val="1"/>
          <w:bCs w:val="1"/>
          <w:color w:val="105BAB"/>
        </w:rPr>
        <w:t>Growth and Delivery of the Company's Industrial Operations and Product Supply Organization</w:t>
      </w:r>
    </w:p>
    <w:p>
      <w:pPr>
        <w:spacing w:after="0" w:line="49" w:lineRule="exact"/>
        <w:rPr>
          <w:rFonts w:ascii="Arial" w:cs="Arial" w:eastAsia="Arial" w:hAnsi="Arial"/>
          <w:sz w:val="12"/>
          <w:szCs w:val="12"/>
          <w:b w:val="1"/>
          <w:bCs w:val="1"/>
          <w:color w:val="105BAB"/>
        </w:rPr>
      </w:pPr>
    </w:p>
    <w:p>
      <w:pPr>
        <w:ind w:left="1860" w:hanging="238"/>
        <w:spacing w:after="0"/>
        <w:tabs>
          <w:tab w:leader="none" w:pos="1860" w:val="left"/>
        </w:tabs>
        <w:numPr>
          <w:ilvl w:val="1"/>
          <w:numId w:val="67"/>
        </w:numPr>
        <w:rPr>
          <w:rFonts w:ascii="Arial" w:cs="Arial" w:eastAsia="Arial" w:hAnsi="Arial"/>
          <w:sz w:val="19"/>
          <w:szCs w:val="19"/>
          <w:color w:val="105BAB"/>
          <w:vertAlign w:val="superscript"/>
        </w:rPr>
      </w:pPr>
      <w:r>
        <w:rPr>
          <w:rFonts w:ascii="Arial" w:cs="Arial" w:eastAsia="Arial" w:hAnsi="Arial"/>
          <w:sz w:val="12"/>
          <w:szCs w:val="12"/>
          <w:color w:val="auto"/>
        </w:rPr>
        <w:t>Continued strong and reliable product-supply performance in support of Regeneron's growing demands despite supply-chain complexities.</w:t>
      </w:r>
    </w:p>
    <w:p>
      <w:pPr>
        <w:spacing w:after="0" w:line="97" w:lineRule="exact"/>
        <w:rPr>
          <w:rFonts w:ascii="Arial" w:cs="Arial" w:eastAsia="Arial" w:hAnsi="Arial"/>
          <w:sz w:val="19"/>
          <w:szCs w:val="19"/>
          <w:color w:val="105BAB"/>
          <w:vertAlign w:val="superscript"/>
        </w:rPr>
      </w:pPr>
    </w:p>
    <w:p>
      <w:pPr>
        <w:ind w:left="1860" w:hanging="238"/>
        <w:spacing w:after="0" w:line="190" w:lineRule="auto"/>
        <w:tabs>
          <w:tab w:leader="none" w:pos="1860" w:val="left"/>
        </w:tabs>
        <w:numPr>
          <w:ilvl w:val="1"/>
          <w:numId w:val="67"/>
        </w:numPr>
        <w:rPr>
          <w:rFonts w:ascii="Arial" w:cs="Arial" w:eastAsia="Arial" w:hAnsi="Arial"/>
          <w:sz w:val="17"/>
          <w:szCs w:val="17"/>
          <w:color w:val="105BAB"/>
          <w:vertAlign w:val="superscript"/>
        </w:rPr>
      </w:pPr>
      <w:r>
        <w:rPr>
          <w:rFonts w:ascii="Arial" w:cs="Arial" w:eastAsia="Arial" w:hAnsi="Arial"/>
          <w:sz w:val="11"/>
          <w:szCs w:val="11"/>
          <w:color w:val="auto"/>
        </w:rPr>
        <w:t>Successfully launched and supplied the uptake of two newly marketed products.</w:t>
      </w:r>
    </w:p>
    <w:p>
      <w:pPr>
        <w:spacing w:after="0" w:line="97" w:lineRule="exact"/>
        <w:rPr>
          <w:rFonts w:ascii="Arial" w:cs="Arial" w:eastAsia="Arial" w:hAnsi="Arial"/>
          <w:sz w:val="17"/>
          <w:szCs w:val="17"/>
          <w:color w:val="105BAB"/>
          <w:vertAlign w:val="superscript"/>
        </w:rPr>
      </w:pPr>
    </w:p>
    <w:p>
      <w:pPr>
        <w:ind w:left="1860" w:hanging="238"/>
        <w:spacing w:after="0" w:line="190" w:lineRule="auto"/>
        <w:tabs>
          <w:tab w:leader="none" w:pos="1860" w:val="left"/>
        </w:tabs>
        <w:numPr>
          <w:ilvl w:val="1"/>
          <w:numId w:val="67"/>
        </w:numPr>
        <w:rPr>
          <w:rFonts w:ascii="Arial" w:cs="Arial" w:eastAsia="Arial" w:hAnsi="Arial"/>
          <w:sz w:val="17"/>
          <w:szCs w:val="17"/>
          <w:color w:val="105BAB"/>
          <w:vertAlign w:val="superscript"/>
        </w:rPr>
      </w:pPr>
      <w:r>
        <w:rPr>
          <w:rFonts w:ascii="Arial" w:cs="Arial" w:eastAsia="Arial" w:hAnsi="Arial"/>
          <w:sz w:val="11"/>
          <w:szCs w:val="11"/>
          <w:color w:val="auto"/>
        </w:rPr>
        <w:t>Successfully completed all regulatory audits, and obtained FDA regulatory approval relating to our Raheen facility.</w:t>
      </w:r>
    </w:p>
    <w:p>
      <w:pPr>
        <w:spacing w:after="0" w:line="143" w:lineRule="exact"/>
        <w:rPr>
          <w:rFonts w:ascii="Arial" w:cs="Arial" w:eastAsia="Arial" w:hAnsi="Arial"/>
          <w:sz w:val="17"/>
          <w:szCs w:val="17"/>
          <w:color w:val="105BAB"/>
          <w:vertAlign w:val="superscript"/>
        </w:rPr>
      </w:pPr>
    </w:p>
    <w:p>
      <w:pPr>
        <w:ind w:left="1620" w:hanging="232"/>
        <w:spacing w:after="0"/>
        <w:tabs>
          <w:tab w:leader="none" w:pos="1620" w:val="left"/>
        </w:tabs>
        <w:numPr>
          <w:ilvl w:val="0"/>
          <w:numId w:val="67"/>
        </w:numPr>
        <w:rPr>
          <w:rFonts w:ascii="Arial" w:cs="Arial" w:eastAsia="Arial" w:hAnsi="Arial"/>
          <w:sz w:val="12"/>
          <w:szCs w:val="12"/>
          <w:b w:val="1"/>
          <w:bCs w:val="1"/>
          <w:color w:val="105BAB"/>
        </w:rPr>
      </w:pPr>
      <w:r>
        <w:rPr>
          <w:rFonts w:ascii="Arial" w:cs="Arial" w:eastAsia="Arial" w:hAnsi="Arial"/>
          <w:sz w:val="12"/>
          <w:szCs w:val="12"/>
          <w:b w:val="1"/>
          <w:bCs w:val="1"/>
          <w:color w:val="105BAB"/>
        </w:rPr>
        <w:t>Financial Performance</w:t>
      </w:r>
    </w:p>
    <w:p>
      <w:pPr>
        <w:spacing w:after="0" w:line="49" w:lineRule="exact"/>
        <w:rPr>
          <w:rFonts w:ascii="Arial" w:cs="Arial" w:eastAsia="Arial" w:hAnsi="Arial"/>
          <w:sz w:val="12"/>
          <w:szCs w:val="12"/>
          <w:b w:val="1"/>
          <w:bCs w:val="1"/>
          <w:color w:val="105BAB"/>
        </w:rPr>
      </w:pPr>
    </w:p>
    <w:p>
      <w:pPr>
        <w:ind w:left="1860" w:hanging="238"/>
        <w:spacing w:after="0"/>
        <w:tabs>
          <w:tab w:leader="none" w:pos="1860" w:val="left"/>
        </w:tabs>
        <w:numPr>
          <w:ilvl w:val="1"/>
          <w:numId w:val="67"/>
        </w:numPr>
        <w:rPr>
          <w:rFonts w:ascii="Arial" w:cs="Arial" w:eastAsia="Arial" w:hAnsi="Arial"/>
          <w:sz w:val="19"/>
          <w:szCs w:val="19"/>
          <w:color w:val="105BAB"/>
          <w:vertAlign w:val="superscript"/>
        </w:rPr>
      </w:pPr>
      <w:r>
        <w:rPr>
          <w:rFonts w:ascii="Arial" w:cs="Arial" w:eastAsia="Arial" w:hAnsi="Arial"/>
          <w:sz w:val="12"/>
          <w:szCs w:val="12"/>
          <w:color w:val="auto"/>
        </w:rPr>
        <w:t>Significant year-over-year revenue growth, which amounted to 21%, with $5.9 billion of revenues generated for the year ended December 31, 2017.</w:t>
      </w:r>
    </w:p>
    <w:p>
      <w:pPr>
        <w:spacing w:after="0" w:line="112" w:lineRule="exact"/>
        <w:rPr>
          <w:rFonts w:ascii="Arial" w:cs="Arial" w:eastAsia="Arial" w:hAnsi="Arial"/>
          <w:sz w:val="19"/>
          <w:szCs w:val="19"/>
          <w:color w:val="105BAB"/>
          <w:vertAlign w:val="superscript"/>
        </w:rPr>
      </w:pPr>
    </w:p>
    <w:p>
      <w:pPr>
        <w:ind w:left="1860" w:hanging="238"/>
        <w:spacing w:after="0" w:line="185" w:lineRule="auto"/>
        <w:tabs>
          <w:tab w:leader="none" w:pos="1860" w:val="left"/>
        </w:tabs>
        <w:numPr>
          <w:ilvl w:val="1"/>
          <w:numId w:val="67"/>
        </w:numPr>
        <w:rPr>
          <w:rFonts w:ascii="Arial" w:cs="Arial" w:eastAsia="Arial" w:hAnsi="Arial"/>
          <w:sz w:val="19"/>
          <w:szCs w:val="19"/>
          <w:color w:val="105BAB"/>
          <w:vertAlign w:val="superscript"/>
        </w:rPr>
      </w:pPr>
      <w:r>
        <w:rPr>
          <w:rFonts w:ascii="Arial" w:cs="Arial" w:eastAsia="Arial" w:hAnsi="Arial"/>
          <w:sz w:val="12"/>
          <w:szCs w:val="12"/>
          <w:color w:val="auto"/>
        </w:rPr>
        <w:t>Estimated non-GAAP net income and diluted non-GAAP EPS growth for 2017 significantly in excess of the Board-approved financial plan (exluding the impact of the Tax Cuts and Jobs Act enacted in December 2017).</w:t>
      </w:r>
    </w:p>
    <w:p>
      <w:pPr>
        <w:spacing w:after="0" w:line="104" w:lineRule="exact"/>
        <w:rPr>
          <w:sz w:val="20"/>
          <w:szCs w:val="20"/>
          <w:color w:val="auto"/>
        </w:rPr>
      </w:pPr>
    </w:p>
    <w:p>
      <w:pPr>
        <w:ind w:left="1360" w:right="40"/>
        <w:spacing w:after="0" w:line="236" w:lineRule="auto"/>
        <w:rPr>
          <w:sz w:val="20"/>
          <w:szCs w:val="20"/>
          <w:color w:val="auto"/>
        </w:rPr>
      </w:pPr>
      <w:r>
        <w:rPr>
          <w:rFonts w:ascii="Arial" w:cs="Arial" w:eastAsia="Arial" w:hAnsi="Arial"/>
          <w:sz w:val="12"/>
          <w:szCs w:val="12"/>
          <w:color w:val="auto"/>
        </w:rPr>
        <w:t>In determining the level of 2017 cash incentives earned as described below, we analyzed the NEOs' respective target cash incentive amounts and individual performance in 2017. To determine the cash incentive amount awarded to each NEO, we applied the Company performance multiplier based on the Company's achievement of 2017 objectives; and, for the three NEOs who also have a personal performance component, we applied a personal performance multiplier. For the three NEOs with a personal performance component, the personal performance component had a 40% weighting and the Company performance component had a 60% weighting. With respect to each NEO, the 2017 target cash incentive opportunity (shown as "Cash Incentive Target" in the table below) remained the same as in 2016. For the explanation of individual factors considered in the cash incentive decisions, see the subsection "Compensation Dashboard—Additional Compensation Information—Annual Cash Incentive."</w:t>
      </w:r>
    </w:p>
    <w:p>
      <w:pPr>
        <w:spacing w:after="0" w:line="132"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The information regarding the 2017 cash incentive awards we made to our NEOs is summarized in this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82550</wp:posOffset>
            </wp:positionV>
            <wp:extent cx="635444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54445" cy="5715"/>
                    </a:xfrm>
                    <a:prstGeom prst="rect">
                      <a:avLst/>
                    </a:prstGeom>
                    <a:noFill/>
                  </pic:spPr>
                </pic:pic>
              </a:graphicData>
            </a:graphic>
          </wp:anchor>
        </w:drawing>
      </w:r>
    </w:p>
    <w:p>
      <w:pPr>
        <w:spacing w:after="0" w:line="238"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1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60" w:type="dxa"/>
            <w:vAlign w:val="bottom"/>
          </w:tcPr>
          <w:p>
            <w:pPr>
              <w:jc w:val="right"/>
              <w:ind w:right="612"/>
              <w:spacing w:after="0"/>
              <w:rPr>
                <w:sz w:val="20"/>
                <w:szCs w:val="20"/>
                <w:color w:val="auto"/>
              </w:rPr>
            </w:pPr>
            <w:r>
              <w:rPr>
                <w:rFonts w:ascii="Arial" w:cs="Arial" w:eastAsia="Arial" w:hAnsi="Arial"/>
                <w:sz w:val="10"/>
                <w:szCs w:val="10"/>
                <w:b w:val="1"/>
                <w:bCs w:val="1"/>
                <w:color w:val="105BAB"/>
              </w:rPr>
              <w:t>Cash Incentive Target</w:t>
            </w:r>
          </w:p>
        </w:tc>
        <w:tc>
          <w:tcPr>
            <w:tcW w:w="1760" w:type="dxa"/>
            <w:vAlign w:val="bottom"/>
          </w:tcPr>
          <w:p>
            <w:pPr>
              <w:jc w:val="center"/>
              <w:ind w:left="112"/>
              <w:spacing w:after="0"/>
              <w:rPr>
                <w:sz w:val="20"/>
                <w:szCs w:val="20"/>
                <w:color w:val="auto"/>
              </w:rPr>
            </w:pPr>
            <w:r>
              <w:rPr>
                <w:rFonts w:ascii="Arial" w:cs="Arial" w:eastAsia="Arial" w:hAnsi="Arial"/>
                <w:sz w:val="10"/>
                <w:szCs w:val="10"/>
                <w:b w:val="1"/>
                <w:bCs w:val="1"/>
                <w:color w:val="105BAB"/>
                <w:w w:val="94"/>
              </w:rPr>
              <w:t>Personal</w:t>
            </w:r>
          </w:p>
        </w:tc>
        <w:tc>
          <w:tcPr>
            <w:tcW w:w="1640" w:type="dxa"/>
            <w:vAlign w:val="bottom"/>
          </w:tcPr>
          <w:p>
            <w:pPr>
              <w:jc w:val="center"/>
              <w:spacing w:after="0"/>
              <w:rPr>
                <w:sz w:val="20"/>
                <w:szCs w:val="20"/>
                <w:color w:val="auto"/>
              </w:rPr>
            </w:pPr>
            <w:r>
              <w:rPr>
                <w:rFonts w:ascii="Arial" w:cs="Arial" w:eastAsia="Arial" w:hAnsi="Arial"/>
                <w:sz w:val="10"/>
                <w:szCs w:val="10"/>
                <w:b w:val="1"/>
                <w:bCs w:val="1"/>
                <w:color w:val="105BAB"/>
                <w:w w:val="96"/>
              </w:rPr>
              <w:t>Company</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360" w:type="dxa"/>
            <w:vAlign w:val="bottom"/>
          </w:tcPr>
          <w:p>
            <w:pPr>
              <w:jc w:val="right"/>
              <w:ind w:right="552"/>
              <w:spacing w:after="0" w:line="108" w:lineRule="exact"/>
              <w:rPr>
                <w:sz w:val="20"/>
                <w:szCs w:val="20"/>
                <w:color w:val="auto"/>
              </w:rPr>
            </w:pPr>
            <w:r>
              <w:rPr>
                <w:rFonts w:ascii="Arial" w:cs="Arial" w:eastAsia="Arial" w:hAnsi="Arial"/>
                <w:sz w:val="10"/>
                <w:szCs w:val="10"/>
                <w:b w:val="1"/>
                <w:bCs w:val="1"/>
                <w:color w:val="105BAB"/>
              </w:rPr>
              <w:t>2017 Base</w:t>
            </w:r>
          </w:p>
        </w:tc>
        <w:tc>
          <w:tcPr>
            <w:tcW w:w="2260" w:type="dxa"/>
            <w:vAlign w:val="bottom"/>
          </w:tcPr>
          <w:p>
            <w:pPr>
              <w:jc w:val="right"/>
              <w:ind w:right="752"/>
              <w:spacing w:after="0" w:line="108" w:lineRule="exact"/>
              <w:rPr>
                <w:sz w:val="20"/>
                <w:szCs w:val="20"/>
                <w:color w:val="auto"/>
              </w:rPr>
            </w:pPr>
            <w:r>
              <w:rPr>
                <w:rFonts w:ascii="Arial" w:cs="Arial" w:eastAsia="Arial" w:hAnsi="Arial"/>
                <w:sz w:val="10"/>
                <w:szCs w:val="10"/>
                <w:b w:val="1"/>
                <w:bCs w:val="1"/>
                <w:color w:val="105BAB"/>
              </w:rPr>
              <w:t>(as percentage</w:t>
            </w:r>
          </w:p>
        </w:tc>
        <w:tc>
          <w:tcPr>
            <w:tcW w:w="1760" w:type="dxa"/>
            <w:vAlign w:val="bottom"/>
          </w:tcPr>
          <w:p>
            <w:pPr>
              <w:jc w:val="center"/>
              <w:ind w:left="92"/>
              <w:spacing w:after="0" w:line="108" w:lineRule="exact"/>
              <w:rPr>
                <w:sz w:val="20"/>
                <w:szCs w:val="20"/>
                <w:color w:val="auto"/>
              </w:rPr>
            </w:pPr>
            <w:r>
              <w:rPr>
                <w:rFonts w:ascii="Arial" w:cs="Arial" w:eastAsia="Arial" w:hAnsi="Arial"/>
                <w:sz w:val="10"/>
                <w:szCs w:val="10"/>
                <w:b w:val="1"/>
                <w:bCs w:val="1"/>
                <w:color w:val="105BAB"/>
                <w:w w:val="94"/>
              </w:rPr>
              <w:t>Performance</w:t>
            </w:r>
          </w:p>
        </w:tc>
        <w:tc>
          <w:tcPr>
            <w:tcW w:w="16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Performance</w:t>
            </w:r>
          </w:p>
        </w:tc>
        <w:tc>
          <w:tcPr>
            <w:tcW w:w="154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105BAB"/>
              </w:rPr>
              <w:t>Total Cash</w:t>
            </w:r>
          </w:p>
        </w:tc>
        <w:tc>
          <w:tcPr>
            <w:tcW w:w="0" w:type="dxa"/>
            <w:vAlign w:val="bottom"/>
          </w:tcPr>
          <w:p>
            <w:pPr>
              <w:spacing w:after="0"/>
              <w:rPr>
                <w:sz w:val="1"/>
                <w:szCs w:val="1"/>
                <w:color w:val="auto"/>
              </w:rPr>
            </w:pPr>
          </w:p>
        </w:tc>
      </w:tr>
      <w:tr>
        <w:trPr>
          <w:trHeight w:val="117"/>
        </w:trPr>
        <w:tc>
          <w:tcPr>
            <w:tcW w:w="1440" w:type="dxa"/>
            <w:vAlign w:val="bottom"/>
            <w:tcBorders>
              <w:bottom w:val="single" w:sz="8" w:color="105BAB"/>
            </w:tcBorders>
          </w:tcPr>
          <w:p>
            <w:pPr>
              <w:ind w:left="40"/>
              <w:spacing w:after="0"/>
              <w:rPr>
                <w:sz w:val="20"/>
                <w:szCs w:val="20"/>
                <w:color w:val="auto"/>
              </w:rPr>
            </w:pPr>
            <w:r>
              <w:rPr>
                <w:rFonts w:ascii="Arial" w:cs="Arial" w:eastAsia="Arial" w:hAnsi="Arial"/>
                <w:sz w:val="10"/>
                <w:szCs w:val="10"/>
                <w:b w:val="1"/>
                <w:bCs w:val="1"/>
                <w:color w:val="105BAB"/>
              </w:rPr>
              <w:t>Named Executive Officer</w:t>
            </w:r>
          </w:p>
        </w:tc>
        <w:tc>
          <w:tcPr>
            <w:tcW w:w="1360" w:type="dxa"/>
            <w:vAlign w:val="bottom"/>
            <w:tcBorders>
              <w:bottom w:val="single" w:sz="8" w:color="105BAB"/>
            </w:tcBorders>
          </w:tcPr>
          <w:p>
            <w:pPr>
              <w:jc w:val="right"/>
              <w:ind w:right="572"/>
              <w:spacing w:after="0"/>
              <w:rPr>
                <w:sz w:val="20"/>
                <w:szCs w:val="20"/>
                <w:color w:val="auto"/>
              </w:rPr>
            </w:pPr>
            <w:r>
              <w:rPr>
                <w:rFonts w:ascii="Arial" w:cs="Arial" w:eastAsia="Arial" w:hAnsi="Arial"/>
                <w:sz w:val="10"/>
                <w:szCs w:val="10"/>
                <w:b w:val="1"/>
                <w:bCs w:val="1"/>
                <w:color w:val="105BAB"/>
              </w:rPr>
              <w:t>Salary ($)</w:t>
            </w:r>
          </w:p>
        </w:tc>
        <w:tc>
          <w:tcPr>
            <w:tcW w:w="2260" w:type="dxa"/>
            <w:vAlign w:val="bottom"/>
            <w:tcBorders>
              <w:bottom w:val="single" w:sz="8" w:color="105BAB"/>
            </w:tcBorders>
          </w:tcPr>
          <w:p>
            <w:pPr>
              <w:jc w:val="right"/>
              <w:ind w:right="772"/>
              <w:spacing w:after="0"/>
              <w:rPr>
                <w:sz w:val="20"/>
                <w:szCs w:val="20"/>
                <w:color w:val="auto"/>
              </w:rPr>
            </w:pPr>
            <w:r>
              <w:rPr>
                <w:rFonts w:ascii="Arial" w:cs="Arial" w:eastAsia="Arial" w:hAnsi="Arial"/>
                <w:sz w:val="10"/>
                <w:szCs w:val="10"/>
                <w:b w:val="1"/>
                <w:bCs w:val="1"/>
                <w:color w:val="105BAB"/>
              </w:rPr>
              <w:t>of base salary)</w:t>
            </w:r>
          </w:p>
        </w:tc>
        <w:tc>
          <w:tcPr>
            <w:tcW w:w="1760" w:type="dxa"/>
            <w:vAlign w:val="bottom"/>
            <w:tcBorders>
              <w:bottom w:val="single" w:sz="8" w:color="105BAB"/>
            </w:tcBorders>
          </w:tcPr>
          <w:p>
            <w:pPr>
              <w:jc w:val="center"/>
              <w:ind w:left="92"/>
              <w:spacing w:after="0"/>
              <w:rPr>
                <w:sz w:val="20"/>
                <w:szCs w:val="20"/>
                <w:color w:val="auto"/>
              </w:rPr>
            </w:pPr>
            <w:r>
              <w:rPr>
                <w:rFonts w:ascii="Arial" w:cs="Arial" w:eastAsia="Arial" w:hAnsi="Arial"/>
                <w:sz w:val="10"/>
                <w:szCs w:val="10"/>
                <w:b w:val="1"/>
                <w:bCs w:val="1"/>
                <w:color w:val="105BAB"/>
                <w:w w:val="94"/>
              </w:rPr>
              <w:t>Multiplier</w:t>
            </w:r>
          </w:p>
        </w:tc>
        <w:tc>
          <w:tcPr>
            <w:tcW w:w="164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4"/>
              </w:rPr>
              <w:t>Multiplier</w:t>
            </w:r>
          </w:p>
        </w:tc>
        <w:tc>
          <w:tcPr>
            <w:tcW w:w="1540" w:type="dxa"/>
            <w:vAlign w:val="bottom"/>
            <w:tcBorders>
              <w:bottom w:val="single" w:sz="8" w:color="105BAB"/>
            </w:tcBorders>
          </w:tcPr>
          <w:p>
            <w:pPr>
              <w:jc w:val="right"/>
              <w:ind w:right="412"/>
              <w:spacing w:after="0"/>
              <w:rPr>
                <w:sz w:val="20"/>
                <w:szCs w:val="20"/>
                <w:color w:val="auto"/>
              </w:rPr>
            </w:pPr>
            <w:r>
              <w:rPr>
                <w:rFonts w:ascii="Arial" w:cs="Arial" w:eastAsia="Arial" w:hAnsi="Arial"/>
                <w:sz w:val="10"/>
                <w:szCs w:val="10"/>
                <w:b w:val="1"/>
                <w:bCs w:val="1"/>
                <w:color w:val="105BAB"/>
              </w:rPr>
              <w:t>Incentive ($)</w:t>
            </w:r>
          </w:p>
        </w:tc>
        <w:tc>
          <w:tcPr>
            <w:tcW w:w="0" w:type="dxa"/>
            <w:vAlign w:val="bottom"/>
          </w:tcPr>
          <w:p>
            <w:pPr>
              <w:spacing w:after="0"/>
              <w:rPr>
                <w:sz w:val="1"/>
                <w:szCs w:val="1"/>
                <w:color w:val="auto"/>
              </w:rPr>
            </w:pPr>
          </w:p>
        </w:tc>
      </w:tr>
      <w:tr>
        <w:trPr>
          <w:trHeight w:val="217"/>
        </w:trPr>
        <w:tc>
          <w:tcPr>
            <w:tcW w:w="1440" w:type="dxa"/>
            <w:vAlign w:val="bottom"/>
            <w:shd w:val="clear" w:color="auto" w:fill="F1F3F9"/>
          </w:tcPr>
          <w:p>
            <w:pPr>
              <w:ind w:left="40"/>
              <w:spacing w:after="0"/>
              <w:rPr>
                <w:sz w:val="20"/>
                <w:szCs w:val="20"/>
                <w:color w:val="auto"/>
              </w:rPr>
            </w:pPr>
            <w:r>
              <w:rPr>
                <w:rFonts w:ascii="Arial" w:cs="Arial" w:eastAsia="Arial" w:hAnsi="Arial"/>
                <w:sz w:val="10"/>
                <w:szCs w:val="10"/>
                <w:color w:val="auto"/>
              </w:rPr>
              <w:t>Leonard S. Schleifer,</w:t>
            </w:r>
          </w:p>
        </w:tc>
        <w:tc>
          <w:tcPr>
            <w:tcW w:w="1360" w:type="dxa"/>
            <w:vAlign w:val="bottom"/>
            <w:vMerge w:val="restart"/>
            <w:shd w:val="clear" w:color="auto" w:fill="F1F3F9"/>
          </w:tcPr>
          <w:p>
            <w:pPr>
              <w:jc w:val="right"/>
              <w:ind w:right="572"/>
              <w:spacing w:after="0"/>
              <w:rPr>
                <w:sz w:val="20"/>
                <w:szCs w:val="20"/>
                <w:color w:val="auto"/>
              </w:rPr>
            </w:pPr>
            <w:r>
              <w:rPr>
                <w:rFonts w:ascii="Arial" w:cs="Arial" w:eastAsia="Arial" w:hAnsi="Arial"/>
                <w:sz w:val="10"/>
                <w:szCs w:val="10"/>
                <w:color w:val="auto"/>
              </w:rPr>
              <w:t>1,285,500</w:t>
            </w:r>
          </w:p>
        </w:tc>
        <w:tc>
          <w:tcPr>
            <w:tcW w:w="2260" w:type="dxa"/>
            <w:vAlign w:val="bottom"/>
            <w:vMerge w:val="restart"/>
            <w:shd w:val="clear" w:color="auto" w:fill="F1F3F9"/>
          </w:tcPr>
          <w:p>
            <w:pPr>
              <w:jc w:val="right"/>
              <w:ind w:right="972"/>
              <w:spacing w:after="0"/>
              <w:rPr>
                <w:sz w:val="20"/>
                <w:szCs w:val="20"/>
                <w:color w:val="auto"/>
              </w:rPr>
            </w:pPr>
            <w:r>
              <w:rPr>
                <w:rFonts w:ascii="Arial" w:cs="Arial" w:eastAsia="Arial" w:hAnsi="Arial"/>
                <w:sz w:val="10"/>
                <w:szCs w:val="10"/>
                <w:color w:val="auto"/>
              </w:rPr>
              <w:t>120%</w:t>
            </w:r>
          </w:p>
        </w:tc>
        <w:tc>
          <w:tcPr>
            <w:tcW w:w="1760" w:type="dxa"/>
            <w:vAlign w:val="bottom"/>
            <w:vMerge w:val="restart"/>
            <w:shd w:val="clear" w:color="auto" w:fill="F1F3F9"/>
          </w:tcPr>
          <w:p>
            <w:pPr>
              <w:jc w:val="center"/>
              <w:ind w:left="92"/>
              <w:spacing w:after="0"/>
              <w:rPr>
                <w:sz w:val="20"/>
                <w:szCs w:val="20"/>
                <w:color w:val="auto"/>
              </w:rPr>
            </w:pPr>
            <w:r>
              <w:rPr>
                <w:rFonts w:ascii="Arial" w:cs="Arial" w:eastAsia="Arial" w:hAnsi="Arial"/>
                <w:sz w:val="10"/>
                <w:szCs w:val="10"/>
                <w:color w:val="auto"/>
              </w:rPr>
              <w:t>n/a</w:t>
            </w:r>
          </w:p>
        </w:tc>
        <w:tc>
          <w:tcPr>
            <w:tcW w:w="1640" w:type="dxa"/>
            <w:vAlign w:val="bottom"/>
            <w:vMerge w:val="restart"/>
            <w:shd w:val="clear" w:color="auto" w:fill="F1F3F9"/>
          </w:tcPr>
          <w:p>
            <w:pPr>
              <w:jc w:val="center"/>
              <w:spacing w:after="0"/>
              <w:rPr>
                <w:sz w:val="20"/>
                <w:szCs w:val="20"/>
                <w:color w:val="auto"/>
              </w:rPr>
            </w:pPr>
            <w:r>
              <w:rPr>
                <w:rFonts w:ascii="Arial" w:cs="Arial" w:eastAsia="Arial" w:hAnsi="Arial"/>
                <w:sz w:val="10"/>
                <w:szCs w:val="10"/>
                <w:color w:val="auto"/>
              </w:rPr>
              <w:t>1.6</w:t>
            </w:r>
          </w:p>
        </w:tc>
        <w:tc>
          <w:tcPr>
            <w:tcW w:w="1540" w:type="dxa"/>
            <w:vAlign w:val="bottom"/>
            <w:vMerge w:val="restart"/>
            <w:shd w:val="clear" w:color="auto" w:fill="F1F3F9"/>
          </w:tcPr>
          <w:p>
            <w:pPr>
              <w:jc w:val="right"/>
              <w:ind w:right="492"/>
              <w:spacing w:after="0"/>
              <w:rPr>
                <w:sz w:val="20"/>
                <w:szCs w:val="20"/>
                <w:color w:val="auto"/>
              </w:rPr>
            </w:pPr>
            <w:r>
              <w:rPr>
                <w:rFonts w:ascii="Arial" w:cs="Arial" w:eastAsia="Arial" w:hAnsi="Arial"/>
                <w:sz w:val="10"/>
                <w:szCs w:val="10"/>
                <w:color w:val="auto"/>
              </w:rPr>
              <w:t>2,468,160</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F1F3F9"/>
            </w:tcBorders>
            <w:shd w:val="clear" w:color="auto" w:fill="F1F3F9"/>
          </w:tcPr>
          <w:p>
            <w:pPr>
              <w:ind w:left="40"/>
              <w:spacing w:after="0" w:line="105" w:lineRule="exact"/>
              <w:rPr>
                <w:sz w:val="20"/>
                <w:szCs w:val="20"/>
                <w:color w:val="auto"/>
              </w:rPr>
            </w:pPr>
            <w:r>
              <w:rPr>
                <w:rFonts w:ascii="Arial" w:cs="Arial" w:eastAsia="Arial" w:hAnsi="Arial"/>
                <w:sz w:val="10"/>
                <w:szCs w:val="10"/>
                <w:color w:val="auto"/>
              </w:rPr>
              <w:t>M.D., Ph.D.</w:t>
            </w:r>
          </w:p>
        </w:tc>
        <w:tc>
          <w:tcPr>
            <w:tcW w:w="1360" w:type="dxa"/>
            <w:vAlign w:val="bottom"/>
            <w:tcBorders>
              <w:bottom w:val="single" w:sz="8" w:color="F1F3F9"/>
            </w:tcBorders>
            <w:vMerge w:val="continue"/>
            <w:shd w:val="clear" w:color="auto" w:fill="F1F3F9"/>
          </w:tcPr>
          <w:p>
            <w:pPr>
              <w:spacing w:after="0"/>
              <w:rPr>
                <w:sz w:val="9"/>
                <w:szCs w:val="9"/>
                <w:color w:val="auto"/>
              </w:rPr>
            </w:pPr>
          </w:p>
        </w:tc>
        <w:tc>
          <w:tcPr>
            <w:tcW w:w="2260" w:type="dxa"/>
            <w:vAlign w:val="bottom"/>
            <w:tcBorders>
              <w:bottom w:val="single" w:sz="8" w:color="F1F3F9"/>
            </w:tcBorders>
            <w:vMerge w:val="continue"/>
            <w:shd w:val="clear" w:color="auto" w:fill="F1F3F9"/>
          </w:tcPr>
          <w:p>
            <w:pPr>
              <w:spacing w:after="0"/>
              <w:rPr>
                <w:sz w:val="9"/>
                <w:szCs w:val="9"/>
                <w:color w:val="auto"/>
              </w:rPr>
            </w:pPr>
          </w:p>
        </w:tc>
        <w:tc>
          <w:tcPr>
            <w:tcW w:w="1760" w:type="dxa"/>
            <w:vAlign w:val="bottom"/>
            <w:tcBorders>
              <w:bottom w:val="single" w:sz="8" w:color="F1F3F9"/>
            </w:tcBorders>
            <w:vMerge w:val="continue"/>
            <w:shd w:val="clear" w:color="auto" w:fill="F1F3F9"/>
          </w:tcPr>
          <w:p>
            <w:pPr>
              <w:spacing w:after="0"/>
              <w:rPr>
                <w:sz w:val="9"/>
                <w:szCs w:val="9"/>
                <w:color w:val="auto"/>
              </w:rPr>
            </w:pPr>
          </w:p>
        </w:tc>
        <w:tc>
          <w:tcPr>
            <w:tcW w:w="1640" w:type="dxa"/>
            <w:vAlign w:val="bottom"/>
            <w:tcBorders>
              <w:bottom w:val="single" w:sz="8" w:color="F1F3F9"/>
            </w:tcBorders>
            <w:vMerge w:val="continue"/>
            <w:shd w:val="clear" w:color="auto" w:fill="F1F3F9"/>
          </w:tcPr>
          <w:p>
            <w:pPr>
              <w:spacing w:after="0"/>
              <w:rPr>
                <w:sz w:val="9"/>
                <w:szCs w:val="9"/>
                <w:color w:val="auto"/>
              </w:rPr>
            </w:pPr>
          </w:p>
        </w:tc>
        <w:tc>
          <w:tcPr>
            <w:tcW w:w="1540" w:type="dxa"/>
            <w:vAlign w:val="bottom"/>
            <w:tcBorders>
              <w:bottom w:val="single" w:sz="8" w:color="F1F3F9"/>
            </w:tcBorders>
            <w:vMerge w:val="continue"/>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440" w:type="dxa"/>
            <w:vAlign w:val="bottom"/>
            <w:tcBorders>
              <w:top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George D. Yancopoulos,</w:t>
            </w:r>
          </w:p>
        </w:tc>
        <w:tc>
          <w:tcPr>
            <w:tcW w:w="1360" w:type="dxa"/>
            <w:vAlign w:val="bottom"/>
            <w:tcBorders>
              <w:top w:val="single" w:sz="8" w:color="auto"/>
            </w:tcBorders>
            <w:vMerge w:val="restart"/>
            <w:shd w:val="clear" w:color="auto" w:fill="D6DAEE"/>
          </w:tcPr>
          <w:p>
            <w:pPr>
              <w:jc w:val="right"/>
              <w:ind w:right="572"/>
              <w:spacing w:after="0"/>
              <w:rPr>
                <w:sz w:val="20"/>
                <w:szCs w:val="20"/>
                <w:color w:val="auto"/>
              </w:rPr>
            </w:pPr>
            <w:r>
              <w:rPr>
                <w:rFonts w:ascii="Arial" w:cs="Arial" w:eastAsia="Arial" w:hAnsi="Arial"/>
                <w:sz w:val="10"/>
                <w:szCs w:val="10"/>
                <w:color w:val="auto"/>
              </w:rPr>
              <w:t>1,092,700</w:t>
            </w:r>
          </w:p>
        </w:tc>
        <w:tc>
          <w:tcPr>
            <w:tcW w:w="2260" w:type="dxa"/>
            <w:vAlign w:val="bottom"/>
            <w:tcBorders>
              <w:top w:val="single" w:sz="8" w:color="auto"/>
            </w:tcBorders>
            <w:vMerge w:val="restart"/>
            <w:shd w:val="clear" w:color="auto" w:fill="D6DAEE"/>
          </w:tcPr>
          <w:p>
            <w:pPr>
              <w:jc w:val="right"/>
              <w:ind w:right="972"/>
              <w:spacing w:after="0"/>
              <w:rPr>
                <w:sz w:val="20"/>
                <w:szCs w:val="20"/>
                <w:color w:val="auto"/>
              </w:rPr>
            </w:pPr>
            <w:r>
              <w:rPr>
                <w:rFonts w:ascii="Arial" w:cs="Arial" w:eastAsia="Arial" w:hAnsi="Arial"/>
                <w:sz w:val="10"/>
                <w:szCs w:val="10"/>
                <w:color w:val="auto"/>
              </w:rPr>
              <w:t>120%</w:t>
            </w:r>
          </w:p>
        </w:tc>
        <w:tc>
          <w:tcPr>
            <w:tcW w:w="1760" w:type="dxa"/>
            <w:vAlign w:val="bottom"/>
            <w:tcBorders>
              <w:top w:val="single" w:sz="8" w:color="auto"/>
            </w:tcBorders>
            <w:vMerge w:val="restart"/>
            <w:shd w:val="clear" w:color="auto" w:fill="D6DAEE"/>
          </w:tcPr>
          <w:p>
            <w:pPr>
              <w:jc w:val="center"/>
              <w:ind w:left="92"/>
              <w:spacing w:after="0"/>
              <w:rPr>
                <w:sz w:val="20"/>
                <w:szCs w:val="20"/>
                <w:color w:val="auto"/>
              </w:rPr>
            </w:pPr>
            <w:r>
              <w:rPr>
                <w:rFonts w:ascii="Arial" w:cs="Arial" w:eastAsia="Arial" w:hAnsi="Arial"/>
                <w:sz w:val="10"/>
                <w:szCs w:val="10"/>
                <w:color w:val="auto"/>
              </w:rPr>
              <w:t>n/a</w:t>
            </w:r>
          </w:p>
        </w:tc>
        <w:tc>
          <w:tcPr>
            <w:tcW w:w="1640" w:type="dxa"/>
            <w:vAlign w:val="bottom"/>
            <w:tcBorders>
              <w:top w:val="single" w:sz="8" w:color="auto"/>
            </w:tcBorders>
            <w:vMerge w:val="restart"/>
            <w:shd w:val="clear" w:color="auto" w:fill="D6DAEE"/>
          </w:tcPr>
          <w:p>
            <w:pPr>
              <w:jc w:val="center"/>
              <w:spacing w:after="0"/>
              <w:rPr>
                <w:sz w:val="20"/>
                <w:szCs w:val="20"/>
                <w:color w:val="auto"/>
              </w:rPr>
            </w:pPr>
            <w:r>
              <w:rPr>
                <w:rFonts w:ascii="Arial" w:cs="Arial" w:eastAsia="Arial" w:hAnsi="Arial"/>
                <w:sz w:val="10"/>
                <w:szCs w:val="10"/>
                <w:color w:val="auto"/>
              </w:rPr>
              <w:t>1.6</w:t>
            </w:r>
          </w:p>
        </w:tc>
        <w:tc>
          <w:tcPr>
            <w:tcW w:w="1540" w:type="dxa"/>
            <w:vAlign w:val="bottom"/>
            <w:tcBorders>
              <w:top w:val="single" w:sz="8" w:color="auto"/>
            </w:tcBorders>
            <w:vMerge w:val="restart"/>
            <w:shd w:val="clear" w:color="auto" w:fill="D6DAEE"/>
          </w:tcPr>
          <w:p>
            <w:pPr>
              <w:jc w:val="right"/>
              <w:ind w:right="492"/>
              <w:spacing w:after="0"/>
              <w:rPr>
                <w:sz w:val="20"/>
                <w:szCs w:val="20"/>
                <w:color w:val="auto"/>
              </w:rPr>
            </w:pPr>
            <w:r>
              <w:rPr>
                <w:rFonts w:ascii="Arial" w:cs="Arial" w:eastAsia="Arial" w:hAnsi="Arial"/>
                <w:sz w:val="10"/>
                <w:szCs w:val="10"/>
                <w:color w:val="auto"/>
              </w:rPr>
              <w:t>2,097,984</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D6DAEE"/>
            </w:tcBorders>
            <w:shd w:val="clear" w:color="auto" w:fill="D6DAEE"/>
          </w:tcPr>
          <w:p>
            <w:pPr>
              <w:ind w:left="40"/>
              <w:spacing w:after="0" w:line="105" w:lineRule="exact"/>
              <w:rPr>
                <w:sz w:val="20"/>
                <w:szCs w:val="20"/>
                <w:color w:val="auto"/>
              </w:rPr>
            </w:pPr>
            <w:r>
              <w:rPr>
                <w:rFonts w:ascii="Arial" w:cs="Arial" w:eastAsia="Arial" w:hAnsi="Arial"/>
                <w:sz w:val="10"/>
                <w:szCs w:val="10"/>
                <w:color w:val="auto"/>
              </w:rPr>
              <w:t>M.D., Ph.D.</w:t>
            </w:r>
          </w:p>
        </w:tc>
        <w:tc>
          <w:tcPr>
            <w:tcW w:w="1360" w:type="dxa"/>
            <w:vAlign w:val="bottom"/>
            <w:tcBorders>
              <w:bottom w:val="single" w:sz="8" w:color="D6DAEE"/>
            </w:tcBorders>
            <w:vMerge w:val="continue"/>
            <w:shd w:val="clear" w:color="auto" w:fill="D6DAEE"/>
          </w:tcPr>
          <w:p>
            <w:pPr>
              <w:spacing w:after="0"/>
              <w:rPr>
                <w:sz w:val="9"/>
                <w:szCs w:val="9"/>
                <w:color w:val="auto"/>
              </w:rPr>
            </w:pPr>
          </w:p>
        </w:tc>
        <w:tc>
          <w:tcPr>
            <w:tcW w:w="2260" w:type="dxa"/>
            <w:vAlign w:val="bottom"/>
            <w:tcBorders>
              <w:bottom w:val="single" w:sz="8" w:color="D6DAEE"/>
            </w:tcBorders>
            <w:vMerge w:val="continue"/>
            <w:shd w:val="clear" w:color="auto" w:fill="D6DAEE"/>
          </w:tcPr>
          <w:p>
            <w:pPr>
              <w:spacing w:after="0"/>
              <w:rPr>
                <w:sz w:val="9"/>
                <w:szCs w:val="9"/>
                <w:color w:val="auto"/>
              </w:rPr>
            </w:pPr>
          </w:p>
        </w:tc>
        <w:tc>
          <w:tcPr>
            <w:tcW w:w="1760" w:type="dxa"/>
            <w:vAlign w:val="bottom"/>
            <w:tcBorders>
              <w:bottom w:val="single" w:sz="8" w:color="D6DAEE"/>
            </w:tcBorders>
            <w:vMerge w:val="continue"/>
            <w:shd w:val="clear" w:color="auto" w:fill="D6DAEE"/>
          </w:tcPr>
          <w:p>
            <w:pPr>
              <w:spacing w:after="0"/>
              <w:rPr>
                <w:sz w:val="9"/>
                <w:szCs w:val="9"/>
                <w:color w:val="auto"/>
              </w:rPr>
            </w:pPr>
          </w:p>
        </w:tc>
        <w:tc>
          <w:tcPr>
            <w:tcW w:w="1640" w:type="dxa"/>
            <w:vAlign w:val="bottom"/>
            <w:tcBorders>
              <w:bottom w:val="single" w:sz="8" w:color="D6DAEE"/>
            </w:tcBorders>
            <w:vMerge w:val="continue"/>
            <w:shd w:val="clear" w:color="auto" w:fill="D6DAEE"/>
          </w:tcPr>
          <w:p>
            <w:pPr>
              <w:spacing w:after="0"/>
              <w:rPr>
                <w:sz w:val="9"/>
                <w:szCs w:val="9"/>
                <w:color w:val="auto"/>
              </w:rPr>
            </w:pPr>
          </w:p>
        </w:tc>
        <w:tc>
          <w:tcPr>
            <w:tcW w:w="1540" w:type="dxa"/>
            <w:vAlign w:val="bottom"/>
            <w:tcBorders>
              <w:bottom w:val="single" w:sz="8" w:color="D6DAEE"/>
            </w:tcBorders>
            <w:vMerge w:val="continue"/>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440" w:type="dxa"/>
            <w:vAlign w:val="bottom"/>
            <w:tcBorders>
              <w:top w:val="single" w:sz="8" w:color="auto"/>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Robert E. Landry</w:t>
            </w:r>
          </w:p>
        </w:tc>
        <w:tc>
          <w:tcPr>
            <w:tcW w:w="1360" w:type="dxa"/>
            <w:vAlign w:val="bottom"/>
            <w:tcBorders>
              <w:top w:val="single" w:sz="8" w:color="auto"/>
              <w:bottom w:val="single" w:sz="8" w:color="auto"/>
            </w:tcBorders>
            <w:shd w:val="clear" w:color="auto" w:fill="F1F3F9"/>
          </w:tcPr>
          <w:p>
            <w:pPr>
              <w:jc w:val="right"/>
              <w:ind w:right="572"/>
              <w:spacing w:after="0"/>
              <w:rPr>
                <w:sz w:val="20"/>
                <w:szCs w:val="20"/>
                <w:color w:val="auto"/>
              </w:rPr>
            </w:pPr>
            <w:r>
              <w:rPr>
                <w:rFonts w:ascii="Arial" w:cs="Arial" w:eastAsia="Arial" w:hAnsi="Arial"/>
                <w:sz w:val="10"/>
                <w:szCs w:val="10"/>
                <w:color w:val="auto"/>
              </w:rPr>
              <w:t>618,000</w:t>
            </w:r>
          </w:p>
        </w:tc>
        <w:tc>
          <w:tcPr>
            <w:tcW w:w="2260" w:type="dxa"/>
            <w:vAlign w:val="bottom"/>
            <w:tcBorders>
              <w:top w:val="single" w:sz="8" w:color="auto"/>
              <w:bottom w:val="single" w:sz="8" w:color="auto"/>
            </w:tcBorders>
            <w:shd w:val="clear" w:color="auto" w:fill="F1F3F9"/>
          </w:tcPr>
          <w:p>
            <w:pPr>
              <w:jc w:val="right"/>
              <w:ind w:right="972"/>
              <w:spacing w:after="0"/>
              <w:rPr>
                <w:sz w:val="20"/>
                <w:szCs w:val="20"/>
                <w:color w:val="auto"/>
              </w:rPr>
            </w:pPr>
            <w:r>
              <w:rPr>
                <w:rFonts w:ascii="Arial" w:cs="Arial" w:eastAsia="Arial" w:hAnsi="Arial"/>
                <w:sz w:val="10"/>
                <w:szCs w:val="10"/>
                <w:color w:val="auto"/>
              </w:rPr>
              <w:t>50%</w:t>
            </w:r>
          </w:p>
        </w:tc>
        <w:tc>
          <w:tcPr>
            <w:tcW w:w="1760" w:type="dxa"/>
            <w:vAlign w:val="bottom"/>
            <w:tcBorders>
              <w:top w:val="single" w:sz="8" w:color="auto"/>
              <w:bottom w:val="single" w:sz="8" w:color="auto"/>
            </w:tcBorders>
            <w:shd w:val="clear" w:color="auto" w:fill="F1F3F9"/>
          </w:tcPr>
          <w:p>
            <w:pPr>
              <w:jc w:val="center"/>
              <w:ind w:left="92"/>
              <w:spacing w:after="0"/>
              <w:rPr>
                <w:sz w:val="20"/>
                <w:szCs w:val="20"/>
                <w:color w:val="auto"/>
              </w:rPr>
            </w:pPr>
            <w:r>
              <w:rPr>
                <w:rFonts w:ascii="Arial" w:cs="Arial" w:eastAsia="Arial" w:hAnsi="Arial"/>
                <w:sz w:val="10"/>
                <w:szCs w:val="10"/>
                <w:color w:val="auto"/>
              </w:rPr>
              <w:t>1.5</w:t>
            </w:r>
          </w:p>
        </w:tc>
        <w:tc>
          <w:tcPr>
            <w:tcW w:w="1640" w:type="dxa"/>
            <w:vAlign w:val="bottom"/>
            <w:tcBorders>
              <w:top w:val="single" w:sz="8" w:color="auto"/>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rPr>
              <w:t>1.6</w:t>
            </w:r>
          </w:p>
        </w:tc>
        <w:tc>
          <w:tcPr>
            <w:tcW w:w="1540" w:type="dxa"/>
            <w:vAlign w:val="bottom"/>
            <w:tcBorders>
              <w:top w:val="single" w:sz="8" w:color="auto"/>
              <w:bottom w:val="single" w:sz="8" w:color="auto"/>
            </w:tcBorders>
            <w:shd w:val="clear" w:color="auto" w:fill="F1F3F9"/>
          </w:tcPr>
          <w:p>
            <w:pPr>
              <w:jc w:val="right"/>
              <w:ind w:right="492"/>
              <w:spacing w:after="0"/>
              <w:rPr>
                <w:sz w:val="20"/>
                <w:szCs w:val="20"/>
                <w:color w:val="auto"/>
              </w:rPr>
            </w:pPr>
            <w:r>
              <w:rPr>
                <w:rFonts w:ascii="Arial" w:cs="Arial" w:eastAsia="Arial" w:hAnsi="Arial"/>
                <w:sz w:val="10"/>
                <w:szCs w:val="10"/>
                <w:color w:val="auto"/>
              </w:rPr>
              <w:t>482,040</w:t>
            </w:r>
          </w:p>
        </w:tc>
        <w:tc>
          <w:tcPr>
            <w:tcW w:w="0" w:type="dxa"/>
            <w:vAlign w:val="bottom"/>
          </w:tcPr>
          <w:p>
            <w:pPr>
              <w:spacing w:after="0"/>
              <w:rPr>
                <w:sz w:val="1"/>
                <w:szCs w:val="1"/>
                <w:color w:val="auto"/>
              </w:rPr>
            </w:pPr>
          </w:p>
        </w:tc>
      </w:tr>
      <w:tr>
        <w:trPr>
          <w:trHeight w:val="214"/>
        </w:trPr>
        <w:tc>
          <w:tcPr>
            <w:tcW w:w="144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Neil Stahl, Ph.D.</w:t>
            </w:r>
          </w:p>
        </w:tc>
        <w:tc>
          <w:tcPr>
            <w:tcW w:w="1360" w:type="dxa"/>
            <w:vAlign w:val="bottom"/>
            <w:tcBorders>
              <w:bottom w:val="single" w:sz="8" w:color="auto"/>
            </w:tcBorders>
            <w:shd w:val="clear" w:color="auto" w:fill="D6DAEE"/>
          </w:tcPr>
          <w:p>
            <w:pPr>
              <w:jc w:val="right"/>
              <w:ind w:right="572"/>
              <w:spacing w:after="0"/>
              <w:rPr>
                <w:sz w:val="20"/>
                <w:szCs w:val="20"/>
                <w:color w:val="auto"/>
              </w:rPr>
            </w:pPr>
            <w:r>
              <w:rPr>
                <w:rFonts w:ascii="Arial" w:cs="Arial" w:eastAsia="Arial" w:hAnsi="Arial"/>
                <w:sz w:val="10"/>
                <w:szCs w:val="10"/>
                <w:color w:val="auto"/>
              </w:rPr>
              <w:t>641,000</w:t>
            </w:r>
          </w:p>
        </w:tc>
        <w:tc>
          <w:tcPr>
            <w:tcW w:w="2260" w:type="dxa"/>
            <w:vAlign w:val="bottom"/>
            <w:tcBorders>
              <w:bottom w:val="single" w:sz="8" w:color="auto"/>
            </w:tcBorders>
            <w:shd w:val="clear" w:color="auto" w:fill="D6DAEE"/>
          </w:tcPr>
          <w:p>
            <w:pPr>
              <w:jc w:val="right"/>
              <w:ind w:right="972"/>
              <w:spacing w:after="0"/>
              <w:rPr>
                <w:sz w:val="20"/>
                <w:szCs w:val="20"/>
                <w:color w:val="auto"/>
              </w:rPr>
            </w:pPr>
            <w:r>
              <w:rPr>
                <w:rFonts w:ascii="Arial" w:cs="Arial" w:eastAsia="Arial" w:hAnsi="Arial"/>
                <w:sz w:val="10"/>
                <w:szCs w:val="10"/>
                <w:color w:val="auto"/>
              </w:rPr>
              <w:t>60%</w:t>
            </w:r>
          </w:p>
        </w:tc>
        <w:tc>
          <w:tcPr>
            <w:tcW w:w="1760" w:type="dxa"/>
            <w:vAlign w:val="bottom"/>
            <w:tcBorders>
              <w:bottom w:val="single" w:sz="8" w:color="auto"/>
            </w:tcBorders>
            <w:shd w:val="clear" w:color="auto" w:fill="D6DAEE"/>
          </w:tcPr>
          <w:p>
            <w:pPr>
              <w:jc w:val="center"/>
              <w:ind w:left="92"/>
              <w:spacing w:after="0"/>
              <w:rPr>
                <w:sz w:val="20"/>
                <w:szCs w:val="20"/>
                <w:color w:val="auto"/>
              </w:rPr>
            </w:pPr>
            <w:r>
              <w:rPr>
                <w:rFonts w:ascii="Arial" w:cs="Arial" w:eastAsia="Arial" w:hAnsi="Arial"/>
                <w:sz w:val="10"/>
                <w:szCs w:val="10"/>
                <w:color w:val="auto"/>
              </w:rPr>
              <w:t>1.5</w:t>
            </w:r>
          </w:p>
        </w:tc>
        <w:tc>
          <w:tcPr>
            <w:tcW w:w="164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rPr>
              <w:t>1.6</w:t>
            </w:r>
          </w:p>
        </w:tc>
        <w:tc>
          <w:tcPr>
            <w:tcW w:w="1540" w:type="dxa"/>
            <w:vAlign w:val="bottom"/>
            <w:tcBorders>
              <w:bottom w:val="single" w:sz="8" w:color="auto"/>
            </w:tcBorders>
            <w:shd w:val="clear" w:color="auto" w:fill="D6DAEE"/>
          </w:tcPr>
          <w:p>
            <w:pPr>
              <w:jc w:val="right"/>
              <w:ind w:right="492"/>
              <w:spacing w:after="0"/>
              <w:rPr>
                <w:sz w:val="20"/>
                <w:szCs w:val="20"/>
                <w:color w:val="auto"/>
              </w:rPr>
            </w:pPr>
            <w:r>
              <w:rPr>
                <w:rFonts w:ascii="Arial" w:cs="Arial" w:eastAsia="Arial" w:hAnsi="Arial"/>
                <w:sz w:val="10"/>
                <w:szCs w:val="10"/>
                <w:color w:val="auto"/>
              </w:rPr>
              <w:t>599,976</w:t>
            </w:r>
          </w:p>
        </w:tc>
        <w:tc>
          <w:tcPr>
            <w:tcW w:w="0" w:type="dxa"/>
            <w:vAlign w:val="bottom"/>
          </w:tcPr>
          <w:p>
            <w:pPr>
              <w:spacing w:after="0"/>
              <w:rPr>
                <w:sz w:val="1"/>
                <w:szCs w:val="1"/>
                <w:color w:val="auto"/>
              </w:rPr>
            </w:pPr>
          </w:p>
        </w:tc>
      </w:tr>
      <w:tr>
        <w:trPr>
          <w:trHeight w:val="214"/>
        </w:trPr>
        <w:tc>
          <w:tcPr>
            <w:tcW w:w="1440" w:type="dxa"/>
            <w:vAlign w:val="bottom"/>
            <w:tcBorders>
              <w:bottom w:val="single" w:sz="8" w:color="105BAB"/>
            </w:tcBorders>
            <w:shd w:val="clear" w:color="auto" w:fill="F1F3F9"/>
          </w:tcPr>
          <w:p>
            <w:pPr>
              <w:ind w:left="40"/>
              <w:spacing w:after="0"/>
              <w:rPr>
                <w:sz w:val="20"/>
                <w:szCs w:val="20"/>
                <w:color w:val="auto"/>
              </w:rPr>
            </w:pPr>
            <w:r>
              <w:rPr>
                <w:rFonts w:ascii="Arial" w:cs="Arial" w:eastAsia="Arial" w:hAnsi="Arial"/>
                <w:sz w:val="10"/>
                <w:szCs w:val="10"/>
                <w:color w:val="auto"/>
              </w:rPr>
              <w:t>Daniel P. Van Plew</w:t>
            </w:r>
          </w:p>
        </w:tc>
        <w:tc>
          <w:tcPr>
            <w:tcW w:w="1360" w:type="dxa"/>
            <w:vAlign w:val="bottom"/>
            <w:tcBorders>
              <w:bottom w:val="single" w:sz="8" w:color="105BAB"/>
            </w:tcBorders>
            <w:shd w:val="clear" w:color="auto" w:fill="F1F3F9"/>
          </w:tcPr>
          <w:p>
            <w:pPr>
              <w:jc w:val="right"/>
              <w:ind w:right="572"/>
              <w:spacing w:after="0"/>
              <w:rPr>
                <w:sz w:val="20"/>
                <w:szCs w:val="20"/>
                <w:color w:val="auto"/>
              </w:rPr>
            </w:pPr>
            <w:r>
              <w:rPr>
                <w:rFonts w:ascii="Arial" w:cs="Arial" w:eastAsia="Arial" w:hAnsi="Arial"/>
                <w:sz w:val="10"/>
                <w:szCs w:val="10"/>
                <w:color w:val="auto"/>
              </w:rPr>
              <w:t>560,000</w:t>
            </w:r>
          </w:p>
        </w:tc>
        <w:tc>
          <w:tcPr>
            <w:tcW w:w="2260" w:type="dxa"/>
            <w:vAlign w:val="bottom"/>
            <w:tcBorders>
              <w:bottom w:val="single" w:sz="8" w:color="105BAB"/>
            </w:tcBorders>
            <w:shd w:val="clear" w:color="auto" w:fill="F1F3F9"/>
          </w:tcPr>
          <w:p>
            <w:pPr>
              <w:jc w:val="right"/>
              <w:ind w:right="972"/>
              <w:spacing w:after="0"/>
              <w:rPr>
                <w:sz w:val="20"/>
                <w:szCs w:val="20"/>
                <w:color w:val="auto"/>
              </w:rPr>
            </w:pPr>
            <w:r>
              <w:rPr>
                <w:rFonts w:ascii="Arial" w:cs="Arial" w:eastAsia="Arial" w:hAnsi="Arial"/>
                <w:sz w:val="10"/>
                <w:szCs w:val="10"/>
                <w:color w:val="auto"/>
              </w:rPr>
              <w:t>60%</w:t>
            </w:r>
          </w:p>
        </w:tc>
        <w:tc>
          <w:tcPr>
            <w:tcW w:w="1760" w:type="dxa"/>
            <w:vAlign w:val="bottom"/>
            <w:tcBorders>
              <w:bottom w:val="single" w:sz="8" w:color="105BAB"/>
            </w:tcBorders>
            <w:shd w:val="clear" w:color="auto" w:fill="F1F3F9"/>
          </w:tcPr>
          <w:p>
            <w:pPr>
              <w:jc w:val="center"/>
              <w:ind w:left="92"/>
              <w:spacing w:after="0"/>
              <w:rPr>
                <w:sz w:val="20"/>
                <w:szCs w:val="20"/>
                <w:color w:val="auto"/>
              </w:rPr>
            </w:pPr>
            <w:r>
              <w:rPr>
                <w:rFonts w:ascii="Arial" w:cs="Arial" w:eastAsia="Arial" w:hAnsi="Arial"/>
                <w:sz w:val="10"/>
                <w:szCs w:val="10"/>
                <w:color w:val="auto"/>
              </w:rPr>
              <w:t>1.5</w:t>
            </w:r>
          </w:p>
        </w:tc>
        <w:tc>
          <w:tcPr>
            <w:tcW w:w="1640" w:type="dxa"/>
            <w:vAlign w:val="bottom"/>
            <w:tcBorders>
              <w:bottom w:val="single" w:sz="8" w:color="105BAB"/>
            </w:tcBorders>
            <w:shd w:val="clear" w:color="auto" w:fill="F1F3F9"/>
          </w:tcPr>
          <w:p>
            <w:pPr>
              <w:jc w:val="center"/>
              <w:spacing w:after="0"/>
              <w:rPr>
                <w:sz w:val="20"/>
                <w:szCs w:val="20"/>
                <w:color w:val="auto"/>
              </w:rPr>
            </w:pPr>
            <w:r>
              <w:rPr>
                <w:rFonts w:ascii="Arial" w:cs="Arial" w:eastAsia="Arial" w:hAnsi="Arial"/>
                <w:sz w:val="10"/>
                <w:szCs w:val="10"/>
                <w:color w:val="auto"/>
              </w:rPr>
              <w:t>1.6</w:t>
            </w:r>
          </w:p>
        </w:tc>
        <w:tc>
          <w:tcPr>
            <w:tcW w:w="1540" w:type="dxa"/>
            <w:vAlign w:val="bottom"/>
            <w:tcBorders>
              <w:bottom w:val="single" w:sz="8" w:color="105BAB"/>
            </w:tcBorders>
            <w:shd w:val="clear" w:color="auto" w:fill="F1F3F9"/>
          </w:tcPr>
          <w:p>
            <w:pPr>
              <w:jc w:val="right"/>
              <w:ind w:right="492"/>
              <w:spacing w:after="0"/>
              <w:rPr>
                <w:sz w:val="20"/>
                <w:szCs w:val="20"/>
                <w:color w:val="auto"/>
              </w:rPr>
            </w:pPr>
            <w:r>
              <w:rPr>
                <w:rFonts w:ascii="Arial" w:cs="Arial" w:eastAsia="Arial" w:hAnsi="Arial"/>
                <w:sz w:val="10"/>
                <w:szCs w:val="10"/>
                <w:color w:val="auto"/>
              </w:rPr>
              <w:t>524,160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42" w:right="319" w:bottom="1440" w:gutter="0" w:footer="0" w:header="0"/>
        </w:sectPr>
      </w:pPr>
    </w:p>
    <w:bookmarkStart w:id="72" w:name="page73"/>
    <w:bookmarkEnd w:id="72"/>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678815</wp:posOffset>
            </wp:positionV>
            <wp:extent cx="722376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ectPr>
          <w:pgSz w:w="11900" w:h="16838" w:orient="portrait"/>
          <w:cols w:equalWidth="0" w:num="1">
            <w:col w:w="11288"/>
          </w:cols>
          <w:pgMar w:left="212" w:top="1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
        <w:spacing w:after="0" w:line="292" w:lineRule="auto"/>
        <w:rPr>
          <w:sz w:val="20"/>
          <w:szCs w:val="20"/>
          <w:color w:val="auto"/>
        </w:rPr>
      </w:pPr>
      <w:r>
        <w:rPr>
          <w:rFonts w:ascii="Arial" w:cs="Arial" w:eastAsia="Arial" w:hAnsi="Arial"/>
          <w:sz w:val="19"/>
          <w:szCs w:val="19"/>
          <w:color w:val="105BAB"/>
        </w:rPr>
        <w:t>ANNUAL EQUITY-BASED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Sustainable performance parameters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2"/>
          <w:szCs w:val="12"/>
          <w:color w:val="auto"/>
        </w:rPr>
        <w:t>The majority of our NEOs' pay is designed to reward delivery of sustainable long-term value creation, which we believe is created by focusing on discovering, developing, and commercializing new medicines. Our compensation plan is intended to reward this long-term performance simply, using stock options and giving effect to the following considerations:</w:t>
      </w:r>
    </w:p>
    <w:p>
      <w:pPr>
        <w:spacing w:after="0" w:line="130"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0"/>
          <w:szCs w:val="10"/>
          <w:color w:val="105BAB"/>
        </w:rPr>
      </w:pPr>
      <w:r>
        <w:rPr>
          <w:rFonts w:ascii="Arial" w:cs="Arial" w:eastAsia="Arial" w:hAnsi="Arial"/>
          <w:sz w:val="12"/>
          <w:szCs w:val="12"/>
          <w:color w:val="auto"/>
        </w:rPr>
        <w:t>All of our NEOs' direct pay except base salary is "at risk."</w:t>
      </w:r>
    </w:p>
    <w:p>
      <w:pPr>
        <w:spacing w:after="0" w:line="123" w:lineRule="exact"/>
        <w:rPr>
          <w:rFonts w:ascii="Arial" w:cs="Arial" w:eastAsia="Arial" w:hAnsi="Arial"/>
          <w:sz w:val="10"/>
          <w:szCs w:val="10"/>
          <w:color w:val="105BAB"/>
        </w:rPr>
      </w:pPr>
    </w:p>
    <w:p>
      <w:pPr>
        <w:ind w:left="220" w:right="20" w:hanging="212"/>
        <w:spacing w:after="0" w:line="239" w:lineRule="auto"/>
        <w:tabs>
          <w:tab w:leader="none" w:pos="220" w:val="left"/>
        </w:tabs>
        <w:numPr>
          <w:ilvl w:val="0"/>
          <w:numId w:val="68"/>
        </w:numPr>
        <w:rPr>
          <w:rFonts w:ascii="Arial" w:cs="Arial" w:eastAsia="Arial" w:hAnsi="Arial"/>
          <w:sz w:val="10"/>
          <w:szCs w:val="10"/>
          <w:color w:val="105BAB"/>
        </w:rPr>
      </w:pPr>
      <w:r>
        <w:rPr>
          <w:rFonts w:ascii="Arial" w:cs="Arial" w:eastAsia="Arial" w:hAnsi="Arial"/>
          <w:sz w:val="12"/>
          <w:szCs w:val="12"/>
          <w:color w:val="auto"/>
        </w:rPr>
        <w:t>Our NEOs' options grants are performance-based because we determine the award size based on corporate and/or individual performance assessments, and then the award only delivers value if we deliver stock price appreciation for shareholders after grant.</w:t>
      </w:r>
    </w:p>
    <w:p>
      <w:pPr>
        <w:spacing w:after="0" w:line="130" w:lineRule="exact"/>
        <w:rPr>
          <w:sz w:val="20"/>
          <w:szCs w:val="20"/>
          <w:color w:val="auto"/>
        </w:rPr>
      </w:pPr>
    </w:p>
    <w:p>
      <w:pPr>
        <w:sectPr>
          <w:pgSz w:w="11900" w:h="16838" w:orient="portrait"/>
          <w:cols w:equalWidth="0" w:num="2">
            <w:col w:w="928" w:space="460"/>
            <w:col w:w="9900"/>
          </w:cols>
          <w:pgMar w:left="212" w:top="142" w:right="399" w:bottom="1440" w:gutter="0" w:footer="0" w:header="0"/>
          <w:type w:val="continuous"/>
        </w:sectPr>
      </w:pPr>
    </w:p>
    <w:p>
      <w:pPr>
        <w:ind w:left="1608" w:hanging="212"/>
        <w:spacing w:after="0" w:line="269" w:lineRule="auto"/>
        <w:tabs>
          <w:tab w:leader="none" w:pos="1608" w:val="left"/>
        </w:tabs>
        <w:numPr>
          <w:ilvl w:val="0"/>
          <w:numId w:val="69"/>
        </w:numPr>
        <w:rPr>
          <w:rFonts w:ascii="Arial" w:cs="Arial" w:eastAsia="Arial" w:hAnsi="Arial"/>
          <w:sz w:val="10"/>
          <w:szCs w:val="10"/>
          <w:color w:val="105BAB"/>
        </w:rPr>
      </w:pPr>
      <w:r>
        <w:rPr>
          <w:rFonts w:ascii="Arial" w:cs="Arial" w:eastAsia="Arial" w:hAnsi="Arial"/>
          <w:sz w:val="12"/>
          <w:szCs w:val="12"/>
          <w:color w:val="auto"/>
        </w:rPr>
        <w:t>Our employee stock option grants have ten-year terms and four-year vesting provisions (generally requiring our employees, including our NEOs, to remain employed for four years in order for all options to vest</w:t>
      </w:r>
      <w:r>
        <w:rPr>
          <w:rFonts w:ascii="Arial" w:cs="Arial" w:eastAsia="Arial" w:hAnsi="Arial"/>
          <w:sz w:val="19"/>
          <w:szCs w:val="19"/>
          <w:color w:val="auto"/>
          <w:vertAlign w:val="superscript"/>
        </w:rPr>
        <w:t>8</w:t>
      </w:r>
      <w:r>
        <w:rPr>
          <w:rFonts w:ascii="Arial" w:cs="Arial" w:eastAsia="Arial" w:hAnsi="Arial"/>
          <w:sz w:val="12"/>
          <w:szCs w:val="12"/>
          <w:color w:val="auto"/>
        </w:rPr>
        <w:t>) to align with long-term value creation and the development cycle of our products.</w:t>
      </w:r>
    </w:p>
    <w:p>
      <w:pPr>
        <w:spacing w:after="0" w:line="32" w:lineRule="exact"/>
        <w:rPr>
          <w:rFonts w:ascii="Arial" w:cs="Arial" w:eastAsia="Arial" w:hAnsi="Arial"/>
          <w:sz w:val="10"/>
          <w:szCs w:val="10"/>
          <w:color w:val="105BAB"/>
        </w:rPr>
      </w:pPr>
    </w:p>
    <w:p>
      <w:pPr>
        <w:ind w:left="1608" w:hanging="212"/>
        <w:spacing w:after="0"/>
        <w:tabs>
          <w:tab w:leader="none" w:pos="1608" w:val="left"/>
        </w:tabs>
        <w:numPr>
          <w:ilvl w:val="0"/>
          <w:numId w:val="69"/>
        </w:numPr>
        <w:rPr>
          <w:rFonts w:ascii="Arial" w:cs="Arial" w:eastAsia="Arial" w:hAnsi="Arial"/>
          <w:sz w:val="10"/>
          <w:szCs w:val="10"/>
          <w:color w:val="105BAB"/>
        </w:rPr>
      </w:pPr>
      <w:r>
        <w:rPr>
          <w:rFonts w:ascii="Arial" w:cs="Arial" w:eastAsia="Arial" w:hAnsi="Arial"/>
          <w:sz w:val="12"/>
          <w:szCs w:val="12"/>
          <w:color w:val="auto"/>
        </w:rPr>
        <w:t>We require NEOs to retain a significant amount of equity within five years of their employment with Regeneron:</w:t>
      </w:r>
    </w:p>
    <w:p>
      <w:pPr>
        <w:spacing w:after="0" w:line="123" w:lineRule="exact"/>
        <w:rPr>
          <w:rFonts w:ascii="Arial" w:cs="Arial" w:eastAsia="Arial" w:hAnsi="Arial"/>
          <w:sz w:val="10"/>
          <w:szCs w:val="10"/>
          <w:color w:val="105BAB"/>
        </w:rPr>
      </w:pPr>
    </w:p>
    <w:p>
      <w:pPr>
        <w:ind w:left="1828" w:hanging="216"/>
        <w:spacing w:after="0"/>
        <w:tabs>
          <w:tab w:leader="none" w:pos="1828" w:val="left"/>
        </w:tabs>
        <w:numPr>
          <w:ilvl w:val="1"/>
          <w:numId w:val="69"/>
        </w:numPr>
        <w:rPr>
          <w:rFonts w:ascii="Arial" w:cs="Arial" w:eastAsia="Arial" w:hAnsi="Arial"/>
          <w:sz w:val="10"/>
          <w:szCs w:val="10"/>
          <w:color w:val="105BAB"/>
        </w:rPr>
      </w:pPr>
      <w:r>
        <w:rPr>
          <w:rFonts w:ascii="Arial" w:cs="Arial" w:eastAsia="Arial" w:hAnsi="Arial"/>
          <w:sz w:val="12"/>
          <w:szCs w:val="12"/>
          <w:color w:val="auto"/>
        </w:rPr>
        <w:t>Our CEO and CSO must own shares with a value at least 6-times their respective base salaries.</w:t>
      </w:r>
    </w:p>
    <w:p>
      <w:pPr>
        <w:spacing w:after="0" w:line="132" w:lineRule="exact"/>
        <w:rPr>
          <w:rFonts w:ascii="Arial" w:cs="Arial" w:eastAsia="Arial" w:hAnsi="Arial"/>
          <w:sz w:val="10"/>
          <w:szCs w:val="10"/>
          <w:color w:val="105BAB"/>
        </w:rPr>
      </w:pPr>
    </w:p>
    <w:p>
      <w:pPr>
        <w:ind w:left="1828" w:hanging="216"/>
        <w:spacing w:after="0"/>
        <w:tabs>
          <w:tab w:leader="none" w:pos="1828" w:val="left"/>
        </w:tabs>
        <w:numPr>
          <w:ilvl w:val="1"/>
          <w:numId w:val="69"/>
        </w:numPr>
        <w:rPr>
          <w:rFonts w:ascii="Arial" w:cs="Arial" w:eastAsia="Arial" w:hAnsi="Arial"/>
          <w:sz w:val="10"/>
          <w:szCs w:val="10"/>
          <w:color w:val="105BAB"/>
        </w:rPr>
      </w:pPr>
      <w:r>
        <w:rPr>
          <w:rFonts w:ascii="Arial" w:cs="Arial" w:eastAsia="Arial" w:hAnsi="Arial"/>
          <w:sz w:val="12"/>
          <w:szCs w:val="12"/>
          <w:color w:val="auto"/>
        </w:rPr>
        <w:t>Our other NEOs must own shares with a value at least 2-times their base salaries.</w:t>
      </w:r>
    </w:p>
    <w:p>
      <w:pPr>
        <w:spacing w:after="0" w:line="132" w:lineRule="exact"/>
        <w:rPr>
          <w:rFonts w:ascii="Arial" w:cs="Arial" w:eastAsia="Arial" w:hAnsi="Arial"/>
          <w:sz w:val="10"/>
          <w:szCs w:val="10"/>
          <w:color w:val="105BAB"/>
        </w:rPr>
      </w:pPr>
    </w:p>
    <w:p>
      <w:pPr>
        <w:ind w:left="1608" w:right="360" w:hanging="212"/>
        <w:spacing w:after="0" w:line="239" w:lineRule="auto"/>
        <w:tabs>
          <w:tab w:leader="none" w:pos="1608" w:val="left"/>
        </w:tabs>
        <w:numPr>
          <w:ilvl w:val="0"/>
          <w:numId w:val="69"/>
        </w:numPr>
        <w:rPr>
          <w:rFonts w:ascii="Arial" w:cs="Arial" w:eastAsia="Arial" w:hAnsi="Arial"/>
          <w:sz w:val="10"/>
          <w:szCs w:val="10"/>
          <w:color w:val="105BAB"/>
        </w:rPr>
      </w:pPr>
      <w:r>
        <w:rPr>
          <w:rFonts w:ascii="Arial" w:cs="Arial" w:eastAsia="Arial" w:hAnsi="Arial"/>
          <w:sz w:val="12"/>
          <w:szCs w:val="12"/>
          <w:color w:val="auto"/>
        </w:rPr>
        <w:t>We have a recoupment (clawback) policy that enables us to reduce or recoup incentive compensation for compliance violations by NEOs and other covered officers and employees; importantly, the policy covers both financial and non-financial violations.</w:t>
      </w:r>
    </w:p>
    <w:p>
      <w:pPr>
        <w:spacing w:after="0" w:line="121" w:lineRule="exact"/>
        <w:rPr>
          <w:rFonts w:ascii="Arial" w:cs="Arial" w:eastAsia="Arial" w:hAnsi="Arial"/>
          <w:sz w:val="10"/>
          <w:szCs w:val="10"/>
          <w:color w:val="105BAB"/>
        </w:rPr>
      </w:pPr>
    </w:p>
    <w:p>
      <w:pPr>
        <w:ind w:left="1608" w:hanging="212"/>
        <w:spacing w:after="0"/>
        <w:tabs>
          <w:tab w:leader="none" w:pos="1608" w:val="left"/>
        </w:tabs>
        <w:numPr>
          <w:ilvl w:val="0"/>
          <w:numId w:val="69"/>
        </w:numPr>
        <w:rPr>
          <w:rFonts w:ascii="Arial" w:cs="Arial" w:eastAsia="Arial" w:hAnsi="Arial"/>
          <w:sz w:val="10"/>
          <w:szCs w:val="10"/>
          <w:color w:val="105BAB"/>
        </w:rPr>
      </w:pPr>
      <w:r>
        <w:rPr>
          <w:rFonts w:ascii="Arial" w:cs="Arial" w:eastAsia="Arial" w:hAnsi="Arial"/>
          <w:sz w:val="12"/>
          <w:szCs w:val="12"/>
          <w:color w:val="auto"/>
        </w:rPr>
        <w:t>We prohibit our NEOs from hedging or pledging Regeneron securities they hold.</w:t>
      </w:r>
    </w:p>
    <w:p>
      <w:pPr>
        <w:spacing w:after="0" w:line="118" w:lineRule="exact"/>
        <w:rPr>
          <w:sz w:val="20"/>
          <w:szCs w:val="20"/>
          <w:color w:val="auto"/>
        </w:rPr>
      </w:pPr>
    </w:p>
    <w:p>
      <w:pPr>
        <w:ind w:left="1388"/>
        <w:spacing w:after="0"/>
        <w:rPr>
          <w:sz w:val="20"/>
          <w:szCs w:val="20"/>
          <w:color w:val="auto"/>
        </w:rPr>
      </w:pPr>
      <w:r>
        <w:rPr>
          <w:rFonts w:ascii="Arial" w:cs="Arial" w:eastAsia="Arial" w:hAnsi="Arial"/>
          <w:sz w:val="12"/>
          <w:szCs w:val="12"/>
          <w:b w:val="1"/>
          <w:bCs w:val="1"/>
          <w:color w:val="105BAB"/>
        </w:rPr>
        <w:t>Annual stock option awards</w:t>
      </w:r>
    </w:p>
    <w:p>
      <w:pPr>
        <w:spacing w:after="0" w:line="132" w:lineRule="exact"/>
        <w:rPr>
          <w:sz w:val="20"/>
          <w:szCs w:val="20"/>
          <w:color w:val="auto"/>
        </w:rPr>
      </w:pPr>
    </w:p>
    <w:p>
      <w:pPr>
        <w:ind w:left="1388" w:right="380"/>
        <w:spacing w:after="0" w:line="262" w:lineRule="auto"/>
        <w:rPr>
          <w:sz w:val="20"/>
          <w:szCs w:val="20"/>
          <w:color w:val="auto"/>
        </w:rPr>
      </w:pPr>
      <w:r>
        <w:rPr>
          <w:rFonts w:ascii="Arial" w:cs="Arial" w:eastAsia="Arial" w:hAnsi="Arial"/>
          <w:sz w:val="12"/>
          <w:szCs w:val="12"/>
          <w:b w:val="1"/>
          <w:bCs w:val="1"/>
          <w:color w:val="D21C5A"/>
        </w:rPr>
        <w:t xml:space="preserve">Option grants are performance-based. </w:t>
      </w:r>
      <w:r>
        <w:rPr>
          <w:rFonts w:ascii="Arial" w:cs="Arial" w:eastAsia="Arial" w:hAnsi="Arial"/>
          <w:sz w:val="12"/>
          <w:szCs w:val="12"/>
          <w:color w:val="000000"/>
        </w:rPr>
        <w:t>Stock options are the only form of annual equity award granted to NEOs because they are inherently performance-based, requiring stock price</w:t>
      </w:r>
      <w:r>
        <w:rPr>
          <w:rFonts w:ascii="Arial" w:cs="Arial" w:eastAsia="Arial" w:hAnsi="Arial"/>
          <w:sz w:val="12"/>
          <w:szCs w:val="12"/>
          <w:b w:val="1"/>
          <w:bCs w:val="1"/>
          <w:color w:val="D21C5A"/>
        </w:rPr>
        <w:t xml:space="preserve"> </w:t>
      </w:r>
      <w:r>
        <w:rPr>
          <w:rFonts w:ascii="Arial" w:cs="Arial" w:eastAsia="Arial" w:hAnsi="Arial"/>
          <w:sz w:val="12"/>
          <w:szCs w:val="12"/>
          <w:color w:val="000000"/>
        </w:rPr>
        <w:t>appreciation before there is any real value earned, while remaining simple. Factors considered in establishing 2017 NEO grants included:</w:t>
      </w:r>
    </w:p>
    <w:p>
      <w:pPr>
        <w:spacing w:after="0" w:line="109" w:lineRule="exact"/>
        <w:rPr>
          <w:sz w:val="20"/>
          <w:szCs w:val="20"/>
          <w:color w:val="auto"/>
        </w:rPr>
      </w:pPr>
    </w:p>
    <w:p>
      <w:pPr>
        <w:ind w:left="1608" w:hanging="212"/>
        <w:spacing w:after="0"/>
        <w:tabs>
          <w:tab w:leader="none" w:pos="1608" w:val="left"/>
        </w:tabs>
        <w:numPr>
          <w:ilvl w:val="0"/>
          <w:numId w:val="70"/>
        </w:numPr>
        <w:rPr>
          <w:rFonts w:ascii="Arial" w:cs="Arial" w:eastAsia="Arial" w:hAnsi="Arial"/>
          <w:sz w:val="10"/>
          <w:szCs w:val="10"/>
          <w:color w:val="105BAB"/>
        </w:rPr>
      </w:pPr>
      <w:r>
        <w:rPr>
          <w:rFonts w:ascii="Arial" w:cs="Arial" w:eastAsia="Arial" w:hAnsi="Arial"/>
          <w:sz w:val="12"/>
          <w:szCs w:val="12"/>
          <w:color w:val="auto"/>
        </w:rPr>
        <w:t>Our assessment of performance against the goals the Committee establishes for the CEO and the goals the Committee and the CEO establish for the other NEOs.</w:t>
      </w:r>
    </w:p>
    <w:p>
      <w:pPr>
        <w:spacing w:after="0" w:line="132" w:lineRule="exact"/>
        <w:rPr>
          <w:rFonts w:ascii="Arial" w:cs="Arial" w:eastAsia="Arial" w:hAnsi="Arial"/>
          <w:sz w:val="10"/>
          <w:szCs w:val="10"/>
          <w:color w:val="105BAB"/>
        </w:rPr>
      </w:pPr>
    </w:p>
    <w:p>
      <w:pPr>
        <w:ind w:left="1608" w:hanging="212"/>
        <w:spacing w:after="0"/>
        <w:tabs>
          <w:tab w:leader="none" w:pos="1608" w:val="left"/>
        </w:tabs>
        <w:numPr>
          <w:ilvl w:val="0"/>
          <w:numId w:val="70"/>
        </w:numPr>
        <w:rPr>
          <w:rFonts w:ascii="Arial" w:cs="Arial" w:eastAsia="Arial" w:hAnsi="Arial"/>
          <w:sz w:val="10"/>
          <w:szCs w:val="10"/>
          <w:color w:val="105BAB"/>
        </w:rPr>
      </w:pPr>
      <w:r>
        <w:rPr>
          <w:rFonts w:ascii="Arial" w:cs="Arial" w:eastAsia="Arial" w:hAnsi="Arial"/>
          <w:sz w:val="12"/>
          <w:szCs w:val="12"/>
          <w:color w:val="auto"/>
        </w:rPr>
        <w:t>Our assessment of Regeneron's corporate accomplishments for the relevant year, particularly as they relate to our product pipeline.</w:t>
      </w:r>
    </w:p>
    <w:p>
      <w:pPr>
        <w:spacing w:after="0" w:line="132" w:lineRule="exact"/>
        <w:rPr>
          <w:rFonts w:ascii="Arial" w:cs="Arial" w:eastAsia="Arial" w:hAnsi="Arial"/>
          <w:sz w:val="10"/>
          <w:szCs w:val="10"/>
          <w:color w:val="105BAB"/>
        </w:rPr>
      </w:pPr>
    </w:p>
    <w:p>
      <w:pPr>
        <w:ind w:left="1608" w:right="80" w:hanging="212"/>
        <w:spacing w:after="0" w:line="237" w:lineRule="auto"/>
        <w:tabs>
          <w:tab w:leader="none" w:pos="1608" w:val="left"/>
        </w:tabs>
        <w:numPr>
          <w:ilvl w:val="0"/>
          <w:numId w:val="70"/>
        </w:numPr>
        <w:rPr>
          <w:rFonts w:ascii="Arial" w:cs="Arial" w:eastAsia="Arial" w:hAnsi="Arial"/>
          <w:sz w:val="10"/>
          <w:szCs w:val="10"/>
          <w:color w:val="105BAB"/>
        </w:rPr>
      </w:pPr>
      <w:r>
        <w:rPr>
          <w:rFonts w:ascii="Arial" w:cs="Arial" w:eastAsia="Arial" w:hAnsi="Arial"/>
          <w:sz w:val="12"/>
          <w:szCs w:val="12"/>
          <w:color w:val="auto"/>
        </w:rPr>
        <w:t>Our evaluation of the awards as a percentage of the total basic shares outstanding compared to Peer Group and survey data. This enables us to evaluate grants on a consistent basis regardless of stock price fluctuations of our or our Peer Group's stock prices. Focusing on the number of shares also avoids an outcome where NEOs are provided larger grants following stock price declines or penalizing high performance with smaller grants.</w:t>
      </w:r>
    </w:p>
    <w:p>
      <w:pPr>
        <w:spacing w:after="0" w:line="122" w:lineRule="exact"/>
        <w:rPr>
          <w:rFonts w:ascii="Arial" w:cs="Arial" w:eastAsia="Arial" w:hAnsi="Arial"/>
          <w:sz w:val="10"/>
          <w:szCs w:val="10"/>
          <w:color w:val="105BAB"/>
        </w:rPr>
      </w:pPr>
    </w:p>
    <w:p>
      <w:pPr>
        <w:ind w:left="1608" w:hanging="212"/>
        <w:spacing w:after="0"/>
        <w:tabs>
          <w:tab w:leader="none" w:pos="1608" w:val="left"/>
        </w:tabs>
        <w:numPr>
          <w:ilvl w:val="0"/>
          <w:numId w:val="70"/>
        </w:numPr>
        <w:rPr>
          <w:rFonts w:ascii="Arial" w:cs="Arial" w:eastAsia="Arial" w:hAnsi="Arial"/>
          <w:sz w:val="10"/>
          <w:szCs w:val="10"/>
          <w:color w:val="105BAB"/>
        </w:rPr>
      </w:pPr>
      <w:r>
        <w:rPr>
          <w:rFonts w:ascii="Arial" w:cs="Arial" w:eastAsia="Arial" w:hAnsi="Arial"/>
          <w:sz w:val="12"/>
          <w:szCs w:val="12"/>
          <w:color w:val="auto"/>
        </w:rPr>
        <w:t>Our evaluation of each NEO's grant history.</w:t>
      </w:r>
    </w:p>
    <w:p>
      <w:pPr>
        <w:spacing w:after="0" w:line="200" w:lineRule="exact"/>
        <w:rPr>
          <w:sz w:val="20"/>
          <w:szCs w:val="20"/>
          <w:color w:val="auto"/>
        </w:rPr>
      </w:pPr>
    </w:p>
    <w:p>
      <w:pPr>
        <w:spacing w:after="0" w:line="349" w:lineRule="exact"/>
        <w:rPr>
          <w:sz w:val="20"/>
          <w:szCs w:val="20"/>
          <w:color w:val="auto"/>
        </w:rPr>
      </w:pPr>
    </w:p>
    <w:p>
      <w:pPr>
        <w:ind w:left="208" w:hanging="208"/>
        <w:spacing w:after="0"/>
        <w:tabs>
          <w:tab w:leader="none" w:pos="208" w:val="left"/>
        </w:tabs>
        <w:numPr>
          <w:ilvl w:val="0"/>
          <w:numId w:val="71"/>
        </w:numPr>
        <w:rPr>
          <w:rFonts w:ascii="Arial" w:cs="Arial" w:eastAsia="Arial" w:hAnsi="Arial"/>
          <w:sz w:val="13"/>
          <w:szCs w:val="13"/>
          <w:color w:val="105BAB"/>
          <w:vertAlign w:val="superscript"/>
        </w:rPr>
      </w:pPr>
      <w:r>
        <w:rPr>
          <w:rFonts w:ascii="Arial" w:cs="Arial" w:eastAsia="Arial" w:hAnsi="Arial"/>
          <w:sz w:val="9"/>
          <w:szCs w:val="9"/>
          <w:color w:val="auto"/>
        </w:rPr>
        <w:t>In the case of our CEO, this is subject to the terms of his employment agreement. See the subsection "Compensation Dashboard—2017 Compensation Tables—Post-Employment Compensation—Leonard S. Schleifer, M.D., Ph.D. Employment Agreement."</w:t>
      </w:r>
    </w:p>
    <w:p>
      <w:pPr>
        <w:spacing w:after="0" w:line="233" w:lineRule="exact"/>
        <w:rPr>
          <w:rFonts w:ascii="Arial" w:cs="Arial" w:eastAsia="Arial" w:hAnsi="Arial"/>
          <w:sz w:val="13"/>
          <w:szCs w:val="13"/>
          <w:color w:val="105BAB"/>
          <w:vertAlign w:val="superscript"/>
        </w:rPr>
      </w:pPr>
    </w:p>
    <w:p>
      <w:pPr>
        <w:ind w:left="348"/>
        <w:spacing w:after="0"/>
        <w:rPr>
          <w:rFonts w:ascii="Arial" w:cs="Arial" w:eastAsia="Arial" w:hAnsi="Arial"/>
          <w:sz w:val="13"/>
          <w:szCs w:val="13"/>
          <w:color w:val="105BAB"/>
          <w:vertAlign w:val="superscript"/>
        </w:rPr>
      </w:pPr>
      <w:r>
        <w:rPr>
          <w:rFonts w:ascii="Arial" w:cs="Arial" w:eastAsia="Arial" w:hAnsi="Arial"/>
          <w:sz w:val="10"/>
          <w:szCs w:val="10"/>
          <w:b w:val="1"/>
          <w:bCs w:val="1"/>
          <w:color w:val="FFFFF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-300990</wp:posOffset>
            </wp:positionV>
            <wp:extent cx="722376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ectPr>
          <w:pgSz w:w="11900" w:h="16838" w:orient="portrait"/>
          <w:cols w:equalWidth="0" w:num="1">
            <w:col w:w="11288"/>
          </w:cols>
          <w:pgMar w:left="212" w:top="142" w:right="399" w:bottom="1440" w:gutter="0" w:footer="0" w:header="0"/>
          <w:type w:val="continuous"/>
        </w:sectPr>
      </w:pPr>
    </w:p>
    <w:bookmarkStart w:id="73" w:name="page74"/>
    <w:bookmarkEnd w:id="7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80" w:right="100"/>
        <w:spacing w:after="0" w:line="239" w:lineRule="auto"/>
        <w:rPr>
          <w:sz w:val="20"/>
          <w:szCs w:val="20"/>
          <w:color w:val="auto"/>
        </w:rPr>
      </w:pPr>
      <w:r>
        <w:rPr>
          <w:rFonts w:ascii="Arial" w:cs="Arial" w:eastAsia="Arial" w:hAnsi="Arial"/>
          <w:sz w:val="12"/>
          <w:szCs w:val="12"/>
          <w:color w:val="auto"/>
        </w:rPr>
        <w:t>The number of stock options granted in 2017 to our NEOs was 5% lower compared to the 2016 awards and had a grant date fair value 11% lower than in 2016 (other than with respect to the awards to Dr. Stahl and Mr. Van Plew,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167005</wp:posOffset>
            </wp:positionV>
            <wp:extent cx="628015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80150" cy="5715"/>
                    </a:xfrm>
                    <a:prstGeom prst="rect">
                      <a:avLst/>
                    </a:prstGeom>
                    <a:noFill/>
                  </pic:spPr>
                </pic:pic>
              </a:graphicData>
            </a:graphic>
          </wp:anchor>
        </w:drawing>
      </w:r>
    </w:p>
    <w:p>
      <w:pPr>
        <w:spacing w:after="0" w:line="372" w:lineRule="exact"/>
        <w:rPr>
          <w:sz w:val="20"/>
          <w:szCs w:val="20"/>
          <w:color w:val="auto"/>
        </w:rPr>
      </w:pPr>
    </w:p>
    <w:tbl>
      <w:tblPr>
        <w:tblLayout w:type="fixed"/>
        <w:tblInd w:w="1580" w:type="dxa"/>
        <w:tblCellMar>
          <w:top w:w="0" w:type="dxa"/>
          <w:left w:w="0" w:type="dxa"/>
          <w:bottom w:w="0" w:type="dxa"/>
          <w:right w:w="0" w:type="dxa"/>
        </w:tblCellMar>
      </w:tblPr>
      <w:tr>
        <w:trPr>
          <w:trHeight w:val="115"/>
        </w:trPr>
        <w:tc>
          <w:tcPr>
            <w:tcW w:w="1540" w:type="dxa"/>
            <w:vAlign w:val="bottom"/>
          </w:tcPr>
          <w:p>
            <w:pPr>
              <w:spacing w:after="0"/>
              <w:rPr>
                <w:sz w:val="10"/>
                <w:szCs w:val="10"/>
                <w:color w:val="auto"/>
              </w:rPr>
            </w:pPr>
          </w:p>
        </w:tc>
        <w:tc>
          <w:tcPr>
            <w:tcW w:w="1460" w:type="dxa"/>
            <w:vAlign w:val="bottom"/>
            <w:vMerge w:val="restart"/>
          </w:tcPr>
          <w:p>
            <w:pPr>
              <w:jc w:val="center"/>
              <w:ind w:right="72"/>
              <w:spacing w:after="0"/>
              <w:rPr>
                <w:sz w:val="20"/>
                <w:szCs w:val="20"/>
                <w:color w:val="auto"/>
              </w:rPr>
            </w:pPr>
            <w:r>
              <w:rPr>
                <w:rFonts w:ascii="Arial" w:cs="Arial" w:eastAsia="Arial" w:hAnsi="Arial"/>
                <w:sz w:val="10"/>
                <w:szCs w:val="10"/>
                <w:b w:val="1"/>
                <w:bCs w:val="1"/>
                <w:color w:val="105BAB"/>
                <w:w w:val="95"/>
              </w:rPr>
              <w:t>Stock</w:t>
            </w:r>
          </w:p>
        </w:tc>
        <w:tc>
          <w:tcPr>
            <w:tcW w:w="2060" w:type="dxa"/>
            <w:vAlign w:val="bottom"/>
          </w:tcPr>
          <w:p>
            <w:pPr>
              <w:jc w:val="center"/>
              <w:ind w:right="32"/>
              <w:spacing w:after="0"/>
              <w:rPr>
                <w:sz w:val="20"/>
                <w:szCs w:val="20"/>
                <w:color w:val="auto"/>
              </w:rPr>
            </w:pPr>
            <w:r>
              <w:rPr>
                <w:rFonts w:ascii="Arial" w:cs="Arial" w:eastAsia="Arial" w:hAnsi="Arial"/>
                <w:sz w:val="10"/>
                <w:szCs w:val="10"/>
                <w:b w:val="1"/>
                <w:bCs w:val="1"/>
                <w:color w:val="105BAB"/>
                <w:w w:val="95"/>
              </w:rPr>
              <w:t>Year-over-Year Change</w:t>
            </w:r>
          </w:p>
        </w:tc>
        <w:tc>
          <w:tcPr>
            <w:tcW w:w="2220" w:type="dxa"/>
            <w:vAlign w:val="bottom"/>
          </w:tcPr>
          <w:p>
            <w:pPr>
              <w:jc w:val="center"/>
              <w:ind w:right="32"/>
              <w:spacing w:after="0"/>
              <w:rPr>
                <w:sz w:val="20"/>
                <w:szCs w:val="20"/>
                <w:color w:val="auto"/>
              </w:rPr>
            </w:pPr>
            <w:r>
              <w:rPr>
                <w:rFonts w:ascii="Arial" w:cs="Arial" w:eastAsia="Arial" w:hAnsi="Arial"/>
                <w:sz w:val="10"/>
                <w:szCs w:val="10"/>
                <w:b w:val="1"/>
                <w:bCs w:val="1"/>
                <w:color w:val="105BAB"/>
                <w:w w:val="95"/>
              </w:rPr>
              <w:t>Year-over-Year Change</w:t>
            </w:r>
          </w:p>
        </w:tc>
        <w:tc>
          <w:tcPr>
            <w:tcW w:w="2620" w:type="dxa"/>
            <w:vAlign w:val="bottom"/>
          </w:tcPr>
          <w:p>
            <w:pPr>
              <w:jc w:val="center"/>
              <w:spacing w:after="0"/>
              <w:rPr>
                <w:sz w:val="20"/>
                <w:szCs w:val="20"/>
                <w:color w:val="auto"/>
              </w:rPr>
            </w:pPr>
            <w:r>
              <w:rPr>
                <w:rFonts w:ascii="Arial" w:cs="Arial" w:eastAsia="Arial" w:hAnsi="Arial"/>
                <w:sz w:val="10"/>
                <w:szCs w:val="10"/>
                <w:b w:val="1"/>
                <w:bCs w:val="1"/>
                <w:color w:val="105BAB"/>
                <w:w w:val="96"/>
              </w:rPr>
              <w:t>Change in Shares Underlying</w:t>
            </w:r>
          </w:p>
        </w:tc>
        <w:tc>
          <w:tcPr>
            <w:tcW w:w="0" w:type="dxa"/>
            <w:vAlign w:val="bottom"/>
          </w:tcPr>
          <w:p>
            <w:pPr>
              <w:spacing w:after="0"/>
              <w:rPr>
                <w:sz w:val="1"/>
                <w:szCs w:val="1"/>
                <w:color w:val="auto"/>
              </w:rPr>
            </w:pPr>
          </w:p>
        </w:tc>
      </w:tr>
      <w:tr>
        <w:trPr>
          <w:trHeight w:val="99"/>
        </w:trPr>
        <w:tc>
          <w:tcPr>
            <w:tcW w:w="15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060" w:type="dxa"/>
            <w:vAlign w:val="bottom"/>
          </w:tcPr>
          <w:p>
            <w:pPr>
              <w:jc w:val="center"/>
              <w:ind w:right="52"/>
              <w:spacing w:after="0" w:line="99" w:lineRule="exact"/>
              <w:rPr>
                <w:sz w:val="20"/>
                <w:szCs w:val="20"/>
                <w:color w:val="auto"/>
              </w:rPr>
            </w:pPr>
            <w:r>
              <w:rPr>
                <w:rFonts w:ascii="Arial" w:cs="Arial" w:eastAsia="Arial" w:hAnsi="Arial"/>
                <w:sz w:val="10"/>
                <w:szCs w:val="10"/>
                <w:b w:val="1"/>
                <w:bCs w:val="1"/>
                <w:color w:val="105BAB"/>
                <w:w w:val="95"/>
              </w:rPr>
              <w:t>in Shares Underlying</w:t>
            </w:r>
          </w:p>
        </w:tc>
        <w:tc>
          <w:tcPr>
            <w:tcW w:w="2220" w:type="dxa"/>
            <w:vAlign w:val="bottom"/>
          </w:tcPr>
          <w:p>
            <w:pPr>
              <w:jc w:val="center"/>
              <w:ind w:right="12"/>
              <w:spacing w:after="0" w:line="99" w:lineRule="exact"/>
              <w:rPr>
                <w:sz w:val="20"/>
                <w:szCs w:val="20"/>
                <w:color w:val="auto"/>
              </w:rPr>
            </w:pPr>
            <w:r>
              <w:rPr>
                <w:rFonts w:ascii="Arial" w:cs="Arial" w:eastAsia="Arial" w:hAnsi="Arial"/>
                <w:sz w:val="10"/>
                <w:szCs w:val="10"/>
                <w:b w:val="1"/>
                <w:bCs w:val="1"/>
                <w:color w:val="105BAB"/>
                <w:w w:val="95"/>
              </w:rPr>
              <w:t>in Grant Date</w:t>
            </w:r>
          </w:p>
        </w:tc>
        <w:tc>
          <w:tcPr>
            <w:tcW w:w="262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7"/>
              </w:rPr>
              <w:t>Option Award</w:t>
            </w: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1460" w:type="dxa"/>
            <w:vAlign w:val="bottom"/>
          </w:tcPr>
          <w:p>
            <w:pPr>
              <w:jc w:val="center"/>
              <w:ind w:right="72"/>
              <w:spacing w:after="0" w:line="118" w:lineRule="exact"/>
              <w:rPr>
                <w:sz w:val="20"/>
                <w:szCs w:val="20"/>
                <w:color w:val="auto"/>
              </w:rPr>
            </w:pPr>
            <w:r>
              <w:rPr>
                <w:rFonts w:ascii="Arial" w:cs="Arial" w:eastAsia="Arial" w:hAnsi="Arial"/>
                <w:sz w:val="9"/>
                <w:szCs w:val="9"/>
                <w:b w:val="1"/>
                <w:bCs w:val="1"/>
                <w:color w:val="105BAB"/>
              </w:rPr>
              <w:t>Option Award</w:t>
            </w:r>
            <w:r>
              <w:rPr>
                <w:rFonts w:ascii="Arial" w:cs="Arial" w:eastAsia="Arial" w:hAnsi="Arial"/>
                <w:sz w:val="13"/>
                <w:szCs w:val="13"/>
                <w:b w:val="1"/>
                <w:bCs w:val="1"/>
                <w:color w:val="105BAB"/>
                <w:vertAlign w:val="superscript"/>
              </w:rPr>
              <w:t>1</w:t>
            </w:r>
          </w:p>
        </w:tc>
        <w:tc>
          <w:tcPr>
            <w:tcW w:w="2060" w:type="dxa"/>
            <w:vAlign w:val="bottom"/>
          </w:tcPr>
          <w:p>
            <w:pPr>
              <w:jc w:val="center"/>
              <w:ind w:right="32"/>
              <w:spacing w:after="0"/>
              <w:rPr>
                <w:sz w:val="20"/>
                <w:szCs w:val="20"/>
                <w:color w:val="auto"/>
              </w:rPr>
            </w:pPr>
            <w:r>
              <w:rPr>
                <w:rFonts w:ascii="Arial" w:cs="Arial" w:eastAsia="Arial" w:hAnsi="Arial"/>
                <w:sz w:val="10"/>
                <w:szCs w:val="10"/>
                <w:b w:val="1"/>
                <w:bCs w:val="1"/>
                <w:color w:val="105BAB"/>
                <w:w w:val="94"/>
              </w:rPr>
              <w:t>Option Award</w:t>
            </w:r>
          </w:p>
        </w:tc>
        <w:tc>
          <w:tcPr>
            <w:tcW w:w="2220" w:type="dxa"/>
            <w:vAlign w:val="bottom"/>
          </w:tcPr>
          <w:p>
            <w:pPr>
              <w:jc w:val="center"/>
              <w:ind w:right="32"/>
              <w:spacing w:after="0"/>
              <w:rPr>
                <w:sz w:val="20"/>
                <w:szCs w:val="20"/>
                <w:color w:val="auto"/>
              </w:rPr>
            </w:pPr>
            <w:r>
              <w:rPr>
                <w:rFonts w:ascii="Arial" w:cs="Arial" w:eastAsia="Arial" w:hAnsi="Arial"/>
                <w:sz w:val="10"/>
                <w:szCs w:val="10"/>
                <w:b w:val="1"/>
                <w:bCs w:val="1"/>
                <w:color w:val="105BAB"/>
                <w:w w:val="96"/>
              </w:rPr>
              <w:t>Fair Value</w:t>
            </w:r>
          </w:p>
        </w:tc>
        <w:tc>
          <w:tcPr>
            <w:tcW w:w="2620" w:type="dxa"/>
            <w:vAlign w:val="bottom"/>
          </w:tcPr>
          <w:p>
            <w:pPr>
              <w:jc w:val="center"/>
              <w:spacing w:after="0"/>
              <w:rPr>
                <w:sz w:val="20"/>
                <w:szCs w:val="20"/>
                <w:color w:val="auto"/>
              </w:rPr>
            </w:pPr>
            <w:r>
              <w:rPr>
                <w:rFonts w:ascii="Arial" w:cs="Arial" w:eastAsia="Arial" w:hAnsi="Arial"/>
                <w:sz w:val="10"/>
                <w:szCs w:val="10"/>
                <w:b w:val="1"/>
                <w:bCs w:val="1"/>
                <w:color w:val="105BAB"/>
                <w:w w:val="96"/>
              </w:rPr>
              <w:t>Compared to 2012</w:t>
            </w:r>
          </w:p>
        </w:tc>
        <w:tc>
          <w:tcPr>
            <w:tcW w:w="0" w:type="dxa"/>
            <w:vAlign w:val="bottom"/>
          </w:tcPr>
          <w:p>
            <w:pPr>
              <w:spacing w:after="0"/>
              <w:rPr>
                <w:sz w:val="1"/>
                <w:szCs w:val="1"/>
                <w:color w:val="auto"/>
              </w:rPr>
            </w:pPr>
          </w:p>
        </w:tc>
      </w:tr>
      <w:tr>
        <w:trPr>
          <w:trHeight w:val="117"/>
        </w:trPr>
        <w:tc>
          <w:tcPr>
            <w:tcW w:w="154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Named Executive Officer</w:t>
            </w:r>
          </w:p>
        </w:tc>
        <w:tc>
          <w:tcPr>
            <w:tcW w:w="1460" w:type="dxa"/>
            <w:vAlign w:val="bottom"/>
            <w:tcBorders>
              <w:bottom w:val="single" w:sz="8" w:color="105BAB"/>
            </w:tcBorders>
          </w:tcPr>
          <w:p>
            <w:pPr>
              <w:jc w:val="center"/>
              <w:ind w:right="72"/>
              <w:spacing w:after="0"/>
              <w:rPr>
                <w:sz w:val="20"/>
                <w:szCs w:val="20"/>
                <w:color w:val="auto"/>
              </w:rPr>
            </w:pPr>
            <w:r>
              <w:rPr>
                <w:rFonts w:ascii="Arial" w:cs="Arial" w:eastAsia="Arial" w:hAnsi="Arial"/>
                <w:sz w:val="10"/>
                <w:szCs w:val="10"/>
                <w:b w:val="1"/>
                <w:bCs w:val="1"/>
                <w:color w:val="105BAB"/>
                <w:w w:val="81"/>
              </w:rPr>
              <w:t>(#)</w:t>
            </w:r>
          </w:p>
        </w:tc>
        <w:tc>
          <w:tcPr>
            <w:tcW w:w="2060" w:type="dxa"/>
            <w:vAlign w:val="bottom"/>
            <w:tcBorders>
              <w:bottom w:val="single" w:sz="8" w:color="105BAB"/>
            </w:tcBorders>
          </w:tcPr>
          <w:p>
            <w:pPr>
              <w:ind w:left="920"/>
              <w:spacing w:after="0"/>
              <w:rPr>
                <w:sz w:val="20"/>
                <w:szCs w:val="20"/>
                <w:color w:val="auto"/>
              </w:rPr>
            </w:pPr>
            <w:r>
              <w:rPr>
                <w:rFonts w:ascii="Arial" w:cs="Arial" w:eastAsia="Arial" w:hAnsi="Arial"/>
                <w:sz w:val="10"/>
                <w:szCs w:val="10"/>
                <w:b w:val="1"/>
                <w:bCs w:val="1"/>
                <w:color w:val="105BAB"/>
              </w:rPr>
              <w:t>(%)</w:t>
            </w:r>
          </w:p>
        </w:tc>
        <w:tc>
          <w:tcPr>
            <w:tcW w:w="2220" w:type="dxa"/>
            <w:vAlign w:val="bottom"/>
            <w:tcBorders>
              <w:bottom w:val="single" w:sz="8" w:color="105BAB"/>
            </w:tcBorders>
          </w:tcPr>
          <w:p>
            <w:pPr>
              <w:jc w:val="center"/>
              <w:ind w:right="32"/>
              <w:spacing w:after="0"/>
              <w:rPr>
                <w:sz w:val="20"/>
                <w:szCs w:val="20"/>
                <w:color w:val="auto"/>
              </w:rPr>
            </w:pPr>
            <w:r>
              <w:rPr>
                <w:rFonts w:ascii="Arial" w:cs="Arial" w:eastAsia="Arial" w:hAnsi="Arial"/>
                <w:sz w:val="10"/>
                <w:szCs w:val="10"/>
                <w:b w:val="1"/>
                <w:bCs w:val="1"/>
                <w:color w:val="105BAB"/>
                <w:w w:val="89"/>
              </w:rPr>
              <w:t>(%)</w:t>
            </w:r>
          </w:p>
        </w:tc>
        <w:tc>
          <w:tcPr>
            <w:tcW w:w="262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w:t>
            </w:r>
          </w:p>
        </w:tc>
        <w:tc>
          <w:tcPr>
            <w:tcW w:w="0" w:type="dxa"/>
            <w:vAlign w:val="bottom"/>
          </w:tcPr>
          <w:p>
            <w:pPr>
              <w:spacing w:after="0"/>
              <w:rPr>
                <w:sz w:val="1"/>
                <w:szCs w:val="1"/>
                <w:color w:val="auto"/>
              </w:rPr>
            </w:pPr>
          </w:p>
        </w:tc>
      </w:tr>
      <w:tr>
        <w:trPr>
          <w:trHeight w:val="217"/>
        </w:trPr>
        <w:tc>
          <w:tcPr>
            <w:tcW w:w="1540" w:type="dxa"/>
            <w:vAlign w:val="bottom"/>
            <w:shd w:val="clear" w:color="auto" w:fill="F1F3F9"/>
          </w:tcPr>
          <w:p>
            <w:pPr>
              <w:ind w:left="60"/>
              <w:spacing w:after="0"/>
              <w:rPr>
                <w:sz w:val="20"/>
                <w:szCs w:val="20"/>
                <w:color w:val="auto"/>
              </w:rPr>
            </w:pPr>
            <w:r>
              <w:rPr>
                <w:rFonts w:ascii="Arial" w:cs="Arial" w:eastAsia="Arial" w:hAnsi="Arial"/>
                <w:sz w:val="10"/>
                <w:szCs w:val="10"/>
                <w:color w:val="auto"/>
              </w:rPr>
              <w:t>Leonard S. Schleifer,</w:t>
            </w:r>
          </w:p>
        </w:tc>
        <w:tc>
          <w:tcPr>
            <w:tcW w:w="1460" w:type="dxa"/>
            <w:vAlign w:val="bottom"/>
            <w:vMerge w:val="restart"/>
            <w:shd w:val="clear" w:color="auto" w:fill="F1F3F9"/>
          </w:tcPr>
          <w:p>
            <w:pPr>
              <w:jc w:val="right"/>
              <w:ind w:right="572"/>
              <w:spacing w:after="0"/>
              <w:rPr>
                <w:sz w:val="20"/>
                <w:szCs w:val="20"/>
                <w:color w:val="auto"/>
              </w:rPr>
            </w:pPr>
            <w:r>
              <w:rPr>
                <w:rFonts w:ascii="Arial" w:cs="Arial" w:eastAsia="Arial" w:hAnsi="Arial"/>
                <w:sz w:val="10"/>
                <w:szCs w:val="10"/>
                <w:color w:val="auto"/>
              </w:rPr>
              <w:t>139,474</w:t>
            </w:r>
          </w:p>
        </w:tc>
        <w:tc>
          <w:tcPr>
            <w:tcW w:w="2060" w:type="dxa"/>
            <w:vAlign w:val="bottom"/>
            <w:vMerge w:val="restart"/>
            <w:shd w:val="clear" w:color="auto" w:fill="F1F3F9"/>
          </w:tcPr>
          <w:p>
            <w:pPr>
              <w:ind w:left="920"/>
              <w:spacing w:after="0"/>
              <w:rPr>
                <w:sz w:val="20"/>
                <w:szCs w:val="20"/>
                <w:color w:val="auto"/>
              </w:rPr>
            </w:pPr>
            <w:r>
              <w:rPr>
                <w:rFonts w:ascii="Arial" w:cs="Arial" w:eastAsia="Arial" w:hAnsi="Arial"/>
                <w:sz w:val="10"/>
                <w:szCs w:val="10"/>
                <w:color w:val="auto"/>
              </w:rPr>
              <w:t>-5%</w:t>
            </w:r>
          </w:p>
        </w:tc>
        <w:tc>
          <w:tcPr>
            <w:tcW w:w="2220" w:type="dxa"/>
            <w:vAlign w:val="bottom"/>
            <w:vMerge w:val="restart"/>
            <w:shd w:val="clear" w:color="auto" w:fill="F1F3F9"/>
          </w:tcPr>
          <w:p>
            <w:pPr>
              <w:jc w:val="center"/>
              <w:ind w:right="32"/>
              <w:spacing w:after="0"/>
              <w:rPr>
                <w:sz w:val="20"/>
                <w:szCs w:val="20"/>
                <w:color w:val="auto"/>
              </w:rPr>
            </w:pPr>
            <w:r>
              <w:rPr>
                <w:rFonts w:ascii="Arial" w:cs="Arial" w:eastAsia="Arial" w:hAnsi="Arial"/>
                <w:sz w:val="10"/>
                <w:szCs w:val="10"/>
                <w:color w:val="auto"/>
                <w:w w:val="94"/>
              </w:rPr>
              <w:t>-11%</w:t>
            </w:r>
          </w:p>
        </w:tc>
        <w:tc>
          <w:tcPr>
            <w:tcW w:w="2620" w:type="dxa"/>
            <w:vAlign w:val="bottom"/>
            <w:vMerge w:val="restart"/>
            <w:shd w:val="clear" w:color="auto" w:fill="F1F3F9"/>
          </w:tcPr>
          <w:p>
            <w:pPr>
              <w:jc w:val="center"/>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05"/>
        </w:trPr>
        <w:tc>
          <w:tcPr>
            <w:tcW w:w="1540" w:type="dxa"/>
            <w:vAlign w:val="bottom"/>
            <w:tcBorders>
              <w:bottom w:val="single" w:sz="8" w:color="F1F3F9"/>
            </w:tcBorders>
            <w:shd w:val="clear" w:color="auto" w:fill="F1F3F9"/>
          </w:tcPr>
          <w:p>
            <w:pPr>
              <w:ind w:left="60"/>
              <w:spacing w:after="0" w:line="105" w:lineRule="exact"/>
              <w:rPr>
                <w:sz w:val="20"/>
                <w:szCs w:val="20"/>
                <w:color w:val="auto"/>
              </w:rPr>
            </w:pPr>
            <w:r>
              <w:rPr>
                <w:rFonts w:ascii="Arial" w:cs="Arial" w:eastAsia="Arial" w:hAnsi="Arial"/>
                <w:sz w:val="10"/>
                <w:szCs w:val="10"/>
                <w:color w:val="auto"/>
              </w:rPr>
              <w:t>M.D., Ph.D.</w:t>
            </w:r>
          </w:p>
        </w:tc>
        <w:tc>
          <w:tcPr>
            <w:tcW w:w="1460" w:type="dxa"/>
            <w:vAlign w:val="bottom"/>
            <w:tcBorders>
              <w:bottom w:val="single" w:sz="8" w:color="F1F3F9"/>
            </w:tcBorders>
            <w:vMerge w:val="continue"/>
            <w:shd w:val="clear" w:color="auto" w:fill="F1F3F9"/>
          </w:tcPr>
          <w:p>
            <w:pPr>
              <w:spacing w:after="0"/>
              <w:rPr>
                <w:sz w:val="9"/>
                <w:szCs w:val="9"/>
                <w:color w:val="auto"/>
              </w:rPr>
            </w:pPr>
          </w:p>
        </w:tc>
        <w:tc>
          <w:tcPr>
            <w:tcW w:w="2060" w:type="dxa"/>
            <w:vAlign w:val="bottom"/>
            <w:tcBorders>
              <w:bottom w:val="single" w:sz="8" w:color="F1F3F9"/>
            </w:tcBorders>
            <w:vMerge w:val="continue"/>
            <w:shd w:val="clear" w:color="auto" w:fill="F1F3F9"/>
          </w:tcPr>
          <w:p>
            <w:pPr>
              <w:spacing w:after="0"/>
              <w:rPr>
                <w:sz w:val="9"/>
                <w:szCs w:val="9"/>
                <w:color w:val="auto"/>
              </w:rPr>
            </w:pPr>
          </w:p>
        </w:tc>
        <w:tc>
          <w:tcPr>
            <w:tcW w:w="2220" w:type="dxa"/>
            <w:vAlign w:val="bottom"/>
            <w:tcBorders>
              <w:bottom w:val="single" w:sz="8" w:color="F1F3F9"/>
            </w:tcBorders>
            <w:vMerge w:val="continue"/>
            <w:shd w:val="clear" w:color="auto" w:fill="F1F3F9"/>
          </w:tcPr>
          <w:p>
            <w:pPr>
              <w:spacing w:after="0"/>
              <w:rPr>
                <w:sz w:val="9"/>
                <w:szCs w:val="9"/>
                <w:color w:val="auto"/>
              </w:rPr>
            </w:pPr>
          </w:p>
        </w:tc>
        <w:tc>
          <w:tcPr>
            <w:tcW w:w="2620" w:type="dxa"/>
            <w:vAlign w:val="bottom"/>
            <w:tcBorders>
              <w:bottom w:val="single" w:sz="8" w:color="F1F3F9"/>
            </w:tcBorders>
            <w:vMerge w:val="continue"/>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540" w:type="dxa"/>
            <w:vAlign w:val="bottom"/>
            <w:tcBorders>
              <w:top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George D. Yancopoulos,</w:t>
            </w:r>
          </w:p>
        </w:tc>
        <w:tc>
          <w:tcPr>
            <w:tcW w:w="1460" w:type="dxa"/>
            <w:vAlign w:val="bottom"/>
            <w:tcBorders>
              <w:top w:val="single" w:sz="8" w:color="auto"/>
            </w:tcBorders>
            <w:vMerge w:val="restart"/>
            <w:shd w:val="clear" w:color="auto" w:fill="D6DAEE"/>
          </w:tcPr>
          <w:p>
            <w:pPr>
              <w:jc w:val="right"/>
              <w:ind w:right="572"/>
              <w:spacing w:after="0"/>
              <w:rPr>
                <w:sz w:val="20"/>
                <w:szCs w:val="20"/>
                <w:color w:val="auto"/>
              </w:rPr>
            </w:pPr>
            <w:r>
              <w:rPr>
                <w:rFonts w:ascii="Arial" w:cs="Arial" w:eastAsia="Arial" w:hAnsi="Arial"/>
                <w:sz w:val="10"/>
                <w:szCs w:val="10"/>
                <w:color w:val="auto"/>
              </w:rPr>
              <w:t>139,474</w:t>
            </w:r>
          </w:p>
        </w:tc>
        <w:tc>
          <w:tcPr>
            <w:tcW w:w="2060" w:type="dxa"/>
            <w:vAlign w:val="bottom"/>
            <w:tcBorders>
              <w:top w:val="single" w:sz="8" w:color="auto"/>
            </w:tcBorders>
            <w:vMerge w:val="restart"/>
            <w:shd w:val="clear" w:color="auto" w:fill="D6DAEE"/>
          </w:tcPr>
          <w:p>
            <w:pPr>
              <w:ind w:left="920"/>
              <w:spacing w:after="0"/>
              <w:rPr>
                <w:sz w:val="20"/>
                <w:szCs w:val="20"/>
                <w:color w:val="auto"/>
              </w:rPr>
            </w:pPr>
            <w:r>
              <w:rPr>
                <w:rFonts w:ascii="Arial" w:cs="Arial" w:eastAsia="Arial" w:hAnsi="Arial"/>
                <w:sz w:val="10"/>
                <w:szCs w:val="10"/>
                <w:color w:val="auto"/>
              </w:rPr>
              <w:t>-5%</w:t>
            </w:r>
          </w:p>
        </w:tc>
        <w:tc>
          <w:tcPr>
            <w:tcW w:w="2220" w:type="dxa"/>
            <w:vAlign w:val="bottom"/>
            <w:tcBorders>
              <w:top w:val="single" w:sz="8" w:color="auto"/>
            </w:tcBorders>
            <w:vMerge w:val="restart"/>
            <w:shd w:val="clear" w:color="auto" w:fill="D6DAEE"/>
          </w:tcPr>
          <w:p>
            <w:pPr>
              <w:jc w:val="center"/>
              <w:ind w:right="32"/>
              <w:spacing w:after="0"/>
              <w:rPr>
                <w:sz w:val="20"/>
                <w:szCs w:val="20"/>
                <w:color w:val="auto"/>
              </w:rPr>
            </w:pPr>
            <w:r>
              <w:rPr>
                <w:rFonts w:ascii="Arial" w:cs="Arial" w:eastAsia="Arial" w:hAnsi="Arial"/>
                <w:sz w:val="10"/>
                <w:szCs w:val="10"/>
                <w:color w:val="auto"/>
                <w:w w:val="94"/>
              </w:rPr>
              <w:t>-11%</w:t>
            </w:r>
          </w:p>
        </w:tc>
        <w:tc>
          <w:tcPr>
            <w:tcW w:w="2620" w:type="dxa"/>
            <w:vAlign w:val="bottom"/>
            <w:tcBorders>
              <w:top w:val="single" w:sz="8" w:color="auto"/>
            </w:tcBorders>
            <w:vMerge w:val="restart"/>
            <w:shd w:val="clear" w:color="auto" w:fill="D6DAEE"/>
          </w:tcPr>
          <w:p>
            <w:pPr>
              <w:jc w:val="center"/>
              <w:spacing w:after="0"/>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05"/>
        </w:trPr>
        <w:tc>
          <w:tcPr>
            <w:tcW w:w="1540" w:type="dxa"/>
            <w:vAlign w:val="bottom"/>
            <w:tcBorders>
              <w:bottom w:val="single" w:sz="8" w:color="D6DAEE"/>
            </w:tcBorders>
            <w:shd w:val="clear" w:color="auto" w:fill="D6DAEE"/>
          </w:tcPr>
          <w:p>
            <w:pPr>
              <w:ind w:left="60"/>
              <w:spacing w:after="0" w:line="105" w:lineRule="exact"/>
              <w:rPr>
                <w:sz w:val="20"/>
                <w:szCs w:val="20"/>
                <w:color w:val="auto"/>
              </w:rPr>
            </w:pPr>
            <w:r>
              <w:rPr>
                <w:rFonts w:ascii="Arial" w:cs="Arial" w:eastAsia="Arial" w:hAnsi="Arial"/>
                <w:sz w:val="10"/>
                <w:szCs w:val="10"/>
                <w:color w:val="auto"/>
              </w:rPr>
              <w:t>M.D., Ph.D.</w:t>
            </w:r>
          </w:p>
        </w:tc>
        <w:tc>
          <w:tcPr>
            <w:tcW w:w="1460" w:type="dxa"/>
            <w:vAlign w:val="bottom"/>
            <w:tcBorders>
              <w:bottom w:val="single" w:sz="8" w:color="D6DAEE"/>
            </w:tcBorders>
            <w:vMerge w:val="continue"/>
            <w:shd w:val="clear" w:color="auto" w:fill="D6DAEE"/>
          </w:tcPr>
          <w:p>
            <w:pPr>
              <w:spacing w:after="0"/>
              <w:rPr>
                <w:sz w:val="9"/>
                <w:szCs w:val="9"/>
                <w:color w:val="auto"/>
              </w:rPr>
            </w:pPr>
          </w:p>
        </w:tc>
        <w:tc>
          <w:tcPr>
            <w:tcW w:w="2060" w:type="dxa"/>
            <w:vAlign w:val="bottom"/>
            <w:tcBorders>
              <w:bottom w:val="single" w:sz="8" w:color="D6DAEE"/>
            </w:tcBorders>
            <w:vMerge w:val="continue"/>
            <w:shd w:val="clear" w:color="auto" w:fill="D6DAEE"/>
          </w:tcPr>
          <w:p>
            <w:pPr>
              <w:spacing w:after="0"/>
              <w:rPr>
                <w:sz w:val="9"/>
                <w:szCs w:val="9"/>
                <w:color w:val="auto"/>
              </w:rPr>
            </w:pPr>
          </w:p>
        </w:tc>
        <w:tc>
          <w:tcPr>
            <w:tcW w:w="2220" w:type="dxa"/>
            <w:vAlign w:val="bottom"/>
            <w:tcBorders>
              <w:bottom w:val="single" w:sz="8" w:color="D6DAEE"/>
            </w:tcBorders>
            <w:vMerge w:val="continue"/>
            <w:shd w:val="clear" w:color="auto" w:fill="D6DAEE"/>
          </w:tcPr>
          <w:p>
            <w:pPr>
              <w:spacing w:after="0"/>
              <w:rPr>
                <w:sz w:val="9"/>
                <w:szCs w:val="9"/>
                <w:color w:val="auto"/>
              </w:rPr>
            </w:pPr>
          </w:p>
        </w:tc>
        <w:tc>
          <w:tcPr>
            <w:tcW w:w="2620" w:type="dxa"/>
            <w:vAlign w:val="bottom"/>
            <w:tcBorders>
              <w:bottom w:val="single" w:sz="8" w:color="D6DAEE"/>
            </w:tcBorders>
            <w:vMerge w:val="continue"/>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540" w:type="dxa"/>
            <w:vAlign w:val="bottom"/>
            <w:tcBorders>
              <w:top w:val="single" w:sz="8" w:color="auto"/>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Robert E. Landry</w:t>
            </w:r>
          </w:p>
        </w:tc>
        <w:tc>
          <w:tcPr>
            <w:tcW w:w="1460" w:type="dxa"/>
            <w:vAlign w:val="bottom"/>
            <w:tcBorders>
              <w:top w:val="single" w:sz="8" w:color="auto"/>
              <w:bottom w:val="single" w:sz="8" w:color="auto"/>
            </w:tcBorders>
            <w:shd w:val="clear" w:color="auto" w:fill="F1F3F9"/>
          </w:tcPr>
          <w:p>
            <w:pPr>
              <w:jc w:val="right"/>
              <w:ind w:right="572"/>
              <w:spacing w:after="0"/>
              <w:rPr>
                <w:sz w:val="20"/>
                <w:szCs w:val="20"/>
                <w:color w:val="auto"/>
              </w:rPr>
            </w:pPr>
            <w:r>
              <w:rPr>
                <w:rFonts w:ascii="Arial" w:cs="Arial" w:eastAsia="Arial" w:hAnsi="Arial"/>
                <w:sz w:val="10"/>
                <w:szCs w:val="10"/>
                <w:color w:val="auto"/>
              </w:rPr>
              <w:t>23,337</w:t>
            </w:r>
          </w:p>
        </w:tc>
        <w:tc>
          <w:tcPr>
            <w:tcW w:w="2060" w:type="dxa"/>
            <w:vAlign w:val="bottom"/>
            <w:tcBorders>
              <w:top w:val="single" w:sz="8" w:color="auto"/>
              <w:bottom w:val="single" w:sz="8" w:color="auto"/>
            </w:tcBorders>
            <w:shd w:val="clear" w:color="auto" w:fill="F1F3F9"/>
          </w:tcPr>
          <w:p>
            <w:pPr>
              <w:ind w:left="920"/>
              <w:spacing w:after="0"/>
              <w:rPr>
                <w:sz w:val="20"/>
                <w:szCs w:val="20"/>
                <w:color w:val="auto"/>
              </w:rPr>
            </w:pPr>
            <w:r>
              <w:rPr>
                <w:rFonts w:ascii="Arial" w:cs="Arial" w:eastAsia="Arial" w:hAnsi="Arial"/>
                <w:sz w:val="10"/>
                <w:szCs w:val="10"/>
                <w:color w:val="auto"/>
              </w:rPr>
              <w:t>-5%</w:t>
            </w:r>
          </w:p>
        </w:tc>
        <w:tc>
          <w:tcPr>
            <w:tcW w:w="2220" w:type="dxa"/>
            <w:vAlign w:val="bottom"/>
            <w:tcBorders>
              <w:top w:val="single" w:sz="8" w:color="auto"/>
              <w:bottom w:val="single" w:sz="8" w:color="auto"/>
            </w:tcBorders>
            <w:shd w:val="clear" w:color="auto" w:fill="F1F3F9"/>
          </w:tcPr>
          <w:p>
            <w:pPr>
              <w:jc w:val="center"/>
              <w:ind w:right="32"/>
              <w:spacing w:after="0"/>
              <w:rPr>
                <w:sz w:val="20"/>
                <w:szCs w:val="20"/>
                <w:color w:val="auto"/>
              </w:rPr>
            </w:pPr>
            <w:r>
              <w:rPr>
                <w:rFonts w:ascii="Arial" w:cs="Arial" w:eastAsia="Arial" w:hAnsi="Arial"/>
                <w:sz w:val="10"/>
                <w:szCs w:val="10"/>
                <w:color w:val="auto"/>
                <w:w w:val="94"/>
              </w:rPr>
              <w:t>-11%</w:t>
            </w:r>
          </w:p>
        </w:tc>
        <w:tc>
          <w:tcPr>
            <w:tcW w:w="2620" w:type="dxa"/>
            <w:vAlign w:val="bottom"/>
            <w:tcBorders>
              <w:top w:val="single" w:sz="8" w:color="auto"/>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7"/>
              </w:rPr>
              <w:t>N/A</w:t>
            </w:r>
            <w:r>
              <w:rPr>
                <w:rFonts w:ascii="Arial" w:cs="Arial" w:eastAsia="Arial" w:hAnsi="Arial"/>
                <w:sz w:val="7"/>
                <w:szCs w:val="7"/>
                <w:color w:val="auto"/>
                <w:w w:val="97"/>
              </w:rPr>
              <w:t>2</w:t>
            </w:r>
          </w:p>
        </w:tc>
        <w:tc>
          <w:tcPr>
            <w:tcW w:w="0" w:type="dxa"/>
            <w:vAlign w:val="bottom"/>
          </w:tcPr>
          <w:p>
            <w:pPr>
              <w:spacing w:after="0"/>
              <w:rPr>
                <w:sz w:val="1"/>
                <w:szCs w:val="1"/>
                <w:color w:val="auto"/>
              </w:rPr>
            </w:pPr>
          </w:p>
        </w:tc>
      </w:tr>
      <w:tr>
        <w:trPr>
          <w:trHeight w:val="232"/>
        </w:trPr>
        <w:tc>
          <w:tcPr>
            <w:tcW w:w="154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Neil Stahl, Ph.D.</w:t>
            </w:r>
          </w:p>
        </w:tc>
        <w:tc>
          <w:tcPr>
            <w:tcW w:w="1460" w:type="dxa"/>
            <w:vAlign w:val="bottom"/>
            <w:tcBorders>
              <w:bottom w:val="single" w:sz="8" w:color="auto"/>
            </w:tcBorders>
            <w:shd w:val="clear" w:color="auto" w:fill="D6DAEE"/>
          </w:tcPr>
          <w:p>
            <w:pPr>
              <w:jc w:val="right"/>
              <w:ind w:right="572"/>
              <w:spacing w:after="0"/>
              <w:rPr>
                <w:sz w:val="20"/>
                <w:szCs w:val="20"/>
                <w:color w:val="auto"/>
              </w:rPr>
            </w:pPr>
            <w:r>
              <w:rPr>
                <w:rFonts w:ascii="Arial" w:cs="Arial" w:eastAsia="Arial" w:hAnsi="Arial"/>
                <w:sz w:val="10"/>
                <w:szCs w:val="10"/>
                <w:color w:val="auto"/>
              </w:rPr>
              <w:t>50,000</w:t>
            </w:r>
          </w:p>
        </w:tc>
        <w:tc>
          <w:tcPr>
            <w:tcW w:w="2060" w:type="dxa"/>
            <w:vAlign w:val="bottom"/>
            <w:tcBorders>
              <w:bottom w:val="single" w:sz="8" w:color="auto"/>
            </w:tcBorders>
            <w:shd w:val="clear" w:color="auto" w:fill="D6DAEE"/>
          </w:tcPr>
          <w:p>
            <w:pPr>
              <w:jc w:val="center"/>
              <w:ind w:right="852"/>
              <w:spacing w:after="0"/>
              <w:rPr>
                <w:sz w:val="20"/>
                <w:szCs w:val="20"/>
                <w:color w:val="auto"/>
              </w:rPr>
            </w:pPr>
            <w:r>
              <w:rPr>
                <w:rFonts w:ascii="Arial" w:cs="Arial" w:eastAsia="Arial" w:hAnsi="Arial"/>
                <w:sz w:val="10"/>
                <w:szCs w:val="10"/>
                <w:color w:val="auto"/>
              </w:rPr>
              <w:t>-14%</w:t>
            </w:r>
            <w:r>
              <w:rPr>
                <w:rFonts w:ascii="Arial" w:cs="Arial" w:eastAsia="Arial" w:hAnsi="Arial"/>
                <w:sz w:val="7"/>
                <w:szCs w:val="7"/>
                <w:color w:val="auto"/>
              </w:rPr>
              <w:t>3</w:t>
            </w:r>
          </w:p>
        </w:tc>
        <w:tc>
          <w:tcPr>
            <w:tcW w:w="2220" w:type="dxa"/>
            <w:vAlign w:val="bottom"/>
            <w:tcBorders>
              <w:bottom w:val="single" w:sz="8" w:color="auto"/>
            </w:tcBorders>
            <w:shd w:val="clear" w:color="auto" w:fill="D6DAEE"/>
          </w:tcPr>
          <w:p>
            <w:pPr>
              <w:jc w:val="center"/>
              <w:ind w:right="32"/>
              <w:spacing w:after="0"/>
              <w:rPr>
                <w:sz w:val="20"/>
                <w:szCs w:val="20"/>
                <w:color w:val="auto"/>
              </w:rPr>
            </w:pPr>
            <w:r>
              <w:rPr>
                <w:rFonts w:ascii="Arial" w:cs="Arial" w:eastAsia="Arial" w:hAnsi="Arial"/>
                <w:sz w:val="10"/>
                <w:szCs w:val="10"/>
                <w:color w:val="auto"/>
                <w:w w:val="94"/>
              </w:rPr>
              <w:t>-20%</w:t>
            </w:r>
          </w:p>
        </w:tc>
        <w:tc>
          <w:tcPr>
            <w:tcW w:w="262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232"/>
        </w:trPr>
        <w:tc>
          <w:tcPr>
            <w:tcW w:w="1540" w:type="dxa"/>
            <w:vAlign w:val="bottom"/>
            <w:tcBorders>
              <w:bottom w:val="single" w:sz="8" w:color="105BAB"/>
            </w:tcBorders>
            <w:shd w:val="clear" w:color="auto" w:fill="F1F3F9"/>
          </w:tcPr>
          <w:p>
            <w:pPr>
              <w:ind w:left="60"/>
              <w:spacing w:after="0"/>
              <w:rPr>
                <w:sz w:val="20"/>
                <w:szCs w:val="20"/>
                <w:color w:val="auto"/>
              </w:rPr>
            </w:pPr>
            <w:r>
              <w:rPr>
                <w:rFonts w:ascii="Arial" w:cs="Arial" w:eastAsia="Arial" w:hAnsi="Arial"/>
                <w:sz w:val="10"/>
                <w:szCs w:val="10"/>
                <w:color w:val="auto"/>
              </w:rPr>
              <w:t>Daniel P. Van Plew</w:t>
            </w:r>
          </w:p>
        </w:tc>
        <w:tc>
          <w:tcPr>
            <w:tcW w:w="1460" w:type="dxa"/>
            <w:vAlign w:val="bottom"/>
            <w:tcBorders>
              <w:bottom w:val="single" w:sz="8" w:color="105BAB"/>
            </w:tcBorders>
            <w:shd w:val="clear" w:color="auto" w:fill="F1F3F9"/>
          </w:tcPr>
          <w:p>
            <w:pPr>
              <w:jc w:val="right"/>
              <w:ind w:right="572"/>
              <w:spacing w:after="0"/>
              <w:rPr>
                <w:sz w:val="20"/>
                <w:szCs w:val="20"/>
                <w:color w:val="auto"/>
              </w:rPr>
            </w:pPr>
            <w:r>
              <w:rPr>
                <w:rFonts w:ascii="Arial" w:cs="Arial" w:eastAsia="Arial" w:hAnsi="Arial"/>
                <w:sz w:val="10"/>
                <w:szCs w:val="10"/>
                <w:color w:val="auto"/>
              </w:rPr>
              <w:t>50,000</w:t>
            </w:r>
          </w:p>
        </w:tc>
        <w:tc>
          <w:tcPr>
            <w:tcW w:w="2060" w:type="dxa"/>
            <w:vAlign w:val="bottom"/>
            <w:tcBorders>
              <w:bottom w:val="single" w:sz="8" w:color="105BAB"/>
            </w:tcBorders>
            <w:shd w:val="clear" w:color="auto" w:fill="F1F3F9"/>
          </w:tcPr>
          <w:p>
            <w:pPr>
              <w:jc w:val="center"/>
              <w:ind w:right="872"/>
              <w:spacing w:after="0"/>
              <w:rPr>
                <w:sz w:val="20"/>
                <w:szCs w:val="20"/>
                <w:color w:val="auto"/>
              </w:rPr>
            </w:pPr>
            <w:r>
              <w:rPr>
                <w:rFonts w:ascii="Arial" w:cs="Arial" w:eastAsia="Arial" w:hAnsi="Arial"/>
                <w:sz w:val="10"/>
                <w:szCs w:val="10"/>
                <w:color w:val="auto"/>
              </w:rPr>
              <w:t>47%</w:t>
            </w:r>
            <w:r>
              <w:rPr>
                <w:rFonts w:ascii="Arial" w:cs="Arial" w:eastAsia="Arial" w:hAnsi="Arial"/>
                <w:sz w:val="7"/>
                <w:szCs w:val="7"/>
                <w:color w:val="auto"/>
              </w:rPr>
              <w:t>4</w:t>
            </w:r>
          </w:p>
        </w:tc>
        <w:tc>
          <w:tcPr>
            <w:tcW w:w="2220" w:type="dxa"/>
            <w:vAlign w:val="bottom"/>
            <w:tcBorders>
              <w:bottom w:val="single" w:sz="8" w:color="105BAB"/>
            </w:tcBorders>
            <w:shd w:val="clear" w:color="auto" w:fill="F1F3F9"/>
          </w:tcPr>
          <w:p>
            <w:pPr>
              <w:jc w:val="center"/>
              <w:ind w:right="32"/>
              <w:spacing w:after="0"/>
              <w:rPr>
                <w:sz w:val="20"/>
                <w:szCs w:val="20"/>
                <w:color w:val="auto"/>
              </w:rPr>
            </w:pPr>
            <w:r>
              <w:rPr>
                <w:rFonts w:ascii="Arial" w:cs="Arial" w:eastAsia="Arial" w:hAnsi="Arial"/>
                <w:sz w:val="10"/>
                <w:szCs w:val="10"/>
                <w:color w:val="auto"/>
                <w:w w:val="89"/>
              </w:rPr>
              <w:t>38%</w:t>
            </w:r>
          </w:p>
        </w:tc>
        <w:tc>
          <w:tcPr>
            <w:tcW w:w="2620" w:type="dxa"/>
            <w:vAlign w:val="bottom"/>
            <w:tcBorders>
              <w:bottom w:val="single" w:sz="8" w:color="105BAB"/>
            </w:tcBorders>
            <w:shd w:val="clear" w:color="auto" w:fill="F1F3F9"/>
          </w:tcPr>
          <w:p>
            <w:pPr>
              <w:jc w:val="center"/>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800" w:right="100" w:hanging="216"/>
        <w:spacing w:after="0" w:line="225" w:lineRule="auto"/>
        <w:tabs>
          <w:tab w:leader="none" w:pos="1800" w:val="left"/>
        </w:tabs>
        <w:numPr>
          <w:ilvl w:val="0"/>
          <w:numId w:val="72"/>
        </w:numPr>
        <w:rPr>
          <w:rFonts w:ascii="Arial" w:cs="Arial" w:eastAsia="Arial" w:hAnsi="Arial"/>
          <w:sz w:val="10"/>
          <w:szCs w:val="10"/>
          <w:color w:val="105BAB"/>
        </w:rPr>
      </w:pPr>
      <w:r>
        <w:rPr>
          <w:rFonts w:ascii="Arial" w:cs="Arial" w:eastAsia="Arial" w:hAnsi="Arial"/>
          <w:sz w:val="10"/>
          <w:szCs w:val="10"/>
          <w:color w:val="auto"/>
        </w:rPr>
        <w:t>These stock options all have an exercise price of $378.98 per share, the average of the high and low sales price per share of our common stock as quoted on the NASDAQ Global Select Market on the date of grant. All of these grants consist of non-qualified stock options, which vest ratably over a period of four years. Except as set forth below in the subsection "Compensation Dashboard—2017 Compensation Tables—Post-Employment Compensation," stock option vesting ceases, and unvested stock options are forfeited, upon termination of employment.</w:t>
      </w:r>
    </w:p>
    <w:p>
      <w:pPr>
        <w:ind w:left="1800" w:hanging="216"/>
        <w:spacing w:after="0" w:line="227" w:lineRule="auto"/>
        <w:tabs>
          <w:tab w:leader="none" w:pos="1800" w:val="left"/>
        </w:tabs>
        <w:numPr>
          <w:ilvl w:val="0"/>
          <w:numId w:val="73"/>
        </w:numPr>
        <w:rPr>
          <w:rFonts w:ascii="Arial" w:cs="Arial" w:eastAsia="Arial" w:hAnsi="Arial"/>
          <w:sz w:val="10"/>
          <w:szCs w:val="10"/>
          <w:color w:val="105BAB"/>
        </w:rPr>
      </w:pPr>
      <w:r>
        <w:rPr>
          <w:rFonts w:ascii="Arial" w:cs="Arial" w:eastAsia="Arial" w:hAnsi="Arial"/>
          <w:sz w:val="10"/>
          <w:szCs w:val="10"/>
          <w:color w:val="auto"/>
        </w:rPr>
        <w:t>Mr. Landry was hired in 2013.</w:t>
      </w:r>
    </w:p>
    <w:p>
      <w:pPr>
        <w:ind w:left="1800" w:hanging="216"/>
        <w:spacing w:after="0" w:line="225" w:lineRule="auto"/>
        <w:tabs>
          <w:tab w:leader="none" w:pos="1800" w:val="left"/>
        </w:tabs>
        <w:numPr>
          <w:ilvl w:val="0"/>
          <w:numId w:val="74"/>
        </w:numPr>
        <w:rPr>
          <w:rFonts w:ascii="Arial" w:cs="Arial" w:eastAsia="Arial" w:hAnsi="Arial"/>
          <w:sz w:val="10"/>
          <w:szCs w:val="10"/>
          <w:color w:val="105BAB"/>
        </w:rPr>
      </w:pPr>
      <w:r>
        <w:rPr>
          <w:rFonts w:ascii="Arial" w:cs="Arial" w:eastAsia="Arial" w:hAnsi="Arial"/>
          <w:sz w:val="10"/>
          <w:szCs w:val="10"/>
          <w:color w:val="auto"/>
        </w:rPr>
        <w:t>This adjustment reflects a realignment of responsibilities within the Company's research and development function.</w:t>
      </w:r>
    </w:p>
    <w:p>
      <w:pPr>
        <w:ind w:left="1800" w:right="340" w:hanging="216"/>
        <w:spacing w:after="0" w:line="232" w:lineRule="auto"/>
        <w:tabs>
          <w:tab w:leader="none" w:pos="1800" w:val="left"/>
        </w:tabs>
        <w:numPr>
          <w:ilvl w:val="0"/>
          <w:numId w:val="75"/>
        </w:numPr>
        <w:rPr>
          <w:rFonts w:ascii="Arial" w:cs="Arial" w:eastAsia="Arial" w:hAnsi="Arial"/>
          <w:sz w:val="10"/>
          <w:szCs w:val="10"/>
          <w:color w:val="105BAB"/>
        </w:rPr>
      </w:pPr>
      <w:r>
        <w:rPr>
          <w:rFonts w:ascii="Arial" w:cs="Arial" w:eastAsia="Arial" w:hAnsi="Arial"/>
          <w:sz w:val="10"/>
          <w:szCs w:val="10"/>
          <w:color w:val="auto"/>
        </w:rPr>
        <w:t>This adjustment takes into account the increased importance to Regeneron's business, growth in the number of employees, and strong and reliable performance of the Company's Industrial Operations and Product Supply organization, including successful completion of all regulatory audits in 2017 and significant expansion of commercial and clinical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2376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color w:val="105BAB"/>
        </w:rPr>
        <w:t>PERQUISITES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105BAB"/>
        </w:rPr>
        <w:t>AND</w:t>
      </w:r>
    </w:p>
    <w:p>
      <w:pPr>
        <w:spacing w:after="0"/>
        <w:rPr>
          <w:sz w:val="20"/>
          <w:szCs w:val="20"/>
          <w:color w:val="auto"/>
        </w:rPr>
      </w:pPr>
      <w:r>
        <w:rPr>
          <w:rFonts w:ascii="Arial" w:cs="Arial" w:eastAsia="Arial" w:hAnsi="Arial"/>
          <w:sz w:val="22"/>
          <w:szCs w:val="22"/>
          <w:color w:val="105BAB"/>
        </w:rPr>
        <w:t>PERSONAL</w:t>
      </w:r>
    </w:p>
    <w:p>
      <w:pPr>
        <w:spacing w:after="0"/>
        <w:rPr>
          <w:sz w:val="20"/>
          <w:szCs w:val="20"/>
          <w:color w:val="auto"/>
        </w:rPr>
      </w:pPr>
      <w:r>
        <w:rPr>
          <w:rFonts w:ascii="Arial" w:cs="Arial" w:eastAsia="Arial" w:hAnsi="Arial"/>
          <w:sz w:val="22"/>
          <w:szCs w:val="22"/>
          <w:color w:val="105BAB"/>
        </w:rPr>
        <w:t>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ind w:right="180"/>
        <w:spacing w:after="0" w:line="236" w:lineRule="auto"/>
        <w:rPr>
          <w:sz w:val="20"/>
          <w:szCs w:val="20"/>
          <w:color w:val="auto"/>
        </w:rPr>
      </w:pPr>
      <w:r>
        <w:rPr>
          <w:rFonts w:ascii="Arial" w:cs="Arial" w:eastAsia="Arial" w:hAnsi="Arial"/>
          <w:sz w:val="12"/>
          <w:szCs w:val="12"/>
          <w:color w:val="auto"/>
        </w:rPr>
        <w:t>Similar to other employees, our NEOs may participate in Company-wide health, disability, life insurance, and other benefit plans, as well as our 401(k) Savings Plan. See details concerning the 401(k) Savings Plan in the subsection "Compensation Dashboard—Additional Compensation Information—Perquisites and Personal Benefits." Our NEOs are eligible to receive a limited number of additional perquisites. These include financial and tax planning assistance, which are taxable benefits.</w:t>
      </w:r>
    </w:p>
    <w:p>
      <w:pPr>
        <w:spacing w:after="0" w:line="141" w:lineRule="exact"/>
        <w:rPr>
          <w:sz w:val="20"/>
          <w:szCs w:val="20"/>
          <w:color w:val="auto"/>
        </w:rPr>
      </w:pPr>
    </w:p>
    <w:p>
      <w:pPr>
        <w:ind w:right="160"/>
        <w:spacing w:after="0" w:line="237" w:lineRule="auto"/>
        <w:rPr>
          <w:sz w:val="20"/>
          <w:szCs w:val="20"/>
          <w:color w:val="auto"/>
        </w:rPr>
      </w:pPr>
      <w:r>
        <w:rPr>
          <w:rFonts w:ascii="Arial" w:cs="Arial" w:eastAsia="Arial" w:hAnsi="Arial"/>
          <w:sz w:val="12"/>
          <w:szCs w:val="12"/>
          <w:color w:val="auto"/>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spacing w:after="0" w:line="141" w:lineRule="exact"/>
        <w:rPr>
          <w:sz w:val="20"/>
          <w:szCs w:val="20"/>
          <w:color w:val="auto"/>
        </w:rPr>
      </w:pPr>
    </w:p>
    <w:p>
      <w:pPr>
        <w:ind w:right="140"/>
        <w:spacing w:after="0" w:line="237" w:lineRule="auto"/>
        <w:rPr>
          <w:sz w:val="20"/>
          <w:szCs w:val="20"/>
          <w:color w:val="auto"/>
        </w:rPr>
      </w:pPr>
      <w:r>
        <w:rPr>
          <w:rFonts w:ascii="Arial" w:cs="Arial" w:eastAsia="Arial" w:hAnsi="Arial"/>
          <w:sz w:val="12"/>
          <w:szCs w:val="12"/>
          <w:color w:val="auto"/>
        </w:rPr>
        <w:t>Our CEO and CSO are also eligible for various benefits under our Company security policy whose primary purpose is to ensure increased efficiencies and to provide a more secure environment for them. These include personal air transportation up to $250,000 annually, as well as personal secure car transportation for them and their family members and guests when they accompany them.</w:t>
      </w:r>
    </w:p>
    <w:p>
      <w:pPr>
        <w:spacing w:after="0" w:line="130" w:lineRule="exact"/>
        <w:rPr>
          <w:sz w:val="20"/>
          <w:szCs w:val="20"/>
          <w:color w:val="auto"/>
        </w:rPr>
      </w:pPr>
    </w:p>
    <w:p>
      <w:pPr>
        <w:ind w:right="200"/>
        <w:spacing w:after="0" w:line="239" w:lineRule="auto"/>
        <w:rPr>
          <w:sz w:val="20"/>
          <w:szCs w:val="20"/>
          <w:color w:val="auto"/>
        </w:rPr>
      </w:pPr>
      <w:r>
        <w:rPr>
          <w:rFonts w:ascii="Arial" w:cs="Arial" w:eastAsia="Arial" w:hAnsi="Arial"/>
          <w:sz w:val="12"/>
          <w:szCs w:val="12"/>
          <w:color w:val="auto"/>
        </w:rPr>
        <w:t>In 2017, we paid a $280,000 filing fee relating to the Hart-Scott-Rodino filing for our CEO, as well as a related tax "gross-up."</w:t>
      </w:r>
    </w:p>
    <w:p>
      <w:pPr>
        <w:spacing w:after="0" w:line="130" w:lineRule="exact"/>
        <w:rPr>
          <w:sz w:val="20"/>
          <w:szCs w:val="20"/>
          <w:color w:val="auto"/>
        </w:rPr>
      </w:pPr>
    </w:p>
    <w:p>
      <w:pPr>
        <w:ind w:right="400"/>
        <w:spacing w:after="0" w:line="237" w:lineRule="auto"/>
        <w:rPr>
          <w:sz w:val="20"/>
          <w:szCs w:val="20"/>
          <w:color w:val="auto"/>
        </w:rPr>
      </w:pPr>
      <w:r>
        <w:rPr>
          <w:rFonts w:ascii="Arial" w:cs="Arial" w:eastAsia="Arial" w:hAnsi="Arial"/>
          <w:sz w:val="12"/>
          <w:szCs w:val="12"/>
          <w:color w:val="auto"/>
        </w:rPr>
        <w:t>Additional information regarding perquisites and other personal benefits provided to our NEOs in, or with respect to, 2017 is given in the applicable footnotes to the Summary Compensation Table and in the subsection "Compensation Dashboard—Additional Compensation Information—Perquisites and Personal Benefits."</w:t>
      </w:r>
    </w:p>
    <w:p>
      <w:pPr>
        <w:spacing w:after="0" w:line="129" w:lineRule="exact"/>
        <w:rPr>
          <w:sz w:val="20"/>
          <w:szCs w:val="20"/>
          <w:color w:val="auto"/>
        </w:rPr>
      </w:pPr>
    </w:p>
    <w:p>
      <w:pPr>
        <w:ind w:left="5380"/>
        <w:spacing w:after="0"/>
        <w:rPr>
          <w:sz w:val="20"/>
          <w:szCs w:val="20"/>
          <w:color w:val="auto"/>
        </w:rPr>
      </w:pPr>
      <w:r>
        <w:rPr>
          <w:rFonts w:ascii="Arial" w:cs="Arial" w:eastAsia="Arial" w:hAnsi="Arial"/>
          <w:sz w:val="10"/>
          <w:szCs w:val="10"/>
          <w:b w:val="1"/>
          <w:bCs w:val="1"/>
          <w:color w:val="FFFFF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-66675</wp:posOffset>
            </wp:positionV>
            <wp:extent cx="285750" cy="685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89535</wp:posOffset>
            </wp:positionV>
            <wp:extent cx="7299325" cy="18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4920" w:space="720"/>
            <w:col w:w="5840"/>
          </w:cols>
          <w:pgMar w:left="220" w:top="142" w:right="199" w:bottom="1440" w:gutter="0" w:footer="0" w:header="0"/>
          <w:type w:val="continuous"/>
        </w:sectPr>
      </w:pPr>
    </w:p>
    <w:bookmarkStart w:id="74" w:name="page75"/>
    <w:bookmarkEnd w:id="74"/>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361442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6144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105BAB"/>
        </w:rPr>
        <w:t>POTENTIAL</w:t>
      </w:r>
    </w:p>
    <w:p>
      <w:pPr>
        <w:spacing w:after="0"/>
        <w:rPr>
          <w:sz w:val="20"/>
          <w:szCs w:val="20"/>
          <w:color w:val="auto"/>
        </w:rPr>
      </w:pPr>
      <w:r>
        <w:rPr>
          <w:rFonts w:ascii="Arial" w:cs="Arial" w:eastAsia="Arial" w:hAnsi="Arial"/>
          <w:sz w:val="21"/>
          <w:szCs w:val="21"/>
          <w:color w:val="105BAB"/>
        </w:rPr>
        <w:t>SEVERANCE</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105BAB"/>
        </w:rPr>
        <w:t>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
        <w:spacing w:after="0"/>
        <w:rPr>
          <w:sz w:val="20"/>
          <w:szCs w:val="20"/>
          <w:color w:val="auto"/>
        </w:rPr>
      </w:pPr>
      <w:r>
        <w:rPr>
          <w:rFonts w:ascii="Arial" w:cs="Arial" w:eastAsia="Arial" w:hAnsi="Arial"/>
          <w:sz w:val="11"/>
          <w:szCs w:val="11"/>
          <w:color w:val="auto"/>
        </w:rPr>
        <w:t>We believe the following three points are key to understanding our change-in-control severance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-498475</wp:posOffset>
            </wp:positionV>
            <wp:extent cx="7292340" cy="457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-292735</wp:posOffset>
            </wp:positionV>
            <wp:extent cx="354012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40125" cy="5715"/>
                    </a:xfrm>
                    <a:prstGeom prst="rect">
                      <a:avLst/>
                    </a:prstGeom>
                    <a:noFill/>
                  </pic:spPr>
                </pic:pic>
              </a:graphicData>
            </a:graphic>
          </wp:anchor>
        </w:drawing>
      </w:r>
    </w:p>
    <w:p>
      <w:pPr>
        <w:spacing w:after="0" w:line="124" w:lineRule="exact"/>
        <w:rPr>
          <w:sz w:val="20"/>
          <w:szCs w:val="20"/>
          <w:color w:val="auto"/>
        </w:rPr>
      </w:pPr>
    </w:p>
    <w:p>
      <w:pPr>
        <w:ind w:left="207" w:right="20" w:hanging="207"/>
        <w:spacing w:after="0" w:line="236" w:lineRule="auto"/>
        <w:tabs>
          <w:tab w:leader="none" w:pos="207" w:val="left"/>
        </w:tabs>
        <w:numPr>
          <w:ilvl w:val="0"/>
          <w:numId w:val="76"/>
        </w:numPr>
        <w:rPr>
          <w:rFonts w:ascii="Arial" w:cs="Arial" w:eastAsia="Arial" w:hAnsi="Arial"/>
          <w:sz w:val="10"/>
          <w:szCs w:val="10"/>
          <w:color w:val="105BAB"/>
        </w:rPr>
      </w:pPr>
      <w:r>
        <w:rPr>
          <w:rFonts w:ascii="Arial" w:cs="Arial" w:eastAsia="Arial" w:hAnsi="Arial"/>
          <w:sz w:val="12"/>
          <w:szCs w:val="12"/>
          <w:color w:val="auto"/>
        </w:rPr>
        <w:t xml:space="preserve">Outstanding stock option agreements and restricted stock award agreements (with the exceptions and qualifications described in this section) for all employees other than Dr. Vagelos include a governance best-practice </w:t>
      </w:r>
      <w:r>
        <w:rPr>
          <w:rFonts w:ascii="Arial" w:cs="Arial" w:eastAsia="Arial" w:hAnsi="Arial"/>
          <w:sz w:val="12"/>
          <w:szCs w:val="12"/>
          <w:b w:val="1"/>
          <w:bCs w:val="1"/>
          <w:color w:val="auto"/>
        </w:rPr>
        <w:t>"double trigger"</w:t>
      </w:r>
      <w:r>
        <w:rPr>
          <w:rFonts w:ascii="Arial" w:cs="Arial" w:eastAsia="Arial" w:hAnsi="Arial"/>
          <w:sz w:val="12"/>
          <w:szCs w:val="12"/>
          <w:color w:val="auto"/>
        </w:rPr>
        <w:t xml:space="preserve"> provision for the acceleration of vesting of unvested stock options or restricted stock upon a without-cause termination by the Company within two years of a change in control.</w:t>
      </w:r>
    </w:p>
    <w:p>
      <w:pPr>
        <w:spacing w:after="0" w:line="109" w:lineRule="exact"/>
        <w:rPr>
          <w:rFonts w:ascii="Arial" w:cs="Arial" w:eastAsia="Arial" w:hAnsi="Arial"/>
          <w:sz w:val="10"/>
          <w:szCs w:val="10"/>
          <w:color w:val="105BAB"/>
        </w:rPr>
      </w:pPr>
    </w:p>
    <w:p>
      <w:pPr>
        <w:ind w:left="207" w:right="100" w:hanging="207"/>
        <w:spacing w:after="0" w:line="244" w:lineRule="auto"/>
        <w:tabs>
          <w:tab w:leader="none" w:pos="207" w:val="left"/>
        </w:tabs>
        <w:numPr>
          <w:ilvl w:val="0"/>
          <w:numId w:val="76"/>
        </w:numPr>
        <w:rPr>
          <w:rFonts w:ascii="Arial" w:cs="Arial" w:eastAsia="Arial" w:hAnsi="Arial"/>
          <w:sz w:val="10"/>
          <w:szCs w:val="10"/>
          <w:color w:val="105BAB"/>
        </w:rPr>
      </w:pPr>
      <w:r>
        <w:rPr>
          <w:rFonts w:ascii="Arial" w:cs="Arial" w:eastAsia="Arial" w:hAnsi="Arial"/>
          <w:sz w:val="12"/>
          <w:szCs w:val="12"/>
          <w:color w:val="auto"/>
        </w:rPr>
        <w:t xml:space="preserve">We have a </w:t>
      </w:r>
      <w:r>
        <w:rPr>
          <w:rFonts w:ascii="Arial" w:cs="Arial" w:eastAsia="Arial" w:hAnsi="Arial"/>
          <w:sz w:val="12"/>
          <w:szCs w:val="12"/>
          <w:b w:val="1"/>
          <w:bCs w:val="1"/>
          <w:color w:val="auto"/>
        </w:rPr>
        <w:t>policy against excise tax gross-up provisions</w:t>
      </w:r>
      <w:r>
        <w:rPr>
          <w:rFonts w:ascii="Arial" w:cs="Arial" w:eastAsia="Arial" w:hAnsi="Arial"/>
          <w:sz w:val="12"/>
          <w:szCs w:val="12"/>
          <w:color w:val="auto"/>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114" w:lineRule="exact"/>
        <w:rPr>
          <w:rFonts w:ascii="Arial" w:cs="Arial" w:eastAsia="Arial" w:hAnsi="Arial"/>
          <w:sz w:val="10"/>
          <w:szCs w:val="10"/>
          <w:color w:val="105BAB"/>
        </w:rPr>
      </w:pPr>
    </w:p>
    <w:p>
      <w:pPr>
        <w:ind w:left="207" w:right="240" w:hanging="207"/>
        <w:spacing w:after="0" w:line="262" w:lineRule="auto"/>
        <w:tabs>
          <w:tab w:leader="none" w:pos="207" w:val="left"/>
        </w:tabs>
        <w:numPr>
          <w:ilvl w:val="0"/>
          <w:numId w:val="76"/>
        </w:numPr>
        <w:rPr>
          <w:rFonts w:ascii="Arial" w:cs="Arial" w:eastAsia="Arial" w:hAnsi="Arial"/>
          <w:sz w:val="10"/>
          <w:szCs w:val="10"/>
          <w:color w:val="105BAB"/>
        </w:rPr>
      </w:pPr>
      <w:r>
        <w:rPr>
          <w:rFonts w:ascii="Arial" w:cs="Arial" w:eastAsia="Arial" w:hAnsi="Arial"/>
          <w:sz w:val="12"/>
          <w:szCs w:val="12"/>
          <w:color w:val="auto"/>
        </w:rPr>
        <w:t xml:space="preserve">Regeneron has </w:t>
      </w:r>
      <w:r>
        <w:rPr>
          <w:rFonts w:ascii="Arial" w:cs="Arial" w:eastAsia="Arial" w:hAnsi="Arial"/>
          <w:sz w:val="12"/>
          <w:szCs w:val="12"/>
          <w:b w:val="1"/>
          <w:bCs w:val="1"/>
          <w:color w:val="auto"/>
        </w:rPr>
        <w:t>no pension</w:t>
      </w:r>
      <w:r>
        <w:rPr>
          <w:rFonts w:ascii="Arial" w:cs="Arial" w:eastAsia="Arial" w:hAnsi="Arial"/>
          <w:sz w:val="12"/>
          <w:szCs w:val="12"/>
          <w:color w:val="auto"/>
        </w:rPr>
        <w:t xml:space="preserve">, </w:t>
      </w:r>
      <w:r>
        <w:rPr>
          <w:rFonts w:ascii="Arial" w:cs="Arial" w:eastAsia="Arial" w:hAnsi="Arial"/>
          <w:sz w:val="12"/>
          <w:szCs w:val="12"/>
          <w:b w:val="1"/>
          <w:bCs w:val="1"/>
          <w:color w:val="auto"/>
        </w:rPr>
        <w:t>deferred compensation, or retirement plans</w:t>
      </w:r>
      <w:r>
        <w:rPr>
          <w:rFonts w:ascii="Arial" w:cs="Arial" w:eastAsia="Arial" w:hAnsi="Arial"/>
          <w:sz w:val="12"/>
          <w:szCs w:val="12"/>
          <w:color w:val="auto"/>
        </w:rPr>
        <w:t xml:space="preserve"> other than our 401(k) Savings Plan described above.</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2"/>
          <w:szCs w:val="12"/>
          <w:color w:val="auto"/>
        </w:rPr>
        <w:t>For additional details, see the subsection "Compensation Dashboard—Additional Compensation</w:t>
      </w:r>
    </w:p>
    <w:p>
      <w:pPr>
        <w:ind w:left="7"/>
        <w:spacing w:after="0"/>
        <w:rPr>
          <w:sz w:val="20"/>
          <w:szCs w:val="20"/>
          <w:color w:val="auto"/>
        </w:rPr>
      </w:pPr>
      <w:r>
        <w:rPr>
          <w:rFonts w:ascii="Arial" w:cs="Arial" w:eastAsia="Arial" w:hAnsi="Arial"/>
          <w:sz w:val="12"/>
          <w:szCs w:val="12"/>
          <w:color w:val="auto"/>
        </w:rPr>
        <w:t>Information—Potential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245110</wp:posOffset>
            </wp:positionV>
            <wp:extent cx="7299325" cy="18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5073" w:space="720"/>
            <w:col w:w="5527"/>
          </w:cols>
          <w:pgMar w:left="220" w:top="142" w:right="35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OUR COMPENSATION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2923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105BAB"/>
        </w:rPr>
        <w:t>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1469390</wp:posOffset>
            </wp:positionV>
            <wp:extent cx="82931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93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105BAB"/>
        </w:rPr>
        <w:t>MANAGEMENT</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200"/>
        <w:spacing w:after="0" w:line="237" w:lineRule="auto"/>
        <w:rPr>
          <w:sz w:val="20"/>
          <w:szCs w:val="20"/>
          <w:color w:val="auto"/>
        </w:rPr>
      </w:pPr>
      <w:r>
        <w:rPr>
          <w:rFonts w:ascii="Arial" w:cs="Arial" w:eastAsia="Arial" w:hAnsi="Arial"/>
          <w:sz w:val="12"/>
          <w:szCs w:val="12"/>
          <w:color w:val="auto"/>
        </w:rPr>
        <w:t xml:space="preserve">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2"/>
          <w:szCs w:val="12"/>
          <w:b w:val="1"/>
          <w:bCs w:val="1"/>
          <w:color w:val="auto"/>
        </w:rPr>
        <w:t xml:space="preserve">www.regeneron.com </w:t>
      </w:r>
      <w:r>
        <w:rPr>
          <w:rFonts w:ascii="Arial" w:cs="Arial" w:eastAsia="Arial" w:hAnsi="Arial"/>
          <w:sz w:val="12"/>
          <w:szCs w:val="12"/>
          <w:color w:val="auto"/>
        </w:rPr>
        <w:t>under the "Corporate Governance" heading on the "Investors &amp; Media" page.</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Annual salaries for the following year and year-end cash incentives and stock option awards or other year-end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w:t>
      </w:r>
    </w:p>
    <w:p>
      <w:pPr>
        <w:spacing w:after="0" w:line="139"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We make our annual stock option awards on a regular, pre-set schedule. The meetings at which such grants are approved are generally scheduled well in advance of the grant date, without regard to the timing of earnings or other major announcements. We generally grant annual stock option awards to eligible employees whose performance is determined to merit an annual grant, including the NEOs, at a meeting held during December.</w:t>
      </w:r>
    </w:p>
    <w:p>
      <w:pPr>
        <w:spacing w:after="0" w:line="141" w:lineRule="exact"/>
        <w:rPr>
          <w:sz w:val="20"/>
          <w:szCs w:val="20"/>
          <w:color w:val="auto"/>
        </w:rPr>
      </w:pPr>
    </w:p>
    <w:p>
      <w:pPr>
        <w:ind w:right="180"/>
        <w:spacing w:after="0" w:line="237" w:lineRule="auto"/>
        <w:rPr>
          <w:sz w:val="20"/>
          <w:szCs w:val="20"/>
          <w:color w:val="auto"/>
        </w:rPr>
      </w:pPr>
      <w:r>
        <w:rPr>
          <w:rFonts w:ascii="Arial" w:cs="Arial" w:eastAsia="Arial" w:hAnsi="Arial"/>
          <w:sz w:val="12"/>
          <w:szCs w:val="12"/>
          <w:color w:val="auto"/>
        </w:rPr>
        <w:t>Pursuant to the terms of the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141" w:lineRule="exact"/>
        <w:rPr>
          <w:sz w:val="20"/>
          <w:szCs w:val="20"/>
          <w:color w:val="auto"/>
        </w:rPr>
      </w:pPr>
    </w:p>
    <w:p>
      <w:pPr>
        <w:ind w:right="160"/>
        <w:spacing w:after="0" w:line="239" w:lineRule="auto"/>
        <w:rPr>
          <w:sz w:val="20"/>
          <w:szCs w:val="20"/>
          <w:color w:val="auto"/>
        </w:rPr>
      </w:pPr>
      <w:r>
        <w:rPr>
          <w:rFonts w:ascii="Arial" w:cs="Arial" w:eastAsia="Arial" w:hAnsi="Arial"/>
          <w:sz w:val="12"/>
          <w:szCs w:val="12"/>
          <w:color w:val="auto"/>
        </w:rPr>
        <w:t>We periodically evaluate the personal benefits and perquisites afforded to our NEOs. The Compensation Committee also regularly meets in executive session to discuss any of the matters that fall within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639445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394450" cy="5715"/>
                    </a:xfrm>
                    <a:prstGeom prst="rect">
                      <a:avLst/>
                    </a:prstGeom>
                    <a:noFill/>
                  </pic:spPr>
                </pic:pic>
              </a:graphicData>
            </a:graphic>
          </wp:anchor>
        </w:drawing>
      </w: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Members of our senior management play a role in the overall executive compensation process and assess performance of other officers. They also recommend for the Compensation Committee's approval the salary, cash incentive, and stock option grant budgets for non-officers and make specific recommendations for salary increases, cash incentives, and equity award grants for other officers. For our NEOs (other than our CEO), recommendations to the Compensation Committee regarding their compensation are made by, or with the approval of, our CEO, who also evaluates their performance. Our CEO's performance is evaluated directly by the Compensation Committee based on the Company's overall corporate performance against annual goals that are approved by the board of directors at the beginning of each year, as discussed above.</w:t>
      </w:r>
    </w:p>
    <w:p>
      <w:pPr>
        <w:spacing w:after="0" w:line="130" w:lineRule="exact"/>
        <w:rPr>
          <w:sz w:val="20"/>
          <w:szCs w:val="20"/>
          <w:color w:val="auto"/>
        </w:rPr>
      </w:pPr>
    </w:p>
    <w:p>
      <w:pPr>
        <w:sectPr>
          <w:pgSz w:w="11900" w:h="16838" w:orient="portrait"/>
          <w:cols w:equalWidth="0" w:num="2">
            <w:col w:w="1300" w:space="100"/>
            <w:col w:w="10080"/>
          </w:cols>
          <w:pgMar w:left="220" w:top="142" w:right="199" w:bottom="1440" w:gutter="0" w:footer="0" w:header="0"/>
          <w:type w:val="continuous"/>
        </w:sectPr>
      </w:pPr>
    </w:p>
    <w:p>
      <w:pPr>
        <w:ind w:left="11020"/>
        <w:spacing w:after="0"/>
        <w:rPr>
          <w:sz w:val="20"/>
          <w:szCs w:val="20"/>
          <w:color w:val="auto"/>
        </w:rPr>
      </w:pPr>
      <w:r>
        <w:rPr>
          <w:rFonts w:ascii="Arial" w:cs="Arial" w:eastAsia="Arial" w:hAnsi="Arial"/>
          <w:sz w:val="10"/>
          <w:szCs w:val="10"/>
          <w:b w:val="1"/>
          <w:bCs w:val="1"/>
          <w:color w:val="FFFFFE"/>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76" w:name="page77"/>
    <w:bookmarkEnd w:id="76"/>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2923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6"/>
          <w:szCs w:val="16"/>
          <w:color w:val="105BAB"/>
        </w:rPr>
        <w:t>SHAREHOLDER INPUT AND OUTREACH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We believe in casting a broad net for information to help us do our jobs well. We start by recruiting a board that we believe stands out among both industry peers and companies in general as exceptional for its talent, especially the science talent relevant to our core competencies. We place particular importance on reaching out to our shareholders for ideas, input, and honest feedback. We do this formally through our say-on-pay votes, and informally through regular investor relations channels, governance engagements, meetings with stakeholders focused on environmental and social issues, and informal exchanges in other settings.</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12"/>
          <w:szCs w:val="12"/>
          <w:b w:val="1"/>
          <w:bCs w:val="1"/>
          <w:color w:val="D21C5A"/>
        </w:rPr>
        <w:t xml:space="preserve">Say-on-pay vote. </w:t>
      </w:r>
      <w:r>
        <w:rPr>
          <w:rFonts w:ascii="Arial" w:cs="Arial" w:eastAsia="Arial" w:hAnsi="Arial"/>
          <w:sz w:val="12"/>
          <w:szCs w:val="12"/>
          <w:color w:val="000000"/>
        </w:rPr>
        <w:t>Our shareholders are provided with an opportunity to cast a non-binding, advisory vote every three years on our executive compensation program. Our most recent advisory</w:t>
      </w:r>
      <w:r>
        <w:rPr>
          <w:rFonts w:ascii="Arial" w:cs="Arial" w:eastAsia="Arial" w:hAnsi="Arial"/>
          <w:sz w:val="12"/>
          <w:szCs w:val="12"/>
          <w:b w:val="1"/>
          <w:bCs w:val="1"/>
          <w:color w:val="D21C5A"/>
        </w:rPr>
        <w:t xml:space="preserve"> </w:t>
      </w:r>
      <w:r>
        <w:rPr>
          <w:rFonts w:ascii="Arial" w:cs="Arial" w:eastAsia="Arial" w:hAnsi="Arial"/>
          <w:sz w:val="12"/>
          <w:szCs w:val="12"/>
          <w:color w:val="000000"/>
        </w:rPr>
        <w:t>say-on-pay vote was held at our 2017 annual shareholder meeting, at which this advisory proposal was approved by 67% of the votes cast. As has been the case with previous say-on-pay votes, management and the Compensation Committee carefully considered the results of this say-on-pay vote and subsequently solicited further feedback from our key shareholders on compensation and governance matters. In the last several years, following our two most recent advisory say-on-pay votes, we implemented several changes to our executive compensation program and continued the implementation of our existing compensation and governance initiatives. These and other recent changes are summarized in the table below.</w:t>
      </w:r>
    </w:p>
    <w:p>
      <w:pPr>
        <w:spacing w:after="0" w:line="145" w:lineRule="exact"/>
        <w:rPr>
          <w:sz w:val="20"/>
          <w:szCs w:val="20"/>
          <w:color w:val="auto"/>
        </w:rPr>
      </w:pPr>
    </w:p>
    <w:p>
      <w:pPr>
        <w:jc w:val="both"/>
        <w:ind w:right="200"/>
        <w:spacing w:after="0" w:line="248" w:lineRule="auto"/>
        <w:rPr>
          <w:sz w:val="20"/>
          <w:szCs w:val="20"/>
          <w:color w:val="auto"/>
        </w:rPr>
      </w:pPr>
      <w:r>
        <w:rPr>
          <w:rFonts w:ascii="Arial" w:cs="Arial" w:eastAsia="Arial" w:hAnsi="Arial"/>
          <w:sz w:val="12"/>
          <w:szCs w:val="12"/>
          <w:b w:val="1"/>
          <w:bCs w:val="1"/>
          <w:color w:val="D21C5A"/>
        </w:rPr>
        <w:t xml:space="preserve">Shareholder outreach. </w:t>
      </w:r>
      <w:r>
        <w:rPr>
          <w:rFonts w:ascii="Arial" w:cs="Arial" w:eastAsia="Arial" w:hAnsi="Arial"/>
          <w:sz w:val="12"/>
          <w:szCs w:val="12"/>
          <w:color w:val="000000"/>
        </w:rPr>
        <w:t>In addition to the more formal input of the say-on-pay vote discussed above, we maintain an ongoing shareholder outreach program through which we seek input from</w:t>
      </w:r>
      <w:r>
        <w:rPr>
          <w:rFonts w:ascii="Arial" w:cs="Arial" w:eastAsia="Arial" w:hAnsi="Arial"/>
          <w:sz w:val="12"/>
          <w:szCs w:val="12"/>
          <w:b w:val="1"/>
          <w:bCs w:val="1"/>
          <w:color w:val="D21C5A"/>
        </w:rPr>
        <w:t xml:space="preserve"> </w:t>
      </w:r>
      <w:r>
        <w:rPr>
          <w:rFonts w:ascii="Arial" w:cs="Arial" w:eastAsia="Arial" w:hAnsi="Arial"/>
          <w:sz w:val="12"/>
          <w:szCs w:val="12"/>
          <w:color w:val="000000"/>
        </w:rPr>
        <w:t>shareholders and environmental, social, and governance ("ESG")-focused groups regarding our executive compensation and other governance practices, and implement appropriate changes based on this input.</w:t>
      </w:r>
    </w:p>
    <w:p>
      <w:pPr>
        <w:spacing w:after="0" w:line="136" w:lineRule="exact"/>
        <w:rPr>
          <w:sz w:val="20"/>
          <w:szCs w:val="20"/>
          <w:color w:val="auto"/>
        </w:rPr>
      </w:pPr>
    </w:p>
    <w:p>
      <w:pPr>
        <w:ind w:right="180"/>
        <w:spacing w:after="0" w:line="237" w:lineRule="auto"/>
        <w:rPr>
          <w:sz w:val="20"/>
          <w:szCs w:val="20"/>
          <w:color w:val="auto"/>
        </w:rPr>
      </w:pPr>
      <w:r>
        <w:rPr>
          <w:rFonts w:ascii="Arial" w:cs="Arial" w:eastAsia="Arial" w:hAnsi="Arial"/>
          <w:sz w:val="12"/>
          <w:szCs w:val="12"/>
          <w:color w:val="auto"/>
        </w:rPr>
        <w:t>In 2017, we engaged in direct one-on-one discussions with shareholders collectively representing approximately 53% of the shares of common stock outstanding as of December 31, 2017 (excluding shares held by our directors and executive officers and Sanofi). Our 2017 outreach focused on shaping governance and compensation decisions for the future, and built on an active outreach program in prior years.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Changes we have adopted in recent years in response to shareholder feedback, which we believe demonstrate our continued commitment to governance best practices, include the following:</w:t>
      </w:r>
    </w:p>
    <w:p>
      <w:pPr>
        <w:spacing w:after="0" w:line="130" w:lineRule="exact"/>
        <w:rPr>
          <w:sz w:val="20"/>
          <w:szCs w:val="20"/>
          <w:color w:val="auto"/>
        </w:rPr>
      </w:pPr>
    </w:p>
    <w:p>
      <w:pPr>
        <w:sectPr>
          <w:pgSz w:w="11900" w:h="16838" w:orient="portrait"/>
          <w:cols w:equalWidth="0" w:num="2">
            <w:col w:w="1220" w:space="120"/>
            <w:col w:w="10100"/>
          </w:cols>
          <w:pgMar w:left="220" w:top="142" w:right="239" w:bottom="1440" w:gutter="0" w:footer="0" w:header="0"/>
          <w:type w:val="continuous"/>
        </w:sectPr>
      </w:pPr>
    </w:p>
    <w:p>
      <w:pPr>
        <w:ind w:left="340"/>
        <w:spacing w:after="0"/>
        <w:rPr>
          <w:sz w:val="20"/>
          <w:szCs w:val="20"/>
          <w:color w:val="auto"/>
        </w:rPr>
      </w:pPr>
      <w:r>
        <w:rPr>
          <w:rFonts w:ascii="Arial" w:cs="Arial" w:eastAsia="Arial" w:hAnsi="Arial"/>
          <w:sz w:val="8"/>
          <w:szCs w:val="8"/>
          <w:b w:val="1"/>
          <w:bCs w:val="1"/>
          <w:color w:val="FFFFFE"/>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85750" cy="685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7299325" cy="184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type w:val="continuous"/>
        </w:sectPr>
      </w:pPr>
    </w:p>
    <w:bookmarkStart w:id="77" w:name="page78"/>
    <w:bookmarkEnd w:id="77"/>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421640</wp:posOffset>
            </wp:positionV>
            <wp:extent cx="81788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1788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RECENT</w:t>
      </w:r>
    </w:p>
    <w:p>
      <w:pPr>
        <w:spacing w:after="0" w:line="236" w:lineRule="auto"/>
        <w:rPr>
          <w:sz w:val="20"/>
          <w:szCs w:val="20"/>
          <w:color w:val="auto"/>
        </w:rPr>
      </w:pPr>
      <w:r>
        <w:rPr>
          <w:rFonts w:ascii="Arial" w:cs="Arial" w:eastAsia="Arial" w:hAnsi="Arial"/>
          <w:sz w:val="10"/>
          <w:szCs w:val="10"/>
          <w:b w:val="1"/>
          <w:bCs w:val="1"/>
          <w:color w:val="auto"/>
        </w:rPr>
        <w:t>CHANGES</w:t>
      </w:r>
    </w:p>
    <w:p>
      <w:pPr>
        <w:spacing w:after="0" w:line="301" w:lineRule="auto"/>
        <w:rPr>
          <w:sz w:val="20"/>
          <w:szCs w:val="20"/>
          <w:color w:val="auto"/>
        </w:rPr>
      </w:pPr>
      <w:r>
        <w:rPr>
          <w:rFonts w:ascii="Arial" w:cs="Arial" w:eastAsia="Arial" w:hAnsi="Arial"/>
          <w:sz w:val="8"/>
          <w:szCs w:val="8"/>
          <w:b w:val="1"/>
          <w:bCs w:val="1"/>
          <w:color w:val="auto"/>
        </w:rPr>
        <w:t>ADOPTED BASED ON SHAREHOLDER FEEDBACK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2380" w:type="dxa"/>
            <w:vAlign w:val="bottom"/>
            <w:tcBorders>
              <w:top w:val="single" w:sz="8" w:color="105BAB"/>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What We Heard</w:t>
            </w:r>
          </w:p>
        </w:tc>
        <w:tc>
          <w:tcPr>
            <w:tcW w:w="6080" w:type="dxa"/>
            <w:vAlign w:val="bottom"/>
            <w:tcBorders>
              <w:top w:val="single" w:sz="8" w:color="105BAB"/>
              <w:bottom w:val="single" w:sz="8" w:color="105BAB"/>
            </w:tcBorders>
          </w:tcPr>
          <w:p>
            <w:pPr>
              <w:ind w:left="120"/>
              <w:spacing w:after="0"/>
              <w:rPr>
                <w:sz w:val="20"/>
                <w:szCs w:val="20"/>
                <w:color w:val="auto"/>
              </w:rPr>
            </w:pPr>
            <w:r>
              <w:rPr>
                <w:rFonts w:ascii="Arial" w:cs="Arial" w:eastAsia="Arial" w:hAnsi="Arial"/>
                <w:sz w:val="10"/>
                <w:szCs w:val="10"/>
                <w:b w:val="1"/>
                <w:bCs w:val="1"/>
                <w:color w:val="105BAB"/>
              </w:rPr>
              <w:t>What We Did</w:t>
            </w:r>
          </w:p>
        </w:tc>
        <w:tc>
          <w:tcPr>
            <w:tcW w:w="1640" w:type="dxa"/>
            <w:vAlign w:val="bottom"/>
            <w:tcBorders>
              <w:top w:val="single" w:sz="8" w:color="105BAB"/>
              <w:bottom w:val="single" w:sz="8" w:color="105BAB"/>
            </w:tcBorders>
          </w:tcPr>
          <w:p>
            <w:pPr>
              <w:ind w:left="140"/>
              <w:spacing w:after="0"/>
              <w:rPr>
                <w:sz w:val="20"/>
                <w:szCs w:val="20"/>
                <w:color w:val="auto"/>
              </w:rPr>
            </w:pPr>
            <w:r>
              <w:rPr>
                <w:rFonts w:ascii="Arial" w:cs="Arial" w:eastAsia="Arial" w:hAnsi="Arial"/>
                <w:sz w:val="10"/>
                <w:szCs w:val="10"/>
                <w:b w:val="1"/>
                <w:bCs w:val="1"/>
                <w:color w:val="105BAB"/>
              </w:rPr>
              <w:t>When We Did It</w:t>
            </w:r>
          </w:p>
        </w:tc>
        <w:tc>
          <w:tcPr>
            <w:tcW w:w="0" w:type="dxa"/>
            <w:vAlign w:val="bottom"/>
          </w:tcPr>
          <w:p>
            <w:pPr>
              <w:spacing w:after="0"/>
              <w:rPr>
                <w:sz w:val="1"/>
                <w:szCs w:val="1"/>
                <w:color w:val="auto"/>
              </w:rPr>
            </w:pPr>
          </w:p>
        </w:tc>
      </w:tr>
      <w:tr>
        <w:trPr>
          <w:trHeight w:val="217"/>
        </w:trPr>
        <w:tc>
          <w:tcPr>
            <w:tcW w:w="2380" w:type="dxa"/>
            <w:vAlign w:val="bottom"/>
            <w:shd w:val="clear" w:color="auto" w:fill="F1F3F9"/>
          </w:tcPr>
          <w:p>
            <w:pPr>
              <w:ind w:left="60"/>
              <w:spacing w:after="0"/>
              <w:rPr>
                <w:sz w:val="20"/>
                <w:szCs w:val="20"/>
                <w:color w:val="auto"/>
              </w:rPr>
            </w:pPr>
            <w:r>
              <w:rPr>
                <w:rFonts w:ascii="Arial" w:cs="Arial" w:eastAsia="Arial" w:hAnsi="Arial"/>
                <w:sz w:val="10"/>
                <w:szCs w:val="10"/>
                <w:color w:val="auto"/>
              </w:rPr>
              <w:t>Concern about size of NEO equity awards</w:t>
            </w:r>
          </w:p>
        </w:tc>
        <w:tc>
          <w:tcPr>
            <w:tcW w:w="6080" w:type="dxa"/>
            <w:vAlign w:val="bottom"/>
            <w:shd w:val="clear" w:color="auto" w:fill="F1F3F9"/>
          </w:tcPr>
          <w:p>
            <w:pPr>
              <w:ind w:left="120"/>
              <w:spacing w:after="0"/>
              <w:rPr>
                <w:sz w:val="20"/>
                <w:szCs w:val="20"/>
                <w:color w:val="auto"/>
              </w:rPr>
            </w:pPr>
            <w:r>
              <w:rPr>
                <w:rFonts w:ascii="Arial" w:cs="Arial" w:eastAsia="Arial" w:hAnsi="Arial"/>
                <w:sz w:val="10"/>
                <w:szCs w:val="10"/>
                <w:color w:val="auto"/>
              </w:rPr>
              <w:t>Implemented consecutive decreases in the number of shares underlying the annual stock option awards to most of our NEOs</w:t>
            </w:r>
          </w:p>
        </w:tc>
        <w:tc>
          <w:tcPr>
            <w:tcW w:w="1640" w:type="dxa"/>
            <w:vAlign w:val="bottom"/>
            <w:shd w:val="clear" w:color="auto" w:fill="F1F3F9"/>
          </w:tcPr>
          <w:p>
            <w:pPr>
              <w:ind w:left="140"/>
              <w:spacing w:after="0"/>
              <w:rPr>
                <w:sz w:val="20"/>
                <w:szCs w:val="20"/>
                <w:color w:val="auto"/>
              </w:rPr>
            </w:pPr>
            <w:r>
              <w:rPr>
                <w:rFonts w:ascii="Arial" w:cs="Arial" w:eastAsia="Arial" w:hAnsi="Arial"/>
                <w:sz w:val="10"/>
                <w:szCs w:val="10"/>
                <w:color w:val="auto"/>
              </w:rPr>
              <w:t>December 2013, 2014, 2015,</w:t>
            </w:r>
          </w:p>
        </w:tc>
        <w:tc>
          <w:tcPr>
            <w:tcW w:w="0" w:type="dxa"/>
            <w:vAlign w:val="bottom"/>
          </w:tcPr>
          <w:p>
            <w:pPr>
              <w:spacing w:after="0"/>
              <w:rPr>
                <w:sz w:val="1"/>
                <w:szCs w:val="1"/>
                <w:color w:val="auto"/>
              </w:rPr>
            </w:pPr>
          </w:p>
        </w:tc>
      </w:tr>
      <w:tr>
        <w:trPr>
          <w:trHeight w:val="115"/>
        </w:trPr>
        <w:tc>
          <w:tcPr>
            <w:tcW w:w="2380" w:type="dxa"/>
            <w:vAlign w:val="bottom"/>
            <w:shd w:val="clear" w:color="auto" w:fill="F1F3F9"/>
          </w:tcPr>
          <w:p>
            <w:pPr>
              <w:spacing w:after="0"/>
              <w:rPr>
                <w:sz w:val="9"/>
                <w:szCs w:val="9"/>
                <w:color w:val="auto"/>
              </w:rPr>
            </w:pPr>
          </w:p>
        </w:tc>
        <w:tc>
          <w:tcPr>
            <w:tcW w:w="6080" w:type="dxa"/>
            <w:vAlign w:val="bottom"/>
            <w:shd w:val="clear" w:color="auto" w:fill="F1F3F9"/>
          </w:tcPr>
          <w:p>
            <w:pPr>
              <w:spacing w:after="0"/>
              <w:rPr>
                <w:sz w:val="9"/>
                <w:szCs w:val="9"/>
                <w:color w:val="auto"/>
              </w:rPr>
            </w:pPr>
          </w:p>
        </w:tc>
        <w:tc>
          <w:tcPr>
            <w:tcW w:w="1640" w:type="dxa"/>
            <w:vAlign w:val="bottom"/>
            <w:shd w:val="clear" w:color="auto" w:fill="F1F3F9"/>
          </w:tcPr>
          <w:p>
            <w:pPr>
              <w:ind w:left="140"/>
              <w:spacing w:after="0"/>
              <w:rPr>
                <w:sz w:val="20"/>
                <w:szCs w:val="20"/>
                <w:color w:val="auto"/>
              </w:rPr>
            </w:pPr>
            <w:r>
              <w:rPr>
                <w:rFonts w:ascii="Arial" w:cs="Arial" w:eastAsia="Arial" w:hAnsi="Arial"/>
                <w:sz w:val="10"/>
                <w:szCs w:val="10"/>
                <w:color w:val="auto"/>
              </w:rPr>
              <w:t>2016, and 2017</w:t>
            </w:r>
          </w:p>
        </w:tc>
        <w:tc>
          <w:tcPr>
            <w:tcW w:w="0" w:type="dxa"/>
            <w:vAlign w:val="bottom"/>
          </w:tcPr>
          <w:p>
            <w:pPr>
              <w:spacing w:after="0"/>
              <w:rPr>
                <w:sz w:val="1"/>
                <w:szCs w:val="1"/>
                <w:color w:val="auto"/>
              </w:rPr>
            </w:pPr>
          </w:p>
        </w:tc>
      </w:tr>
      <w:tr>
        <w:trPr>
          <w:trHeight w:val="413"/>
        </w:trPr>
        <w:tc>
          <w:tcPr>
            <w:tcW w:w="2380" w:type="dxa"/>
            <w:vAlign w:val="bottom"/>
            <w:tcBorders>
              <w:bottom w:val="single" w:sz="8" w:color="auto"/>
            </w:tcBorders>
            <w:shd w:val="clear" w:color="auto" w:fill="F1F3F9"/>
          </w:tcPr>
          <w:p>
            <w:pPr>
              <w:spacing w:after="0"/>
              <w:rPr>
                <w:sz w:val="24"/>
                <w:szCs w:val="24"/>
                <w:color w:val="auto"/>
              </w:rPr>
            </w:pPr>
          </w:p>
        </w:tc>
        <w:tc>
          <w:tcPr>
            <w:tcW w:w="6080" w:type="dxa"/>
            <w:vAlign w:val="bottom"/>
            <w:tcBorders>
              <w:bottom w:val="single" w:sz="8" w:color="auto"/>
            </w:tcBorders>
            <w:shd w:val="clear" w:color="auto" w:fill="F1F3F9"/>
          </w:tcPr>
          <w:p>
            <w:pPr>
              <w:spacing w:after="0"/>
              <w:rPr>
                <w:sz w:val="24"/>
                <w:szCs w:val="24"/>
                <w:color w:val="auto"/>
              </w:rPr>
            </w:pPr>
          </w:p>
        </w:tc>
        <w:tc>
          <w:tcPr>
            <w:tcW w:w="1640" w:type="dxa"/>
            <w:vAlign w:val="bottom"/>
            <w:tcBorders>
              <w:bottom w:val="single" w:sz="8" w:color="auto"/>
            </w:tcBorders>
            <w:shd w:val="clear" w:color="auto" w:fill="F1F3F9"/>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D6DAEE"/>
          </w:tcPr>
          <w:p>
            <w:pPr>
              <w:ind w:left="60"/>
              <w:spacing w:after="0"/>
              <w:rPr>
                <w:sz w:val="20"/>
                <w:szCs w:val="20"/>
                <w:color w:val="auto"/>
              </w:rPr>
            </w:pPr>
            <w:r>
              <w:rPr>
                <w:rFonts w:ascii="Arial" w:cs="Arial" w:eastAsia="Arial" w:hAnsi="Arial"/>
                <w:sz w:val="10"/>
                <w:szCs w:val="10"/>
                <w:color w:val="auto"/>
              </w:rPr>
              <w:t>Concern about burn rate</w:t>
            </w:r>
          </w:p>
        </w:tc>
        <w:tc>
          <w:tcPr>
            <w:tcW w:w="6080" w:type="dxa"/>
            <w:vAlign w:val="bottom"/>
            <w:shd w:val="clear" w:color="auto" w:fill="D6DAEE"/>
          </w:tcPr>
          <w:p>
            <w:pPr>
              <w:ind w:left="120"/>
              <w:spacing w:after="0"/>
              <w:rPr>
                <w:sz w:val="20"/>
                <w:szCs w:val="20"/>
                <w:color w:val="auto"/>
              </w:rPr>
            </w:pPr>
            <w:r>
              <w:rPr>
                <w:rFonts w:ascii="Arial" w:cs="Arial" w:eastAsia="Arial" w:hAnsi="Arial"/>
                <w:sz w:val="10"/>
                <w:szCs w:val="10"/>
                <w:color w:val="auto"/>
              </w:rPr>
              <w:t>Implemented across-the-board decrease in the number of shares underlying employee annual stock option awards as noted above;</w:t>
            </w:r>
          </w:p>
        </w:tc>
        <w:tc>
          <w:tcPr>
            <w:tcW w:w="1640" w:type="dxa"/>
            <w:vAlign w:val="bottom"/>
            <w:shd w:val="clear" w:color="auto" w:fill="D6DAEE"/>
          </w:tcPr>
          <w:p>
            <w:pPr>
              <w:ind w:left="140"/>
              <w:spacing w:after="0"/>
              <w:rPr>
                <w:sz w:val="20"/>
                <w:szCs w:val="20"/>
                <w:color w:val="auto"/>
              </w:rPr>
            </w:pPr>
            <w:r>
              <w:rPr>
                <w:rFonts w:ascii="Arial" w:cs="Arial" w:eastAsia="Arial" w:hAnsi="Arial"/>
                <w:sz w:val="10"/>
                <w:szCs w:val="10"/>
                <w:color w:val="auto"/>
              </w:rPr>
              <w:t>December 2013, 2014, 2015,</w:t>
            </w:r>
          </w:p>
        </w:tc>
        <w:tc>
          <w:tcPr>
            <w:tcW w:w="0" w:type="dxa"/>
            <w:vAlign w:val="bottom"/>
          </w:tcPr>
          <w:p>
            <w:pPr>
              <w:spacing w:after="0"/>
              <w:rPr>
                <w:sz w:val="1"/>
                <w:szCs w:val="1"/>
                <w:color w:val="auto"/>
              </w:rPr>
            </w:pPr>
          </w:p>
        </w:tc>
      </w:tr>
      <w:tr>
        <w:trPr>
          <w:trHeight w:val="108"/>
        </w:trPr>
        <w:tc>
          <w:tcPr>
            <w:tcW w:w="2380" w:type="dxa"/>
            <w:vAlign w:val="bottom"/>
            <w:shd w:val="clear" w:color="auto" w:fill="D6DAEE"/>
          </w:tcPr>
          <w:p>
            <w:pPr>
              <w:spacing w:after="0"/>
              <w:rPr>
                <w:sz w:val="9"/>
                <w:szCs w:val="9"/>
                <w:color w:val="auto"/>
              </w:rPr>
            </w:pPr>
          </w:p>
        </w:tc>
        <w:tc>
          <w:tcPr>
            <w:tcW w:w="6080" w:type="dxa"/>
            <w:vAlign w:val="bottom"/>
            <w:shd w:val="clear" w:color="auto" w:fill="D6DAEE"/>
          </w:tcPr>
          <w:p>
            <w:pPr>
              <w:ind w:left="120"/>
              <w:spacing w:after="0" w:line="108" w:lineRule="exact"/>
              <w:rPr>
                <w:sz w:val="20"/>
                <w:szCs w:val="20"/>
                <w:color w:val="auto"/>
              </w:rPr>
            </w:pPr>
            <w:r>
              <w:rPr>
                <w:rFonts w:ascii="Arial" w:cs="Arial" w:eastAsia="Arial" w:hAnsi="Arial"/>
                <w:sz w:val="10"/>
                <w:szCs w:val="10"/>
                <w:color w:val="auto"/>
                <w:w w:val="98"/>
              </w:rPr>
              <w:t>decreased the burn rate from 5.4% in 2012 to 4.0% in 2016 and 4.1% in 2017 despite a 219% increase in the number of employees from</w:t>
            </w:r>
          </w:p>
        </w:tc>
        <w:tc>
          <w:tcPr>
            <w:tcW w:w="1640" w:type="dxa"/>
            <w:vAlign w:val="bottom"/>
            <w:shd w:val="clear" w:color="auto" w:fill="D6DAEE"/>
          </w:tcPr>
          <w:p>
            <w:pPr>
              <w:ind w:left="140"/>
              <w:spacing w:after="0" w:line="108" w:lineRule="exact"/>
              <w:rPr>
                <w:sz w:val="20"/>
                <w:szCs w:val="20"/>
                <w:color w:val="auto"/>
              </w:rPr>
            </w:pPr>
            <w:r>
              <w:rPr>
                <w:rFonts w:ascii="Arial" w:cs="Arial" w:eastAsia="Arial" w:hAnsi="Arial"/>
                <w:sz w:val="10"/>
                <w:szCs w:val="10"/>
                <w:color w:val="auto"/>
              </w:rPr>
              <w:t>2016, and 2017</w:t>
            </w:r>
          </w:p>
        </w:tc>
        <w:tc>
          <w:tcPr>
            <w:tcW w:w="0" w:type="dxa"/>
            <w:vAlign w:val="bottom"/>
          </w:tcPr>
          <w:p>
            <w:pPr>
              <w:spacing w:after="0"/>
              <w:rPr>
                <w:sz w:val="1"/>
                <w:szCs w:val="1"/>
                <w:color w:val="auto"/>
              </w:rPr>
            </w:pPr>
          </w:p>
        </w:tc>
      </w:tr>
      <w:tr>
        <w:trPr>
          <w:trHeight w:val="105"/>
        </w:trPr>
        <w:tc>
          <w:tcPr>
            <w:tcW w:w="2380" w:type="dxa"/>
            <w:vAlign w:val="bottom"/>
            <w:tcBorders>
              <w:bottom w:val="single" w:sz="8" w:color="auto"/>
            </w:tcBorders>
            <w:shd w:val="clear" w:color="auto" w:fill="D6DAEE"/>
          </w:tcPr>
          <w:p>
            <w:pPr>
              <w:spacing w:after="0"/>
              <w:rPr>
                <w:sz w:val="9"/>
                <w:szCs w:val="9"/>
                <w:color w:val="auto"/>
              </w:rPr>
            </w:pPr>
          </w:p>
        </w:tc>
        <w:tc>
          <w:tcPr>
            <w:tcW w:w="6080" w:type="dxa"/>
            <w:vAlign w:val="bottom"/>
            <w:tcBorders>
              <w:bottom w:val="single" w:sz="8" w:color="auto"/>
            </w:tcBorders>
            <w:shd w:val="clear" w:color="auto" w:fill="D6DAEE"/>
          </w:tcPr>
          <w:p>
            <w:pPr>
              <w:ind w:left="120"/>
              <w:spacing w:after="0" w:line="105" w:lineRule="exact"/>
              <w:rPr>
                <w:sz w:val="20"/>
                <w:szCs w:val="20"/>
                <w:color w:val="auto"/>
              </w:rPr>
            </w:pPr>
            <w:r>
              <w:rPr>
                <w:rFonts w:ascii="Arial" w:cs="Arial" w:eastAsia="Arial" w:hAnsi="Arial"/>
                <w:sz w:val="10"/>
                <w:szCs w:val="10"/>
                <w:color w:val="auto"/>
              </w:rPr>
              <w:t>2012 to 2017</w:t>
            </w:r>
          </w:p>
        </w:tc>
        <w:tc>
          <w:tcPr>
            <w:tcW w:w="1640" w:type="dxa"/>
            <w:vAlign w:val="bottom"/>
            <w:tcBorders>
              <w:bottom w:val="single" w:sz="8" w:color="auto"/>
            </w:tcBorders>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F1F3F9"/>
          </w:tcPr>
          <w:p>
            <w:pPr>
              <w:ind w:left="60"/>
              <w:spacing w:after="0"/>
              <w:rPr>
                <w:sz w:val="20"/>
                <w:szCs w:val="20"/>
                <w:color w:val="auto"/>
              </w:rPr>
            </w:pPr>
            <w:r>
              <w:rPr>
                <w:rFonts w:ascii="Arial" w:cs="Arial" w:eastAsia="Arial" w:hAnsi="Arial"/>
                <w:sz w:val="10"/>
                <w:szCs w:val="10"/>
                <w:color w:val="auto"/>
                <w:w w:val="98"/>
              </w:rPr>
              <w:t>Preference for using majority voting in the election of</w:t>
            </w:r>
          </w:p>
        </w:tc>
        <w:tc>
          <w:tcPr>
            <w:tcW w:w="6080" w:type="dxa"/>
            <w:vAlign w:val="bottom"/>
            <w:shd w:val="clear" w:color="auto" w:fill="F1F3F9"/>
          </w:tcPr>
          <w:p>
            <w:pPr>
              <w:ind w:left="120"/>
              <w:spacing w:after="0"/>
              <w:rPr>
                <w:sz w:val="20"/>
                <w:szCs w:val="20"/>
                <w:color w:val="auto"/>
              </w:rPr>
            </w:pPr>
            <w:r>
              <w:rPr>
                <w:rFonts w:ascii="Arial" w:cs="Arial" w:eastAsia="Arial" w:hAnsi="Arial"/>
                <w:sz w:val="10"/>
                <w:szCs w:val="10"/>
                <w:color w:val="auto"/>
              </w:rPr>
              <w:t>Adopted majority voting standard in the election of directors and director resignation policy</w:t>
            </w:r>
          </w:p>
        </w:tc>
        <w:tc>
          <w:tcPr>
            <w:tcW w:w="1640" w:type="dxa"/>
            <w:vAlign w:val="bottom"/>
            <w:shd w:val="clear" w:color="auto" w:fill="F1F3F9"/>
          </w:tcPr>
          <w:p>
            <w:pPr>
              <w:ind w:left="140"/>
              <w:spacing w:after="0"/>
              <w:rPr>
                <w:sz w:val="20"/>
                <w:szCs w:val="20"/>
                <w:color w:val="auto"/>
              </w:rPr>
            </w:pPr>
            <w:r>
              <w:rPr>
                <w:rFonts w:ascii="Arial" w:cs="Arial" w:eastAsia="Arial" w:hAnsi="Arial"/>
                <w:sz w:val="10"/>
                <w:szCs w:val="10"/>
                <w:color w:val="auto"/>
                <w:w w:val="97"/>
              </w:rPr>
              <w:t>January 2014 (director resignation</w:t>
            </w:r>
          </w:p>
        </w:tc>
        <w:tc>
          <w:tcPr>
            <w:tcW w:w="0" w:type="dxa"/>
            <w:vAlign w:val="bottom"/>
          </w:tcPr>
          <w:p>
            <w:pPr>
              <w:spacing w:after="0"/>
              <w:rPr>
                <w:sz w:val="1"/>
                <w:szCs w:val="1"/>
                <w:color w:val="auto"/>
              </w:rPr>
            </w:pPr>
          </w:p>
        </w:tc>
      </w:tr>
      <w:tr>
        <w:trPr>
          <w:trHeight w:val="108"/>
        </w:trPr>
        <w:tc>
          <w:tcPr>
            <w:tcW w:w="2380" w:type="dxa"/>
            <w:vAlign w:val="bottom"/>
            <w:shd w:val="clear" w:color="auto" w:fill="F1F3F9"/>
          </w:tcPr>
          <w:p>
            <w:pPr>
              <w:ind w:left="60"/>
              <w:spacing w:after="0" w:line="108" w:lineRule="exact"/>
              <w:rPr>
                <w:sz w:val="20"/>
                <w:szCs w:val="20"/>
                <w:color w:val="auto"/>
              </w:rPr>
            </w:pPr>
            <w:r>
              <w:rPr>
                <w:rFonts w:ascii="Arial" w:cs="Arial" w:eastAsia="Arial" w:hAnsi="Arial"/>
                <w:sz w:val="10"/>
                <w:szCs w:val="10"/>
                <w:color w:val="auto"/>
              </w:rPr>
              <w:t>directors</w:t>
            </w:r>
          </w:p>
        </w:tc>
        <w:tc>
          <w:tcPr>
            <w:tcW w:w="6080" w:type="dxa"/>
            <w:vAlign w:val="bottom"/>
            <w:shd w:val="clear" w:color="auto" w:fill="F1F3F9"/>
          </w:tcPr>
          <w:p>
            <w:pPr>
              <w:spacing w:after="0"/>
              <w:rPr>
                <w:sz w:val="9"/>
                <w:szCs w:val="9"/>
                <w:color w:val="auto"/>
              </w:rPr>
            </w:pPr>
          </w:p>
        </w:tc>
        <w:tc>
          <w:tcPr>
            <w:tcW w:w="1640" w:type="dxa"/>
            <w:vAlign w:val="bottom"/>
            <w:shd w:val="clear" w:color="auto" w:fill="F1F3F9"/>
          </w:tcPr>
          <w:p>
            <w:pPr>
              <w:ind w:left="140"/>
              <w:spacing w:after="0" w:line="108" w:lineRule="exact"/>
              <w:rPr>
                <w:sz w:val="20"/>
                <w:szCs w:val="20"/>
                <w:color w:val="auto"/>
              </w:rPr>
            </w:pPr>
            <w:r>
              <w:rPr>
                <w:rFonts w:ascii="Arial" w:cs="Arial" w:eastAsia="Arial" w:hAnsi="Arial"/>
                <w:sz w:val="10"/>
                <w:szCs w:val="10"/>
                <w:color w:val="auto"/>
                <w:w w:val="96"/>
              </w:rPr>
              <w:t>policy) and January 2016 (majority</w:t>
            </w:r>
          </w:p>
        </w:tc>
        <w:tc>
          <w:tcPr>
            <w:tcW w:w="0" w:type="dxa"/>
            <w:vAlign w:val="bottom"/>
          </w:tcPr>
          <w:p>
            <w:pPr>
              <w:spacing w:after="0"/>
              <w:rPr>
                <w:sz w:val="1"/>
                <w:szCs w:val="1"/>
                <w:color w:val="auto"/>
              </w:rPr>
            </w:pPr>
          </w:p>
        </w:tc>
      </w:tr>
      <w:tr>
        <w:trPr>
          <w:trHeight w:val="105"/>
        </w:trPr>
        <w:tc>
          <w:tcPr>
            <w:tcW w:w="2380" w:type="dxa"/>
            <w:vAlign w:val="bottom"/>
            <w:tcBorders>
              <w:bottom w:val="single" w:sz="8" w:color="auto"/>
            </w:tcBorders>
            <w:shd w:val="clear" w:color="auto" w:fill="F1F3F9"/>
          </w:tcPr>
          <w:p>
            <w:pPr>
              <w:spacing w:after="0"/>
              <w:rPr>
                <w:sz w:val="9"/>
                <w:szCs w:val="9"/>
                <w:color w:val="auto"/>
              </w:rPr>
            </w:pPr>
          </w:p>
        </w:tc>
        <w:tc>
          <w:tcPr>
            <w:tcW w:w="6080" w:type="dxa"/>
            <w:vAlign w:val="bottom"/>
            <w:tcBorders>
              <w:bottom w:val="single" w:sz="8" w:color="auto"/>
            </w:tcBorders>
            <w:shd w:val="clear" w:color="auto" w:fill="F1F3F9"/>
          </w:tcPr>
          <w:p>
            <w:pPr>
              <w:spacing w:after="0"/>
              <w:rPr>
                <w:sz w:val="9"/>
                <w:szCs w:val="9"/>
                <w:color w:val="auto"/>
              </w:rPr>
            </w:pPr>
          </w:p>
        </w:tc>
        <w:tc>
          <w:tcPr>
            <w:tcW w:w="1640" w:type="dxa"/>
            <w:vAlign w:val="bottom"/>
            <w:tcBorders>
              <w:bottom w:val="single" w:sz="8" w:color="auto"/>
            </w:tcBorders>
            <w:shd w:val="clear" w:color="auto" w:fill="F1F3F9"/>
          </w:tcPr>
          <w:p>
            <w:pPr>
              <w:ind w:left="140"/>
              <w:spacing w:after="0" w:line="105" w:lineRule="exact"/>
              <w:rPr>
                <w:sz w:val="20"/>
                <w:szCs w:val="20"/>
                <w:color w:val="auto"/>
              </w:rPr>
            </w:pPr>
            <w:r>
              <w:rPr>
                <w:rFonts w:ascii="Arial" w:cs="Arial" w:eastAsia="Arial" w:hAnsi="Arial"/>
                <w:sz w:val="10"/>
                <w:szCs w:val="10"/>
                <w:color w:val="auto"/>
              </w:rPr>
              <w:t>voting)</w:t>
            </w:r>
          </w:p>
        </w:tc>
        <w:tc>
          <w:tcPr>
            <w:tcW w:w="0" w:type="dxa"/>
            <w:vAlign w:val="bottom"/>
          </w:tcPr>
          <w:p>
            <w:pPr>
              <w:spacing w:after="0"/>
              <w:rPr>
                <w:sz w:val="1"/>
                <w:szCs w:val="1"/>
                <w:color w:val="auto"/>
              </w:rPr>
            </w:pPr>
          </w:p>
        </w:tc>
      </w:tr>
      <w:tr>
        <w:trPr>
          <w:trHeight w:val="214"/>
        </w:trPr>
        <w:tc>
          <w:tcPr>
            <w:tcW w:w="238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Concern about executive perquisites</w:t>
            </w:r>
          </w:p>
        </w:tc>
        <w:tc>
          <w:tcPr>
            <w:tcW w:w="6080" w:type="dxa"/>
            <w:vAlign w:val="bottom"/>
            <w:tcBorders>
              <w:bottom w:val="single" w:sz="8" w:color="auto"/>
            </w:tcBorders>
            <w:shd w:val="clear" w:color="auto" w:fill="D6DAEE"/>
          </w:tcPr>
          <w:p>
            <w:pPr>
              <w:ind w:left="120"/>
              <w:spacing w:after="0"/>
              <w:rPr>
                <w:sz w:val="20"/>
                <w:szCs w:val="20"/>
                <w:color w:val="auto"/>
              </w:rPr>
            </w:pPr>
            <w:r>
              <w:rPr>
                <w:rFonts w:ascii="Arial" w:cs="Arial" w:eastAsia="Arial" w:hAnsi="Arial"/>
                <w:sz w:val="10"/>
                <w:szCs w:val="10"/>
                <w:color w:val="auto"/>
                <w:w w:val="99"/>
              </w:rPr>
              <w:t>Eliminated certain CEO non-business perquisites, including a tax gross-up related to legal, tax, and financial planning advisory services</w:t>
            </w:r>
          </w:p>
        </w:tc>
        <w:tc>
          <w:tcPr>
            <w:tcW w:w="1640" w:type="dxa"/>
            <w:vAlign w:val="bottom"/>
            <w:tcBorders>
              <w:bottom w:val="single" w:sz="8" w:color="auto"/>
            </w:tcBorders>
            <w:shd w:val="clear" w:color="auto" w:fill="D6DAEE"/>
          </w:tcPr>
          <w:p>
            <w:pPr>
              <w:ind w:left="140"/>
              <w:spacing w:after="0"/>
              <w:rPr>
                <w:sz w:val="20"/>
                <w:szCs w:val="20"/>
                <w:color w:val="auto"/>
              </w:rPr>
            </w:pPr>
            <w:r>
              <w:rPr>
                <w:rFonts w:ascii="Arial" w:cs="Arial" w:eastAsia="Arial" w:hAnsi="Arial"/>
                <w:sz w:val="10"/>
                <w:szCs w:val="10"/>
                <w:color w:val="auto"/>
              </w:rPr>
              <w:t>December 2014</w:t>
            </w:r>
          </w:p>
        </w:tc>
        <w:tc>
          <w:tcPr>
            <w:tcW w:w="0" w:type="dxa"/>
            <w:vAlign w:val="bottom"/>
          </w:tcPr>
          <w:p>
            <w:pPr>
              <w:spacing w:after="0"/>
              <w:rPr>
                <w:sz w:val="1"/>
                <w:szCs w:val="1"/>
                <w:color w:val="auto"/>
              </w:rPr>
            </w:pPr>
          </w:p>
        </w:tc>
      </w:tr>
      <w:tr>
        <w:trPr>
          <w:trHeight w:val="217"/>
        </w:trPr>
        <w:tc>
          <w:tcPr>
            <w:tcW w:w="2380" w:type="dxa"/>
            <w:vAlign w:val="bottom"/>
            <w:shd w:val="clear" w:color="auto" w:fill="F1F3F9"/>
          </w:tcPr>
          <w:p>
            <w:pPr>
              <w:ind w:left="60"/>
              <w:spacing w:after="0"/>
              <w:rPr>
                <w:sz w:val="20"/>
                <w:szCs w:val="20"/>
                <w:color w:val="auto"/>
              </w:rPr>
            </w:pPr>
            <w:r>
              <w:rPr>
                <w:rFonts w:ascii="Arial" w:cs="Arial" w:eastAsia="Arial" w:hAnsi="Arial"/>
                <w:sz w:val="10"/>
                <w:szCs w:val="10"/>
                <w:color w:val="auto"/>
                <w:w w:val="97"/>
              </w:rPr>
              <w:t>Payments contingent on change in control should not</w:t>
            </w:r>
          </w:p>
        </w:tc>
        <w:tc>
          <w:tcPr>
            <w:tcW w:w="6080" w:type="dxa"/>
            <w:vAlign w:val="bottom"/>
            <w:shd w:val="clear" w:color="auto" w:fill="F1F3F9"/>
          </w:tcPr>
          <w:p>
            <w:pPr>
              <w:ind w:left="120"/>
              <w:spacing w:after="0"/>
              <w:rPr>
                <w:sz w:val="20"/>
                <w:szCs w:val="20"/>
                <w:color w:val="auto"/>
              </w:rPr>
            </w:pPr>
            <w:r>
              <w:rPr>
                <w:rFonts w:ascii="Arial" w:cs="Arial" w:eastAsia="Arial" w:hAnsi="Arial"/>
                <w:sz w:val="10"/>
                <w:szCs w:val="10"/>
                <w:color w:val="auto"/>
                <w:w w:val="99"/>
              </w:rPr>
              <w:t>Adopted a new policy against including excise tax gross-up provisions with respect to payments contingent upon a change in control of</w:t>
            </w:r>
          </w:p>
        </w:tc>
        <w:tc>
          <w:tcPr>
            <w:tcW w:w="1640" w:type="dxa"/>
            <w:vAlign w:val="bottom"/>
            <w:shd w:val="clear" w:color="auto" w:fill="F1F3F9"/>
          </w:tcPr>
          <w:p>
            <w:pPr>
              <w:ind w:left="140"/>
              <w:spacing w:after="0"/>
              <w:rPr>
                <w:sz w:val="20"/>
                <w:szCs w:val="20"/>
                <w:color w:val="auto"/>
              </w:rPr>
            </w:pPr>
            <w:r>
              <w:rPr>
                <w:rFonts w:ascii="Arial" w:cs="Arial" w:eastAsia="Arial" w:hAnsi="Arial"/>
                <w:sz w:val="10"/>
                <w:szCs w:val="10"/>
                <w:color w:val="auto"/>
              </w:rPr>
              <w:t>November 2014</w:t>
            </w:r>
          </w:p>
        </w:tc>
        <w:tc>
          <w:tcPr>
            <w:tcW w:w="0" w:type="dxa"/>
            <w:vAlign w:val="bottom"/>
          </w:tcPr>
          <w:p>
            <w:pPr>
              <w:spacing w:after="0"/>
              <w:rPr>
                <w:sz w:val="1"/>
                <w:szCs w:val="1"/>
                <w:color w:val="auto"/>
              </w:rPr>
            </w:pPr>
          </w:p>
        </w:tc>
      </w:tr>
      <w:tr>
        <w:trPr>
          <w:trHeight w:val="108"/>
        </w:trPr>
        <w:tc>
          <w:tcPr>
            <w:tcW w:w="2380" w:type="dxa"/>
            <w:vAlign w:val="bottom"/>
            <w:shd w:val="clear" w:color="auto" w:fill="F1F3F9"/>
          </w:tcPr>
          <w:p>
            <w:pPr>
              <w:ind w:left="60"/>
              <w:spacing w:after="0" w:line="108" w:lineRule="exact"/>
              <w:rPr>
                <w:sz w:val="20"/>
                <w:szCs w:val="20"/>
                <w:color w:val="auto"/>
              </w:rPr>
            </w:pPr>
            <w:r>
              <w:rPr>
                <w:rFonts w:ascii="Arial" w:cs="Arial" w:eastAsia="Arial" w:hAnsi="Arial"/>
                <w:sz w:val="10"/>
                <w:szCs w:val="10"/>
                <w:color w:val="auto"/>
              </w:rPr>
              <w:t>benefit from excise tax gross-ups</w:t>
            </w:r>
          </w:p>
        </w:tc>
        <w:tc>
          <w:tcPr>
            <w:tcW w:w="6080" w:type="dxa"/>
            <w:vAlign w:val="bottom"/>
            <w:shd w:val="clear" w:color="auto" w:fill="F1F3F9"/>
          </w:tcPr>
          <w:p>
            <w:pPr>
              <w:ind w:left="120"/>
              <w:spacing w:after="0" w:line="108" w:lineRule="exact"/>
              <w:rPr>
                <w:sz w:val="20"/>
                <w:szCs w:val="20"/>
                <w:color w:val="auto"/>
              </w:rPr>
            </w:pPr>
            <w:r>
              <w:rPr>
                <w:rFonts w:ascii="Arial" w:cs="Arial" w:eastAsia="Arial" w:hAnsi="Arial"/>
                <w:sz w:val="10"/>
                <w:szCs w:val="10"/>
                <w:color w:val="auto"/>
              </w:rPr>
              <w:t>Regeneron in contracts, compensatory plans, or other arrangements with the Company's executive officers, including the NEOs</w:t>
            </w:r>
          </w:p>
        </w:tc>
        <w:tc>
          <w:tcPr>
            <w:tcW w:w="1640" w:type="dxa"/>
            <w:vAlign w:val="bottom"/>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380" w:type="dxa"/>
            <w:vAlign w:val="bottom"/>
            <w:tcBorders>
              <w:bottom w:val="single" w:sz="8" w:color="auto"/>
            </w:tcBorders>
            <w:shd w:val="clear" w:color="auto" w:fill="F1F3F9"/>
          </w:tcPr>
          <w:p>
            <w:pPr>
              <w:spacing w:after="0"/>
              <w:rPr>
                <w:sz w:val="9"/>
                <w:szCs w:val="9"/>
                <w:color w:val="auto"/>
              </w:rPr>
            </w:pPr>
          </w:p>
        </w:tc>
        <w:tc>
          <w:tcPr>
            <w:tcW w:w="6080" w:type="dxa"/>
            <w:vAlign w:val="bottom"/>
            <w:tcBorders>
              <w:bottom w:val="single" w:sz="8" w:color="auto"/>
            </w:tcBorders>
            <w:shd w:val="clear" w:color="auto" w:fill="F1F3F9"/>
          </w:tcPr>
          <w:p>
            <w:pPr>
              <w:ind w:left="120"/>
              <w:spacing w:after="0" w:line="105" w:lineRule="exact"/>
              <w:rPr>
                <w:sz w:val="20"/>
                <w:szCs w:val="20"/>
                <w:color w:val="auto"/>
              </w:rPr>
            </w:pPr>
            <w:r>
              <w:rPr>
                <w:rFonts w:ascii="Arial" w:cs="Arial" w:eastAsia="Arial" w:hAnsi="Arial"/>
                <w:sz w:val="10"/>
                <w:szCs w:val="10"/>
                <w:color w:val="auto"/>
              </w:rPr>
              <w:t>(grandfathered the CEO employment agreement)</w:t>
            </w:r>
          </w:p>
        </w:tc>
        <w:tc>
          <w:tcPr>
            <w:tcW w:w="1640" w:type="dxa"/>
            <w:vAlign w:val="bottom"/>
            <w:tcBorders>
              <w:bottom w:val="single" w:sz="8" w:color="auto"/>
            </w:tcBorders>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D6DAEE"/>
          </w:tcPr>
          <w:p>
            <w:pPr>
              <w:ind w:left="60"/>
              <w:spacing w:after="0"/>
              <w:rPr>
                <w:sz w:val="20"/>
                <w:szCs w:val="20"/>
                <w:color w:val="auto"/>
              </w:rPr>
            </w:pPr>
            <w:r>
              <w:rPr>
                <w:rFonts w:ascii="Arial" w:cs="Arial" w:eastAsia="Arial" w:hAnsi="Arial"/>
                <w:sz w:val="10"/>
                <w:szCs w:val="10"/>
                <w:color w:val="auto"/>
                <w:w w:val="99"/>
              </w:rPr>
              <w:t>The Company should be able to claw back incentive</w:t>
            </w:r>
          </w:p>
        </w:tc>
        <w:tc>
          <w:tcPr>
            <w:tcW w:w="6080" w:type="dxa"/>
            <w:vAlign w:val="bottom"/>
            <w:shd w:val="clear" w:color="auto" w:fill="D6DAEE"/>
          </w:tcPr>
          <w:p>
            <w:pPr>
              <w:ind w:left="120"/>
              <w:spacing w:after="0"/>
              <w:rPr>
                <w:sz w:val="20"/>
                <w:szCs w:val="20"/>
                <w:color w:val="auto"/>
              </w:rPr>
            </w:pPr>
            <w:r>
              <w:rPr>
                <w:rFonts w:ascii="Arial" w:cs="Arial" w:eastAsia="Arial" w:hAnsi="Arial"/>
                <w:sz w:val="10"/>
                <w:szCs w:val="10"/>
                <w:color w:val="auto"/>
              </w:rPr>
              <w:t>Adopted a recoupment (clawback) policy covering both financial and non-financial misconduct</w:t>
            </w:r>
          </w:p>
        </w:tc>
        <w:tc>
          <w:tcPr>
            <w:tcW w:w="1640" w:type="dxa"/>
            <w:vAlign w:val="bottom"/>
            <w:shd w:val="clear" w:color="auto" w:fill="D6DAEE"/>
          </w:tcPr>
          <w:p>
            <w:pPr>
              <w:ind w:left="140"/>
              <w:spacing w:after="0"/>
              <w:rPr>
                <w:sz w:val="20"/>
                <w:szCs w:val="20"/>
                <w:color w:val="auto"/>
              </w:rPr>
            </w:pPr>
            <w:r>
              <w:rPr>
                <w:rFonts w:ascii="Arial" w:cs="Arial" w:eastAsia="Arial" w:hAnsi="Arial"/>
                <w:sz w:val="10"/>
                <w:szCs w:val="10"/>
                <w:color w:val="auto"/>
              </w:rPr>
              <w:t>January 2014</w:t>
            </w:r>
          </w:p>
        </w:tc>
        <w:tc>
          <w:tcPr>
            <w:tcW w:w="0" w:type="dxa"/>
            <w:vAlign w:val="bottom"/>
          </w:tcPr>
          <w:p>
            <w:pPr>
              <w:spacing w:after="0"/>
              <w:rPr>
                <w:sz w:val="1"/>
                <w:szCs w:val="1"/>
                <w:color w:val="auto"/>
              </w:rPr>
            </w:pPr>
          </w:p>
        </w:tc>
      </w:tr>
      <w:tr>
        <w:trPr>
          <w:trHeight w:val="105"/>
        </w:trPr>
        <w:tc>
          <w:tcPr>
            <w:tcW w:w="2380" w:type="dxa"/>
            <w:vAlign w:val="bottom"/>
            <w:tcBorders>
              <w:bottom w:val="single" w:sz="8" w:color="auto"/>
            </w:tcBorders>
            <w:shd w:val="clear" w:color="auto" w:fill="D6DAEE"/>
          </w:tcPr>
          <w:p>
            <w:pPr>
              <w:ind w:left="60"/>
              <w:spacing w:after="0" w:line="105" w:lineRule="exact"/>
              <w:rPr>
                <w:sz w:val="20"/>
                <w:szCs w:val="20"/>
                <w:color w:val="auto"/>
              </w:rPr>
            </w:pPr>
            <w:r>
              <w:rPr>
                <w:rFonts w:ascii="Arial" w:cs="Arial" w:eastAsia="Arial" w:hAnsi="Arial"/>
                <w:sz w:val="10"/>
                <w:szCs w:val="10"/>
                <w:color w:val="auto"/>
              </w:rPr>
              <w:t>compensation in case of employee misconduct</w:t>
            </w:r>
          </w:p>
        </w:tc>
        <w:tc>
          <w:tcPr>
            <w:tcW w:w="6080" w:type="dxa"/>
            <w:vAlign w:val="bottom"/>
            <w:tcBorders>
              <w:bottom w:val="single" w:sz="8" w:color="auto"/>
            </w:tcBorders>
            <w:shd w:val="clear" w:color="auto" w:fill="D6DAEE"/>
          </w:tcPr>
          <w:p>
            <w:pPr>
              <w:spacing w:after="0"/>
              <w:rPr>
                <w:sz w:val="9"/>
                <w:szCs w:val="9"/>
                <w:color w:val="auto"/>
              </w:rPr>
            </w:pPr>
          </w:p>
        </w:tc>
        <w:tc>
          <w:tcPr>
            <w:tcW w:w="1640" w:type="dxa"/>
            <w:vAlign w:val="bottom"/>
            <w:tcBorders>
              <w:bottom w:val="single" w:sz="8" w:color="auto"/>
            </w:tcBorders>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F1F3F9"/>
          </w:tcPr>
          <w:p>
            <w:pPr>
              <w:ind w:left="60"/>
              <w:spacing w:after="0"/>
              <w:rPr>
                <w:sz w:val="20"/>
                <w:szCs w:val="20"/>
                <w:color w:val="auto"/>
              </w:rPr>
            </w:pPr>
            <w:r>
              <w:rPr>
                <w:rFonts w:ascii="Arial" w:cs="Arial" w:eastAsia="Arial" w:hAnsi="Arial"/>
                <w:sz w:val="10"/>
                <w:szCs w:val="10"/>
                <w:color w:val="auto"/>
              </w:rPr>
              <w:t>Need to communicate more clearly about</w:t>
            </w:r>
          </w:p>
        </w:tc>
        <w:tc>
          <w:tcPr>
            <w:tcW w:w="6080" w:type="dxa"/>
            <w:vAlign w:val="bottom"/>
            <w:shd w:val="clear" w:color="auto" w:fill="F1F3F9"/>
          </w:tcPr>
          <w:p>
            <w:pPr>
              <w:ind w:left="120"/>
              <w:spacing w:after="0"/>
              <w:rPr>
                <w:sz w:val="20"/>
                <w:szCs w:val="20"/>
                <w:color w:val="auto"/>
              </w:rPr>
            </w:pPr>
            <w:r>
              <w:rPr>
                <w:rFonts w:ascii="Arial" w:cs="Arial" w:eastAsia="Arial" w:hAnsi="Arial"/>
                <w:sz w:val="10"/>
                <w:szCs w:val="10"/>
                <w:color w:val="auto"/>
              </w:rPr>
              <w:t>Substantially revised CD&amp;A section of proxy statement and provided additional information regarding compensation decisions and our</w:t>
            </w:r>
          </w:p>
        </w:tc>
        <w:tc>
          <w:tcPr>
            <w:tcW w:w="1640" w:type="dxa"/>
            <w:vAlign w:val="bottom"/>
            <w:shd w:val="clear" w:color="auto" w:fill="F1F3F9"/>
          </w:tcPr>
          <w:p>
            <w:pPr>
              <w:ind w:left="140"/>
              <w:spacing w:after="0"/>
              <w:rPr>
                <w:sz w:val="20"/>
                <w:szCs w:val="20"/>
                <w:color w:val="auto"/>
              </w:rPr>
            </w:pPr>
            <w:r>
              <w:rPr>
                <w:rFonts w:ascii="Arial" w:cs="Arial" w:eastAsia="Arial" w:hAnsi="Arial"/>
                <w:sz w:val="10"/>
                <w:szCs w:val="10"/>
                <w:color w:val="auto"/>
                <w:w w:val="96"/>
              </w:rPr>
              <w:t>2014, 2015, 2016, 2017, and 2018</w:t>
            </w:r>
          </w:p>
        </w:tc>
        <w:tc>
          <w:tcPr>
            <w:tcW w:w="0" w:type="dxa"/>
            <w:vAlign w:val="bottom"/>
          </w:tcPr>
          <w:p>
            <w:pPr>
              <w:spacing w:after="0"/>
              <w:rPr>
                <w:sz w:val="1"/>
                <w:szCs w:val="1"/>
                <w:color w:val="auto"/>
              </w:rPr>
            </w:pPr>
          </w:p>
        </w:tc>
      </w:tr>
      <w:tr>
        <w:trPr>
          <w:trHeight w:val="108"/>
        </w:trPr>
        <w:tc>
          <w:tcPr>
            <w:tcW w:w="2380" w:type="dxa"/>
            <w:vAlign w:val="bottom"/>
            <w:shd w:val="clear" w:color="auto" w:fill="F1F3F9"/>
          </w:tcPr>
          <w:p>
            <w:pPr>
              <w:ind w:left="60"/>
              <w:spacing w:after="0" w:line="108" w:lineRule="exact"/>
              <w:rPr>
                <w:sz w:val="20"/>
                <w:szCs w:val="20"/>
                <w:color w:val="auto"/>
              </w:rPr>
            </w:pPr>
            <w:r>
              <w:rPr>
                <w:rFonts w:ascii="Arial" w:cs="Arial" w:eastAsia="Arial" w:hAnsi="Arial"/>
                <w:sz w:val="10"/>
                <w:szCs w:val="10"/>
                <w:color w:val="auto"/>
              </w:rPr>
              <w:t>compensation matters and link to Regeneron's</w:t>
            </w:r>
          </w:p>
        </w:tc>
        <w:tc>
          <w:tcPr>
            <w:tcW w:w="6080" w:type="dxa"/>
            <w:vAlign w:val="bottom"/>
            <w:shd w:val="clear" w:color="auto" w:fill="F1F3F9"/>
          </w:tcPr>
          <w:p>
            <w:pPr>
              <w:ind w:left="120"/>
              <w:spacing w:after="0" w:line="108" w:lineRule="exact"/>
              <w:rPr>
                <w:sz w:val="20"/>
                <w:szCs w:val="20"/>
                <w:color w:val="auto"/>
              </w:rPr>
            </w:pPr>
            <w:r>
              <w:rPr>
                <w:rFonts w:ascii="Arial" w:cs="Arial" w:eastAsia="Arial" w:hAnsi="Arial"/>
                <w:sz w:val="10"/>
                <w:szCs w:val="10"/>
                <w:color w:val="auto"/>
              </w:rPr>
              <w:t>compensation philosophy</w:t>
            </w:r>
          </w:p>
        </w:tc>
        <w:tc>
          <w:tcPr>
            <w:tcW w:w="1640" w:type="dxa"/>
            <w:vAlign w:val="bottom"/>
            <w:shd w:val="clear" w:color="auto" w:fill="F1F3F9"/>
          </w:tcPr>
          <w:p>
            <w:pPr>
              <w:ind w:left="140"/>
              <w:spacing w:after="0" w:line="108" w:lineRule="exact"/>
              <w:rPr>
                <w:sz w:val="20"/>
                <w:szCs w:val="20"/>
                <w:color w:val="auto"/>
              </w:rPr>
            </w:pPr>
            <w:r>
              <w:rPr>
                <w:rFonts w:ascii="Arial" w:cs="Arial" w:eastAsia="Arial" w:hAnsi="Arial"/>
                <w:sz w:val="10"/>
                <w:szCs w:val="10"/>
                <w:color w:val="auto"/>
              </w:rPr>
              <w:t>proxy seasons</w:t>
            </w:r>
          </w:p>
        </w:tc>
        <w:tc>
          <w:tcPr>
            <w:tcW w:w="0" w:type="dxa"/>
            <w:vAlign w:val="bottom"/>
          </w:tcPr>
          <w:p>
            <w:pPr>
              <w:spacing w:after="0"/>
              <w:rPr>
                <w:sz w:val="1"/>
                <w:szCs w:val="1"/>
                <w:color w:val="auto"/>
              </w:rPr>
            </w:pPr>
          </w:p>
        </w:tc>
      </w:tr>
      <w:tr>
        <w:trPr>
          <w:trHeight w:val="105"/>
        </w:trPr>
        <w:tc>
          <w:tcPr>
            <w:tcW w:w="2380" w:type="dxa"/>
            <w:vAlign w:val="bottom"/>
            <w:tcBorders>
              <w:bottom w:val="single" w:sz="8" w:color="auto"/>
            </w:tcBorders>
            <w:shd w:val="clear" w:color="auto" w:fill="F1F3F9"/>
          </w:tcPr>
          <w:p>
            <w:pPr>
              <w:ind w:left="60"/>
              <w:spacing w:after="0" w:line="105" w:lineRule="exact"/>
              <w:rPr>
                <w:sz w:val="20"/>
                <w:szCs w:val="20"/>
                <w:color w:val="auto"/>
              </w:rPr>
            </w:pPr>
            <w:r>
              <w:rPr>
                <w:rFonts w:ascii="Arial" w:cs="Arial" w:eastAsia="Arial" w:hAnsi="Arial"/>
                <w:sz w:val="10"/>
                <w:szCs w:val="10"/>
                <w:color w:val="auto"/>
              </w:rPr>
              <w:t>business model and performance</w:t>
            </w:r>
          </w:p>
        </w:tc>
        <w:tc>
          <w:tcPr>
            <w:tcW w:w="6080" w:type="dxa"/>
            <w:vAlign w:val="bottom"/>
            <w:tcBorders>
              <w:bottom w:val="single" w:sz="8" w:color="auto"/>
            </w:tcBorders>
            <w:shd w:val="clear" w:color="auto" w:fill="F1F3F9"/>
          </w:tcPr>
          <w:p>
            <w:pPr>
              <w:spacing w:after="0"/>
              <w:rPr>
                <w:sz w:val="9"/>
                <w:szCs w:val="9"/>
                <w:color w:val="auto"/>
              </w:rPr>
            </w:pPr>
          </w:p>
        </w:tc>
        <w:tc>
          <w:tcPr>
            <w:tcW w:w="1640" w:type="dxa"/>
            <w:vAlign w:val="bottom"/>
            <w:tcBorders>
              <w:bottom w:val="single" w:sz="8" w:color="auto"/>
            </w:tcBorders>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D6DAEE"/>
          </w:tcPr>
          <w:p>
            <w:pPr>
              <w:ind w:left="60"/>
              <w:spacing w:after="0"/>
              <w:rPr>
                <w:sz w:val="20"/>
                <w:szCs w:val="20"/>
                <w:color w:val="auto"/>
              </w:rPr>
            </w:pPr>
            <w:r>
              <w:rPr>
                <w:rFonts w:ascii="Arial" w:cs="Arial" w:eastAsia="Arial" w:hAnsi="Arial"/>
                <w:sz w:val="10"/>
                <w:szCs w:val="10"/>
                <w:color w:val="auto"/>
              </w:rPr>
              <w:t>Requests for additional information with respect to</w:t>
            </w:r>
          </w:p>
        </w:tc>
        <w:tc>
          <w:tcPr>
            <w:tcW w:w="6080" w:type="dxa"/>
            <w:vAlign w:val="bottom"/>
            <w:shd w:val="clear" w:color="auto" w:fill="D6DAEE"/>
          </w:tcPr>
          <w:p>
            <w:pPr>
              <w:ind w:left="120"/>
              <w:spacing w:after="0"/>
              <w:rPr>
                <w:sz w:val="20"/>
                <w:szCs w:val="20"/>
                <w:color w:val="auto"/>
              </w:rPr>
            </w:pPr>
            <w:r>
              <w:rPr>
                <w:rFonts w:ascii="Arial" w:cs="Arial" w:eastAsia="Arial" w:hAnsi="Arial"/>
                <w:sz w:val="10"/>
                <w:szCs w:val="10"/>
                <w:color w:val="auto"/>
              </w:rPr>
              <w:t>Conducted ESG audit in 2017 to identify potential gaps with respect to ESG matters.</w:t>
            </w:r>
          </w:p>
        </w:tc>
        <w:tc>
          <w:tcPr>
            <w:tcW w:w="1640" w:type="dxa"/>
            <w:vAlign w:val="bottom"/>
            <w:shd w:val="clear" w:color="auto" w:fill="D6DAEE"/>
          </w:tcPr>
          <w:p>
            <w:pPr>
              <w:ind w:left="140"/>
              <w:spacing w:after="0"/>
              <w:rPr>
                <w:sz w:val="20"/>
                <w:szCs w:val="20"/>
                <w:color w:val="auto"/>
              </w:rPr>
            </w:pPr>
            <w:r>
              <w:rPr>
                <w:rFonts w:ascii="Arial" w:cs="Arial" w:eastAsia="Arial" w:hAnsi="Arial"/>
                <w:sz w:val="10"/>
                <w:szCs w:val="10"/>
                <w:color w:val="auto"/>
              </w:rPr>
              <w:t>2017 and 2018</w:t>
            </w:r>
          </w:p>
        </w:tc>
        <w:tc>
          <w:tcPr>
            <w:tcW w:w="0" w:type="dxa"/>
            <w:vAlign w:val="bottom"/>
          </w:tcPr>
          <w:p>
            <w:pPr>
              <w:spacing w:after="0"/>
              <w:rPr>
                <w:sz w:val="1"/>
                <w:szCs w:val="1"/>
                <w:color w:val="auto"/>
              </w:rPr>
            </w:pPr>
          </w:p>
        </w:tc>
      </w:tr>
      <w:tr>
        <w:trPr>
          <w:trHeight w:val="115"/>
        </w:trPr>
        <w:tc>
          <w:tcPr>
            <w:tcW w:w="2380" w:type="dxa"/>
            <w:vAlign w:val="bottom"/>
            <w:shd w:val="clear" w:color="auto" w:fill="D6DAEE"/>
          </w:tcPr>
          <w:p>
            <w:pPr>
              <w:ind w:left="60"/>
              <w:spacing w:after="0"/>
              <w:rPr>
                <w:sz w:val="20"/>
                <w:szCs w:val="20"/>
                <w:color w:val="auto"/>
              </w:rPr>
            </w:pPr>
            <w:r>
              <w:rPr>
                <w:rFonts w:ascii="Arial" w:cs="Arial" w:eastAsia="Arial" w:hAnsi="Arial"/>
                <w:sz w:val="10"/>
                <w:szCs w:val="10"/>
                <w:color w:val="auto"/>
              </w:rPr>
              <w:t>ESG matters</w:t>
            </w:r>
          </w:p>
        </w:tc>
        <w:tc>
          <w:tcPr>
            <w:tcW w:w="6080" w:type="dxa"/>
            <w:vAlign w:val="bottom"/>
            <w:vMerge w:val="restart"/>
            <w:shd w:val="clear" w:color="auto" w:fill="D6DAEE"/>
          </w:tcPr>
          <w:p>
            <w:pPr>
              <w:ind w:left="120"/>
              <w:spacing w:after="0"/>
              <w:rPr>
                <w:sz w:val="20"/>
                <w:szCs w:val="20"/>
                <w:color w:val="auto"/>
              </w:rPr>
            </w:pPr>
            <w:r>
              <w:rPr>
                <w:rFonts w:ascii="Arial" w:cs="Arial" w:eastAsia="Arial" w:hAnsi="Arial"/>
                <w:sz w:val="10"/>
                <w:szCs w:val="10"/>
                <w:color w:val="auto"/>
                <w:w w:val="98"/>
              </w:rPr>
              <w:t>Increased the breadth and depth of ESG data collection and reporting, including introducing first comprehensive Responsibility Report in</w:t>
            </w:r>
          </w:p>
        </w:tc>
        <w:tc>
          <w:tcPr>
            <w:tcW w:w="1640" w:type="dxa"/>
            <w:vAlign w:val="bottom"/>
            <w:shd w:val="clear" w:color="auto" w:fill="D6DAE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380" w:type="dxa"/>
            <w:vAlign w:val="bottom"/>
            <w:shd w:val="clear" w:color="auto" w:fill="D6DAEE"/>
          </w:tcPr>
          <w:p>
            <w:pPr>
              <w:spacing w:after="0"/>
              <w:rPr>
                <w:sz w:val="8"/>
                <w:szCs w:val="8"/>
                <w:color w:val="auto"/>
              </w:rPr>
            </w:pPr>
          </w:p>
        </w:tc>
        <w:tc>
          <w:tcPr>
            <w:tcW w:w="6080" w:type="dxa"/>
            <w:vAlign w:val="bottom"/>
            <w:vMerge w:val="continue"/>
            <w:shd w:val="clear" w:color="auto" w:fill="D6DAEE"/>
          </w:tcPr>
          <w:p>
            <w:pPr>
              <w:spacing w:after="0"/>
              <w:rPr>
                <w:sz w:val="8"/>
                <w:szCs w:val="8"/>
                <w:color w:val="auto"/>
              </w:rPr>
            </w:pPr>
          </w:p>
        </w:tc>
        <w:tc>
          <w:tcPr>
            <w:tcW w:w="1640" w:type="dxa"/>
            <w:vAlign w:val="bottom"/>
            <w:shd w:val="clear" w:color="auto" w:fill="D6DAE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380" w:type="dxa"/>
            <w:vAlign w:val="bottom"/>
            <w:tcBorders>
              <w:bottom w:val="single" w:sz="8" w:color="105BAB"/>
            </w:tcBorders>
            <w:shd w:val="clear" w:color="auto" w:fill="D6DAEE"/>
          </w:tcPr>
          <w:p>
            <w:pPr>
              <w:spacing w:after="0"/>
              <w:rPr>
                <w:sz w:val="9"/>
                <w:szCs w:val="9"/>
                <w:color w:val="auto"/>
              </w:rPr>
            </w:pPr>
          </w:p>
        </w:tc>
        <w:tc>
          <w:tcPr>
            <w:tcW w:w="6080" w:type="dxa"/>
            <w:vAlign w:val="bottom"/>
            <w:tcBorders>
              <w:bottom w:val="single" w:sz="8" w:color="105BAB"/>
            </w:tcBorders>
            <w:shd w:val="clear" w:color="auto" w:fill="D6DAEE"/>
          </w:tcPr>
          <w:p>
            <w:pPr>
              <w:ind w:left="120"/>
              <w:spacing w:after="0" w:line="105" w:lineRule="exact"/>
              <w:rPr>
                <w:sz w:val="20"/>
                <w:szCs w:val="20"/>
                <w:color w:val="auto"/>
              </w:rPr>
            </w:pPr>
            <w:r>
              <w:rPr>
                <w:rFonts w:ascii="Arial" w:cs="Arial" w:eastAsia="Arial" w:hAnsi="Arial"/>
                <w:sz w:val="10"/>
                <w:szCs w:val="10"/>
                <w:color w:val="auto"/>
              </w:rPr>
              <w:t>2018.</w:t>
            </w:r>
          </w:p>
        </w:tc>
        <w:tc>
          <w:tcPr>
            <w:tcW w:w="1640" w:type="dxa"/>
            <w:vAlign w:val="bottom"/>
            <w:tcBorders>
              <w:bottom w:val="single" w:sz="8" w:color="105BAB"/>
            </w:tcBorders>
            <w:shd w:val="clear" w:color="auto" w:fill="D6DAEE"/>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2">
            <w:col w:w="740" w:space="640"/>
            <w:col w:w="10100"/>
          </w:cols>
          <w:pgMar w:left="220" w:top="142" w:right="199" w:bottom="1440" w:gutter="0" w:footer="0" w:header="0"/>
          <w:type w:val="continuous"/>
        </w:sectPr>
      </w:pPr>
    </w:p>
    <w:p>
      <w:pPr>
        <w:spacing w:after="0"/>
        <w:rPr>
          <w:sz w:val="20"/>
          <w:szCs w:val="20"/>
          <w:color w:val="auto"/>
        </w:rPr>
      </w:pPr>
      <w:r>
        <w:rPr>
          <w:rFonts w:ascii="Arial" w:cs="Arial" w:eastAsia="Arial" w:hAnsi="Arial"/>
          <w:sz w:val="12"/>
          <w:szCs w:val="12"/>
          <w:color w:val="auto"/>
        </w:rPr>
        <w:t>We also provide all shareholders and others a means to contact us at any time. That information is included in this proxy statement—see "Shareholders—Shareholder Communications." We welcome your input.</w:t>
      </w:r>
    </w:p>
    <w:p>
      <w:pPr>
        <w:spacing w:after="0" w:line="130" w:lineRule="exact"/>
        <w:rPr>
          <w:sz w:val="20"/>
          <w:szCs w:val="20"/>
          <w:color w:val="auto"/>
        </w:rPr>
      </w:pPr>
    </w:p>
    <w:p>
      <w:pPr>
        <w:jc w:val="right"/>
        <w:ind w:right="340"/>
        <w:spacing w:after="0"/>
        <w:rPr>
          <w:sz w:val="20"/>
          <w:szCs w:val="20"/>
          <w:color w:val="auto"/>
        </w:rPr>
      </w:pPr>
      <w:r>
        <w:rPr>
          <w:rFonts w:ascii="Arial" w:cs="Arial" w:eastAsia="Arial" w:hAnsi="Arial"/>
          <w:sz w:val="10"/>
          <w:szCs w:val="10"/>
          <w:b w:val="1"/>
          <w:bCs w:val="1"/>
          <w:color w:val="FFFFF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78" w:name="page79"/>
    <w:bookmarkEnd w:id="78"/>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2923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105BAB"/>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05BAB"/>
        </w:rPr>
        <w:t>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36" w:lineRule="auto"/>
        <w:rPr>
          <w:sz w:val="20"/>
          <w:szCs w:val="20"/>
          <w:color w:val="auto"/>
        </w:rPr>
      </w:pPr>
      <w:r>
        <w:rPr>
          <w:rFonts w:ascii="Arial" w:cs="Arial" w:eastAsia="Arial" w:hAnsi="Arial"/>
          <w:sz w:val="12"/>
          <w:szCs w:val="12"/>
          <w:color w:val="auto"/>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In 2017, the Compensation Committee (and, as discussed above with respect to non-employee director compensation matters, the Corporate Governance and Compliance Committee) utilized the services of Frederic W. Cook &amp; Co. In order to maintain its independence, the Compensation Committee retained Frederic W. Cook &amp; Co. directly and Frederic W. Cook &amp; Co.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2017 the Compensation Committee evaluated the independence of Frederic W. Cook &amp; Co., including by taking into consideration the following factors:</w:t>
      </w:r>
    </w:p>
    <w:p>
      <w:pPr>
        <w:spacing w:after="0" w:line="94" w:lineRule="exact"/>
        <w:rPr>
          <w:sz w:val="20"/>
          <w:szCs w:val="20"/>
          <w:color w:val="auto"/>
        </w:rPr>
      </w:pPr>
    </w:p>
    <w:p>
      <w:pPr>
        <w:sectPr>
          <w:pgSz w:w="11900" w:h="16838" w:orient="portrait"/>
          <w:cols w:equalWidth="0" w:num="2">
            <w:col w:w="2380" w:space="720"/>
            <w:col w:w="8380"/>
          </w:cols>
          <w:pgMar w:left="220" w:top="142" w:right="199" w:bottom="1440" w:gutter="0" w:footer="0" w:header="0"/>
          <w:type w:val="continuous"/>
        </w:sectPr>
      </w:pPr>
    </w:p>
    <w:p>
      <w:pPr>
        <w:ind w:left="3320" w:right="480" w:hanging="221"/>
        <w:spacing w:after="0" w:line="239" w:lineRule="auto"/>
        <w:tabs>
          <w:tab w:leader="none" w:pos="3320" w:val="left"/>
        </w:tabs>
        <w:numPr>
          <w:ilvl w:val="0"/>
          <w:numId w:val="77"/>
        </w:numPr>
        <w:rPr>
          <w:rFonts w:ascii="Arial" w:cs="Arial" w:eastAsia="Arial" w:hAnsi="Arial"/>
          <w:sz w:val="10"/>
          <w:szCs w:val="10"/>
          <w:color w:val="105BAB"/>
        </w:rPr>
      </w:pPr>
      <w:r>
        <w:rPr>
          <w:rFonts w:ascii="Arial" w:cs="Arial" w:eastAsia="Arial" w:hAnsi="Arial"/>
          <w:sz w:val="12"/>
          <w:szCs w:val="12"/>
          <w:color w:val="auto"/>
        </w:rPr>
        <w:t>the fact that Frederic W. Cook &amp; Co. did not provide any other services to the Company (other than those provided to the Corporate Governance and Compliance Committee);</w:t>
      </w:r>
    </w:p>
    <w:p>
      <w:pPr>
        <w:spacing w:after="0" w:line="121" w:lineRule="exact"/>
        <w:rPr>
          <w:rFonts w:ascii="Arial" w:cs="Arial" w:eastAsia="Arial" w:hAnsi="Arial"/>
          <w:sz w:val="10"/>
          <w:szCs w:val="10"/>
          <w:color w:val="105BAB"/>
        </w:rPr>
      </w:pPr>
    </w:p>
    <w:p>
      <w:pPr>
        <w:ind w:left="3320" w:hanging="221"/>
        <w:spacing w:after="0"/>
        <w:tabs>
          <w:tab w:leader="none" w:pos="3320" w:val="left"/>
        </w:tabs>
        <w:numPr>
          <w:ilvl w:val="0"/>
          <w:numId w:val="77"/>
        </w:numPr>
        <w:rPr>
          <w:rFonts w:ascii="Arial" w:cs="Arial" w:eastAsia="Arial" w:hAnsi="Arial"/>
          <w:sz w:val="10"/>
          <w:szCs w:val="10"/>
          <w:color w:val="105BAB"/>
        </w:rPr>
      </w:pPr>
      <w:r>
        <w:rPr>
          <w:rFonts w:ascii="Arial" w:cs="Arial" w:eastAsia="Arial" w:hAnsi="Arial"/>
          <w:sz w:val="12"/>
          <w:szCs w:val="12"/>
          <w:color w:val="auto"/>
        </w:rPr>
        <w:t>the amount of fees received from the Company by Frederic W. Cook &amp; Co. as a percentage of its revenue;</w:t>
      </w:r>
    </w:p>
    <w:p>
      <w:pPr>
        <w:spacing w:after="0" w:line="132" w:lineRule="exact"/>
        <w:rPr>
          <w:rFonts w:ascii="Arial" w:cs="Arial" w:eastAsia="Arial" w:hAnsi="Arial"/>
          <w:sz w:val="10"/>
          <w:szCs w:val="10"/>
          <w:color w:val="105BAB"/>
        </w:rPr>
      </w:pPr>
    </w:p>
    <w:p>
      <w:pPr>
        <w:ind w:left="3320" w:hanging="221"/>
        <w:spacing w:after="0"/>
        <w:tabs>
          <w:tab w:leader="none" w:pos="3320" w:val="left"/>
        </w:tabs>
        <w:numPr>
          <w:ilvl w:val="0"/>
          <w:numId w:val="77"/>
        </w:numPr>
        <w:rPr>
          <w:rFonts w:ascii="Arial" w:cs="Arial" w:eastAsia="Arial" w:hAnsi="Arial"/>
          <w:sz w:val="10"/>
          <w:szCs w:val="10"/>
          <w:color w:val="105BAB"/>
        </w:rPr>
      </w:pPr>
      <w:r>
        <w:rPr>
          <w:rFonts w:ascii="Arial" w:cs="Arial" w:eastAsia="Arial" w:hAnsi="Arial"/>
          <w:sz w:val="12"/>
          <w:szCs w:val="12"/>
          <w:color w:val="auto"/>
        </w:rPr>
        <w:t>the policies and procedures of Frederic W. Cook &amp; Co. designed to prevent conflicts of interest;</w:t>
      </w:r>
    </w:p>
    <w:p>
      <w:pPr>
        <w:spacing w:after="0" w:line="132" w:lineRule="exact"/>
        <w:rPr>
          <w:rFonts w:ascii="Arial" w:cs="Arial" w:eastAsia="Arial" w:hAnsi="Arial"/>
          <w:sz w:val="10"/>
          <w:szCs w:val="10"/>
          <w:color w:val="105BAB"/>
        </w:rPr>
      </w:pPr>
    </w:p>
    <w:p>
      <w:pPr>
        <w:ind w:left="3320" w:right="280" w:hanging="221"/>
        <w:spacing w:after="0" w:line="239" w:lineRule="auto"/>
        <w:tabs>
          <w:tab w:leader="none" w:pos="3320" w:val="left"/>
        </w:tabs>
        <w:numPr>
          <w:ilvl w:val="0"/>
          <w:numId w:val="77"/>
        </w:numPr>
        <w:rPr>
          <w:rFonts w:ascii="Arial" w:cs="Arial" w:eastAsia="Arial" w:hAnsi="Arial"/>
          <w:sz w:val="10"/>
          <w:szCs w:val="10"/>
          <w:color w:val="105BAB"/>
        </w:rPr>
      </w:pPr>
      <w:r>
        <w:rPr>
          <w:rFonts w:ascii="Arial" w:cs="Arial" w:eastAsia="Arial" w:hAnsi="Arial"/>
          <w:sz w:val="12"/>
          <w:szCs w:val="12"/>
          <w:color w:val="auto"/>
        </w:rPr>
        <w:t>the absence of any significant business or personal relationship between Frederic W. Cook &amp; Co. representatives and any member of the Compensation Committee;</w:t>
      </w:r>
    </w:p>
    <w:p>
      <w:pPr>
        <w:spacing w:after="0" w:line="121" w:lineRule="exact"/>
        <w:rPr>
          <w:rFonts w:ascii="Arial" w:cs="Arial" w:eastAsia="Arial" w:hAnsi="Arial"/>
          <w:sz w:val="10"/>
          <w:szCs w:val="10"/>
          <w:color w:val="105BAB"/>
        </w:rPr>
      </w:pPr>
    </w:p>
    <w:p>
      <w:pPr>
        <w:ind w:left="3320" w:hanging="221"/>
        <w:spacing w:after="0"/>
        <w:tabs>
          <w:tab w:leader="none" w:pos="3320" w:val="left"/>
        </w:tabs>
        <w:numPr>
          <w:ilvl w:val="0"/>
          <w:numId w:val="77"/>
        </w:numPr>
        <w:rPr>
          <w:rFonts w:ascii="Arial" w:cs="Arial" w:eastAsia="Arial" w:hAnsi="Arial"/>
          <w:sz w:val="10"/>
          <w:szCs w:val="10"/>
          <w:color w:val="105BAB"/>
        </w:rPr>
      </w:pPr>
      <w:r>
        <w:rPr>
          <w:rFonts w:ascii="Arial" w:cs="Arial" w:eastAsia="Arial" w:hAnsi="Arial"/>
          <w:sz w:val="12"/>
          <w:szCs w:val="12"/>
          <w:color w:val="auto"/>
        </w:rPr>
        <w:t>the fact that Frederic W. Cook and the representatives of Frederic W. Cook &amp; Co. to the Company did not own any stock of the Company; and</w:t>
      </w:r>
    </w:p>
    <w:p>
      <w:pPr>
        <w:spacing w:after="0" w:line="132" w:lineRule="exact"/>
        <w:rPr>
          <w:rFonts w:ascii="Arial" w:cs="Arial" w:eastAsia="Arial" w:hAnsi="Arial"/>
          <w:sz w:val="10"/>
          <w:szCs w:val="10"/>
          <w:color w:val="105BAB"/>
        </w:rPr>
      </w:pPr>
    </w:p>
    <w:p>
      <w:pPr>
        <w:ind w:left="3320" w:right="480" w:hanging="221"/>
        <w:spacing w:after="0" w:line="239" w:lineRule="auto"/>
        <w:tabs>
          <w:tab w:leader="none" w:pos="3320" w:val="left"/>
        </w:tabs>
        <w:numPr>
          <w:ilvl w:val="0"/>
          <w:numId w:val="77"/>
        </w:numPr>
        <w:rPr>
          <w:rFonts w:ascii="Arial" w:cs="Arial" w:eastAsia="Arial" w:hAnsi="Arial"/>
          <w:sz w:val="10"/>
          <w:szCs w:val="10"/>
          <w:color w:val="105BAB"/>
        </w:rPr>
      </w:pPr>
      <w:r>
        <w:rPr>
          <w:rFonts w:ascii="Arial" w:cs="Arial" w:eastAsia="Arial" w:hAnsi="Arial"/>
          <w:sz w:val="12"/>
          <w:szCs w:val="12"/>
          <w:color w:val="auto"/>
        </w:rPr>
        <w:t>the absence of any material business or personal relationship between Frederic W. Cook &amp; Co. or its representatives and any executive officer of the Company.</w:t>
      </w:r>
    </w:p>
    <w:p>
      <w:pPr>
        <w:spacing w:after="0" w:line="139" w:lineRule="exact"/>
        <w:rPr>
          <w:sz w:val="20"/>
          <w:szCs w:val="20"/>
          <w:color w:val="auto"/>
        </w:rPr>
      </w:pPr>
    </w:p>
    <w:p>
      <w:pPr>
        <w:ind w:left="3100" w:right="500"/>
        <w:spacing w:after="0" w:line="239" w:lineRule="auto"/>
        <w:rPr>
          <w:sz w:val="20"/>
          <w:szCs w:val="20"/>
          <w:color w:val="auto"/>
        </w:rPr>
      </w:pPr>
      <w:r>
        <w:rPr>
          <w:rFonts w:ascii="Arial" w:cs="Arial" w:eastAsia="Arial" w:hAnsi="Arial"/>
          <w:sz w:val="12"/>
          <w:szCs w:val="12"/>
          <w:color w:val="auto"/>
        </w:rPr>
        <w:t>The Compensation Committee's evaluation was based in part on a representation letter from Frederic W. Cook &amp; Co. On the basis of this evaluation, the Compensation Committee concluded that the engagement of Frederic W. Cook &amp; Co. did not raise any conflicts of interest.</w:t>
      </w:r>
    </w:p>
    <w:p>
      <w:pPr>
        <w:spacing w:after="0" w:line="139" w:lineRule="exact"/>
        <w:rPr>
          <w:sz w:val="20"/>
          <w:szCs w:val="20"/>
          <w:color w:val="auto"/>
        </w:rPr>
      </w:pPr>
    </w:p>
    <w:p>
      <w:pPr>
        <w:ind w:left="3100" w:right="180"/>
        <w:spacing w:after="0" w:line="236" w:lineRule="auto"/>
        <w:rPr>
          <w:sz w:val="20"/>
          <w:szCs w:val="20"/>
          <w:color w:val="auto"/>
        </w:rPr>
      </w:pPr>
      <w:r>
        <w:rPr>
          <w:rFonts w:ascii="Arial" w:cs="Arial" w:eastAsia="Arial" w:hAnsi="Arial"/>
          <w:sz w:val="12"/>
          <w:szCs w:val="12"/>
          <w:color w:val="auto"/>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the other members of the Board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or replenishment of our long-term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2923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3"/>
          </w:tcPr>
          <w:p>
            <w:pPr>
              <w:spacing w:after="0"/>
              <w:rPr>
                <w:sz w:val="20"/>
                <w:szCs w:val="20"/>
                <w:color w:val="auto"/>
              </w:rPr>
            </w:pPr>
            <w:r>
              <w:rPr>
                <w:rFonts w:ascii="Arial" w:cs="Arial" w:eastAsia="Arial" w:hAnsi="Arial"/>
                <w:sz w:val="16"/>
                <w:szCs w:val="16"/>
                <w:color w:val="105BAB"/>
              </w:rPr>
              <w:t>PEER DATA</w:t>
            </w:r>
          </w:p>
        </w:tc>
        <w:tc>
          <w:tcPr>
            <w:tcW w:w="9480" w:type="dxa"/>
            <w:vAlign w:val="bottom"/>
            <w:gridSpan w:val="3"/>
          </w:tcPr>
          <w:p>
            <w:pPr>
              <w:ind w:left="1100"/>
              <w:spacing w:after="0"/>
              <w:rPr>
                <w:sz w:val="20"/>
                <w:szCs w:val="20"/>
                <w:color w:val="auto"/>
              </w:rPr>
            </w:pPr>
            <w:r>
              <w:rPr>
                <w:rFonts w:ascii="Arial" w:cs="Arial" w:eastAsia="Arial" w:hAnsi="Arial"/>
                <w:sz w:val="12"/>
                <w:szCs w:val="12"/>
                <w:color w:val="auto"/>
              </w:rPr>
              <w:t>For purposes of setting our NEOs' and other senior executives' compensation, we use comparative compensation information from a relevant peer group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480" w:type="dxa"/>
            <w:vAlign w:val="bottom"/>
            <w:gridSpan w:val="3"/>
          </w:tcPr>
          <w:p>
            <w:pPr>
              <w:ind w:left="1100"/>
              <w:spacing w:after="0" w:line="135" w:lineRule="exact"/>
              <w:rPr>
                <w:sz w:val="20"/>
                <w:szCs w:val="20"/>
                <w:color w:val="auto"/>
              </w:rPr>
            </w:pPr>
            <w:r>
              <w:rPr>
                <w:rFonts w:ascii="Arial" w:cs="Arial" w:eastAsia="Arial" w:hAnsi="Arial"/>
                <w:sz w:val="12"/>
                <w:szCs w:val="12"/>
                <w:color w:val="auto"/>
              </w:rPr>
              <w:t>companies (referred to in this proxy statement as "Peer Group"). We select the companies in the Peer Group with the assistance of Frederic W. Cook &amp; Co.</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740" w:type="dxa"/>
            <w:vAlign w:val="bottom"/>
            <w:gridSpan w:val="2"/>
          </w:tcPr>
          <w:p>
            <w:pPr>
              <w:ind w:left="1100"/>
              <w:spacing w:after="0"/>
              <w:rPr>
                <w:sz w:val="20"/>
                <w:szCs w:val="20"/>
                <w:color w:val="auto"/>
              </w:rPr>
            </w:pPr>
            <w:r>
              <w:rPr>
                <w:rFonts w:ascii="Arial" w:cs="Arial" w:eastAsia="Arial" w:hAnsi="Arial"/>
                <w:sz w:val="12"/>
                <w:szCs w:val="12"/>
                <w:color w:val="auto"/>
              </w:rPr>
              <w:t>based on factors including, but not limited to, the following:</w:t>
            </w:r>
          </w:p>
        </w:tc>
        <w:tc>
          <w:tcPr>
            <w:tcW w:w="4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ind w:left="1100"/>
              <w:spacing w:after="0"/>
              <w:rPr>
                <w:sz w:val="20"/>
                <w:szCs w:val="20"/>
                <w:color w:val="auto"/>
              </w:rPr>
            </w:pPr>
            <w:r>
              <w:rPr>
                <w:rFonts w:ascii="Arial" w:cs="Arial" w:eastAsia="Arial" w:hAnsi="Arial"/>
                <w:sz w:val="10"/>
                <w:szCs w:val="10"/>
                <w:color w:val="105BAB"/>
              </w:rPr>
              <w:t>•</w:t>
            </w:r>
          </w:p>
        </w:tc>
        <w:tc>
          <w:tcPr>
            <w:tcW w:w="3520" w:type="dxa"/>
            <w:vAlign w:val="bottom"/>
          </w:tcPr>
          <w:p>
            <w:pPr>
              <w:ind w:left="100"/>
              <w:spacing w:after="0"/>
              <w:rPr>
                <w:sz w:val="20"/>
                <w:szCs w:val="20"/>
                <w:color w:val="auto"/>
              </w:rPr>
            </w:pPr>
            <w:r>
              <w:rPr>
                <w:rFonts w:ascii="Arial" w:cs="Arial" w:eastAsia="Arial" w:hAnsi="Arial"/>
                <w:sz w:val="12"/>
                <w:szCs w:val="12"/>
                <w:color w:val="auto"/>
              </w:rPr>
              <w:t>market capitalization;</w:t>
            </w:r>
          </w:p>
        </w:tc>
        <w:tc>
          <w:tcPr>
            <w:tcW w:w="4740" w:type="dxa"/>
            <w:vAlign w:val="bottom"/>
          </w:tcPr>
          <w:p>
            <w:pPr>
              <w:ind w:left="600"/>
              <w:spacing w:after="0"/>
              <w:rPr>
                <w:sz w:val="20"/>
                <w:szCs w:val="20"/>
                <w:color w:val="auto"/>
              </w:rPr>
            </w:pPr>
            <w:r>
              <w:rPr>
                <w:rFonts w:ascii="Arial" w:cs="Arial" w:eastAsia="Arial" w:hAnsi="Arial"/>
                <w:sz w:val="10"/>
                <w:szCs w:val="10"/>
                <w:color w:val="105BAB"/>
              </w:rPr>
              <w:t xml:space="preserve">•    </w:t>
            </w:r>
            <w:r>
              <w:rPr>
                <w:rFonts w:ascii="Arial" w:cs="Arial" w:eastAsia="Arial" w:hAnsi="Arial"/>
                <w:sz w:val="11"/>
                <w:szCs w:val="11"/>
                <w:color w:val="000000"/>
              </w:rPr>
              <w:t>research and development expenditures;</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20" w:type="dxa"/>
            <w:vAlign w:val="bottom"/>
          </w:tcPr>
          <w:p>
            <w:pPr>
              <w:ind w:left="1100"/>
              <w:spacing w:after="0"/>
              <w:rPr>
                <w:sz w:val="20"/>
                <w:szCs w:val="20"/>
                <w:color w:val="auto"/>
              </w:rPr>
            </w:pPr>
            <w:r>
              <w:rPr>
                <w:rFonts w:ascii="Arial" w:cs="Arial" w:eastAsia="Arial" w:hAnsi="Arial"/>
                <w:sz w:val="10"/>
                <w:szCs w:val="10"/>
                <w:color w:val="105BAB"/>
              </w:rPr>
              <w:t>•</w:t>
            </w:r>
          </w:p>
        </w:tc>
        <w:tc>
          <w:tcPr>
            <w:tcW w:w="3520" w:type="dxa"/>
            <w:vAlign w:val="bottom"/>
          </w:tcPr>
          <w:p>
            <w:pPr>
              <w:ind w:left="100"/>
              <w:spacing w:after="0"/>
              <w:rPr>
                <w:sz w:val="20"/>
                <w:szCs w:val="20"/>
                <w:color w:val="auto"/>
              </w:rPr>
            </w:pPr>
            <w:r>
              <w:rPr>
                <w:rFonts w:ascii="Arial" w:cs="Arial" w:eastAsia="Arial" w:hAnsi="Arial"/>
                <w:sz w:val="12"/>
                <w:szCs w:val="12"/>
                <w:color w:val="auto"/>
              </w:rPr>
              <w:t>number of employees;</w:t>
            </w:r>
          </w:p>
        </w:tc>
        <w:tc>
          <w:tcPr>
            <w:tcW w:w="4740" w:type="dxa"/>
            <w:vAlign w:val="bottom"/>
          </w:tcPr>
          <w:p>
            <w:pPr>
              <w:ind w:left="600"/>
              <w:spacing w:after="0"/>
              <w:rPr>
                <w:sz w:val="20"/>
                <w:szCs w:val="20"/>
                <w:color w:val="auto"/>
              </w:rPr>
            </w:pPr>
            <w:r>
              <w:rPr>
                <w:rFonts w:ascii="Arial" w:cs="Arial" w:eastAsia="Arial" w:hAnsi="Arial"/>
                <w:sz w:val="10"/>
                <w:szCs w:val="10"/>
                <w:color w:val="105BAB"/>
              </w:rPr>
              <w:t xml:space="preserve">•    </w:t>
            </w:r>
            <w:r>
              <w:rPr>
                <w:rFonts w:ascii="Arial" w:cs="Arial" w:eastAsia="Arial" w:hAnsi="Arial"/>
                <w:sz w:val="11"/>
                <w:szCs w:val="11"/>
                <w:color w:val="000000"/>
              </w:rPr>
              <w:t>stage of development; and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ind w:left="1100"/>
              <w:spacing w:after="0"/>
              <w:rPr>
                <w:sz w:val="20"/>
                <w:szCs w:val="20"/>
                <w:color w:val="auto"/>
              </w:rPr>
            </w:pPr>
            <w:r>
              <w:rPr>
                <w:rFonts w:ascii="Arial" w:cs="Arial" w:eastAsia="Arial" w:hAnsi="Arial"/>
                <w:sz w:val="10"/>
                <w:szCs w:val="10"/>
                <w:color w:val="105BAB"/>
              </w:rPr>
              <w:t>•</w:t>
            </w:r>
          </w:p>
        </w:tc>
        <w:tc>
          <w:tcPr>
            <w:tcW w:w="3520" w:type="dxa"/>
            <w:vAlign w:val="bottom"/>
          </w:tcPr>
          <w:p>
            <w:pPr>
              <w:ind w:left="100"/>
              <w:spacing w:after="0"/>
              <w:rPr>
                <w:sz w:val="20"/>
                <w:szCs w:val="20"/>
                <w:color w:val="auto"/>
              </w:rPr>
            </w:pPr>
            <w:r>
              <w:rPr>
                <w:rFonts w:ascii="Arial" w:cs="Arial" w:eastAsia="Arial" w:hAnsi="Arial"/>
                <w:sz w:val="12"/>
                <w:szCs w:val="12"/>
                <w:color w:val="auto"/>
              </w:rPr>
              <w:t>therapeutic focus;</w:t>
            </w:r>
          </w:p>
        </w:tc>
        <w:tc>
          <w:tcPr>
            <w:tcW w:w="4740" w:type="dxa"/>
            <w:vAlign w:val="bottom"/>
          </w:tcPr>
          <w:p>
            <w:pPr>
              <w:ind w:left="600"/>
              <w:spacing w:after="0"/>
              <w:rPr>
                <w:sz w:val="20"/>
                <w:szCs w:val="20"/>
                <w:color w:val="auto"/>
              </w:rPr>
            </w:pPr>
            <w:r>
              <w:rPr>
                <w:rFonts w:ascii="Arial" w:cs="Arial" w:eastAsia="Arial" w:hAnsi="Arial"/>
                <w:sz w:val="10"/>
                <w:szCs w:val="10"/>
                <w:color w:val="105BAB"/>
              </w:rPr>
              <w:t xml:space="preserve">•    </w:t>
            </w:r>
            <w:r>
              <w:rPr>
                <w:rFonts w:ascii="Arial" w:cs="Arial" w:eastAsia="Arial" w:hAnsi="Arial"/>
                <w:sz w:val="11"/>
                <w:szCs w:val="11"/>
                <w:color w:val="000000"/>
              </w:rPr>
              <w:t>total revenues.</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20" w:type="dxa"/>
            <w:vAlign w:val="bottom"/>
            <w:shd w:val="clear" w:color="auto" w:fill="105BAB"/>
          </w:tcPr>
          <w:p>
            <w:pPr>
              <w:jc w:val="right"/>
              <w:spacing w:after="0" w:line="108" w:lineRule="exact"/>
              <w:rPr>
                <w:sz w:val="20"/>
                <w:szCs w:val="20"/>
                <w:color w:val="auto"/>
              </w:rPr>
            </w:pPr>
            <w:r>
              <w:rPr>
                <w:rFonts w:ascii="Arial" w:cs="Arial" w:eastAsia="Arial" w:hAnsi="Arial"/>
                <w:sz w:val="10"/>
                <w:szCs w:val="10"/>
                <w:b w:val="1"/>
                <w:bCs w:val="1"/>
                <w:color w:val="FFFFFE"/>
              </w:rPr>
              <w:t>68</w:t>
            </w:r>
          </w:p>
        </w:tc>
        <w:tc>
          <w:tcPr>
            <w:tcW w:w="1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3520" w:type="dxa"/>
            <w:vAlign w:val="bottom"/>
            <w:tcBorders>
              <w:bottom w:val="single" w:sz="8" w:color="808080"/>
            </w:tcBorders>
          </w:tcPr>
          <w:p>
            <w:pPr>
              <w:spacing w:after="0"/>
              <w:rPr>
                <w:sz w:val="12"/>
                <w:szCs w:val="12"/>
                <w:color w:val="auto"/>
              </w:rPr>
            </w:pPr>
          </w:p>
        </w:tc>
        <w:tc>
          <w:tcPr>
            <w:tcW w:w="47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79" w:name="page80"/>
    <w:bookmarkEnd w:id="79"/>
    <w:p>
      <w:pPr>
        <w:ind w:left="8"/>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292340" cy="457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421640</wp:posOffset>
            </wp:positionV>
            <wp:extent cx="72923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The Peer Group utilized in 2017</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consists of the following 14</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7078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70785" cy="5715"/>
                    </a:xfrm>
                    <a:prstGeom prst="rect">
                      <a:avLst/>
                    </a:prstGeom>
                    <a:noFill/>
                  </pic:spPr>
                </pic:pic>
              </a:graphicData>
            </a:graphic>
          </wp:anchor>
        </w:drawing>
      </w:r>
    </w:p>
    <w:p>
      <w:pPr>
        <w:ind w:left="48" w:hanging="48"/>
        <w:spacing w:after="0" w:line="202" w:lineRule="auto"/>
        <w:tabs>
          <w:tab w:leader="none" w:pos="48" w:val="left"/>
        </w:tabs>
        <w:numPr>
          <w:ilvl w:val="0"/>
          <w:numId w:val="78"/>
        </w:numPr>
        <w:rPr>
          <w:rFonts w:ascii="Arial" w:cs="Arial" w:eastAsia="Arial" w:hAnsi="Arial"/>
          <w:sz w:val="14"/>
          <w:szCs w:val="14"/>
          <w:color w:val="auto"/>
          <w:vertAlign w:val="superscript"/>
        </w:rPr>
      </w:pPr>
      <w:r>
        <w:rPr>
          <w:rFonts w:ascii="Arial" w:cs="Arial" w:eastAsia="Arial" w:hAnsi="Arial"/>
          <w:sz w:val="10"/>
          <w:szCs w:val="10"/>
          <w:color w:val="auto"/>
        </w:rPr>
        <w:t>Regeneron's Biotech R&amp;D Peer.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9"/>
        </w:trPr>
        <w:tc>
          <w:tcPr>
            <w:tcW w:w="1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AbbVie Inc.</w:t>
            </w:r>
          </w:p>
        </w:tc>
        <w:tc>
          <w:tcPr>
            <w:tcW w:w="254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Biogen Inc.*</w:t>
            </w:r>
          </w:p>
        </w:tc>
        <w:tc>
          <w:tcPr>
            <w:tcW w:w="290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Gilead Sciences, Inc.*</w:t>
            </w:r>
          </w:p>
        </w:tc>
      </w:tr>
      <w:tr>
        <w:trPr>
          <w:trHeight w:val="111"/>
        </w:trPr>
        <w:tc>
          <w:tcPr>
            <w:tcW w:w="1920" w:type="dxa"/>
            <w:vAlign w:val="bottom"/>
          </w:tcPr>
          <w:p>
            <w:pPr>
              <w:spacing w:after="0" w:line="111" w:lineRule="exact"/>
              <w:rPr>
                <w:sz w:val="20"/>
                <w:szCs w:val="20"/>
                <w:color w:val="auto"/>
              </w:rPr>
            </w:pPr>
            <w:r>
              <w:rPr>
                <w:rFonts w:ascii="Arial" w:cs="Arial" w:eastAsia="Arial" w:hAnsi="Arial"/>
                <w:sz w:val="10"/>
                <w:szCs w:val="10"/>
                <w:color w:val="auto"/>
              </w:rPr>
              <w:t>Alexion Pharmaceuticals, Inc.*</w:t>
            </w:r>
          </w:p>
        </w:tc>
        <w:tc>
          <w:tcPr>
            <w:tcW w:w="2540" w:type="dxa"/>
            <w:vAlign w:val="bottom"/>
          </w:tcPr>
          <w:p>
            <w:pPr>
              <w:ind w:left="600"/>
              <w:spacing w:after="0" w:line="111" w:lineRule="exact"/>
              <w:rPr>
                <w:sz w:val="20"/>
                <w:szCs w:val="20"/>
                <w:color w:val="auto"/>
              </w:rPr>
            </w:pPr>
            <w:r>
              <w:rPr>
                <w:rFonts w:ascii="Arial" w:cs="Arial" w:eastAsia="Arial" w:hAnsi="Arial"/>
                <w:sz w:val="10"/>
                <w:szCs w:val="10"/>
                <w:color w:val="auto"/>
              </w:rPr>
              <w:t>BioMarin Pharmaceutical Inc.*</w:t>
            </w:r>
          </w:p>
        </w:tc>
        <w:tc>
          <w:tcPr>
            <w:tcW w:w="2900" w:type="dxa"/>
            <w:vAlign w:val="bottom"/>
          </w:tcPr>
          <w:p>
            <w:pPr>
              <w:ind w:left="600"/>
              <w:spacing w:after="0" w:line="111" w:lineRule="exact"/>
              <w:rPr>
                <w:sz w:val="20"/>
                <w:szCs w:val="20"/>
                <w:color w:val="auto"/>
              </w:rPr>
            </w:pPr>
            <w:r>
              <w:rPr>
                <w:rFonts w:ascii="Arial" w:cs="Arial" w:eastAsia="Arial" w:hAnsi="Arial"/>
                <w:sz w:val="10"/>
                <w:szCs w:val="10"/>
                <w:color w:val="auto"/>
              </w:rPr>
              <w:t>Incyte Corporation*</w:t>
            </w:r>
          </w:p>
        </w:tc>
      </w:tr>
      <w:tr>
        <w:trPr>
          <w:trHeight w:val="35"/>
        </w:trPr>
        <w:tc>
          <w:tcPr>
            <w:tcW w:w="192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107"/>
        </w:trPr>
        <w:tc>
          <w:tcPr>
            <w:tcW w:w="1920" w:type="dxa"/>
            <w:vAlign w:val="bottom"/>
          </w:tcPr>
          <w:p>
            <w:pPr>
              <w:spacing w:after="0" w:line="107" w:lineRule="exact"/>
              <w:rPr>
                <w:sz w:val="20"/>
                <w:szCs w:val="20"/>
                <w:color w:val="auto"/>
              </w:rPr>
            </w:pPr>
            <w:r>
              <w:rPr>
                <w:rFonts w:ascii="Arial" w:cs="Arial" w:eastAsia="Arial" w:hAnsi="Arial"/>
                <w:sz w:val="10"/>
                <w:szCs w:val="10"/>
                <w:color w:val="auto"/>
              </w:rPr>
              <w:t>Alkermes plc*</w:t>
            </w:r>
          </w:p>
        </w:tc>
        <w:tc>
          <w:tcPr>
            <w:tcW w:w="2540" w:type="dxa"/>
            <w:vAlign w:val="bottom"/>
          </w:tcPr>
          <w:p>
            <w:pPr>
              <w:ind w:left="600"/>
              <w:spacing w:after="0" w:line="107" w:lineRule="exact"/>
              <w:rPr>
                <w:sz w:val="20"/>
                <w:szCs w:val="20"/>
                <w:color w:val="auto"/>
              </w:rPr>
            </w:pPr>
            <w:r>
              <w:rPr>
                <w:rFonts w:ascii="Arial" w:cs="Arial" w:eastAsia="Arial" w:hAnsi="Arial"/>
                <w:sz w:val="10"/>
                <w:szCs w:val="10"/>
                <w:color w:val="auto"/>
              </w:rPr>
              <w:t>Bristol-Myers Squibb Company</w:t>
            </w:r>
          </w:p>
        </w:tc>
        <w:tc>
          <w:tcPr>
            <w:tcW w:w="2900" w:type="dxa"/>
            <w:vAlign w:val="bottom"/>
          </w:tcPr>
          <w:p>
            <w:pPr>
              <w:ind w:left="600"/>
              <w:spacing w:after="0" w:line="107" w:lineRule="exact"/>
              <w:rPr>
                <w:sz w:val="20"/>
                <w:szCs w:val="20"/>
                <w:color w:val="auto"/>
              </w:rPr>
            </w:pPr>
            <w:r>
              <w:rPr>
                <w:rFonts w:ascii="Arial" w:cs="Arial" w:eastAsia="Arial" w:hAnsi="Arial"/>
                <w:sz w:val="10"/>
                <w:szCs w:val="10"/>
                <w:color w:val="auto"/>
              </w:rPr>
              <w:t>United Therapeutics Corporation*</w:t>
            </w:r>
          </w:p>
        </w:tc>
      </w:tr>
      <w:tr>
        <w:trPr>
          <w:trHeight w:val="35"/>
        </w:trPr>
        <w:tc>
          <w:tcPr>
            <w:tcW w:w="192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116"/>
        </w:trPr>
        <w:tc>
          <w:tcPr>
            <w:tcW w:w="1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Alnylam Pharmaceuticals, Inc.*</w:t>
            </w:r>
          </w:p>
        </w:tc>
        <w:tc>
          <w:tcPr>
            <w:tcW w:w="254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Celgene Corporation *</w:t>
            </w:r>
          </w:p>
        </w:tc>
        <w:tc>
          <w:tcPr>
            <w:tcW w:w="290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Vertex Pharmaceuticals, Inc.*</w:t>
            </w:r>
          </w:p>
        </w:tc>
      </w:tr>
      <w:tr>
        <w:trPr>
          <w:trHeight w:val="116"/>
        </w:trPr>
        <w:tc>
          <w:tcPr>
            <w:tcW w:w="1920" w:type="dxa"/>
            <w:vAlign w:val="bottom"/>
          </w:tcPr>
          <w:p>
            <w:pPr>
              <w:spacing w:after="0"/>
              <w:rPr>
                <w:sz w:val="20"/>
                <w:szCs w:val="20"/>
                <w:color w:val="auto"/>
              </w:rPr>
            </w:pPr>
            <w:r>
              <w:rPr>
                <w:rFonts w:ascii="Arial" w:cs="Arial" w:eastAsia="Arial" w:hAnsi="Arial"/>
                <w:sz w:val="10"/>
                <w:szCs w:val="10"/>
                <w:color w:val="auto"/>
              </w:rPr>
              <w:t>Amgen Inc.</w:t>
            </w:r>
          </w:p>
        </w:tc>
        <w:tc>
          <w:tcPr>
            <w:tcW w:w="2540" w:type="dxa"/>
            <w:vAlign w:val="bottom"/>
          </w:tcPr>
          <w:p>
            <w:pPr>
              <w:ind w:left="600"/>
              <w:spacing w:after="0"/>
              <w:rPr>
                <w:sz w:val="20"/>
                <w:szCs w:val="20"/>
                <w:color w:val="auto"/>
              </w:rPr>
            </w:pPr>
            <w:r>
              <w:rPr>
                <w:rFonts w:ascii="Arial" w:cs="Arial" w:eastAsia="Arial" w:hAnsi="Arial"/>
                <w:sz w:val="10"/>
                <w:szCs w:val="10"/>
                <w:color w:val="auto"/>
              </w:rPr>
              <w:t>Eli Lilly and Company</w:t>
            </w:r>
          </w:p>
        </w:tc>
        <w:tc>
          <w:tcPr>
            <w:tcW w:w="2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10795</wp:posOffset>
            </wp:positionV>
            <wp:extent cx="72923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8" w:space="720"/>
            <w:col w:w="7360"/>
          </w:cols>
          <w:pgMar w:left="212" w:top="142" w:right="199" w:bottom="1440" w:gutter="0" w:footer="0" w:header="0"/>
          <w:type w:val="continuous"/>
        </w:sectPr>
      </w:pPr>
    </w:p>
    <w:p>
      <w:pPr>
        <w:spacing w:after="0" w:line="80" w:lineRule="exact"/>
        <w:rPr>
          <w:sz w:val="20"/>
          <w:szCs w:val="20"/>
          <w:color w:val="auto"/>
        </w:rPr>
      </w:pPr>
    </w:p>
    <w:p>
      <w:pPr>
        <w:ind w:left="1388" w:right="60"/>
        <w:spacing w:after="0" w:line="281" w:lineRule="auto"/>
        <w:rPr>
          <w:sz w:val="20"/>
          <w:szCs w:val="20"/>
          <w:color w:val="auto"/>
        </w:rPr>
      </w:pPr>
      <w:r>
        <w:rPr>
          <w:rFonts w:ascii="Arial" w:cs="Arial" w:eastAsia="Arial" w:hAnsi="Arial"/>
          <w:sz w:val="11"/>
          <w:szCs w:val="11"/>
          <w:color w:val="auto"/>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spacing w:after="0" w:line="118" w:lineRule="exact"/>
        <w:rPr>
          <w:sz w:val="20"/>
          <w:szCs w:val="20"/>
          <w:color w:val="auto"/>
        </w:rPr>
      </w:pPr>
    </w:p>
    <w:p>
      <w:pPr>
        <w:ind w:left="1388" w:right="160"/>
        <w:spacing w:after="0" w:line="237" w:lineRule="auto"/>
        <w:rPr>
          <w:sz w:val="20"/>
          <w:szCs w:val="20"/>
          <w:color w:val="auto"/>
        </w:rPr>
      </w:pPr>
      <w:r>
        <w:rPr>
          <w:rFonts w:ascii="Arial" w:cs="Arial" w:eastAsia="Arial" w:hAnsi="Arial"/>
          <w:sz w:val="12"/>
          <w:szCs w:val="12"/>
          <w:color w:val="auto"/>
        </w:rPr>
        <w:t>The Compensation Committee reviewed the Peer Group in June 2017 and, based on the recommendation of Frederic W. Cook &amp; Co., did not make any changes. As part of its assessment, the Compensation Committee took into account that, as of the approval date, Regeneron was the median company in the Peer Group based on market capitalization, revenues for the last four completed quarters, and the then-available reported number of employees, as shown in the table below.</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060" w:type="dxa"/>
            <w:vAlign w:val="bottom"/>
            <w:tcBorders>
              <w:top w:val="single" w:sz="8" w:color="105BAB"/>
            </w:tcBorders>
          </w:tcPr>
          <w:p>
            <w:pPr>
              <w:spacing w:after="0"/>
              <w:rPr>
                <w:sz w:val="11"/>
                <w:szCs w:val="11"/>
                <w:color w:val="auto"/>
              </w:rPr>
            </w:pPr>
          </w:p>
        </w:tc>
        <w:tc>
          <w:tcPr>
            <w:tcW w:w="2020" w:type="dxa"/>
            <w:vAlign w:val="bottom"/>
            <w:tcBorders>
              <w:top w:val="single" w:sz="8" w:color="105BAB"/>
            </w:tcBorders>
            <w:gridSpan w:val="4"/>
          </w:tcPr>
          <w:p>
            <w:pPr>
              <w:ind w:left="280"/>
              <w:spacing w:after="0"/>
              <w:rPr>
                <w:sz w:val="20"/>
                <w:szCs w:val="20"/>
                <w:color w:val="auto"/>
              </w:rPr>
            </w:pPr>
            <w:r>
              <w:rPr>
                <w:rFonts w:ascii="Arial" w:cs="Arial" w:eastAsia="Arial" w:hAnsi="Arial"/>
                <w:sz w:val="10"/>
                <w:szCs w:val="10"/>
                <w:b w:val="1"/>
                <w:bCs w:val="1"/>
                <w:color w:val="105BAB"/>
              </w:rPr>
              <w:t>Market Capitalization ($ Millions)</w:t>
            </w:r>
          </w:p>
        </w:tc>
        <w:tc>
          <w:tcPr>
            <w:tcW w:w="2100" w:type="dxa"/>
            <w:vAlign w:val="bottom"/>
            <w:tcBorders>
              <w:top w:val="single" w:sz="8" w:color="105BAB"/>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105BAB"/>
            </w:tcBorders>
          </w:tcPr>
          <w:p>
            <w:pPr>
              <w:spacing w:after="0"/>
              <w:rPr>
                <w:sz w:val="11"/>
                <w:szCs w:val="11"/>
                <w:color w:val="auto"/>
              </w:rPr>
            </w:pPr>
          </w:p>
        </w:tc>
        <w:tc>
          <w:tcPr>
            <w:tcW w:w="1960" w:type="dxa"/>
            <w:vAlign w:val="bottom"/>
            <w:tcBorders>
              <w:top w:val="single" w:sz="8" w:color="105BAB"/>
            </w:tcBorders>
          </w:tcPr>
          <w:p>
            <w:pPr>
              <w:jc w:val="right"/>
              <w:ind w:right="892"/>
              <w:spacing w:after="0"/>
              <w:rPr>
                <w:sz w:val="20"/>
                <w:szCs w:val="20"/>
                <w:color w:val="auto"/>
              </w:rPr>
            </w:pPr>
            <w:r>
              <w:rPr>
                <w:rFonts w:ascii="Arial" w:cs="Arial" w:eastAsia="Arial" w:hAnsi="Arial"/>
                <w:sz w:val="10"/>
                <w:szCs w:val="10"/>
                <w:b w:val="1"/>
                <w:bCs w:val="1"/>
                <w:color w:val="105BAB"/>
                <w:w w:val="97"/>
              </w:rPr>
              <w:t>Revenues ($ Millions)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Borders>
              <w:top w:val="single" w:sz="8" w:color="105BAB"/>
            </w:tcBorders>
            <w:vMerge w:val="restart"/>
          </w:tcPr>
          <w:p>
            <w:pPr>
              <w:jc w:val="center"/>
              <w:ind w:left="372"/>
              <w:spacing w:after="0"/>
              <w:rPr>
                <w:sz w:val="20"/>
                <w:szCs w:val="20"/>
                <w:color w:val="auto"/>
              </w:rPr>
            </w:pPr>
            <w:r>
              <w:rPr>
                <w:rFonts w:ascii="Arial" w:cs="Arial" w:eastAsia="Arial" w:hAnsi="Arial"/>
                <w:sz w:val="10"/>
                <w:szCs w:val="10"/>
                <w:b w:val="1"/>
                <w:bCs w:val="1"/>
                <w:color w:val="105BAB"/>
                <w:w w:val="94"/>
              </w:rPr>
              <w:t>Employees</w:t>
            </w:r>
          </w:p>
        </w:tc>
        <w:tc>
          <w:tcPr>
            <w:tcW w:w="440" w:type="dxa"/>
            <w:vAlign w:val="bottom"/>
            <w:tcBorders>
              <w:top w:val="single" w:sz="8" w:color="105BAB"/>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20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60" w:type="dxa"/>
            <w:vAlign w:val="bottom"/>
            <w:tcBorders>
              <w:top w:val="single" w:sz="8" w:color="105BAB"/>
              <w:bottom w:val="single" w:sz="8" w:color="105BAB"/>
            </w:tcBorders>
          </w:tcPr>
          <w:p>
            <w:pPr>
              <w:ind w:left="1200"/>
              <w:spacing w:after="0" w:line="97" w:lineRule="exact"/>
              <w:rPr>
                <w:sz w:val="20"/>
                <w:szCs w:val="20"/>
                <w:color w:val="auto"/>
              </w:rPr>
            </w:pPr>
            <w:r>
              <w:rPr>
                <w:rFonts w:ascii="Arial" w:cs="Arial" w:eastAsia="Arial" w:hAnsi="Arial"/>
                <w:sz w:val="10"/>
                <w:szCs w:val="10"/>
                <w:b w:val="1"/>
                <w:bCs w:val="1"/>
                <w:color w:val="105BAB"/>
              </w:rPr>
              <w:t>As of 5/24/17</w:t>
            </w:r>
          </w:p>
        </w:tc>
        <w:tc>
          <w:tcPr>
            <w:tcW w:w="960" w:type="dxa"/>
            <w:vAlign w:val="bottom"/>
            <w:tcBorders>
              <w:top w:val="single" w:sz="8" w:color="105BAB"/>
              <w:bottom w:val="single" w:sz="8" w:color="105BAB"/>
            </w:tcBorders>
          </w:tcPr>
          <w:p>
            <w:pPr>
              <w:spacing w:after="0"/>
              <w:rPr>
                <w:sz w:val="8"/>
                <w:szCs w:val="8"/>
                <w:color w:val="auto"/>
              </w:rPr>
            </w:pPr>
          </w:p>
        </w:tc>
        <w:tc>
          <w:tcPr>
            <w:tcW w:w="20" w:type="dxa"/>
            <w:vAlign w:val="bottom"/>
            <w:tcBorders>
              <w:top w:val="single" w:sz="8" w:color="105BAB"/>
            </w:tcBorders>
          </w:tcPr>
          <w:p>
            <w:pPr>
              <w:spacing w:after="0"/>
              <w:rPr>
                <w:sz w:val="8"/>
                <w:szCs w:val="8"/>
                <w:color w:val="auto"/>
              </w:rPr>
            </w:pPr>
          </w:p>
        </w:tc>
        <w:tc>
          <w:tcPr>
            <w:tcW w:w="100" w:type="dxa"/>
            <w:vAlign w:val="bottom"/>
            <w:tcBorders>
              <w:top w:val="single" w:sz="8" w:color="105BAB"/>
            </w:tcBorders>
          </w:tcPr>
          <w:p>
            <w:pPr>
              <w:spacing w:after="0"/>
              <w:rPr>
                <w:sz w:val="8"/>
                <w:szCs w:val="8"/>
                <w:color w:val="auto"/>
              </w:rPr>
            </w:pPr>
          </w:p>
        </w:tc>
        <w:tc>
          <w:tcPr>
            <w:tcW w:w="940" w:type="dxa"/>
            <w:vAlign w:val="bottom"/>
            <w:tcBorders>
              <w:top w:val="single" w:sz="8" w:color="105BAB"/>
              <w:bottom w:val="single" w:sz="8" w:color="105BAB"/>
            </w:tcBorders>
          </w:tcPr>
          <w:p>
            <w:pPr>
              <w:spacing w:after="0"/>
              <w:rPr>
                <w:sz w:val="8"/>
                <w:szCs w:val="8"/>
                <w:color w:val="auto"/>
              </w:rPr>
            </w:pPr>
          </w:p>
        </w:tc>
        <w:tc>
          <w:tcPr>
            <w:tcW w:w="2100" w:type="dxa"/>
            <w:vAlign w:val="bottom"/>
            <w:tcBorders>
              <w:top w:val="single" w:sz="8" w:color="105BAB"/>
              <w:bottom w:val="single" w:sz="8" w:color="105BAB"/>
            </w:tcBorders>
          </w:tcPr>
          <w:p>
            <w:pPr>
              <w:jc w:val="right"/>
              <w:ind w:right="972"/>
              <w:spacing w:after="0" w:line="97" w:lineRule="exact"/>
              <w:rPr>
                <w:sz w:val="20"/>
                <w:szCs w:val="20"/>
                <w:color w:val="auto"/>
              </w:rPr>
            </w:pPr>
            <w:r>
              <w:rPr>
                <w:rFonts w:ascii="Arial" w:cs="Arial" w:eastAsia="Arial" w:hAnsi="Arial"/>
                <w:sz w:val="10"/>
                <w:szCs w:val="10"/>
                <w:b w:val="1"/>
                <w:bCs w:val="1"/>
                <w:color w:val="105BAB"/>
              </w:rPr>
              <w:t>Trailing 12-month Avg</w:t>
            </w:r>
          </w:p>
        </w:tc>
        <w:tc>
          <w:tcPr>
            <w:tcW w:w="120" w:type="dxa"/>
            <w:vAlign w:val="bottom"/>
          </w:tcPr>
          <w:p>
            <w:pPr>
              <w:spacing w:after="0"/>
              <w:rPr>
                <w:sz w:val="8"/>
                <w:szCs w:val="8"/>
                <w:color w:val="auto"/>
              </w:rPr>
            </w:pPr>
          </w:p>
        </w:tc>
        <w:tc>
          <w:tcPr>
            <w:tcW w:w="920" w:type="dxa"/>
            <w:vAlign w:val="bottom"/>
            <w:tcBorders>
              <w:top w:val="single" w:sz="8" w:color="105BAB"/>
              <w:bottom w:val="single" w:sz="8" w:color="105BAB"/>
            </w:tcBorders>
          </w:tcPr>
          <w:p>
            <w:pPr>
              <w:spacing w:after="0"/>
              <w:rPr>
                <w:sz w:val="8"/>
                <w:szCs w:val="8"/>
                <w:color w:val="auto"/>
              </w:rPr>
            </w:pPr>
          </w:p>
        </w:tc>
        <w:tc>
          <w:tcPr>
            <w:tcW w:w="1960" w:type="dxa"/>
            <w:vAlign w:val="bottom"/>
            <w:tcBorders>
              <w:top w:val="single" w:sz="8" w:color="105BAB"/>
              <w:bottom w:val="single" w:sz="8" w:color="105BAB"/>
            </w:tcBorders>
          </w:tcPr>
          <w:p>
            <w:pPr>
              <w:jc w:val="right"/>
              <w:ind w:right="952"/>
              <w:spacing w:after="0" w:line="97" w:lineRule="exact"/>
              <w:rPr>
                <w:sz w:val="20"/>
                <w:szCs w:val="20"/>
                <w:color w:val="auto"/>
              </w:rPr>
            </w:pPr>
            <w:r>
              <w:rPr>
                <w:rFonts w:ascii="Arial" w:cs="Arial" w:eastAsia="Arial" w:hAnsi="Arial"/>
                <w:sz w:val="10"/>
                <w:szCs w:val="10"/>
                <w:b w:val="1"/>
                <w:bCs w:val="1"/>
                <w:color w:val="105BAB"/>
              </w:rPr>
              <w:t>Last Four Quarters</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tcBorders>
              <w:top w:val="single" w:sz="8" w:color="105BAB"/>
              <w:bottom w:val="single" w:sz="8" w:color="105BAB"/>
            </w:tcBorders>
          </w:tcPr>
          <w:p>
            <w:pPr>
              <w:jc w:val="center"/>
              <w:ind w:left="372"/>
              <w:spacing w:after="0" w:line="97" w:lineRule="exact"/>
              <w:rPr>
                <w:sz w:val="20"/>
                <w:szCs w:val="20"/>
                <w:color w:val="auto"/>
              </w:rPr>
            </w:pPr>
            <w:r>
              <w:rPr>
                <w:rFonts w:ascii="Arial" w:cs="Arial" w:eastAsia="Arial" w:hAnsi="Arial"/>
                <w:sz w:val="10"/>
                <w:szCs w:val="10"/>
                <w:b w:val="1"/>
                <w:bCs w:val="1"/>
                <w:color w:val="105BAB"/>
                <w:w w:val="96"/>
              </w:rPr>
              <w:t>(as of last 10-K filing)</w:t>
            </w:r>
          </w:p>
        </w:tc>
        <w:tc>
          <w:tcPr>
            <w:tcW w:w="440" w:type="dxa"/>
            <w:vAlign w:val="bottom"/>
            <w:tcBorders>
              <w:top w:val="single" w:sz="8" w:color="105BAB"/>
              <w:bottom w:val="single" w:sz="8" w:color="105BAB"/>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Amgen</w:t>
            </w:r>
          </w:p>
        </w:tc>
        <w:tc>
          <w:tcPr>
            <w:tcW w:w="9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$113,693</w:t>
            </w: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Amgen</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$118,107</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Gilead</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$29,101</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Lilly</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41,975</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AbbVie</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$104,930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AbbVie</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$102,882</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AbbVie</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$26,218</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AbbVie</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29,000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Celgene</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$91,942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Gilead</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$96,944</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Amgen</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$22,928</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Bristol-Myers Squibb</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25,000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Bristol-Myers Squibb</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$88,665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w w:val="99"/>
              </w:rPr>
              <w:t>Bristol-Myers Squibb</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$96,537</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Lilly</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$21,585</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Amgen</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19,200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Gilead</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$84,036</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Celgene</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$88,305</w:t>
            </w:r>
          </w:p>
        </w:tc>
        <w:tc>
          <w:tcPr>
            <w:tcW w:w="920" w:type="dxa"/>
            <w:vAlign w:val="bottom"/>
          </w:tcPr>
          <w:p>
            <w:pPr>
              <w:spacing w:after="0" w:line="97" w:lineRule="exact"/>
              <w:rPr>
                <w:sz w:val="20"/>
                <w:szCs w:val="20"/>
                <w:color w:val="auto"/>
              </w:rPr>
            </w:pPr>
            <w:r>
              <w:rPr>
                <w:rFonts w:ascii="Arial" w:cs="Arial" w:eastAsia="Arial" w:hAnsi="Arial"/>
                <w:sz w:val="10"/>
                <w:szCs w:val="10"/>
                <w:color w:val="auto"/>
                <w:w w:val="97"/>
              </w:rPr>
              <w:t>Bristol-Myers Squibb</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$19,965</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Gilead</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9,000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Lilly</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$82,009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Lilly</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$82,105</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Celgene</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$11,677</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Biogen</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7,400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Biogen</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$54,115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Biogen</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$60,998</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Biogen</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$11,533</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Celgene</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7,132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60" w:type="dxa"/>
            <w:vAlign w:val="bottom"/>
            <w:tcBorders>
              <w:top w:val="single" w:sz="8" w:color="auto"/>
              <w:bottom w:val="single" w:sz="8" w:color="auto"/>
            </w:tcBorders>
            <w:shd w:val="clear" w:color="auto" w:fill="105BAB"/>
          </w:tcPr>
          <w:p>
            <w:pPr>
              <w:spacing w:after="0" w:line="97" w:lineRule="exact"/>
              <w:rPr>
                <w:sz w:val="20"/>
                <w:szCs w:val="20"/>
                <w:color w:val="auto"/>
              </w:rPr>
            </w:pPr>
            <w:r>
              <w:rPr>
                <w:rFonts w:ascii="Arial" w:cs="Arial" w:eastAsia="Arial" w:hAnsi="Arial"/>
                <w:sz w:val="10"/>
                <w:szCs w:val="10"/>
                <w:b w:val="1"/>
                <w:bCs w:val="1"/>
                <w:color w:val="FFFFFE"/>
              </w:rPr>
              <w:t>Regeneron</w:t>
            </w:r>
          </w:p>
        </w:tc>
        <w:tc>
          <w:tcPr>
            <w:tcW w:w="960" w:type="dxa"/>
            <w:vAlign w:val="bottom"/>
            <w:tcBorders>
              <w:top w:val="single" w:sz="8" w:color="auto"/>
              <w:bottom w:val="single" w:sz="8" w:color="auto"/>
            </w:tcBorders>
            <w:shd w:val="clear" w:color="auto" w:fill="105BAB"/>
          </w:tcPr>
          <w:p>
            <w:pPr>
              <w:jc w:val="right"/>
              <w:spacing w:after="0" w:line="97" w:lineRule="exact"/>
              <w:rPr>
                <w:sz w:val="20"/>
                <w:szCs w:val="20"/>
                <w:color w:val="auto"/>
              </w:rPr>
            </w:pPr>
            <w:r>
              <w:rPr>
                <w:rFonts w:ascii="Arial" w:cs="Arial" w:eastAsia="Arial" w:hAnsi="Arial"/>
                <w:sz w:val="10"/>
                <w:szCs w:val="10"/>
                <w:color w:val="FFFFFE"/>
              </w:rPr>
              <w:t>$48,453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bottom w:val="single" w:sz="8" w:color="auto"/>
            </w:tcBorders>
            <w:shd w:val="clear" w:color="auto" w:fill="105BAB"/>
          </w:tcPr>
          <w:p>
            <w:pPr>
              <w:ind w:left="20"/>
              <w:spacing w:after="0" w:line="97" w:lineRule="exact"/>
              <w:rPr>
                <w:sz w:val="20"/>
                <w:szCs w:val="20"/>
                <w:color w:val="auto"/>
              </w:rPr>
            </w:pPr>
            <w:r>
              <w:rPr>
                <w:rFonts w:ascii="Arial" w:cs="Arial" w:eastAsia="Arial" w:hAnsi="Arial"/>
                <w:sz w:val="10"/>
                <w:szCs w:val="10"/>
                <w:b w:val="1"/>
                <w:bCs w:val="1"/>
                <w:color w:val="FFFFFE"/>
              </w:rPr>
              <w:t>Regeneron</w:t>
            </w:r>
          </w:p>
        </w:tc>
        <w:tc>
          <w:tcPr>
            <w:tcW w:w="2100" w:type="dxa"/>
            <w:vAlign w:val="bottom"/>
            <w:tcBorders>
              <w:top w:val="single" w:sz="8" w:color="auto"/>
              <w:bottom w:val="single" w:sz="8" w:color="auto"/>
            </w:tcBorders>
            <w:shd w:val="clear" w:color="auto" w:fill="105BAB"/>
          </w:tcPr>
          <w:p>
            <w:pPr>
              <w:jc w:val="right"/>
              <w:spacing w:after="0" w:line="97" w:lineRule="exact"/>
              <w:rPr>
                <w:sz w:val="20"/>
                <w:szCs w:val="20"/>
                <w:color w:val="auto"/>
              </w:rPr>
            </w:pPr>
            <w:r>
              <w:rPr>
                <w:rFonts w:ascii="Arial" w:cs="Arial" w:eastAsia="Arial" w:hAnsi="Arial"/>
                <w:sz w:val="10"/>
                <w:szCs w:val="10"/>
                <w:b w:val="1"/>
                <w:bCs w:val="1"/>
                <w:color w:val="FFFFFE"/>
              </w:rPr>
              <w:t>$40,979</w:t>
            </w:r>
          </w:p>
        </w:tc>
        <w:tc>
          <w:tcPr>
            <w:tcW w:w="120" w:type="dxa"/>
            <w:vAlign w:val="bottom"/>
          </w:tcPr>
          <w:p>
            <w:pPr>
              <w:spacing w:after="0"/>
              <w:rPr>
                <w:sz w:val="8"/>
                <w:szCs w:val="8"/>
                <w:color w:val="auto"/>
              </w:rPr>
            </w:pPr>
          </w:p>
        </w:tc>
        <w:tc>
          <w:tcPr>
            <w:tcW w:w="920" w:type="dxa"/>
            <w:vAlign w:val="bottom"/>
            <w:tcBorders>
              <w:top w:val="single" w:sz="8" w:color="auto"/>
              <w:bottom w:val="single" w:sz="8" w:color="auto"/>
            </w:tcBorders>
            <w:shd w:val="clear" w:color="auto" w:fill="105BAB"/>
          </w:tcPr>
          <w:p>
            <w:pPr>
              <w:ind w:left="20"/>
              <w:spacing w:after="0" w:line="97" w:lineRule="exact"/>
              <w:rPr>
                <w:sz w:val="20"/>
                <w:szCs w:val="20"/>
                <w:color w:val="auto"/>
              </w:rPr>
            </w:pPr>
            <w:r>
              <w:rPr>
                <w:rFonts w:ascii="Arial" w:cs="Arial" w:eastAsia="Arial" w:hAnsi="Arial"/>
                <w:sz w:val="10"/>
                <w:szCs w:val="10"/>
                <w:b w:val="1"/>
                <w:bCs w:val="1"/>
                <w:color w:val="FFFFFE"/>
              </w:rPr>
              <w:t>Regeneron</w:t>
            </w:r>
          </w:p>
        </w:tc>
        <w:tc>
          <w:tcPr>
            <w:tcW w:w="1960" w:type="dxa"/>
            <w:vAlign w:val="bottom"/>
            <w:tcBorders>
              <w:top w:val="single" w:sz="8" w:color="auto"/>
              <w:bottom w:val="single" w:sz="8" w:color="auto"/>
            </w:tcBorders>
            <w:shd w:val="clear" w:color="auto" w:fill="105BAB"/>
          </w:tcPr>
          <w:p>
            <w:pPr>
              <w:jc w:val="right"/>
              <w:spacing w:after="0" w:line="97" w:lineRule="exact"/>
              <w:rPr>
                <w:sz w:val="20"/>
                <w:szCs w:val="20"/>
                <w:color w:val="auto"/>
              </w:rPr>
            </w:pPr>
            <w:r>
              <w:rPr>
                <w:rFonts w:ascii="Arial" w:cs="Arial" w:eastAsia="Arial" w:hAnsi="Arial"/>
                <w:sz w:val="10"/>
                <w:szCs w:val="10"/>
                <w:color w:val="FFFFFE"/>
              </w:rPr>
              <w:t>$4,979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tcBorders>
              <w:top w:val="single" w:sz="8" w:color="auto"/>
              <w:bottom w:val="single" w:sz="8" w:color="auto"/>
            </w:tcBorders>
            <w:shd w:val="clear" w:color="auto" w:fill="105BAB"/>
          </w:tcPr>
          <w:p>
            <w:pPr>
              <w:ind w:left="20"/>
              <w:spacing w:after="0" w:line="97" w:lineRule="exact"/>
              <w:rPr>
                <w:sz w:val="20"/>
                <w:szCs w:val="20"/>
                <w:color w:val="auto"/>
              </w:rPr>
            </w:pPr>
            <w:r>
              <w:rPr>
                <w:rFonts w:ascii="Arial" w:cs="Arial" w:eastAsia="Arial" w:hAnsi="Arial"/>
                <w:sz w:val="10"/>
                <w:szCs w:val="10"/>
                <w:b w:val="1"/>
                <w:bCs w:val="1"/>
                <w:color w:val="FFFFFE"/>
              </w:rPr>
              <w:t>Regeneron</w:t>
            </w:r>
          </w:p>
        </w:tc>
        <w:tc>
          <w:tcPr>
            <w:tcW w:w="440" w:type="dxa"/>
            <w:vAlign w:val="bottom"/>
            <w:tcBorders>
              <w:top w:val="single" w:sz="8" w:color="auto"/>
              <w:bottom w:val="single" w:sz="8" w:color="auto"/>
            </w:tcBorders>
            <w:shd w:val="clear" w:color="auto" w:fill="105BAB"/>
          </w:tcPr>
          <w:p>
            <w:pPr>
              <w:jc w:val="right"/>
              <w:spacing w:after="0" w:line="97" w:lineRule="exact"/>
              <w:rPr>
                <w:sz w:val="20"/>
                <w:szCs w:val="20"/>
                <w:color w:val="auto"/>
              </w:rPr>
            </w:pPr>
            <w:r>
              <w:rPr>
                <w:rFonts w:ascii="Arial" w:cs="Arial" w:eastAsia="Arial" w:hAnsi="Arial"/>
                <w:sz w:val="10"/>
                <w:szCs w:val="10"/>
                <w:b w:val="1"/>
                <w:bCs w:val="1"/>
                <w:color w:val="FFFFFE"/>
              </w:rPr>
              <w:t>5,505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Vertex</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$29,340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Alexion</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$27,686</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Alexion</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$3,253</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Alexion</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3,121</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Incyte</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$28,279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Vertex</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$23,122</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Vertex</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$2,019</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BioMarin</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2,293</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Alexion</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$22,698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Incyte</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$20,701</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United Therapeutics</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$1,600</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Vertex</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2,150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BioMarin</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$15,360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BioMarin</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$15,155</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Incyte</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$1,226</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Alkermes</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1,750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Alkermes</w:t>
            </w:r>
          </w:p>
        </w:tc>
        <w:tc>
          <w:tcPr>
            <w:tcW w:w="960" w:type="dxa"/>
            <w:vAlign w:val="bottom"/>
          </w:tcPr>
          <w:p>
            <w:pPr>
              <w:jc w:val="right"/>
              <w:spacing w:after="0" w:line="97" w:lineRule="exact"/>
              <w:rPr>
                <w:sz w:val="20"/>
                <w:szCs w:val="20"/>
                <w:color w:val="auto"/>
              </w:rPr>
            </w:pPr>
            <w:r>
              <w:rPr>
                <w:rFonts w:ascii="Arial" w:cs="Arial" w:eastAsia="Arial" w:hAnsi="Arial"/>
                <w:sz w:val="10"/>
                <w:szCs w:val="10"/>
                <w:color w:val="auto"/>
              </w:rPr>
              <w:t>$8,923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Alkermes</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$8,016</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BioMarin</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$1,184</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Incyte</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980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Alnylam</w:t>
            </w:r>
          </w:p>
        </w:tc>
        <w:tc>
          <w:tcPr>
            <w:tcW w:w="9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$6,031</w:t>
            </w: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United Therapeutics</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$5,643</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Alkermes</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$781</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United Therapeutics</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750</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80" w:type="dxa"/>
            <w:vAlign w:val="bottom"/>
            <w:gridSpan w:val="2"/>
          </w:tcPr>
          <w:p>
            <w:pPr>
              <w:spacing w:after="0" w:line="97" w:lineRule="exact"/>
              <w:rPr>
                <w:sz w:val="20"/>
                <w:szCs w:val="20"/>
                <w:color w:val="auto"/>
              </w:rPr>
            </w:pPr>
            <w:r>
              <w:rPr>
                <w:rFonts w:ascii="Arial" w:cs="Arial" w:eastAsia="Arial" w:hAnsi="Arial"/>
                <w:sz w:val="10"/>
                <w:szCs w:val="10"/>
                <w:color w:val="auto"/>
              </w:rPr>
              <w:t>United Therapeutics</w:t>
            </w:r>
          </w:p>
        </w:tc>
        <w:tc>
          <w:tcPr>
            <w:tcW w:w="98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$5,452</w:t>
            </w:r>
          </w:p>
        </w:tc>
        <w:tc>
          <w:tcPr>
            <w:tcW w:w="100" w:type="dxa"/>
            <w:vAlign w:val="bottom"/>
          </w:tcPr>
          <w:p>
            <w:pPr>
              <w:spacing w:after="0"/>
              <w:rPr>
                <w:sz w:val="8"/>
                <w:szCs w:val="8"/>
                <w:color w:val="auto"/>
              </w:rPr>
            </w:pPr>
          </w:p>
        </w:tc>
        <w:tc>
          <w:tcPr>
            <w:tcW w:w="940" w:type="dxa"/>
            <w:vAlign w:val="bottom"/>
          </w:tcPr>
          <w:p>
            <w:pPr>
              <w:spacing w:after="0" w:line="97" w:lineRule="exact"/>
              <w:rPr>
                <w:sz w:val="20"/>
                <w:szCs w:val="20"/>
                <w:color w:val="auto"/>
              </w:rPr>
            </w:pPr>
            <w:r>
              <w:rPr>
                <w:rFonts w:ascii="Arial" w:cs="Arial" w:eastAsia="Arial" w:hAnsi="Arial"/>
                <w:sz w:val="10"/>
                <w:szCs w:val="10"/>
                <w:color w:val="auto"/>
              </w:rPr>
              <w:t>Alnylam</w:t>
            </w:r>
          </w:p>
        </w:tc>
        <w:tc>
          <w:tcPr>
            <w:tcW w:w="222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$4,610</w:t>
            </w:r>
          </w:p>
        </w:tc>
        <w:tc>
          <w:tcPr>
            <w:tcW w:w="920" w:type="dxa"/>
            <w:vAlign w:val="bottom"/>
          </w:tcPr>
          <w:p>
            <w:pPr>
              <w:spacing w:after="0" w:line="97" w:lineRule="exact"/>
              <w:rPr>
                <w:sz w:val="20"/>
                <w:szCs w:val="20"/>
                <w:color w:val="auto"/>
              </w:rPr>
            </w:pPr>
            <w:r>
              <w:rPr>
                <w:rFonts w:ascii="Arial" w:cs="Arial" w:eastAsia="Arial" w:hAnsi="Arial"/>
                <w:sz w:val="10"/>
                <w:szCs w:val="10"/>
                <w:color w:val="auto"/>
              </w:rPr>
              <w:t>Alnylam</w:t>
            </w:r>
          </w:p>
        </w:tc>
        <w:tc>
          <w:tcPr>
            <w:tcW w:w="202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$59</w:t>
            </w:r>
          </w:p>
        </w:tc>
        <w:tc>
          <w:tcPr>
            <w:tcW w:w="1780" w:type="dxa"/>
            <w:vAlign w:val="bottom"/>
            <w:gridSpan w:val="2"/>
          </w:tcPr>
          <w:p>
            <w:pPr>
              <w:ind w:left="60"/>
              <w:spacing w:after="0" w:line="97" w:lineRule="exact"/>
              <w:rPr>
                <w:sz w:val="20"/>
                <w:szCs w:val="20"/>
                <w:color w:val="auto"/>
              </w:rPr>
            </w:pPr>
            <w:r>
              <w:rPr>
                <w:rFonts w:ascii="Arial" w:cs="Arial" w:eastAsia="Arial" w:hAnsi="Arial"/>
                <w:sz w:val="10"/>
                <w:szCs w:val="10"/>
                <w:color w:val="auto"/>
              </w:rPr>
              <w:t>Alnylam</w:t>
            </w:r>
          </w:p>
        </w:tc>
        <w:tc>
          <w:tcPr>
            <w:tcW w:w="46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514</w:t>
            </w:r>
          </w:p>
        </w:tc>
        <w:tc>
          <w:tcPr>
            <w:tcW w:w="0" w:type="dxa"/>
            <w:vAlign w:val="bottom"/>
          </w:tcPr>
          <w:p>
            <w:pPr>
              <w:spacing w:after="0"/>
              <w:rPr>
                <w:sz w:val="1"/>
                <w:szCs w:val="1"/>
                <w:color w:val="auto"/>
              </w:rPr>
            </w:pPr>
          </w:p>
        </w:tc>
      </w:tr>
      <w:tr>
        <w:trPr>
          <w:trHeight w:val="97"/>
        </w:trPr>
        <w:tc>
          <w:tcPr>
            <w:tcW w:w="20" w:type="dxa"/>
            <w:vAlign w:val="bottom"/>
            <w:tcBorders>
              <w:top w:val="single" w:sz="8" w:color="auto"/>
            </w:tcBorders>
          </w:tcPr>
          <w:p>
            <w:pPr>
              <w:spacing w:after="0"/>
              <w:rPr>
                <w:sz w:val="8"/>
                <w:szCs w:val="8"/>
                <w:color w:val="auto"/>
              </w:rPr>
            </w:pPr>
          </w:p>
        </w:tc>
        <w:tc>
          <w:tcPr>
            <w:tcW w:w="2060" w:type="dxa"/>
            <w:vAlign w:val="bottom"/>
            <w:tcBorders>
              <w:top w:val="single" w:sz="8" w:color="auto"/>
              <w:bottom w:val="single" w:sz="8" w:color="auto"/>
            </w:tcBorders>
            <w:shd w:val="clear" w:color="auto" w:fill="E5E5E5"/>
          </w:tcPr>
          <w:p>
            <w:pPr>
              <w:spacing w:after="0" w:line="97" w:lineRule="exact"/>
              <w:rPr>
                <w:sz w:val="20"/>
                <w:szCs w:val="20"/>
                <w:color w:val="auto"/>
              </w:rPr>
            </w:pPr>
            <w:r>
              <w:rPr>
                <w:rFonts w:ascii="Arial" w:cs="Arial" w:eastAsia="Arial" w:hAnsi="Arial"/>
                <w:sz w:val="10"/>
                <w:szCs w:val="10"/>
                <w:color w:val="auto"/>
              </w:rPr>
              <w:t>75th Percentile</w:t>
            </w:r>
          </w:p>
        </w:tc>
        <w:tc>
          <w:tcPr>
            <w:tcW w:w="960" w:type="dxa"/>
            <w:vAlign w:val="bottom"/>
            <w:tcBorders>
              <w:top w:val="single" w:sz="8" w:color="auto"/>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$89,484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bottom w:val="single" w:sz="8" w:color="auto"/>
            </w:tcBorders>
            <w:shd w:val="clear" w:color="auto" w:fill="E5E5E5"/>
          </w:tcPr>
          <w:p>
            <w:pPr>
              <w:spacing w:after="0"/>
              <w:rPr>
                <w:sz w:val="8"/>
                <w:szCs w:val="8"/>
                <w:color w:val="auto"/>
              </w:rPr>
            </w:pPr>
          </w:p>
        </w:tc>
        <w:tc>
          <w:tcPr>
            <w:tcW w:w="2100" w:type="dxa"/>
            <w:vAlign w:val="bottom"/>
            <w:tcBorders>
              <w:top w:val="single" w:sz="8" w:color="auto"/>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$96,639</w:t>
            </w:r>
          </w:p>
        </w:tc>
        <w:tc>
          <w:tcPr>
            <w:tcW w:w="120" w:type="dxa"/>
            <w:vAlign w:val="bottom"/>
          </w:tcPr>
          <w:p>
            <w:pPr>
              <w:spacing w:after="0"/>
              <w:rPr>
                <w:sz w:val="8"/>
                <w:szCs w:val="8"/>
                <w:color w:val="auto"/>
              </w:rPr>
            </w:pPr>
          </w:p>
        </w:tc>
        <w:tc>
          <w:tcPr>
            <w:tcW w:w="920" w:type="dxa"/>
            <w:vAlign w:val="bottom"/>
            <w:tcBorders>
              <w:top w:val="single" w:sz="8" w:color="auto"/>
              <w:bottom w:val="single" w:sz="8" w:color="auto"/>
            </w:tcBorders>
            <w:shd w:val="clear" w:color="auto" w:fill="E5E5E5"/>
          </w:tcPr>
          <w:p>
            <w:pPr>
              <w:spacing w:after="0"/>
              <w:rPr>
                <w:sz w:val="8"/>
                <w:szCs w:val="8"/>
                <w:color w:val="auto"/>
              </w:rPr>
            </w:pPr>
          </w:p>
        </w:tc>
        <w:tc>
          <w:tcPr>
            <w:tcW w:w="1960" w:type="dxa"/>
            <w:vAlign w:val="bottom"/>
            <w:tcBorders>
              <w:top w:val="single" w:sz="8" w:color="auto"/>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$21,921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tcBorders>
              <w:top w:val="single" w:sz="8" w:color="auto"/>
              <w:bottom w:val="single" w:sz="8" w:color="auto"/>
            </w:tcBorders>
            <w:shd w:val="clear" w:color="auto" w:fill="E5E5E5"/>
          </w:tcPr>
          <w:p>
            <w:pPr>
              <w:spacing w:after="0"/>
              <w:rPr>
                <w:sz w:val="8"/>
                <w:szCs w:val="8"/>
                <w:color w:val="auto"/>
              </w:rPr>
            </w:pPr>
          </w:p>
        </w:tc>
        <w:tc>
          <w:tcPr>
            <w:tcW w:w="440" w:type="dxa"/>
            <w:vAlign w:val="bottom"/>
            <w:tcBorders>
              <w:top w:val="single" w:sz="8" w:color="auto"/>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20,650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60" w:type="dxa"/>
            <w:vAlign w:val="bottom"/>
            <w:tcBorders>
              <w:bottom w:val="single" w:sz="8" w:color="auto"/>
            </w:tcBorders>
            <w:shd w:val="clear" w:color="auto" w:fill="E5E5E5"/>
          </w:tcPr>
          <w:p>
            <w:pPr>
              <w:spacing w:after="0" w:line="97" w:lineRule="exact"/>
              <w:rPr>
                <w:sz w:val="20"/>
                <w:szCs w:val="20"/>
                <w:color w:val="auto"/>
              </w:rPr>
            </w:pPr>
            <w:r>
              <w:rPr>
                <w:rFonts w:ascii="Arial" w:cs="Arial" w:eastAsia="Arial" w:hAnsi="Arial"/>
                <w:sz w:val="10"/>
                <w:szCs w:val="10"/>
                <w:color w:val="auto"/>
              </w:rPr>
              <w:t>Median</w:t>
            </w:r>
          </w:p>
        </w:tc>
        <w:tc>
          <w:tcPr>
            <w:tcW w:w="96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$41,728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shd w:val="clear" w:color="auto" w:fill="E5E5E5"/>
          </w:tcPr>
          <w:p>
            <w:pPr>
              <w:spacing w:after="0"/>
              <w:rPr>
                <w:sz w:val="8"/>
                <w:szCs w:val="8"/>
                <w:color w:val="auto"/>
              </w:rPr>
            </w:pPr>
          </w:p>
        </w:tc>
        <w:tc>
          <w:tcPr>
            <w:tcW w:w="210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$44,342</w:t>
            </w:r>
          </w:p>
        </w:tc>
        <w:tc>
          <w:tcPr>
            <w:tcW w:w="120" w:type="dxa"/>
            <w:vAlign w:val="bottom"/>
          </w:tcPr>
          <w:p>
            <w:pPr>
              <w:spacing w:after="0"/>
              <w:rPr>
                <w:sz w:val="8"/>
                <w:szCs w:val="8"/>
                <w:color w:val="auto"/>
              </w:rPr>
            </w:pPr>
          </w:p>
        </w:tc>
        <w:tc>
          <w:tcPr>
            <w:tcW w:w="920" w:type="dxa"/>
            <w:vAlign w:val="bottom"/>
            <w:tcBorders>
              <w:bottom w:val="single" w:sz="8" w:color="auto"/>
            </w:tcBorders>
            <w:shd w:val="clear" w:color="auto" w:fill="E5E5E5"/>
          </w:tcPr>
          <w:p>
            <w:pPr>
              <w:spacing w:after="0"/>
              <w:rPr>
                <w:sz w:val="8"/>
                <w:szCs w:val="8"/>
                <w:color w:val="auto"/>
              </w:rPr>
            </w:pPr>
          </w:p>
        </w:tc>
        <w:tc>
          <w:tcPr>
            <w:tcW w:w="196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$7,393</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tcBorders>
              <w:bottom w:val="single" w:sz="8" w:color="auto"/>
            </w:tcBorders>
            <w:shd w:val="clear" w:color="auto" w:fill="E5E5E5"/>
          </w:tcPr>
          <w:p>
            <w:pPr>
              <w:spacing w:after="0"/>
              <w:rPr>
                <w:sz w:val="8"/>
                <w:szCs w:val="8"/>
                <w:color w:val="auto"/>
              </w:rPr>
            </w:pPr>
          </w:p>
        </w:tc>
        <w:tc>
          <w:tcPr>
            <w:tcW w:w="44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5,127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60" w:type="dxa"/>
            <w:vAlign w:val="bottom"/>
            <w:tcBorders>
              <w:bottom w:val="single" w:sz="8" w:color="auto"/>
            </w:tcBorders>
            <w:shd w:val="clear" w:color="auto" w:fill="E5E5E5"/>
          </w:tcPr>
          <w:p>
            <w:pPr>
              <w:spacing w:after="0" w:line="97" w:lineRule="exact"/>
              <w:rPr>
                <w:sz w:val="20"/>
                <w:szCs w:val="20"/>
                <w:color w:val="auto"/>
              </w:rPr>
            </w:pPr>
            <w:r>
              <w:rPr>
                <w:rFonts w:ascii="Arial" w:cs="Arial" w:eastAsia="Arial" w:hAnsi="Arial"/>
                <w:sz w:val="10"/>
                <w:szCs w:val="10"/>
                <w:color w:val="auto"/>
              </w:rPr>
              <w:t>25th Percentile</w:t>
            </w:r>
          </w:p>
        </w:tc>
        <w:tc>
          <w:tcPr>
            <w:tcW w:w="96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$13,751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shd w:val="clear" w:color="auto" w:fill="E5E5E5"/>
          </w:tcPr>
          <w:p>
            <w:pPr>
              <w:spacing w:after="0"/>
              <w:rPr>
                <w:sz w:val="8"/>
                <w:szCs w:val="8"/>
                <w:color w:val="auto"/>
              </w:rPr>
            </w:pPr>
          </w:p>
        </w:tc>
        <w:tc>
          <w:tcPr>
            <w:tcW w:w="210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$13,370</w:t>
            </w:r>
          </w:p>
        </w:tc>
        <w:tc>
          <w:tcPr>
            <w:tcW w:w="120" w:type="dxa"/>
            <w:vAlign w:val="bottom"/>
          </w:tcPr>
          <w:p>
            <w:pPr>
              <w:spacing w:after="0"/>
              <w:rPr>
                <w:sz w:val="8"/>
                <w:szCs w:val="8"/>
                <w:color w:val="auto"/>
              </w:rPr>
            </w:pPr>
          </w:p>
        </w:tc>
        <w:tc>
          <w:tcPr>
            <w:tcW w:w="920" w:type="dxa"/>
            <w:vAlign w:val="bottom"/>
            <w:tcBorders>
              <w:bottom w:val="single" w:sz="8" w:color="auto"/>
            </w:tcBorders>
            <w:shd w:val="clear" w:color="auto" w:fill="E5E5E5"/>
          </w:tcPr>
          <w:p>
            <w:pPr>
              <w:spacing w:after="0"/>
              <w:rPr>
                <w:sz w:val="8"/>
                <w:szCs w:val="8"/>
                <w:color w:val="auto"/>
              </w:rPr>
            </w:pPr>
          </w:p>
        </w:tc>
        <w:tc>
          <w:tcPr>
            <w:tcW w:w="196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$1,216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tcBorders>
              <w:bottom w:val="single" w:sz="8" w:color="auto"/>
            </w:tcBorders>
            <w:shd w:val="clear" w:color="auto" w:fill="E5E5E5"/>
          </w:tcPr>
          <w:p>
            <w:pPr>
              <w:spacing w:after="0"/>
              <w:rPr>
                <w:sz w:val="8"/>
                <w:szCs w:val="8"/>
                <w:color w:val="auto"/>
              </w:rPr>
            </w:pPr>
          </w:p>
        </w:tc>
        <w:tc>
          <w:tcPr>
            <w:tcW w:w="440" w:type="dxa"/>
            <w:vAlign w:val="bottom"/>
            <w:tcBorders>
              <w:bottom w:val="single" w:sz="8" w:color="auto"/>
            </w:tcBorders>
            <w:shd w:val="clear" w:color="auto" w:fill="E5E5E5"/>
          </w:tcPr>
          <w:p>
            <w:pPr>
              <w:jc w:val="right"/>
              <w:spacing w:after="0" w:line="97" w:lineRule="exact"/>
              <w:rPr>
                <w:sz w:val="20"/>
                <w:szCs w:val="20"/>
                <w:color w:val="auto"/>
              </w:rPr>
            </w:pPr>
            <w:r>
              <w:rPr>
                <w:rFonts w:ascii="Arial" w:cs="Arial" w:eastAsia="Arial" w:hAnsi="Arial"/>
                <w:sz w:val="10"/>
                <w:szCs w:val="10"/>
                <w:color w:val="auto"/>
              </w:rPr>
              <w:t>1,558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60" w:type="dxa"/>
            <w:vAlign w:val="bottom"/>
          </w:tcPr>
          <w:p>
            <w:pPr>
              <w:spacing w:after="0" w:line="101" w:lineRule="exact"/>
              <w:rPr>
                <w:sz w:val="20"/>
                <w:szCs w:val="20"/>
                <w:color w:val="auto"/>
              </w:rPr>
            </w:pPr>
            <w:r>
              <w:rPr>
                <w:rFonts w:ascii="Arial" w:cs="Arial" w:eastAsia="Arial" w:hAnsi="Arial"/>
                <w:sz w:val="10"/>
                <w:szCs w:val="10"/>
                <w:b w:val="1"/>
                <w:bCs w:val="1"/>
                <w:color w:val="auto"/>
              </w:rPr>
              <w:t>Regeneron Percentile Rank in Peer</w:t>
            </w:r>
          </w:p>
        </w:tc>
        <w:tc>
          <w:tcPr>
            <w:tcW w:w="96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52P</w:t>
            </w:r>
          </w:p>
        </w:tc>
        <w:tc>
          <w:tcPr>
            <w:tcW w:w="12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210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49P</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96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48P</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51P</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Arial" w:cs="Arial" w:eastAsia="Arial" w:hAnsi="Arial"/>
          <w:sz w:val="10"/>
          <w:szCs w:val="10"/>
          <w:b w:val="1"/>
          <w:bCs w:val="1"/>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923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6" w:lineRule="exact"/>
        <w:rPr>
          <w:sz w:val="20"/>
          <w:szCs w:val="20"/>
          <w:color w:val="auto"/>
        </w:rPr>
      </w:pPr>
    </w:p>
    <w:p>
      <w:pPr>
        <w:ind w:left="8"/>
        <w:spacing w:after="0"/>
        <w:rPr>
          <w:sz w:val="20"/>
          <w:szCs w:val="20"/>
          <w:color w:val="auto"/>
        </w:rPr>
      </w:pPr>
      <w:r>
        <w:rPr>
          <w:rFonts w:ascii="Arial" w:cs="Arial" w:eastAsia="Arial" w:hAnsi="Arial"/>
          <w:sz w:val="10"/>
          <w:szCs w:val="10"/>
          <w:color w:val="auto"/>
        </w:rPr>
        <w:t>Source: Standard &amp; Poor's Capital IQ.</w:t>
      </w:r>
    </w:p>
    <w:p>
      <w:pPr>
        <w:spacing w:after="0" w:line="125" w:lineRule="exact"/>
        <w:rPr>
          <w:sz w:val="20"/>
          <w:szCs w:val="20"/>
          <w:color w:val="auto"/>
        </w:rPr>
      </w:pPr>
    </w:p>
    <w:p>
      <w:pPr>
        <w:ind w:left="11028"/>
        <w:spacing w:after="0"/>
        <w:rPr>
          <w:sz w:val="20"/>
          <w:szCs w:val="20"/>
          <w:color w:val="auto"/>
        </w:rPr>
      </w:pPr>
      <w:r>
        <w:rPr>
          <w:rFonts w:ascii="Arial" w:cs="Arial" w:eastAsia="Arial" w:hAnsi="Arial"/>
          <w:sz w:val="10"/>
          <w:szCs w:val="10"/>
          <w:b w:val="1"/>
          <w:bCs w:val="1"/>
          <w:color w:val="FFFFF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42" w:right="199" w:bottom="1440" w:gutter="0" w:footer="0" w:header="0"/>
          <w:type w:val="continuous"/>
        </w:sectPr>
      </w:pPr>
    </w:p>
    <w:bookmarkStart w:id="80" w:name="page81"/>
    <w:bookmarkEnd w:id="80"/>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105BAB"/>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-205740</wp:posOffset>
            </wp:positionV>
            <wp:extent cx="81788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17880" cy="5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105BAB"/>
        </w:rPr>
        <w:t>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800100</wp:posOffset>
            </wp:positionV>
            <wp:extent cx="81788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178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105BAB"/>
        </w:rPr>
        <w:t>TAX</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105BAB"/>
        </w:rPr>
        <w:t>IMPLICATIONS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57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80"/>
        <w:spacing w:after="0" w:line="239" w:lineRule="auto"/>
        <w:rPr>
          <w:sz w:val="20"/>
          <w:szCs w:val="20"/>
          <w:color w:val="auto"/>
        </w:rPr>
      </w:pPr>
      <w:r>
        <w:rPr>
          <w:rFonts w:ascii="Arial" w:cs="Arial" w:eastAsia="Arial" w:hAnsi="Arial"/>
          <w:sz w:val="12"/>
          <w:szCs w:val="12"/>
          <w:color w:val="auto"/>
        </w:rPr>
        <w:t>Further, in our review of the Peer Group data, we also consider the practices of the 10-company sub-group of peers viewed as having businesses and drug discovery and development cultures that are most similar to Regeneron's, with similarly-sized employee bases (marked with an asterisk in the table above and referred to as "Biotech R&amp;D Peers").</w:t>
      </w:r>
    </w:p>
    <w:p>
      <w:pPr>
        <w:spacing w:after="0" w:line="139" w:lineRule="exact"/>
        <w:rPr>
          <w:sz w:val="20"/>
          <w:szCs w:val="20"/>
          <w:color w:val="auto"/>
        </w:rPr>
      </w:pPr>
    </w:p>
    <w:p>
      <w:pPr>
        <w:ind w:right="100"/>
        <w:spacing w:after="0" w:line="236" w:lineRule="auto"/>
        <w:rPr>
          <w:sz w:val="20"/>
          <w:szCs w:val="20"/>
          <w:color w:val="auto"/>
        </w:rPr>
      </w:pPr>
      <w:r>
        <w:rPr>
          <w:rFonts w:ascii="Arial" w:cs="Arial" w:eastAsia="Arial" w:hAnsi="Arial"/>
          <w:sz w:val="12"/>
          <w:szCs w:val="12"/>
          <w:color w:val="auto"/>
        </w:rPr>
        <w:t>In making the compensation decisions in December 2017,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taking into account various factors such as the executive's performance, past compensation history, experience, and their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40588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405880" cy="5715"/>
                    </a:xfrm>
                    <a:prstGeom prst="rect">
                      <a:avLst/>
                    </a:prstGeom>
                    <a:noFill/>
                  </pic:spPr>
                </pic:pic>
              </a:graphicData>
            </a:graphic>
          </wp:anchor>
        </w:drawing>
      </w:r>
    </w:p>
    <w:p>
      <w:pPr>
        <w:spacing w:after="0" w:line="256" w:lineRule="exact"/>
        <w:rPr>
          <w:sz w:val="20"/>
          <w:szCs w:val="20"/>
          <w:color w:val="auto"/>
        </w:rPr>
      </w:pPr>
    </w:p>
    <w:p>
      <w:pPr>
        <w:ind w:right="80"/>
        <w:spacing w:after="0" w:line="236" w:lineRule="auto"/>
        <w:rPr>
          <w:sz w:val="20"/>
          <w:szCs w:val="20"/>
          <w:color w:val="auto"/>
        </w:rPr>
      </w:pPr>
      <w:r>
        <w:rPr>
          <w:rFonts w:ascii="Arial" w:cs="Arial" w:eastAsia="Arial" w:hAnsi="Arial"/>
          <w:sz w:val="12"/>
          <w:szCs w:val="12"/>
          <w:color w:val="auto"/>
        </w:rPr>
        <w:t>We regularly review the Company's compensation and benefits programs, including its executive compensation program and its incentive-based compensation programs for commercial personnel. Our compensation and governance-related policies are further enhanced by our stock ownership guidelines applicable to our senior officers and our policy regarding recoupment or reduction (clawback) of incentive compensation of our officers and other specified employees for compliance violations, as well as a policy against hedging and pledging of our securities by our directors and employees, including the NEOs. We also have a policy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 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140" w:lineRule="exact"/>
        <w:rPr>
          <w:sz w:val="20"/>
          <w:szCs w:val="20"/>
          <w:color w:val="auto"/>
        </w:rPr>
      </w:pPr>
    </w:p>
    <w:p>
      <w:pPr>
        <w:ind w:right="140"/>
        <w:spacing w:after="0" w:line="269" w:lineRule="auto"/>
        <w:rPr>
          <w:sz w:val="20"/>
          <w:szCs w:val="20"/>
          <w:color w:val="auto"/>
        </w:rPr>
      </w:pPr>
      <w:r>
        <w:rPr>
          <w:rFonts w:ascii="Arial" w:cs="Arial" w:eastAsia="Arial" w:hAnsi="Arial"/>
          <w:sz w:val="11"/>
          <w:szCs w:val="11"/>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As noted above, we believe this is in part because of the transparency and simplicity of our compensation programs, which help avoid a "manage to short-term metrics"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4058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405880" cy="57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We take tax considerations into account in making our compensation-related assessments and decisions.</w:t>
      </w:r>
    </w:p>
    <w:p>
      <w:pPr>
        <w:spacing w:after="0" w:line="141"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Prior to the enactment of the Tax Cuts and Jobs Act in December 2017, Section 162(m) of the Internal Revenue Code generally limited the deductibility for federal income tax purposes of compensation in any year paid to the CEO and the other NEOs (other than the Chief Financial Officer) (the "covered employees") to the extent such compensation exceeded $1 million and did not qualify as "performance-based" compensation as defined under Section 162(m) of the Internal Revenue Code. The Company has adopted the Regeneron Pharmaceuticals, Inc. Cash Incentive Bonus Plan and the Amended and Restated Regeneron Pharmaceuticals, Inc. 2014 Long-Term Incentive Plan. Awards under the Plans may, but were not required to, be subject to the attainment of performance goals in order to qualify for this performance-based compensation exception as in effect prior to the enactment of the Tax Cuts and Jobs Act in December 2017. We used the Cash Incentive Bonus Plan for annual cash incentives of the NEOs in respect of performance in 2017 and the Amended and Restated 2014 Long-Term Incentive Plan for equity awards made after its shareholder approval date (including those reported with respect to 2017 in the Summary Compensation Table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244475</wp:posOffset>
            </wp:positionV>
            <wp:extent cx="7299325" cy="18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120" w:space="260"/>
            <w:col w:w="10100"/>
          </w:cols>
          <w:pgMar w:left="220" w:top="142" w:right="199" w:bottom="1440" w:gutter="0" w:footer="0" w:header="0"/>
          <w:type w:val="continuous"/>
        </w:sectPr>
      </w:pPr>
    </w:p>
    <w:bookmarkStart w:id="81" w:name="page82"/>
    <w:bookmarkEnd w:id="8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380"/>
        <w:spacing w:after="0" w:line="237" w:lineRule="auto"/>
        <w:rPr>
          <w:sz w:val="20"/>
          <w:szCs w:val="20"/>
          <w:color w:val="auto"/>
        </w:rPr>
      </w:pPr>
      <w:r>
        <w:rPr>
          <w:rFonts w:ascii="Arial" w:cs="Arial" w:eastAsia="Arial" w:hAnsi="Arial"/>
          <w:sz w:val="12"/>
          <w:szCs w:val="12"/>
          <w:color w:val="auto"/>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2017, this disallowance amounted to approximately $1.3 million.</w:t>
      </w:r>
    </w:p>
    <w:p>
      <w:pPr>
        <w:spacing w:after="0" w:line="141" w:lineRule="exact"/>
        <w:rPr>
          <w:sz w:val="20"/>
          <w:szCs w:val="20"/>
          <w:color w:val="auto"/>
        </w:rPr>
      </w:pPr>
    </w:p>
    <w:p>
      <w:pPr>
        <w:ind w:left="1380" w:right="20"/>
        <w:spacing w:after="0" w:line="237" w:lineRule="auto"/>
        <w:rPr>
          <w:sz w:val="20"/>
          <w:szCs w:val="20"/>
          <w:color w:val="auto"/>
        </w:rPr>
      </w:pPr>
      <w:r>
        <w:rPr>
          <w:rFonts w:ascii="Arial" w:cs="Arial" w:eastAsia="Arial" w:hAnsi="Arial"/>
          <w:sz w:val="12"/>
          <w:szCs w:val="12"/>
          <w:color w:val="auto"/>
        </w:rPr>
        <w:t>We take into account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 Prior to the enactment of the Tax Cuts and Jobs Act in December 2017, compensation attributable to stock options generally qualified as "performance-based" compensation and, as such, received favorable treatment under Section 162(m) of the Internal Revenue Code.</w:t>
      </w:r>
    </w:p>
    <w:p>
      <w:pPr>
        <w:spacing w:after="0" w:line="139" w:lineRule="exact"/>
        <w:rPr>
          <w:sz w:val="20"/>
          <w:szCs w:val="20"/>
          <w:color w:val="auto"/>
        </w:rPr>
      </w:pPr>
    </w:p>
    <w:p>
      <w:pPr>
        <w:ind w:left="1380"/>
        <w:spacing w:after="0" w:line="236" w:lineRule="auto"/>
        <w:rPr>
          <w:sz w:val="20"/>
          <w:szCs w:val="20"/>
          <w:color w:val="auto"/>
        </w:rPr>
      </w:pPr>
      <w:r>
        <w:rPr>
          <w:rFonts w:ascii="Arial" w:cs="Arial" w:eastAsia="Arial" w:hAnsi="Arial"/>
          <w:sz w:val="12"/>
          <w:szCs w:val="12"/>
          <w:color w:val="auto"/>
        </w:rPr>
        <w:t>Under the Tax Cuts and Jobs Act, effective for our fiscal year beginning January 1, 2018, the exception under Section 162(m) for performance-based compensation is no longer generally available, subject to transition relief for certain grandfathered arrangements in effect as of November 2, 2017. In addition, the covered employees will be expanded to include our CFO. In addition, once one of our NEOs is considered a covered employee subject to the deduction limitation of Section 162(m), the NEO will remain a covered employee so long as he or she receives compensation from us. Given the lack of regulatory guidance to date, the Compensation Committee is not yet able to determine the full impact of the Tax Cuts and Jobs Act's changes to Section 162(m) on the Company and our compensation programs.</w:t>
      </w:r>
    </w:p>
    <w:p>
      <w:pPr>
        <w:spacing w:after="0" w:line="130"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41" w:right="23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160"/>
        <w:spacing w:after="0" w:line="239" w:lineRule="auto"/>
        <w:rPr>
          <w:sz w:val="20"/>
          <w:szCs w:val="20"/>
          <w:color w:val="auto"/>
        </w:rPr>
      </w:pPr>
      <w:r>
        <w:rPr>
          <w:rFonts w:ascii="Arial" w:cs="Arial" w:eastAsia="Arial" w:hAnsi="Arial"/>
          <w:sz w:val="12"/>
          <w:szCs w:val="12"/>
          <w:color w:val="auto"/>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spacing w:after="0" w:line="387"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The Compensation Committee</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Christine A. Poon, Chairperson</w:t>
      </w:r>
    </w:p>
    <w:p>
      <w:pPr>
        <w:ind w:left="1380"/>
        <w:spacing w:after="0" w:line="234" w:lineRule="auto"/>
        <w:rPr>
          <w:sz w:val="20"/>
          <w:szCs w:val="20"/>
          <w:color w:val="auto"/>
        </w:rPr>
      </w:pPr>
      <w:r>
        <w:rPr>
          <w:rFonts w:ascii="Arial" w:cs="Arial" w:eastAsia="Arial" w:hAnsi="Arial"/>
          <w:sz w:val="12"/>
          <w:szCs w:val="12"/>
          <w:color w:val="auto"/>
        </w:rPr>
        <w:t>Charles A. Baker</w:t>
      </w:r>
    </w:p>
    <w:p>
      <w:pPr>
        <w:ind w:left="1380"/>
        <w:spacing w:after="0" w:line="235" w:lineRule="auto"/>
        <w:rPr>
          <w:sz w:val="20"/>
          <w:szCs w:val="20"/>
          <w:color w:val="auto"/>
        </w:rPr>
      </w:pPr>
      <w:r>
        <w:rPr>
          <w:rFonts w:ascii="Arial" w:cs="Arial" w:eastAsia="Arial" w:hAnsi="Arial"/>
          <w:sz w:val="12"/>
          <w:szCs w:val="12"/>
          <w:color w:val="auto"/>
        </w:rPr>
        <w:t>Joseph L. Goldstein, M.D.</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7292340" cy="8693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2340" cy="86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29"/>
          <w:szCs w:val="29"/>
          <w:color w:val="FFFFFE"/>
        </w:rPr>
        <w:t>COMPENSATION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80"/>
        <w:spacing w:after="0" w:line="281" w:lineRule="auto"/>
        <w:rPr>
          <w:sz w:val="20"/>
          <w:szCs w:val="20"/>
          <w:color w:val="auto"/>
        </w:rPr>
      </w:pPr>
      <w:r>
        <w:rPr>
          <w:rFonts w:ascii="Arial" w:cs="Arial" w:eastAsia="Arial" w:hAnsi="Arial"/>
          <w:sz w:val="11"/>
          <w:szCs w:val="11"/>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00"/>
          </w:cols>
          <w:pgMar w:left="220" w:top="142" w:right="479" w:bottom="1440" w:gutter="0" w:footer="0" w:header="0"/>
        </w:sectPr>
      </w:pPr>
    </w:p>
    <w:bookmarkStart w:id="83" w:name="page84"/>
    <w:bookmarkEnd w:id="83"/>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92340" cy="6578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8"/>
        <w:spacing w:after="0"/>
        <w:rPr>
          <w:sz w:val="20"/>
          <w:szCs w:val="20"/>
          <w:color w:val="auto"/>
        </w:rPr>
      </w:pPr>
      <w:r>
        <w:rPr>
          <w:sz w:val="1"/>
          <w:szCs w:val="1"/>
          <w:color w:val="auto"/>
        </w:rPr>
        <w:drawing>
          <wp:inline distT="0" distB="0" distL="0" distR="0">
            <wp:extent cx="68580" cy="46926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COMPENSATION DASHBOARD</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22"/>
          <w:szCs w:val="22"/>
          <w:color w:val="auto"/>
        </w:rPr>
        <w:t>2017 COMPENSATION TABLES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2017 Summary Compensation Table</w:t>
      </w:r>
    </w:p>
    <w:p>
      <w:pPr>
        <w:spacing w:after="0" w:line="155" w:lineRule="exact"/>
        <w:rPr>
          <w:sz w:val="20"/>
          <w:szCs w:val="20"/>
          <w:color w:val="auto"/>
        </w:rPr>
      </w:pPr>
    </w:p>
    <w:p>
      <w:pPr>
        <w:ind w:left="8" w:right="120"/>
        <w:spacing w:after="0" w:line="239" w:lineRule="auto"/>
        <w:rPr>
          <w:sz w:val="20"/>
          <w:szCs w:val="20"/>
          <w:color w:val="auto"/>
        </w:rPr>
      </w:pPr>
      <w:r>
        <w:rPr>
          <w:rFonts w:ascii="Arial" w:cs="Arial" w:eastAsia="Arial" w:hAnsi="Arial"/>
          <w:sz w:val="12"/>
          <w:szCs w:val="12"/>
          <w:color w:val="auto"/>
        </w:rPr>
        <w:t>The following table and accompanying footnotes provide information regarding compensation earned by, or paid to, our NEOs during the last three fiscal years (other than with respect to Mr. Van Plew, who qualified as an NEO for 2017 but not for the prior two years).</w:t>
      </w:r>
    </w:p>
    <w:p>
      <w:pPr>
        <w:spacing w:after="0" w:line="252"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6660" w:type="dxa"/>
            <w:vAlign w:val="bottom"/>
            <w:tcBorders>
              <w:top w:val="single" w:sz="8" w:color="105BAB"/>
              <w:bottom w:val="single" w:sz="8" w:color="105BAB"/>
            </w:tcBorders>
            <w:gridSpan w:val="2"/>
          </w:tcPr>
          <w:p>
            <w:pPr>
              <w:ind w:left="3260"/>
              <w:spacing w:after="0"/>
              <w:rPr>
                <w:sz w:val="20"/>
                <w:szCs w:val="20"/>
                <w:color w:val="auto"/>
              </w:rPr>
            </w:pPr>
            <w:r>
              <w:rPr>
                <w:rFonts w:ascii="Arial" w:cs="Arial" w:eastAsia="Arial" w:hAnsi="Arial"/>
                <w:sz w:val="10"/>
                <w:szCs w:val="10"/>
                <w:b w:val="1"/>
                <w:bCs w:val="1"/>
                <w:color w:val="105BAB"/>
              </w:rPr>
              <w:t>A</w:t>
            </w:r>
          </w:p>
        </w:tc>
        <w:tc>
          <w:tcPr>
            <w:tcW w:w="26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2"/>
              </w:rPr>
              <w:t>B</w:t>
            </w:r>
          </w:p>
        </w:tc>
        <w:tc>
          <w:tcPr>
            <w:tcW w:w="500" w:type="dxa"/>
            <w:vAlign w:val="bottom"/>
            <w:tcBorders>
              <w:top w:val="single" w:sz="8" w:color="105BAB"/>
              <w:bottom w:val="single" w:sz="8" w:color="105BAB"/>
            </w:tcBorders>
          </w:tcPr>
          <w:p>
            <w:pPr>
              <w:jc w:val="right"/>
              <w:ind w:right="172"/>
              <w:spacing w:after="0"/>
              <w:rPr>
                <w:sz w:val="20"/>
                <w:szCs w:val="20"/>
                <w:color w:val="auto"/>
              </w:rPr>
            </w:pPr>
            <w:r>
              <w:rPr>
                <w:rFonts w:ascii="Arial" w:cs="Arial" w:eastAsia="Arial" w:hAnsi="Arial"/>
                <w:sz w:val="10"/>
                <w:szCs w:val="10"/>
                <w:b w:val="1"/>
                <w:bCs w:val="1"/>
                <w:color w:val="105BAB"/>
              </w:rPr>
              <w:t>C</w:t>
            </w:r>
          </w:p>
        </w:tc>
        <w:tc>
          <w:tcPr>
            <w:tcW w:w="56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D</w:t>
            </w:r>
          </w:p>
        </w:tc>
        <w:tc>
          <w:tcPr>
            <w:tcW w:w="56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9"/>
              </w:rPr>
              <w:t>E</w:t>
            </w:r>
          </w:p>
        </w:tc>
        <w:tc>
          <w:tcPr>
            <w:tcW w:w="62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F</w:t>
            </w:r>
          </w:p>
        </w:tc>
        <w:tc>
          <w:tcPr>
            <w:tcW w:w="92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G</w:t>
            </w:r>
          </w:p>
        </w:tc>
        <w:tc>
          <w:tcPr>
            <w:tcW w:w="74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70"/>
              </w:rPr>
              <w:t>I</w:t>
            </w:r>
          </w:p>
        </w:tc>
        <w:tc>
          <w:tcPr>
            <w:tcW w:w="520" w:type="dxa"/>
            <w:vAlign w:val="bottom"/>
            <w:tcBorders>
              <w:top w:val="single" w:sz="8" w:color="105BAB"/>
              <w:bottom w:val="single" w:sz="8" w:color="105BAB"/>
            </w:tcBorders>
          </w:tcPr>
          <w:p>
            <w:pPr>
              <w:jc w:val="right"/>
              <w:ind w:right="172"/>
              <w:spacing w:after="0"/>
              <w:rPr>
                <w:sz w:val="20"/>
                <w:szCs w:val="20"/>
                <w:color w:val="auto"/>
              </w:rPr>
            </w:pPr>
            <w:r>
              <w:rPr>
                <w:rFonts w:ascii="Arial" w:cs="Arial" w:eastAsia="Arial" w:hAnsi="Arial"/>
                <w:sz w:val="10"/>
                <w:szCs w:val="10"/>
                <w:b w:val="1"/>
                <w:bCs w:val="1"/>
                <w:color w:val="105BAB"/>
              </w:rPr>
              <w:t>J</w:t>
            </w:r>
          </w:p>
        </w:tc>
      </w:tr>
      <w:tr>
        <w:trPr>
          <w:trHeight w:val="196"/>
        </w:trPr>
        <w:tc>
          <w:tcPr>
            <w:tcW w:w="6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105BAB"/>
                <w:w w:val="97"/>
              </w:rPr>
              <w:t>Non-Equity</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105BAB"/>
                <w:w w:val="93"/>
              </w:rPr>
              <w:t>All other</w:t>
            </w:r>
          </w:p>
        </w:tc>
        <w:tc>
          <w:tcPr>
            <w:tcW w:w="520" w:type="dxa"/>
            <w:vAlign w:val="bottom"/>
          </w:tcPr>
          <w:p>
            <w:pPr>
              <w:spacing w:after="0"/>
              <w:rPr>
                <w:sz w:val="17"/>
                <w:szCs w:val="17"/>
                <w:color w:val="auto"/>
              </w:rPr>
            </w:pPr>
          </w:p>
        </w:tc>
      </w:tr>
      <w:tr>
        <w:trPr>
          <w:trHeight w:val="115"/>
        </w:trPr>
        <w:tc>
          <w:tcPr>
            <w:tcW w:w="6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jc w:val="center"/>
              <w:spacing w:after="0"/>
              <w:rPr>
                <w:sz w:val="20"/>
                <w:szCs w:val="20"/>
                <w:color w:val="auto"/>
              </w:rPr>
            </w:pPr>
            <w:r>
              <w:rPr>
                <w:rFonts w:ascii="Arial" w:cs="Arial" w:eastAsia="Arial" w:hAnsi="Arial"/>
                <w:sz w:val="10"/>
                <w:szCs w:val="10"/>
                <w:b w:val="1"/>
                <w:bCs w:val="1"/>
                <w:color w:val="105BAB"/>
                <w:w w:val="95"/>
              </w:rPr>
              <w:t>Stock</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105BAB"/>
                <w:w w:val="92"/>
              </w:rPr>
              <w:t>Option</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105BAB"/>
                <w:w w:val="95"/>
              </w:rPr>
              <w:t>Incentive Plan</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105BAB"/>
                <w:w w:val="97"/>
              </w:rPr>
              <w:t>compensation</w:t>
            </w:r>
          </w:p>
        </w:tc>
        <w:tc>
          <w:tcPr>
            <w:tcW w:w="520" w:type="dxa"/>
            <w:vAlign w:val="bottom"/>
          </w:tcPr>
          <w:p>
            <w:pPr>
              <w:spacing w:after="0"/>
              <w:rPr>
                <w:sz w:val="9"/>
                <w:szCs w:val="9"/>
                <w:color w:val="auto"/>
              </w:rPr>
            </w:pPr>
          </w:p>
        </w:tc>
      </w:tr>
      <w:tr>
        <w:trPr>
          <w:trHeight w:val="128"/>
        </w:trPr>
        <w:tc>
          <w:tcPr>
            <w:tcW w:w="6660" w:type="dxa"/>
            <w:vAlign w:val="bottom"/>
            <w:tcBorders>
              <w:bottom w:val="single" w:sz="8" w:color="105BAB"/>
            </w:tcBorders>
            <w:gridSpan w:val="2"/>
          </w:tcPr>
          <w:p>
            <w:pPr>
              <w:spacing w:after="0"/>
              <w:rPr>
                <w:sz w:val="20"/>
                <w:szCs w:val="20"/>
                <w:color w:val="auto"/>
              </w:rPr>
            </w:pPr>
            <w:r>
              <w:rPr>
                <w:rFonts w:ascii="Arial" w:cs="Arial" w:eastAsia="Arial" w:hAnsi="Arial"/>
                <w:sz w:val="10"/>
                <w:szCs w:val="10"/>
                <w:b w:val="1"/>
                <w:bCs w:val="1"/>
                <w:color w:val="105BAB"/>
              </w:rPr>
              <w:t>Name and principal position</w:t>
            </w:r>
          </w:p>
        </w:tc>
        <w:tc>
          <w:tcPr>
            <w:tcW w:w="26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2"/>
              </w:rPr>
              <w:t>Year</w:t>
            </w:r>
          </w:p>
        </w:tc>
        <w:tc>
          <w:tcPr>
            <w:tcW w:w="500" w:type="dxa"/>
            <w:vAlign w:val="bottom"/>
            <w:tcBorders>
              <w:bottom w:val="single" w:sz="8" w:color="105BAB"/>
            </w:tcBorders>
          </w:tcPr>
          <w:p>
            <w:pPr>
              <w:jc w:val="right"/>
              <w:spacing w:after="0"/>
              <w:rPr>
                <w:sz w:val="20"/>
                <w:szCs w:val="20"/>
                <w:color w:val="auto"/>
              </w:rPr>
            </w:pPr>
            <w:r>
              <w:rPr>
                <w:rFonts w:ascii="Arial" w:cs="Arial" w:eastAsia="Arial" w:hAnsi="Arial"/>
                <w:sz w:val="10"/>
                <w:szCs w:val="10"/>
                <w:b w:val="1"/>
                <w:bCs w:val="1"/>
                <w:color w:val="105BAB"/>
                <w:w w:val="97"/>
              </w:rPr>
              <w:t>Salary ($)</w:t>
            </w:r>
          </w:p>
        </w:tc>
        <w:tc>
          <w:tcPr>
            <w:tcW w:w="560" w:type="dxa"/>
            <w:vAlign w:val="bottom"/>
            <w:tcBorders>
              <w:bottom w:val="single" w:sz="8" w:color="105BAB"/>
            </w:tcBorders>
          </w:tcPr>
          <w:p>
            <w:pPr>
              <w:jc w:val="center"/>
              <w:spacing w:after="0" w:line="129" w:lineRule="exact"/>
              <w:rPr>
                <w:sz w:val="20"/>
                <w:szCs w:val="20"/>
                <w:color w:val="auto"/>
              </w:rPr>
            </w:pPr>
            <w:r>
              <w:rPr>
                <w:rFonts w:ascii="Arial" w:cs="Arial" w:eastAsia="Arial" w:hAnsi="Arial"/>
                <w:sz w:val="10"/>
                <w:szCs w:val="10"/>
                <w:b w:val="1"/>
                <w:bCs w:val="1"/>
                <w:color w:val="105BAB"/>
                <w:w w:val="93"/>
              </w:rPr>
              <w:t>Bonus ($)</w:t>
            </w:r>
            <w:r>
              <w:rPr>
                <w:rFonts w:ascii="Arial" w:cs="Arial" w:eastAsia="Arial" w:hAnsi="Arial"/>
                <w:sz w:val="14"/>
                <w:szCs w:val="14"/>
                <w:b w:val="1"/>
                <w:bCs w:val="1"/>
                <w:color w:val="105BAB"/>
                <w:w w:val="93"/>
                <w:vertAlign w:val="superscript"/>
              </w:rPr>
              <w:t>1</w:t>
            </w:r>
          </w:p>
        </w:tc>
        <w:tc>
          <w:tcPr>
            <w:tcW w:w="56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3"/>
              </w:rPr>
              <w:t>Awards ($)</w:t>
            </w:r>
          </w:p>
        </w:tc>
        <w:tc>
          <w:tcPr>
            <w:tcW w:w="620" w:type="dxa"/>
            <w:vAlign w:val="bottom"/>
            <w:tcBorders>
              <w:bottom w:val="single" w:sz="8" w:color="105BAB"/>
            </w:tcBorders>
          </w:tcPr>
          <w:p>
            <w:pPr>
              <w:jc w:val="center"/>
              <w:spacing w:after="0" w:line="129" w:lineRule="exact"/>
              <w:rPr>
                <w:sz w:val="20"/>
                <w:szCs w:val="20"/>
                <w:color w:val="auto"/>
              </w:rPr>
            </w:pPr>
            <w:r>
              <w:rPr>
                <w:rFonts w:ascii="Arial" w:cs="Arial" w:eastAsia="Arial" w:hAnsi="Arial"/>
                <w:sz w:val="10"/>
                <w:szCs w:val="10"/>
                <w:b w:val="1"/>
                <w:bCs w:val="1"/>
                <w:color w:val="105BAB"/>
                <w:w w:val="95"/>
              </w:rPr>
              <w:t>Awards ($)</w:t>
            </w:r>
            <w:r>
              <w:rPr>
                <w:rFonts w:ascii="Arial" w:cs="Arial" w:eastAsia="Arial" w:hAnsi="Arial"/>
                <w:sz w:val="14"/>
                <w:szCs w:val="14"/>
                <w:b w:val="1"/>
                <w:bCs w:val="1"/>
                <w:color w:val="105BAB"/>
                <w:w w:val="95"/>
                <w:vertAlign w:val="superscript"/>
              </w:rPr>
              <w:t>2</w:t>
            </w:r>
          </w:p>
        </w:tc>
        <w:tc>
          <w:tcPr>
            <w:tcW w:w="920" w:type="dxa"/>
            <w:vAlign w:val="bottom"/>
            <w:tcBorders>
              <w:bottom w:val="single" w:sz="8" w:color="105BAB"/>
            </w:tcBorders>
          </w:tcPr>
          <w:p>
            <w:pPr>
              <w:jc w:val="center"/>
              <w:spacing w:after="0" w:line="129" w:lineRule="exact"/>
              <w:rPr>
                <w:sz w:val="20"/>
                <w:szCs w:val="20"/>
                <w:color w:val="auto"/>
              </w:rPr>
            </w:pPr>
            <w:r>
              <w:rPr>
                <w:rFonts w:ascii="Arial" w:cs="Arial" w:eastAsia="Arial" w:hAnsi="Arial"/>
                <w:sz w:val="10"/>
                <w:szCs w:val="10"/>
                <w:b w:val="1"/>
                <w:bCs w:val="1"/>
                <w:color w:val="105BAB"/>
                <w:w w:val="93"/>
              </w:rPr>
              <w:t>Compensation ($)</w:t>
            </w:r>
            <w:r>
              <w:rPr>
                <w:rFonts w:ascii="Arial" w:cs="Arial" w:eastAsia="Arial" w:hAnsi="Arial"/>
                <w:sz w:val="14"/>
                <w:szCs w:val="14"/>
                <w:b w:val="1"/>
                <w:bCs w:val="1"/>
                <w:color w:val="105BAB"/>
                <w:w w:val="93"/>
                <w:vertAlign w:val="superscript"/>
              </w:rPr>
              <w:t>1</w:t>
            </w:r>
          </w:p>
        </w:tc>
        <w:tc>
          <w:tcPr>
            <w:tcW w:w="740" w:type="dxa"/>
            <w:vAlign w:val="bottom"/>
            <w:tcBorders>
              <w:bottom w:val="single" w:sz="8" w:color="105BAB"/>
            </w:tcBorders>
          </w:tcPr>
          <w:p>
            <w:pPr>
              <w:jc w:val="center"/>
              <w:spacing w:after="0" w:line="129" w:lineRule="exact"/>
              <w:rPr>
                <w:sz w:val="20"/>
                <w:szCs w:val="20"/>
                <w:color w:val="auto"/>
              </w:rPr>
            </w:pPr>
            <w:r>
              <w:rPr>
                <w:rFonts w:ascii="Arial" w:cs="Arial" w:eastAsia="Arial" w:hAnsi="Arial"/>
                <w:sz w:val="10"/>
                <w:szCs w:val="10"/>
                <w:b w:val="1"/>
                <w:bCs w:val="1"/>
                <w:color w:val="105BAB"/>
                <w:w w:val="91"/>
              </w:rPr>
              <w:t>($)</w:t>
            </w:r>
            <w:r>
              <w:rPr>
                <w:rFonts w:ascii="Arial" w:cs="Arial" w:eastAsia="Arial" w:hAnsi="Arial"/>
                <w:sz w:val="14"/>
                <w:szCs w:val="14"/>
                <w:b w:val="1"/>
                <w:bCs w:val="1"/>
                <w:color w:val="105BAB"/>
                <w:w w:val="91"/>
                <w:vertAlign w:val="superscript"/>
              </w:rPr>
              <w:t>3</w:t>
            </w:r>
          </w:p>
        </w:tc>
        <w:tc>
          <w:tcPr>
            <w:tcW w:w="520" w:type="dxa"/>
            <w:vAlign w:val="bottom"/>
            <w:tcBorders>
              <w:bottom w:val="single" w:sz="8" w:color="105BAB"/>
            </w:tcBorders>
          </w:tcPr>
          <w:p>
            <w:pPr>
              <w:jc w:val="right"/>
              <w:ind w:right="12"/>
              <w:spacing w:after="0"/>
              <w:rPr>
                <w:sz w:val="20"/>
                <w:szCs w:val="20"/>
                <w:color w:val="auto"/>
              </w:rPr>
            </w:pPr>
            <w:r>
              <w:rPr>
                <w:rFonts w:ascii="Arial" w:cs="Arial" w:eastAsia="Arial" w:hAnsi="Arial"/>
                <w:sz w:val="10"/>
                <w:szCs w:val="10"/>
                <w:b w:val="1"/>
                <w:bCs w:val="1"/>
                <w:color w:val="105BAB"/>
              </w:rPr>
              <w:t>Total ($)</w:t>
            </w:r>
          </w:p>
        </w:tc>
      </w:tr>
      <w:tr>
        <w:trPr>
          <w:trHeight w:val="115"/>
        </w:trPr>
        <w:tc>
          <w:tcPr>
            <w:tcW w:w="6600" w:type="dxa"/>
            <w:vAlign w:val="bottom"/>
            <w:tcBorders>
              <w:bottom w:val="single" w:sz="8" w:color="F1F3F9"/>
            </w:tcBorders>
            <w:shd w:val="clear" w:color="auto" w:fill="F1F3F9"/>
          </w:tcPr>
          <w:p>
            <w:pPr>
              <w:spacing w:after="0"/>
              <w:rPr>
                <w:sz w:val="10"/>
                <w:szCs w:val="10"/>
                <w:color w:val="auto"/>
              </w:rPr>
            </w:pPr>
          </w:p>
        </w:tc>
        <w:tc>
          <w:tcPr>
            <w:tcW w:w="60" w:type="dxa"/>
            <w:vAlign w:val="bottom"/>
            <w:tcBorders>
              <w:bottom w:val="single" w:sz="8" w:color="F1F3F9"/>
            </w:tcBorders>
            <w:shd w:val="clear" w:color="auto" w:fill="F1F3F9"/>
          </w:tcPr>
          <w:p>
            <w:pPr>
              <w:spacing w:after="0"/>
              <w:rPr>
                <w:sz w:val="10"/>
                <w:szCs w:val="10"/>
                <w:color w:val="auto"/>
              </w:rPr>
            </w:pPr>
          </w:p>
        </w:tc>
        <w:tc>
          <w:tcPr>
            <w:tcW w:w="26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8"/>
              </w:rPr>
              <w:t>2017</w:t>
            </w:r>
          </w:p>
        </w:tc>
        <w:tc>
          <w:tcPr>
            <w:tcW w:w="50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w w:val="98"/>
              </w:rPr>
              <w:t>1,285,500</w:t>
            </w:r>
          </w:p>
        </w:tc>
        <w:tc>
          <w:tcPr>
            <w:tcW w:w="56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21,967,210</w:t>
            </w:r>
          </w:p>
        </w:tc>
        <w:tc>
          <w:tcPr>
            <w:tcW w:w="920" w:type="dxa"/>
            <w:vAlign w:val="bottom"/>
            <w:tcBorders>
              <w:bottom w:val="single" w:sz="8" w:color="auto"/>
            </w:tcBorders>
            <w:shd w:val="clear" w:color="auto" w:fill="F1F3F9"/>
          </w:tcPr>
          <w:p>
            <w:pPr>
              <w:jc w:val="right"/>
              <w:ind w:right="152"/>
              <w:spacing w:after="0"/>
              <w:rPr>
                <w:sz w:val="20"/>
                <w:szCs w:val="20"/>
                <w:color w:val="auto"/>
              </w:rPr>
            </w:pPr>
            <w:r>
              <w:rPr>
                <w:rFonts w:ascii="Arial" w:cs="Arial" w:eastAsia="Arial" w:hAnsi="Arial"/>
                <w:sz w:val="10"/>
                <w:szCs w:val="10"/>
                <w:color w:val="auto"/>
              </w:rPr>
              <w:t>2,468,160</w:t>
            </w:r>
          </w:p>
        </w:tc>
        <w:tc>
          <w:tcPr>
            <w:tcW w:w="740" w:type="dxa"/>
            <w:vAlign w:val="bottom"/>
            <w:tcBorders>
              <w:bottom w:val="single" w:sz="8" w:color="auto"/>
            </w:tcBorders>
            <w:shd w:val="clear" w:color="auto" w:fill="F1F3F9"/>
          </w:tcPr>
          <w:p>
            <w:pPr>
              <w:ind w:left="240"/>
              <w:spacing w:after="0" w:line="115" w:lineRule="exact"/>
              <w:rPr>
                <w:sz w:val="20"/>
                <w:szCs w:val="20"/>
                <w:color w:val="auto"/>
              </w:rPr>
            </w:pPr>
            <w:r>
              <w:rPr>
                <w:rFonts w:ascii="Arial" w:cs="Arial" w:eastAsia="Arial" w:hAnsi="Arial"/>
                <w:sz w:val="9"/>
                <w:szCs w:val="9"/>
                <w:color w:val="auto"/>
              </w:rPr>
              <w:t>787,188</w:t>
            </w:r>
            <w:r>
              <w:rPr>
                <w:rFonts w:ascii="Arial" w:cs="Arial" w:eastAsia="Arial" w:hAnsi="Arial"/>
                <w:sz w:val="13"/>
                <w:szCs w:val="13"/>
                <w:color w:val="auto"/>
                <w:vertAlign w:val="superscript"/>
              </w:rPr>
              <w:t>4</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w w:val="99"/>
              </w:rPr>
              <w:t>26,508,058</w:t>
            </w:r>
          </w:p>
        </w:tc>
      </w:tr>
      <w:tr>
        <w:trPr>
          <w:trHeight w:val="97"/>
        </w:trPr>
        <w:tc>
          <w:tcPr>
            <w:tcW w:w="6660" w:type="dxa"/>
            <w:vAlign w:val="bottom"/>
            <w:tcBorders>
              <w:bottom w:val="single" w:sz="8" w:color="F1F3F9"/>
            </w:tcBorders>
            <w:gridSpan w:val="2"/>
            <w:shd w:val="clear" w:color="auto" w:fill="F1F3F9"/>
          </w:tcPr>
          <w:p>
            <w:pPr>
              <w:spacing w:after="0" w:line="97" w:lineRule="exact"/>
              <w:rPr>
                <w:sz w:val="20"/>
                <w:szCs w:val="20"/>
                <w:color w:val="auto"/>
              </w:rPr>
            </w:pPr>
            <w:r>
              <w:rPr>
                <w:rFonts w:ascii="Arial" w:cs="Arial" w:eastAsia="Arial" w:hAnsi="Arial"/>
                <w:sz w:val="10"/>
                <w:szCs w:val="10"/>
                <w:color w:val="auto"/>
              </w:rPr>
              <w:t>Leonard S. Schleifer, M.D., Ph.D.</w:t>
            </w:r>
          </w:p>
        </w:tc>
        <w:tc>
          <w:tcPr>
            <w:tcW w:w="2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8"/>
              </w:rPr>
              <w:t>2016</w:t>
            </w:r>
          </w:p>
        </w:tc>
        <w:tc>
          <w:tcPr>
            <w:tcW w:w="50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w w:val="98"/>
              </w:rPr>
              <w:t>1,242,000</w:t>
            </w:r>
          </w:p>
        </w:tc>
        <w:tc>
          <w:tcPr>
            <w:tcW w:w="5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24,631,012</w:t>
            </w:r>
          </w:p>
        </w:tc>
        <w:tc>
          <w:tcPr>
            <w:tcW w:w="920" w:type="dxa"/>
            <w:vAlign w:val="bottom"/>
            <w:tcBorders>
              <w:bottom w:val="single" w:sz="8" w:color="auto"/>
            </w:tcBorders>
            <w:shd w:val="clear" w:color="auto" w:fill="F1F3F9"/>
          </w:tcPr>
          <w:p>
            <w:pPr>
              <w:jc w:val="right"/>
              <w:ind w:right="152"/>
              <w:spacing w:after="0" w:line="97" w:lineRule="exact"/>
              <w:rPr>
                <w:sz w:val="20"/>
                <w:szCs w:val="20"/>
                <w:color w:val="auto"/>
              </w:rPr>
            </w:pPr>
            <w:r>
              <w:rPr>
                <w:rFonts w:ascii="Arial" w:cs="Arial" w:eastAsia="Arial" w:hAnsi="Arial"/>
                <w:sz w:val="10"/>
                <w:szCs w:val="10"/>
                <w:color w:val="auto"/>
              </w:rPr>
              <w:t>2,235,600</w:t>
            </w:r>
          </w:p>
        </w:tc>
        <w:tc>
          <w:tcPr>
            <w:tcW w:w="740" w:type="dxa"/>
            <w:vAlign w:val="bottom"/>
            <w:tcBorders>
              <w:bottom w:val="single" w:sz="8" w:color="auto"/>
            </w:tcBorders>
            <w:shd w:val="clear" w:color="auto" w:fill="F1F3F9"/>
          </w:tcPr>
          <w:p>
            <w:pPr>
              <w:ind w:left="240"/>
              <w:spacing w:after="0" w:line="97" w:lineRule="exact"/>
              <w:rPr>
                <w:sz w:val="20"/>
                <w:szCs w:val="20"/>
                <w:color w:val="auto"/>
              </w:rPr>
            </w:pPr>
            <w:r>
              <w:rPr>
                <w:rFonts w:ascii="Arial" w:cs="Arial" w:eastAsia="Arial" w:hAnsi="Arial"/>
                <w:sz w:val="10"/>
                <w:szCs w:val="10"/>
                <w:color w:val="auto"/>
              </w:rPr>
              <w:t>228,908</w:t>
            </w:r>
          </w:p>
        </w:tc>
        <w:tc>
          <w:tcPr>
            <w:tcW w:w="52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w w:val="99"/>
              </w:rPr>
              <w:t>28,337,520</w:t>
            </w:r>
          </w:p>
        </w:tc>
      </w:tr>
      <w:tr>
        <w:trPr>
          <w:trHeight w:val="97"/>
        </w:trPr>
        <w:tc>
          <w:tcPr>
            <w:tcW w:w="6600" w:type="dxa"/>
            <w:vAlign w:val="bottom"/>
            <w:tcBorders>
              <w:bottom w:val="single" w:sz="8" w:color="105BAB"/>
            </w:tcBorders>
            <w:shd w:val="clear" w:color="auto" w:fill="F1F3F9"/>
          </w:tcPr>
          <w:p>
            <w:pPr>
              <w:spacing w:after="0" w:line="97" w:lineRule="exact"/>
              <w:rPr>
                <w:sz w:val="20"/>
                <w:szCs w:val="20"/>
                <w:color w:val="auto"/>
              </w:rPr>
            </w:pPr>
            <w:r>
              <w:rPr>
                <w:rFonts w:ascii="Arial" w:cs="Arial" w:eastAsia="Arial" w:hAnsi="Arial"/>
                <w:sz w:val="10"/>
                <w:szCs w:val="10"/>
                <w:b w:val="1"/>
                <w:bCs w:val="1"/>
                <w:color w:val="105BAB"/>
              </w:rPr>
              <w:t>President and Chief Executive Officer</w:t>
            </w:r>
          </w:p>
        </w:tc>
        <w:tc>
          <w:tcPr>
            <w:tcW w:w="60" w:type="dxa"/>
            <w:vAlign w:val="bottom"/>
            <w:tcBorders>
              <w:bottom w:val="single" w:sz="8" w:color="105BAB"/>
            </w:tcBorders>
            <w:shd w:val="clear" w:color="auto" w:fill="F1F3F9"/>
          </w:tcPr>
          <w:p>
            <w:pPr>
              <w:spacing w:after="0"/>
              <w:rPr>
                <w:sz w:val="8"/>
                <w:szCs w:val="8"/>
                <w:color w:val="auto"/>
              </w:rPr>
            </w:pPr>
          </w:p>
        </w:tc>
        <w:tc>
          <w:tcPr>
            <w:tcW w:w="260" w:type="dxa"/>
            <w:vAlign w:val="bottom"/>
            <w:tcBorders>
              <w:bottom w:val="single" w:sz="8" w:color="105BAB"/>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8"/>
              </w:rPr>
              <w:t>2015</w:t>
            </w:r>
          </w:p>
        </w:tc>
        <w:tc>
          <w:tcPr>
            <w:tcW w:w="50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w w:val="98"/>
              </w:rPr>
              <w:t>1,200,000</w:t>
            </w:r>
          </w:p>
        </w:tc>
        <w:tc>
          <w:tcPr>
            <w:tcW w:w="56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2,880,000</w:t>
            </w:r>
          </w:p>
        </w:tc>
        <w:tc>
          <w:tcPr>
            <w:tcW w:w="560" w:type="dxa"/>
            <w:vAlign w:val="bottom"/>
            <w:tcBorders>
              <w:bottom w:val="single" w:sz="8" w:color="105BAB"/>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43,307,918</w:t>
            </w:r>
          </w:p>
        </w:tc>
        <w:tc>
          <w:tcPr>
            <w:tcW w:w="920" w:type="dxa"/>
            <w:vAlign w:val="bottom"/>
            <w:tcBorders>
              <w:bottom w:val="single" w:sz="8" w:color="105BAB"/>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740" w:type="dxa"/>
            <w:vAlign w:val="bottom"/>
            <w:tcBorders>
              <w:bottom w:val="single" w:sz="8" w:color="105BAB"/>
            </w:tcBorders>
            <w:shd w:val="clear" w:color="auto" w:fill="F1F3F9"/>
          </w:tcPr>
          <w:p>
            <w:pPr>
              <w:ind w:left="300"/>
              <w:spacing w:after="0" w:line="97" w:lineRule="exact"/>
              <w:rPr>
                <w:sz w:val="20"/>
                <w:szCs w:val="20"/>
                <w:color w:val="auto"/>
              </w:rPr>
            </w:pPr>
            <w:r>
              <w:rPr>
                <w:rFonts w:ascii="Arial" w:cs="Arial" w:eastAsia="Arial" w:hAnsi="Arial"/>
                <w:sz w:val="10"/>
                <w:szCs w:val="10"/>
                <w:color w:val="auto"/>
              </w:rPr>
              <w:t>74,608</w:t>
            </w:r>
          </w:p>
        </w:tc>
        <w:tc>
          <w:tcPr>
            <w:tcW w:w="52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w w:val="99"/>
              </w:rPr>
              <w:t>47,462,526</w:t>
            </w:r>
          </w:p>
        </w:tc>
      </w:tr>
      <w:tr>
        <w:trPr>
          <w:trHeight w:val="115"/>
        </w:trPr>
        <w:tc>
          <w:tcPr>
            <w:tcW w:w="6600" w:type="dxa"/>
            <w:vAlign w:val="bottom"/>
            <w:tcBorders>
              <w:bottom w:val="single" w:sz="8" w:color="D6DAEE"/>
            </w:tcBorders>
            <w:shd w:val="clear" w:color="auto" w:fill="D6DAEE"/>
          </w:tcPr>
          <w:p>
            <w:pPr>
              <w:spacing w:after="0"/>
              <w:rPr>
                <w:sz w:val="10"/>
                <w:szCs w:val="10"/>
                <w:color w:val="auto"/>
              </w:rPr>
            </w:pPr>
          </w:p>
        </w:tc>
        <w:tc>
          <w:tcPr>
            <w:tcW w:w="60" w:type="dxa"/>
            <w:vAlign w:val="bottom"/>
            <w:tcBorders>
              <w:bottom w:val="single" w:sz="8" w:color="D6DAEE"/>
            </w:tcBorders>
            <w:shd w:val="clear" w:color="auto" w:fill="D6DAEE"/>
          </w:tcPr>
          <w:p>
            <w:pPr>
              <w:spacing w:after="0"/>
              <w:rPr>
                <w:sz w:val="10"/>
                <w:szCs w:val="10"/>
                <w:color w:val="auto"/>
              </w:rPr>
            </w:pPr>
          </w:p>
        </w:tc>
        <w:tc>
          <w:tcPr>
            <w:tcW w:w="26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8"/>
              </w:rPr>
              <w:t>2017</w:t>
            </w:r>
          </w:p>
        </w:tc>
        <w:tc>
          <w:tcPr>
            <w:tcW w:w="50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w w:val="98"/>
              </w:rPr>
              <w:t>1,092,700</w:t>
            </w:r>
          </w:p>
        </w:tc>
        <w:tc>
          <w:tcPr>
            <w:tcW w:w="56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21,967,210</w:t>
            </w:r>
          </w:p>
        </w:tc>
        <w:tc>
          <w:tcPr>
            <w:tcW w:w="920" w:type="dxa"/>
            <w:vAlign w:val="bottom"/>
            <w:tcBorders>
              <w:bottom w:val="single" w:sz="8" w:color="auto"/>
            </w:tcBorders>
            <w:shd w:val="clear" w:color="auto" w:fill="D6DAEE"/>
          </w:tcPr>
          <w:p>
            <w:pPr>
              <w:jc w:val="right"/>
              <w:ind w:right="152"/>
              <w:spacing w:after="0"/>
              <w:rPr>
                <w:sz w:val="20"/>
                <w:szCs w:val="20"/>
                <w:color w:val="auto"/>
              </w:rPr>
            </w:pPr>
            <w:r>
              <w:rPr>
                <w:rFonts w:ascii="Arial" w:cs="Arial" w:eastAsia="Arial" w:hAnsi="Arial"/>
                <w:sz w:val="10"/>
                <w:szCs w:val="10"/>
                <w:color w:val="auto"/>
              </w:rPr>
              <w:t>2,097,984</w:t>
            </w:r>
          </w:p>
        </w:tc>
        <w:tc>
          <w:tcPr>
            <w:tcW w:w="740" w:type="dxa"/>
            <w:vAlign w:val="bottom"/>
            <w:tcBorders>
              <w:bottom w:val="single" w:sz="8" w:color="auto"/>
            </w:tcBorders>
            <w:shd w:val="clear" w:color="auto" w:fill="D6DAEE"/>
          </w:tcPr>
          <w:p>
            <w:pPr>
              <w:ind w:left="240"/>
              <w:spacing w:after="0" w:line="115" w:lineRule="exact"/>
              <w:rPr>
                <w:sz w:val="20"/>
                <w:szCs w:val="20"/>
                <w:color w:val="auto"/>
              </w:rPr>
            </w:pPr>
            <w:r>
              <w:rPr>
                <w:rFonts w:ascii="Arial" w:cs="Arial" w:eastAsia="Arial" w:hAnsi="Arial"/>
                <w:sz w:val="9"/>
                <w:szCs w:val="9"/>
                <w:color w:val="auto"/>
              </w:rPr>
              <w:t>141,345</w:t>
            </w:r>
            <w:r>
              <w:rPr>
                <w:rFonts w:ascii="Arial" w:cs="Arial" w:eastAsia="Arial" w:hAnsi="Arial"/>
                <w:sz w:val="13"/>
                <w:szCs w:val="13"/>
                <w:color w:val="auto"/>
                <w:vertAlign w:val="superscript"/>
              </w:rPr>
              <w:t>5</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w w:val="99"/>
              </w:rPr>
              <w:t>25,299,239</w:t>
            </w:r>
          </w:p>
        </w:tc>
      </w:tr>
      <w:tr>
        <w:trPr>
          <w:trHeight w:val="97"/>
        </w:trPr>
        <w:tc>
          <w:tcPr>
            <w:tcW w:w="6660" w:type="dxa"/>
            <w:vAlign w:val="bottom"/>
            <w:tcBorders>
              <w:bottom w:val="single" w:sz="8" w:color="D6DAEE"/>
            </w:tcBorders>
            <w:gridSpan w:val="2"/>
            <w:shd w:val="clear" w:color="auto" w:fill="D6DAEE"/>
          </w:tcPr>
          <w:p>
            <w:pPr>
              <w:spacing w:after="0" w:line="97" w:lineRule="exact"/>
              <w:rPr>
                <w:sz w:val="20"/>
                <w:szCs w:val="20"/>
                <w:color w:val="auto"/>
              </w:rPr>
            </w:pPr>
            <w:r>
              <w:rPr>
                <w:rFonts w:ascii="Arial" w:cs="Arial" w:eastAsia="Arial" w:hAnsi="Arial"/>
                <w:sz w:val="10"/>
                <w:szCs w:val="10"/>
                <w:color w:val="auto"/>
              </w:rPr>
              <w:t>George D. Yancopoulos, M.D., Ph.D.</w:t>
            </w:r>
          </w:p>
        </w:tc>
        <w:tc>
          <w:tcPr>
            <w:tcW w:w="2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8"/>
              </w:rPr>
              <w:t>2016</w:t>
            </w:r>
          </w:p>
        </w:tc>
        <w:tc>
          <w:tcPr>
            <w:tcW w:w="50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w w:val="98"/>
              </w:rPr>
              <w:t>1,055,700</w:t>
            </w:r>
          </w:p>
        </w:tc>
        <w:tc>
          <w:tcPr>
            <w:tcW w:w="5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24,631,012</w:t>
            </w:r>
          </w:p>
        </w:tc>
        <w:tc>
          <w:tcPr>
            <w:tcW w:w="920" w:type="dxa"/>
            <w:vAlign w:val="bottom"/>
            <w:tcBorders>
              <w:bottom w:val="single" w:sz="8" w:color="auto"/>
            </w:tcBorders>
            <w:shd w:val="clear" w:color="auto" w:fill="D6DAEE"/>
          </w:tcPr>
          <w:p>
            <w:pPr>
              <w:jc w:val="right"/>
              <w:ind w:right="152"/>
              <w:spacing w:after="0" w:line="97" w:lineRule="exact"/>
              <w:rPr>
                <w:sz w:val="20"/>
                <w:szCs w:val="20"/>
                <w:color w:val="auto"/>
              </w:rPr>
            </w:pPr>
            <w:r>
              <w:rPr>
                <w:rFonts w:ascii="Arial" w:cs="Arial" w:eastAsia="Arial" w:hAnsi="Arial"/>
                <w:sz w:val="10"/>
                <w:szCs w:val="10"/>
                <w:color w:val="auto"/>
              </w:rPr>
              <w:t>1,900,260</w:t>
            </w:r>
          </w:p>
        </w:tc>
        <w:tc>
          <w:tcPr>
            <w:tcW w:w="740" w:type="dxa"/>
            <w:vAlign w:val="bottom"/>
            <w:tcBorders>
              <w:bottom w:val="single" w:sz="8" w:color="auto"/>
            </w:tcBorders>
            <w:shd w:val="clear" w:color="auto" w:fill="D6DAEE"/>
          </w:tcPr>
          <w:p>
            <w:pPr>
              <w:ind w:left="240"/>
              <w:spacing w:after="0" w:line="97" w:lineRule="exact"/>
              <w:rPr>
                <w:sz w:val="20"/>
                <w:szCs w:val="20"/>
                <w:color w:val="auto"/>
              </w:rPr>
            </w:pPr>
            <w:r>
              <w:rPr>
                <w:rFonts w:ascii="Arial" w:cs="Arial" w:eastAsia="Arial" w:hAnsi="Arial"/>
                <w:sz w:val="10"/>
                <w:szCs w:val="10"/>
                <w:color w:val="auto"/>
              </w:rPr>
              <w:t>180,547</w:t>
            </w:r>
          </w:p>
        </w:tc>
        <w:tc>
          <w:tcPr>
            <w:tcW w:w="52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w w:val="99"/>
              </w:rPr>
              <w:t>27,767,519</w:t>
            </w:r>
          </w:p>
        </w:tc>
      </w:tr>
      <w:tr>
        <w:trPr>
          <w:trHeight w:val="97"/>
        </w:trPr>
        <w:tc>
          <w:tcPr>
            <w:tcW w:w="6600" w:type="dxa"/>
            <w:vAlign w:val="bottom"/>
            <w:tcBorders>
              <w:bottom w:val="single" w:sz="8" w:color="105BAB"/>
            </w:tcBorders>
            <w:shd w:val="clear" w:color="auto" w:fill="D6DAEE"/>
          </w:tcPr>
          <w:p>
            <w:pPr>
              <w:spacing w:after="0" w:line="97" w:lineRule="exact"/>
              <w:rPr>
                <w:sz w:val="20"/>
                <w:szCs w:val="20"/>
                <w:color w:val="auto"/>
              </w:rPr>
            </w:pPr>
            <w:r>
              <w:rPr>
                <w:rFonts w:ascii="Arial" w:cs="Arial" w:eastAsia="Arial" w:hAnsi="Arial"/>
                <w:sz w:val="10"/>
                <w:szCs w:val="10"/>
                <w:b w:val="1"/>
                <w:bCs w:val="1"/>
                <w:color w:val="105BAB"/>
              </w:rPr>
              <w:t>President and Chief Scientific Officer</w:t>
            </w:r>
          </w:p>
        </w:tc>
        <w:tc>
          <w:tcPr>
            <w:tcW w:w="60" w:type="dxa"/>
            <w:vAlign w:val="bottom"/>
            <w:tcBorders>
              <w:bottom w:val="single" w:sz="8" w:color="105BAB"/>
            </w:tcBorders>
            <w:shd w:val="clear" w:color="auto" w:fill="D6DAEE"/>
          </w:tcPr>
          <w:p>
            <w:pPr>
              <w:spacing w:after="0"/>
              <w:rPr>
                <w:sz w:val="8"/>
                <w:szCs w:val="8"/>
                <w:color w:val="auto"/>
              </w:rPr>
            </w:pPr>
          </w:p>
        </w:tc>
        <w:tc>
          <w:tcPr>
            <w:tcW w:w="260" w:type="dxa"/>
            <w:vAlign w:val="bottom"/>
            <w:tcBorders>
              <w:bottom w:val="single" w:sz="8" w:color="105BAB"/>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8"/>
              </w:rPr>
              <w:t>2015</w:t>
            </w:r>
          </w:p>
        </w:tc>
        <w:tc>
          <w:tcPr>
            <w:tcW w:w="50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w w:val="98"/>
              </w:rPr>
              <w:t>1,020,000</w:t>
            </w:r>
          </w:p>
        </w:tc>
        <w:tc>
          <w:tcPr>
            <w:tcW w:w="56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2,448,000</w:t>
            </w:r>
          </w:p>
        </w:tc>
        <w:tc>
          <w:tcPr>
            <w:tcW w:w="560" w:type="dxa"/>
            <w:vAlign w:val="bottom"/>
            <w:tcBorders>
              <w:bottom w:val="single" w:sz="8" w:color="105BAB"/>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36,811,837</w:t>
            </w:r>
          </w:p>
        </w:tc>
        <w:tc>
          <w:tcPr>
            <w:tcW w:w="920" w:type="dxa"/>
            <w:vAlign w:val="bottom"/>
            <w:tcBorders>
              <w:bottom w:val="single" w:sz="8" w:color="105BAB"/>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740" w:type="dxa"/>
            <w:vAlign w:val="bottom"/>
            <w:tcBorders>
              <w:bottom w:val="single" w:sz="8" w:color="105BAB"/>
            </w:tcBorders>
            <w:shd w:val="clear" w:color="auto" w:fill="D6DAEE"/>
          </w:tcPr>
          <w:p>
            <w:pPr>
              <w:ind w:left="300"/>
              <w:spacing w:after="0" w:line="97" w:lineRule="exact"/>
              <w:rPr>
                <w:sz w:val="20"/>
                <w:szCs w:val="20"/>
                <w:color w:val="auto"/>
              </w:rPr>
            </w:pPr>
            <w:r>
              <w:rPr>
                <w:rFonts w:ascii="Arial" w:cs="Arial" w:eastAsia="Arial" w:hAnsi="Arial"/>
                <w:sz w:val="10"/>
                <w:szCs w:val="10"/>
                <w:color w:val="auto"/>
              </w:rPr>
              <w:t>22,519</w:t>
            </w:r>
          </w:p>
        </w:tc>
        <w:tc>
          <w:tcPr>
            <w:tcW w:w="52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w w:val="99"/>
              </w:rPr>
              <w:t>40,302,356</w:t>
            </w:r>
          </w:p>
        </w:tc>
      </w:tr>
      <w:tr>
        <w:trPr>
          <w:trHeight w:val="115"/>
        </w:trPr>
        <w:tc>
          <w:tcPr>
            <w:tcW w:w="6600" w:type="dxa"/>
            <w:vAlign w:val="bottom"/>
            <w:tcBorders>
              <w:bottom w:val="single" w:sz="8" w:color="F1F3F9"/>
            </w:tcBorders>
            <w:shd w:val="clear" w:color="auto" w:fill="F1F3F9"/>
          </w:tcPr>
          <w:p>
            <w:pPr>
              <w:spacing w:after="0"/>
              <w:rPr>
                <w:sz w:val="10"/>
                <w:szCs w:val="10"/>
                <w:color w:val="auto"/>
              </w:rPr>
            </w:pPr>
          </w:p>
        </w:tc>
        <w:tc>
          <w:tcPr>
            <w:tcW w:w="60" w:type="dxa"/>
            <w:vAlign w:val="bottom"/>
            <w:tcBorders>
              <w:bottom w:val="single" w:sz="8" w:color="F1F3F9"/>
            </w:tcBorders>
            <w:shd w:val="clear" w:color="auto" w:fill="F1F3F9"/>
          </w:tcPr>
          <w:p>
            <w:pPr>
              <w:spacing w:after="0"/>
              <w:rPr>
                <w:sz w:val="10"/>
                <w:szCs w:val="10"/>
                <w:color w:val="auto"/>
              </w:rPr>
            </w:pPr>
          </w:p>
        </w:tc>
        <w:tc>
          <w:tcPr>
            <w:tcW w:w="26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8"/>
              </w:rPr>
              <w:t>2017</w:t>
            </w:r>
          </w:p>
        </w:tc>
        <w:tc>
          <w:tcPr>
            <w:tcW w:w="50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618,000</w:t>
            </w:r>
          </w:p>
        </w:tc>
        <w:tc>
          <w:tcPr>
            <w:tcW w:w="56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3,675,566</w:t>
            </w:r>
          </w:p>
        </w:tc>
        <w:tc>
          <w:tcPr>
            <w:tcW w:w="920" w:type="dxa"/>
            <w:vAlign w:val="bottom"/>
            <w:tcBorders>
              <w:bottom w:val="single" w:sz="8" w:color="auto"/>
            </w:tcBorders>
            <w:shd w:val="clear" w:color="auto" w:fill="F1F3F9"/>
          </w:tcPr>
          <w:p>
            <w:pPr>
              <w:jc w:val="right"/>
              <w:ind w:right="152"/>
              <w:spacing w:after="0"/>
              <w:rPr>
                <w:sz w:val="20"/>
                <w:szCs w:val="20"/>
                <w:color w:val="auto"/>
              </w:rPr>
            </w:pPr>
            <w:r>
              <w:rPr>
                <w:rFonts w:ascii="Arial" w:cs="Arial" w:eastAsia="Arial" w:hAnsi="Arial"/>
                <w:sz w:val="10"/>
                <w:szCs w:val="10"/>
                <w:color w:val="auto"/>
              </w:rPr>
              <w:t>482,040</w:t>
            </w:r>
          </w:p>
        </w:tc>
        <w:tc>
          <w:tcPr>
            <w:tcW w:w="740" w:type="dxa"/>
            <w:vAlign w:val="bottom"/>
            <w:tcBorders>
              <w:bottom w:val="single" w:sz="8" w:color="auto"/>
            </w:tcBorders>
            <w:shd w:val="clear" w:color="auto" w:fill="F1F3F9"/>
          </w:tcPr>
          <w:p>
            <w:pPr>
              <w:ind w:left="300"/>
              <w:spacing w:after="0" w:line="115" w:lineRule="exact"/>
              <w:rPr>
                <w:sz w:val="20"/>
                <w:szCs w:val="20"/>
                <w:color w:val="auto"/>
              </w:rPr>
            </w:pPr>
            <w:r>
              <w:rPr>
                <w:rFonts w:ascii="Arial" w:cs="Arial" w:eastAsia="Arial" w:hAnsi="Arial"/>
                <w:sz w:val="9"/>
                <w:szCs w:val="9"/>
                <w:color w:val="auto"/>
              </w:rPr>
              <w:t>19,130</w:t>
            </w:r>
            <w:r>
              <w:rPr>
                <w:rFonts w:ascii="Arial" w:cs="Arial" w:eastAsia="Arial" w:hAnsi="Arial"/>
                <w:sz w:val="13"/>
                <w:szCs w:val="13"/>
                <w:color w:val="auto"/>
                <w:vertAlign w:val="superscript"/>
              </w:rPr>
              <w:t>6</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4,794,736</w:t>
            </w:r>
          </w:p>
        </w:tc>
      </w:tr>
      <w:tr>
        <w:trPr>
          <w:trHeight w:val="97"/>
        </w:trPr>
        <w:tc>
          <w:tcPr>
            <w:tcW w:w="6660" w:type="dxa"/>
            <w:vAlign w:val="bottom"/>
            <w:tcBorders>
              <w:bottom w:val="single" w:sz="8" w:color="F1F3F9"/>
            </w:tcBorders>
            <w:gridSpan w:val="2"/>
            <w:shd w:val="clear" w:color="auto" w:fill="F1F3F9"/>
          </w:tcPr>
          <w:p>
            <w:pPr>
              <w:spacing w:after="0" w:line="97" w:lineRule="exact"/>
              <w:rPr>
                <w:sz w:val="20"/>
                <w:szCs w:val="20"/>
                <w:color w:val="auto"/>
              </w:rPr>
            </w:pPr>
            <w:r>
              <w:rPr>
                <w:rFonts w:ascii="Arial" w:cs="Arial" w:eastAsia="Arial" w:hAnsi="Arial"/>
                <w:sz w:val="10"/>
                <w:szCs w:val="10"/>
                <w:color w:val="auto"/>
              </w:rPr>
              <w:t>Robert E. Landry</w:t>
            </w:r>
          </w:p>
        </w:tc>
        <w:tc>
          <w:tcPr>
            <w:tcW w:w="2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8"/>
              </w:rPr>
              <w:t>2016</w:t>
            </w:r>
          </w:p>
        </w:tc>
        <w:tc>
          <w:tcPr>
            <w:tcW w:w="50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585,600</w:t>
            </w:r>
          </w:p>
        </w:tc>
        <w:tc>
          <w:tcPr>
            <w:tcW w:w="5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4,121,229</w:t>
            </w:r>
          </w:p>
        </w:tc>
        <w:tc>
          <w:tcPr>
            <w:tcW w:w="920" w:type="dxa"/>
            <w:vAlign w:val="bottom"/>
            <w:tcBorders>
              <w:bottom w:val="single" w:sz="8" w:color="auto"/>
            </w:tcBorders>
            <w:shd w:val="clear" w:color="auto" w:fill="F1F3F9"/>
          </w:tcPr>
          <w:p>
            <w:pPr>
              <w:jc w:val="right"/>
              <w:ind w:right="152"/>
              <w:spacing w:after="0" w:line="97" w:lineRule="exact"/>
              <w:rPr>
                <w:sz w:val="20"/>
                <w:szCs w:val="20"/>
                <w:color w:val="auto"/>
              </w:rPr>
            </w:pPr>
            <w:r>
              <w:rPr>
                <w:rFonts w:ascii="Arial" w:cs="Arial" w:eastAsia="Arial" w:hAnsi="Arial"/>
                <w:sz w:val="10"/>
                <w:szCs w:val="10"/>
                <w:color w:val="auto"/>
              </w:rPr>
              <w:t>439,200</w:t>
            </w:r>
          </w:p>
        </w:tc>
        <w:tc>
          <w:tcPr>
            <w:tcW w:w="740" w:type="dxa"/>
            <w:vAlign w:val="bottom"/>
            <w:tcBorders>
              <w:bottom w:val="single" w:sz="8" w:color="auto"/>
            </w:tcBorders>
            <w:shd w:val="clear" w:color="auto" w:fill="F1F3F9"/>
          </w:tcPr>
          <w:p>
            <w:pPr>
              <w:ind w:left="300"/>
              <w:spacing w:after="0" w:line="97" w:lineRule="exact"/>
              <w:rPr>
                <w:sz w:val="20"/>
                <w:szCs w:val="20"/>
                <w:color w:val="auto"/>
              </w:rPr>
            </w:pPr>
            <w:r>
              <w:rPr>
                <w:rFonts w:ascii="Arial" w:cs="Arial" w:eastAsia="Arial" w:hAnsi="Arial"/>
                <w:sz w:val="10"/>
                <w:szCs w:val="10"/>
                <w:color w:val="auto"/>
              </w:rPr>
              <w:t>18,700</w:t>
            </w:r>
          </w:p>
        </w:tc>
        <w:tc>
          <w:tcPr>
            <w:tcW w:w="52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5,164,729</w:t>
            </w:r>
          </w:p>
        </w:tc>
      </w:tr>
      <w:tr>
        <w:trPr>
          <w:trHeight w:val="97"/>
        </w:trPr>
        <w:tc>
          <w:tcPr>
            <w:tcW w:w="6600" w:type="dxa"/>
            <w:vAlign w:val="bottom"/>
            <w:tcBorders>
              <w:bottom w:val="single" w:sz="8" w:color="105BAB"/>
            </w:tcBorders>
            <w:shd w:val="clear" w:color="auto" w:fill="F1F3F9"/>
          </w:tcPr>
          <w:p>
            <w:pPr>
              <w:spacing w:after="0" w:line="97" w:lineRule="exact"/>
              <w:rPr>
                <w:sz w:val="20"/>
                <w:szCs w:val="20"/>
                <w:color w:val="auto"/>
              </w:rPr>
            </w:pPr>
            <w:r>
              <w:rPr>
                <w:rFonts w:ascii="Arial" w:cs="Arial" w:eastAsia="Arial" w:hAnsi="Arial"/>
                <w:sz w:val="10"/>
                <w:szCs w:val="10"/>
                <w:b w:val="1"/>
                <w:bCs w:val="1"/>
                <w:color w:val="105BAB"/>
              </w:rPr>
              <w:t>Senior Vice President, Finance and Chief Financial Officer</w:t>
            </w:r>
          </w:p>
        </w:tc>
        <w:tc>
          <w:tcPr>
            <w:tcW w:w="60" w:type="dxa"/>
            <w:vAlign w:val="bottom"/>
            <w:tcBorders>
              <w:bottom w:val="single" w:sz="8" w:color="105BAB"/>
            </w:tcBorders>
            <w:shd w:val="clear" w:color="auto" w:fill="F1F3F9"/>
          </w:tcPr>
          <w:p>
            <w:pPr>
              <w:spacing w:after="0"/>
              <w:rPr>
                <w:sz w:val="8"/>
                <w:szCs w:val="8"/>
                <w:color w:val="auto"/>
              </w:rPr>
            </w:pPr>
          </w:p>
        </w:tc>
        <w:tc>
          <w:tcPr>
            <w:tcW w:w="260" w:type="dxa"/>
            <w:vAlign w:val="bottom"/>
            <w:tcBorders>
              <w:bottom w:val="single" w:sz="8" w:color="105BAB"/>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8"/>
              </w:rPr>
              <w:t>2015</w:t>
            </w:r>
          </w:p>
        </w:tc>
        <w:tc>
          <w:tcPr>
            <w:tcW w:w="50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517,500</w:t>
            </w:r>
          </w:p>
        </w:tc>
        <w:tc>
          <w:tcPr>
            <w:tcW w:w="56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465,750</w:t>
            </w:r>
          </w:p>
        </w:tc>
        <w:tc>
          <w:tcPr>
            <w:tcW w:w="560" w:type="dxa"/>
            <w:vAlign w:val="bottom"/>
            <w:tcBorders>
              <w:bottom w:val="single" w:sz="8" w:color="105BAB"/>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7,246,284</w:t>
            </w:r>
          </w:p>
        </w:tc>
        <w:tc>
          <w:tcPr>
            <w:tcW w:w="920" w:type="dxa"/>
            <w:vAlign w:val="bottom"/>
            <w:tcBorders>
              <w:bottom w:val="single" w:sz="8" w:color="105BAB"/>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740" w:type="dxa"/>
            <w:vAlign w:val="bottom"/>
            <w:tcBorders>
              <w:bottom w:val="single" w:sz="8" w:color="105BAB"/>
            </w:tcBorders>
            <w:shd w:val="clear" w:color="auto" w:fill="F1F3F9"/>
          </w:tcPr>
          <w:p>
            <w:pPr>
              <w:ind w:left="300"/>
              <w:spacing w:after="0" w:line="97" w:lineRule="exact"/>
              <w:rPr>
                <w:sz w:val="20"/>
                <w:szCs w:val="20"/>
                <w:color w:val="auto"/>
              </w:rPr>
            </w:pPr>
            <w:r>
              <w:rPr>
                <w:rFonts w:ascii="Arial" w:cs="Arial" w:eastAsia="Arial" w:hAnsi="Arial"/>
                <w:sz w:val="10"/>
                <w:szCs w:val="10"/>
                <w:color w:val="auto"/>
              </w:rPr>
              <w:t>19,360</w:t>
            </w:r>
          </w:p>
        </w:tc>
        <w:tc>
          <w:tcPr>
            <w:tcW w:w="52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8,248,894</w:t>
            </w:r>
          </w:p>
        </w:tc>
      </w:tr>
      <w:tr>
        <w:trPr>
          <w:trHeight w:val="115"/>
        </w:trPr>
        <w:tc>
          <w:tcPr>
            <w:tcW w:w="6600" w:type="dxa"/>
            <w:vAlign w:val="bottom"/>
            <w:tcBorders>
              <w:bottom w:val="single" w:sz="8" w:color="D6DAEE"/>
            </w:tcBorders>
            <w:shd w:val="clear" w:color="auto" w:fill="D6DAEE"/>
          </w:tcPr>
          <w:p>
            <w:pPr>
              <w:spacing w:after="0"/>
              <w:rPr>
                <w:sz w:val="10"/>
                <w:szCs w:val="10"/>
                <w:color w:val="auto"/>
              </w:rPr>
            </w:pPr>
          </w:p>
        </w:tc>
        <w:tc>
          <w:tcPr>
            <w:tcW w:w="60" w:type="dxa"/>
            <w:vAlign w:val="bottom"/>
            <w:tcBorders>
              <w:bottom w:val="single" w:sz="8" w:color="D6DAEE"/>
            </w:tcBorders>
            <w:shd w:val="clear" w:color="auto" w:fill="D6DAEE"/>
          </w:tcPr>
          <w:p>
            <w:pPr>
              <w:spacing w:after="0"/>
              <w:rPr>
                <w:sz w:val="10"/>
                <w:szCs w:val="10"/>
                <w:color w:val="auto"/>
              </w:rPr>
            </w:pPr>
          </w:p>
        </w:tc>
        <w:tc>
          <w:tcPr>
            <w:tcW w:w="26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8"/>
              </w:rPr>
              <w:t>2017</w:t>
            </w:r>
          </w:p>
        </w:tc>
        <w:tc>
          <w:tcPr>
            <w:tcW w:w="50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641,000</w:t>
            </w:r>
          </w:p>
        </w:tc>
        <w:tc>
          <w:tcPr>
            <w:tcW w:w="56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7,875,030</w:t>
            </w:r>
          </w:p>
        </w:tc>
        <w:tc>
          <w:tcPr>
            <w:tcW w:w="920" w:type="dxa"/>
            <w:vAlign w:val="bottom"/>
            <w:tcBorders>
              <w:bottom w:val="single" w:sz="8" w:color="auto"/>
            </w:tcBorders>
            <w:shd w:val="clear" w:color="auto" w:fill="D6DAEE"/>
          </w:tcPr>
          <w:p>
            <w:pPr>
              <w:jc w:val="right"/>
              <w:ind w:right="152"/>
              <w:spacing w:after="0"/>
              <w:rPr>
                <w:sz w:val="20"/>
                <w:szCs w:val="20"/>
                <w:color w:val="auto"/>
              </w:rPr>
            </w:pPr>
            <w:r>
              <w:rPr>
                <w:rFonts w:ascii="Arial" w:cs="Arial" w:eastAsia="Arial" w:hAnsi="Arial"/>
                <w:sz w:val="10"/>
                <w:szCs w:val="10"/>
                <w:color w:val="auto"/>
              </w:rPr>
              <w:t>599,976</w:t>
            </w:r>
          </w:p>
        </w:tc>
        <w:tc>
          <w:tcPr>
            <w:tcW w:w="740" w:type="dxa"/>
            <w:vAlign w:val="bottom"/>
            <w:tcBorders>
              <w:bottom w:val="single" w:sz="8" w:color="auto"/>
            </w:tcBorders>
            <w:shd w:val="clear" w:color="auto" w:fill="D6DAEE"/>
          </w:tcPr>
          <w:p>
            <w:pPr>
              <w:ind w:left="300"/>
              <w:spacing w:after="0" w:line="115" w:lineRule="exact"/>
              <w:rPr>
                <w:sz w:val="20"/>
                <w:szCs w:val="20"/>
                <w:color w:val="auto"/>
              </w:rPr>
            </w:pPr>
            <w:r>
              <w:rPr>
                <w:rFonts w:ascii="Arial" w:cs="Arial" w:eastAsia="Arial" w:hAnsi="Arial"/>
                <w:sz w:val="9"/>
                <w:szCs w:val="9"/>
                <w:color w:val="auto"/>
              </w:rPr>
              <w:t>21,210</w:t>
            </w:r>
            <w:r>
              <w:rPr>
                <w:rFonts w:ascii="Arial" w:cs="Arial" w:eastAsia="Arial" w:hAnsi="Arial"/>
                <w:sz w:val="13"/>
                <w:szCs w:val="13"/>
                <w:color w:val="auto"/>
                <w:vertAlign w:val="superscript"/>
              </w:rPr>
              <w:t>7</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9,137,216</w:t>
            </w:r>
          </w:p>
        </w:tc>
      </w:tr>
      <w:tr>
        <w:trPr>
          <w:trHeight w:val="97"/>
        </w:trPr>
        <w:tc>
          <w:tcPr>
            <w:tcW w:w="6660" w:type="dxa"/>
            <w:vAlign w:val="bottom"/>
            <w:tcBorders>
              <w:bottom w:val="single" w:sz="8" w:color="D6DAEE"/>
            </w:tcBorders>
            <w:gridSpan w:val="2"/>
            <w:shd w:val="clear" w:color="auto" w:fill="D6DAEE"/>
          </w:tcPr>
          <w:p>
            <w:pPr>
              <w:spacing w:after="0" w:line="97" w:lineRule="exact"/>
              <w:rPr>
                <w:sz w:val="20"/>
                <w:szCs w:val="20"/>
                <w:color w:val="auto"/>
              </w:rPr>
            </w:pPr>
            <w:r>
              <w:rPr>
                <w:rFonts w:ascii="Arial" w:cs="Arial" w:eastAsia="Arial" w:hAnsi="Arial"/>
                <w:sz w:val="10"/>
                <w:szCs w:val="10"/>
                <w:color w:val="auto"/>
              </w:rPr>
              <w:t>Neil Stahl, Ph.D.</w:t>
            </w:r>
          </w:p>
        </w:tc>
        <w:tc>
          <w:tcPr>
            <w:tcW w:w="2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8"/>
              </w:rPr>
              <w:t>2016</w:t>
            </w:r>
          </w:p>
        </w:tc>
        <w:tc>
          <w:tcPr>
            <w:tcW w:w="50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619,300</w:t>
            </w:r>
          </w:p>
        </w:tc>
        <w:tc>
          <w:tcPr>
            <w:tcW w:w="5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5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9,787,960</w:t>
            </w:r>
          </w:p>
        </w:tc>
        <w:tc>
          <w:tcPr>
            <w:tcW w:w="920" w:type="dxa"/>
            <w:vAlign w:val="bottom"/>
            <w:tcBorders>
              <w:bottom w:val="single" w:sz="8" w:color="auto"/>
            </w:tcBorders>
            <w:shd w:val="clear" w:color="auto" w:fill="D6DAEE"/>
          </w:tcPr>
          <w:p>
            <w:pPr>
              <w:jc w:val="right"/>
              <w:ind w:right="152"/>
              <w:spacing w:after="0" w:line="97" w:lineRule="exact"/>
              <w:rPr>
                <w:sz w:val="20"/>
                <w:szCs w:val="20"/>
                <w:color w:val="auto"/>
              </w:rPr>
            </w:pPr>
            <w:r>
              <w:rPr>
                <w:rFonts w:ascii="Arial" w:cs="Arial" w:eastAsia="Arial" w:hAnsi="Arial"/>
                <w:sz w:val="10"/>
                <w:szCs w:val="10"/>
                <w:color w:val="auto"/>
              </w:rPr>
              <w:t>557,370</w:t>
            </w:r>
          </w:p>
        </w:tc>
        <w:tc>
          <w:tcPr>
            <w:tcW w:w="740" w:type="dxa"/>
            <w:vAlign w:val="bottom"/>
            <w:tcBorders>
              <w:bottom w:val="single" w:sz="8" w:color="auto"/>
            </w:tcBorders>
            <w:shd w:val="clear" w:color="auto" w:fill="D6DAEE"/>
          </w:tcPr>
          <w:p>
            <w:pPr>
              <w:ind w:left="300"/>
              <w:spacing w:after="0" w:line="97" w:lineRule="exact"/>
              <w:rPr>
                <w:sz w:val="20"/>
                <w:szCs w:val="20"/>
                <w:color w:val="auto"/>
              </w:rPr>
            </w:pPr>
            <w:r>
              <w:rPr>
                <w:rFonts w:ascii="Arial" w:cs="Arial" w:eastAsia="Arial" w:hAnsi="Arial"/>
                <w:sz w:val="10"/>
                <w:szCs w:val="10"/>
                <w:color w:val="auto"/>
              </w:rPr>
              <w:t>20,725</w:t>
            </w:r>
          </w:p>
        </w:tc>
        <w:tc>
          <w:tcPr>
            <w:tcW w:w="52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w w:val="99"/>
              </w:rPr>
              <w:t>10,985,355</w:t>
            </w:r>
          </w:p>
        </w:tc>
      </w:tr>
      <w:tr>
        <w:trPr>
          <w:trHeight w:val="97"/>
        </w:trPr>
        <w:tc>
          <w:tcPr>
            <w:tcW w:w="6600" w:type="dxa"/>
            <w:vAlign w:val="bottom"/>
            <w:tcBorders>
              <w:bottom w:val="single" w:sz="8" w:color="105BAB"/>
            </w:tcBorders>
            <w:shd w:val="clear" w:color="auto" w:fill="D6DAEE"/>
          </w:tcPr>
          <w:p>
            <w:pPr>
              <w:spacing w:after="0" w:line="97" w:lineRule="exact"/>
              <w:rPr>
                <w:sz w:val="20"/>
                <w:szCs w:val="20"/>
                <w:color w:val="auto"/>
              </w:rPr>
            </w:pPr>
            <w:r>
              <w:rPr>
                <w:rFonts w:ascii="Arial" w:cs="Arial" w:eastAsia="Arial" w:hAnsi="Arial"/>
                <w:sz w:val="10"/>
                <w:szCs w:val="10"/>
                <w:b w:val="1"/>
                <w:bCs w:val="1"/>
                <w:color w:val="105BAB"/>
              </w:rPr>
              <w:t>Executive Vice President, Research &amp; Development</w:t>
            </w:r>
          </w:p>
        </w:tc>
        <w:tc>
          <w:tcPr>
            <w:tcW w:w="60" w:type="dxa"/>
            <w:vAlign w:val="bottom"/>
            <w:tcBorders>
              <w:bottom w:val="single" w:sz="8" w:color="105BAB"/>
            </w:tcBorders>
            <w:shd w:val="clear" w:color="auto" w:fill="D6DAEE"/>
          </w:tcPr>
          <w:p>
            <w:pPr>
              <w:spacing w:after="0"/>
              <w:rPr>
                <w:sz w:val="8"/>
                <w:szCs w:val="8"/>
                <w:color w:val="auto"/>
              </w:rPr>
            </w:pPr>
          </w:p>
        </w:tc>
        <w:tc>
          <w:tcPr>
            <w:tcW w:w="260" w:type="dxa"/>
            <w:vAlign w:val="bottom"/>
            <w:tcBorders>
              <w:bottom w:val="single" w:sz="8" w:color="105BAB"/>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8"/>
              </w:rPr>
              <w:t>2015</w:t>
            </w:r>
          </w:p>
        </w:tc>
        <w:tc>
          <w:tcPr>
            <w:tcW w:w="50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550,000</w:t>
            </w:r>
          </w:p>
        </w:tc>
        <w:tc>
          <w:tcPr>
            <w:tcW w:w="56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594,000</w:t>
            </w:r>
          </w:p>
        </w:tc>
        <w:tc>
          <w:tcPr>
            <w:tcW w:w="560" w:type="dxa"/>
            <w:vAlign w:val="bottom"/>
            <w:tcBorders>
              <w:bottom w:val="single" w:sz="8" w:color="105BAB"/>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62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17,209,995</w:t>
            </w:r>
          </w:p>
        </w:tc>
        <w:tc>
          <w:tcPr>
            <w:tcW w:w="920" w:type="dxa"/>
            <w:vAlign w:val="bottom"/>
            <w:tcBorders>
              <w:bottom w:val="single" w:sz="8" w:color="105BAB"/>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9"/>
              </w:rPr>
              <w:t>—</w:t>
            </w:r>
          </w:p>
        </w:tc>
        <w:tc>
          <w:tcPr>
            <w:tcW w:w="740" w:type="dxa"/>
            <w:vAlign w:val="bottom"/>
            <w:tcBorders>
              <w:bottom w:val="single" w:sz="8" w:color="105BAB"/>
            </w:tcBorders>
            <w:shd w:val="clear" w:color="auto" w:fill="D6DAEE"/>
          </w:tcPr>
          <w:p>
            <w:pPr>
              <w:ind w:left="300"/>
              <w:spacing w:after="0" w:line="97" w:lineRule="exact"/>
              <w:rPr>
                <w:sz w:val="20"/>
                <w:szCs w:val="20"/>
                <w:color w:val="auto"/>
              </w:rPr>
            </w:pPr>
            <w:r>
              <w:rPr>
                <w:rFonts w:ascii="Arial" w:cs="Arial" w:eastAsia="Arial" w:hAnsi="Arial"/>
                <w:sz w:val="10"/>
                <w:szCs w:val="10"/>
                <w:color w:val="auto"/>
              </w:rPr>
              <w:t>20,515</w:t>
            </w:r>
          </w:p>
        </w:tc>
        <w:tc>
          <w:tcPr>
            <w:tcW w:w="52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color w:val="auto"/>
                <w:w w:val="99"/>
              </w:rPr>
              <w:t>18,374,510</w:t>
            </w:r>
          </w:p>
        </w:tc>
      </w:tr>
      <w:tr>
        <w:trPr>
          <w:trHeight w:val="115"/>
        </w:trPr>
        <w:tc>
          <w:tcPr>
            <w:tcW w:w="6660" w:type="dxa"/>
            <w:vAlign w:val="bottom"/>
            <w:gridSpan w:val="2"/>
            <w:shd w:val="clear" w:color="auto" w:fill="F1F3F9"/>
          </w:tcPr>
          <w:p>
            <w:pPr>
              <w:spacing w:after="0"/>
              <w:rPr>
                <w:sz w:val="20"/>
                <w:szCs w:val="20"/>
                <w:color w:val="auto"/>
              </w:rPr>
            </w:pPr>
            <w:r>
              <w:rPr>
                <w:rFonts w:ascii="Arial" w:cs="Arial" w:eastAsia="Arial" w:hAnsi="Arial"/>
                <w:sz w:val="10"/>
                <w:szCs w:val="10"/>
                <w:color w:val="auto"/>
              </w:rPr>
              <w:t>Daniel P. Van Plew</w:t>
            </w:r>
          </w:p>
        </w:tc>
        <w:tc>
          <w:tcPr>
            <w:tcW w:w="260" w:type="dxa"/>
            <w:vAlign w:val="bottom"/>
            <w:shd w:val="clear" w:color="auto" w:fill="F1F3F9"/>
          </w:tcPr>
          <w:p>
            <w:pPr>
              <w:jc w:val="center"/>
              <w:spacing w:after="0"/>
              <w:rPr>
                <w:sz w:val="20"/>
                <w:szCs w:val="20"/>
                <w:color w:val="auto"/>
              </w:rPr>
            </w:pPr>
            <w:r>
              <w:rPr>
                <w:rFonts w:ascii="Arial" w:cs="Arial" w:eastAsia="Arial" w:hAnsi="Arial"/>
                <w:sz w:val="10"/>
                <w:szCs w:val="10"/>
                <w:color w:val="auto"/>
                <w:w w:val="98"/>
              </w:rPr>
              <w:t>2017</w:t>
            </w:r>
          </w:p>
        </w:tc>
        <w:tc>
          <w:tcPr>
            <w:tcW w:w="500" w:type="dxa"/>
            <w:vAlign w:val="bottom"/>
            <w:shd w:val="clear" w:color="auto" w:fill="F1F3F9"/>
          </w:tcPr>
          <w:p>
            <w:pPr>
              <w:jc w:val="right"/>
              <w:spacing w:after="0"/>
              <w:rPr>
                <w:sz w:val="20"/>
                <w:szCs w:val="20"/>
                <w:color w:val="auto"/>
              </w:rPr>
            </w:pPr>
            <w:r>
              <w:rPr>
                <w:rFonts w:ascii="Arial" w:cs="Arial" w:eastAsia="Arial" w:hAnsi="Arial"/>
                <w:sz w:val="10"/>
                <w:szCs w:val="10"/>
                <w:color w:val="auto"/>
              </w:rPr>
              <w:t>560,000</w:t>
            </w:r>
          </w:p>
        </w:tc>
        <w:tc>
          <w:tcPr>
            <w:tcW w:w="560" w:type="dxa"/>
            <w:vAlign w:val="bottom"/>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560" w:type="dxa"/>
            <w:vAlign w:val="bottom"/>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shd w:val="clear" w:color="auto" w:fill="F1F3F9"/>
          </w:tcPr>
          <w:p>
            <w:pPr>
              <w:jc w:val="right"/>
              <w:spacing w:after="0"/>
              <w:rPr>
                <w:sz w:val="20"/>
                <w:szCs w:val="20"/>
                <w:color w:val="auto"/>
              </w:rPr>
            </w:pPr>
            <w:r>
              <w:rPr>
                <w:rFonts w:ascii="Arial" w:cs="Arial" w:eastAsia="Arial" w:hAnsi="Arial"/>
                <w:sz w:val="10"/>
                <w:szCs w:val="10"/>
                <w:color w:val="auto"/>
              </w:rPr>
              <w:t>7,875,030</w:t>
            </w:r>
          </w:p>
        </w:tc>
        <w:tc>
          <w:tcPr>
            <w:tcW w:w="920" w:type="dxa"/>
            <w:vAlign w:val="bottom"/>
            <w:shd w:val="clear" w:color="auto" w:fill="F1F3F9"/>
          </w:tcPr>
          <w:p>
            <w:pPr>
              <w:jc w:val="right"/>
              <w:ind w:right="152"/>
              <w:spacing w:after="0"/>
              <w:rPr>
                <w:sz w:val="20"/>
                <w:szCs w:val="20"/>
                <w:color w:val="auto"/>
              </w:rPr>
            </w:pPr>
            <w:r>
              <w:rPr>
                <w:rFonts w:ascii="Arial" w:cs="Arial" w:eastAsia="Arial" w:hAnsi="Arial"/>
                <w:sz w:val="10"/>
                <w:szCs w:val="10"/>
                <w:color w:val="auto"/>
              </w:rPr>
              <w:t>524,160</w:t>
            </w:r>
          </w:p>
        </w:tc>
        <w:tc>
          <w:tcPr>
            <w:tcW w:w="740" w:type="dxa"/>
            <w:vAlign w:val="bottom"/>
            <w:shd w:val="clear" w:color="auto" w:fill="F1F3F9"/>
          </w:tcPr>
          <w:p>
            <w:pPr>
              <w:ind w:left="300"/>
              <w:spacing w:after="0" w:line="115" w:lineRule="exact"/>
              <w:rPr>
                <w:sz w:val="20"/>
                <w:szCs w:val="20"/>
                <w:color w:val="auto"/>
              </w:rPr>
            </w:pPr>
            <w:r>
              <w:rPr>
                <w:rFonts w:ascii="Arial" w:cs="Arial" w:eastAsia="Arial" w:hAnsi="Arial"/>
                <w:sz w:val="9"/>
                <w:szCs w:val="9"/>
                <w:color w:val="auto"/>
              </w:rPr>
              <w:t>19,410</w:t>
            </w:r>
            <w:r>
              <w:rPr>
                <w:rFonts w:ascii="Arial" w:cs="Arial" w:eastAsia="Arial" w:hAnsi="Arial"/>
                <w:sz w:val="13"/>
                <w:szCs w:val="13"/>
                <w:color w:val="auto"/>
                <w:vertAlign w:val="superscript"/>
              </w:rPr>
              <w:t>8</w:t>
            </w:r>
          </w:p>
        </w:tc>
        <w:tc>
          <w:tcPr>
            <w:tcW w:w="520" w:type="dxa"/>
            <w:vAlign w:val="bottom"/>
            <w:shd w:val="clear" w:color="auto" w:fill="F1F3F9"/>
          </w:tcPr>
          <w:p>
            <w:pPr>
              <w:jc w:val="right"/>
              <w:spacing w:after="0"/>
              <w:rPr>
                <w:sz w:val="20"/>
                <w:szCs w:val="20"/>
                <w:color w:val="auto"/>
              </w:rPr>
            </w:pPr>
            <w:r>
              <w:rPr>
                <w:rFonts w:ascii="Arial" w:cs="Arial" w:eastAsia="Arial" w:hAnsi="Arial"/>
                <w:sz w:val="10"/>
                <w:szCs w:val="10"/>
                <w:color w:val="auto"/>
              </w:rPr>
              <w:t>8,978,600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00900" cy="2343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0900" cy="234315"/>
                    </a:xfrm>
                    <a:prstGeom prst="rect">
                      <a:avLst/>
                    </a:prstGeom>
                    <a:noFill/>
                  </pic:spPr>
                </pic:pic>
              </a:graphicData>
            </a:graphic>
          </wp:anchor>
        </w:drawing>
      </w:r>
    </w:p>
    <w:p>
      <w:pPr>
        <w:ind w:left="8"/>
        <w:spacing w:after="0" w:line="221" w:lineRule="auto"/>
        <w:rPr>
          <w:sz w:val="20"/>
          <w:szCs w:val="20"/>
          <w:color w:val="auto"/>
        </w:rPr>
      </w:pPr>
      <w:r>
        <w:rPr>
          <w:rFonts w:ascii="Arial" w:cs="Arial" w:eastAsia="Arial" w:hAnsi="Arial"/>
          <w:sz w:val="10"/>
          <w:szCs w:val="10"/>
          <w:b w:val="1"/>
          <w:bCs w:val="1"/>
          <w:color w:val="105BAB"/>
        </w:rPr>
        <w:t>Executive Vice President and General Manager,</w:t>
      </w:r>
    </w:p>
    <w:p>
      <w:pPr>
        <w:ind w:left="8"/>
        <w:spacing w:after="0" w:line="209" w:lineRule="auto"/>
        <w:rPr>
          <w:sz w:val="20"/>
          <w:szCs w:val="20"/>
          <w:color w:val="auto"/>
        </w:rPr>
      </w:pPr>
      <w:r>
        <w:rPr>
          <w:rFonts w:ascii="Arial" w:cs="Arial" w:eastAsia="Arial" w:hAnsi="Arial"/>
          <w:sz w:val="10"/>
          <w:szCs w:val="10"/>
          <w:b w:val="1"/>
          <w:bCs w:val="1"/>
          <w:color w:val="105BAB"/>
        </w:rPr>
        <w:t>Industrial Operations and Product Supply</w:t>
      </w:r>
      <w:r>
        <w:rPr>
          <w:rFonts w:ascii="Arial" w:cs="Arial" w:eastAsia="Arial" w:hAnsi="Arial"/>
          <w:sz w:val="14"/>
          <w:szCs w:val="14"/>
          <w:b w:val="1"/>
          <w:bCs w:val="1"/>
          <w:color w:val="105BAB"/>
          <w:vertAlign w:val="superscript"/>
        </w:rPr>
        <w:t>9</w:t>
      </w:r>
    </w:p>
    <w:p>
      <w:pPr>
        <w:ind w:left="208" w:hanging="208"/>
        <w:spacing w:after="0"/>
        <w:tabs>
          <w:tab w:leader="none" w:pos="208" w:val="left"/>
        </w:tabs>
        <w:numPr>
          <w:ilvl w:val="0"/>
          <w:numId w:val="79"/>
        </w:numPr>
        <w:rPr>
          <w:rFonts w:ascii="Arial" w:cs="Arial" w:eastAsia="Arial" w:hAnsi="Arial"/>
          <w:sz w:val="8"/>
          <w:szCs w:val="8"/>
          <w:color w:val="105BAB"/>
        </w:rPr>
      </w:pPr>
      <w:r>
        <w:rPr>
          <w:rFonts w:ascii="Arial" w:cs="Arial" w:eastAsia="Arial" w:hAnsi="Arial"/>
          <w:sz w:val="8"/>
          <w:szCs w:val="8"/>
          <w:color w:val="auto"/>
        </w:rPr>
        <w:t>Bonuses and non-equity incentive plan compensation amounts are shown in the year in which they were accrued and earned. Prior to 2016, the Company did not use a formal bonus plan for the NEOs, and bonus amounts in respect of 2015 are shown in the "Bonus"</w:t>
      </w:r>
    </w:p>
    <w:p>
      <w:pPr>
        <w:spacing w:after="0" w:line="16" w:lineRule="exact"/>
        <w:rPr>
          <w:sz w:val="20"/>
          <w:szCs w:val="20"/>
          <w:color w:val="auto"/>
        </w:rPr>
      </w:pPr>
    </w:p>
    <w:p>
      <w:pPr>
        <w:ind w:left="208" w:right="20"/>
        <w:spacing w:after="0" w:line="225" w:lineRule="auto"/>
        <w:rPr>
          <w:sz w:val="20"/>
          <w:szCs w:val="20"/>
          <w:color w:val="auto"/>
        </w:rPr>
      </w:pPr>
      <w:r>
        <w:rPr>
          <w:rFonts w:ascii="Arial" w:cs="Arial" w:eastAsia="Arial" w:hAnsi="Arial"/>
          <w:sz w:val="10"/>
          <w:szCs w:val="10"/>
          <w:color w:val="auto"/>
        </w:rPr>
        <w:t>column. In 2016, the Company adopted the Cash Incentive Bonus Plan, which was utilized for cash incentives paid to the NEOs in respect of 2016 and 2017; such 2016 and 2017 cash incentives are reported in the "Non-Equity Incentive Plan Compensation" column in accordance with SEC rules.</w:t>
      </w:r>
    </w:p>
    <w:p>
      <w:pPr>
        <w:spacing w:after="0" w:line="1" w:lineRule="exact"/>
        <w:rPr>
          <w:sz w:val="20"/>
          <w:szCs w:val="20"/>
          <w:color w:val="auto"/>
        </w:rPr>
      </w:pPr>
    </w:p>
    <w:p>
      <w:pPr>
        <w:ind w:left="208" w:right="100" w:hanging="208"/>
        <w:spacing w:after="0" w:line="225" w:lineRule="auto"/>
        <w:tabs>
          <w:tab w:leader="none" w:pos="208" w:val="left"/>
        </w:tabs>
        <w:numPr>
          <w:ilvl w:val="0"/>
          <w:numId w:val="80"/>
        </w:numPr>
        <w:rPr>
          <w:rFonts w:ascii="Arial" w:cs="Arial" w:eastAsia="Arial" w:hAnsi="Arial"/>
          <w:sz w:val="10"/>
          <w:szCs w:val="10"/>
          <w:color w:val="105BAB"/>
        </w:rPr>
      </w:pPr>
      <w:r>
        <w:rPr>
          <w:rFonts w:ascii="Arial" w:cs="Arial" w:eastAsia="Arial" w:hAnsi="Arial"/>
          <w:sz w:val="10"/>
          <w:szCs w:val="10"/>
          <w:color w:val="auto"/>
        </w:rPr>
        <w:t>The amounts in column (f) reflect the respective aggregate grant date fair values (disregarding estimated forfeitures) of option awards granted in 2017, 2016, and 2015, respectively, pursuant to the Amended and Restated Regeneron Pharmaceuticals, Inc. 2014 Long-Term Incentive Plan or the Regeneron Pharmaceuticals, Inc. 2014 Long-Term Incentive Plan, as applicable. Assumptions used in the calculation of these amounts are included in Note 14 to the Company's audited financial statements for the fiscal year ended December 31, 2017 included in the 2017 Annual Report.</w:t>
      </w:r>
    </w:p>
    <w:p>
      <w:pPr>
        <w:spacing w:after="0" w:line="1" w:lineRule="exact"/>
        <w:rPr>
          <w:sz w:val="20"/>
          <w:szCs w:val="20"/>
          <w:color w:val="auto"/>
        </w:rPr>
      </w:pPr>
    </w:p>
    <w:p>
      <w:pPr>
        <w:ind w:left="208" w:right="140" w:hanging="208"/>
        <w:spacing w:after="0" w:line="225" w:lineRule="auto"/>
        <w:tabs>
          <w:tab w:leader="none" w:pos="208" w:val="left"/>
        </w:tabs>
        <w:numPr>
          <w:ilvl w:val="0"/>
          <w:numId w:val="81"/>
        </w:numPr>
        <w:rPr>
          <w:rFonts w:ascii="Arial" w:cs="Arial" w:eastAsia="Arial" w:hAnsi="Arial"/>
          <w:sz w:val="10"/>
          <w:szCs w:val="10"/>
          <w:color w:val="105BAB"/>
        </w:rPr>
      </w:pPr>
      <w:r>
        <w:rPr>
          <w:rFonts w:ascii="Arial" w:cs="Arial" w:eastAsia="Arial" w:hAnsi="Arial"/>
          <w:sz w:val="10"/>
          <w:szCs w:val="10"/>
          <w:color w:val="auto"/>
        </w:rPr>
        <w:t>See the subsection "Additional Compensation Information—Perquisites and Personal Benefits" below for further information. Certain 2017 perquisites and other personal benefits are quantified for each of the NEOs in the footnotes to this table below based on the actual additional cost incurred by us in providing the perquisite or other personal benefit.</w:t>
      </w:r>
    </w:p>
    <w:p>
      <w:pPr>
        <w:spacing w:after="0" w:line="1" w:lineRule="exact"/>
        <w:rPr>
          <w:sz w:val="20"/>
          <w:szCs w:val="20"/>
          <w:color w:val="auto"/>
        </w:rPr>
      </w:pPr>
    </w:p>
    <w:p>
      <w:pPr>
        <w:ind w:left="208" w:hanging="208"/>
        <w:spacing w:after="0"/>
        <w:tabs>
          <w:tab w:leader="none" w:pos="208" w:val="left"/>
        </w:tabs>
        <w:numPr>
          <w:ilvl w:val="0"/>
          <w:numId w:val="82"/>
        </w:numPr>
        <w:rPr>
          <w:rFonts w:ascii="Arial" w:cs="Arial" w:eastAsia="Arial" w:hAnsi="Arial"/>
          <w:sz w:val="8"/>
          <w:szCs w:val="8"/>
          <w:color w:val="105BAB"/>
        </w:rPr>
      </w:pPr>
      <w:r>
        <w:rPr>
          <w:rFonts w:ascii="Arial" w:cs="Arial" w:eastAsia="Arial" w:hAnsi="Arial"/>
          <w:sz w:val="8"/>
          <w:szCs w:val="8"/>
          <w:color w:val="auto"/>
        </w:rPr>
        <w:t>Consists of (i) $20,724 for life insurance premiums, (ii) $23,696 for long-term disability insurance premiums, (iii) $11,797 for medical malpractice insurance premiums, (iv) $10,800 for 401(k) Savings Plan matching contributions in respect of 2017 paid in February</w:t>
      </w:r>
    </w:p>
    <w:p>
      <w:pPr>
        <w:spacing w:after="0" w:line="16" w:lineRule="exact"/>
        <w:rPr>
          <w:sz w:val="20"/>
          <w:szCs w:val="20"/>
          <w:color w:val="auto"/>
        </w:rPr>
      </w:pPr>
    </w:p>
    <w:p>
      <w:pPr>
        <w:ind w:left="208" w:right="120"/>
        <w:spacing w:after="0" w:line="225" w:lineRule="auto"/>
        <w:rPr>
          <w:sz w:val="20"/>
          <w:szCs w:val="20"/>
          <w:color w:val="auto"/>
        </w:rPr>
      </w:pPr>
      <w:r>
        <w:rPr>
          <w:rFonts w:ascii="Arial" w:cs="Arial" w:eastAsia="Arial" w:hAnsi="Arial"/>
          <w:sz w:val="10"/>
          <w:szCs w:val="10"/>
          <w:color w:val="auto"/>
        </w:rPr>
        <w:t>2018, (v) $10,410 for tax and financial planning advisory services, (vi) $280,000 for fees the Company paid on behalf of Dr. Schleifer associated with a filing required to be made by Dr. Schleifer under the Hart-Scott-Rodino Antitrust Improvements Act of 1976, as amended, which related to an anticipated acquisition by Dr. Schleifer of common stock upon exercise of his stock options (as described further in the subsection "Additional Compensation Information—Perquisites and Personal Benefits" below), (vii) $243,618 for a tax gross-up related to the fees referenced in (vi), and (viii) $170,441 and $15,702 for personal use of Company-provided aircraft and secure car transportation, respectively, in each case in accordance with our security policy (calculated as described in the subsection "Additional Compensation Information—Perquisites and Personal Benefits" below).</w:t>
      </w:r>
    </w:p>
    <w:p>
      <w:pPr>
        <w:spacing w:after="0" w:line="1" w:lineRule="exact"/>
        <w:rPr>
          <w:sz w:val="20"/>
          <w:szCs w:val="20"/>
          <w:color w:val="auto"/>
        </w:rPr>
      </w:pPr>
    </w:p>
    <w:p>
      <w:pPr>
        <w:ind w:left="208" w:right="60" w:hanging="208"/>
        <w:spacing w:after="0" w:line="225" w:lineRule="auto"/>
        <w:tabs>
          <w:tab w:leader="none" w:pos="208" w:val="left"/>
        </w:tabs>
        <w:numPr>
          <w:ilvl w:val="0"/>
          <w:numId w:val="83"/>
        </w:numPr>
        <w:rPr>
          <w:rFonts w:ascii="Arial" w:cs="Arial" w:eastAsia="Arial" w:hAnsi="Arial"/>
          <w:sz w:val="10"/>
          <w:szCs w:val="10"/>
          <w:color w:val="105BAB"/>
        </w:rPr>
      </w:pPr>
      <w:r>
        <w:rPr>
          <w:rFonts w:ascii="Arial" w:cs="Arial" w:eastAsia="Arial" w:hAnsi="Arial"/>
          <w:sz w:val="10"/>
          <w:szCs w:val="10"/>
          <w:color w:val="auto"/>
        </w:rPr>
        <w:t>Consists of (i) $10,800 for 401(k) Savings Plan matching contributions in respect of 2017 paid in February 2018, (ii) $10,410 for tax and financial planning advisory services, and (iii) $117,877 and $2,258 for personal use of Company-provided aircraft and secure car transportation, respectively, in each case in accordance with our security policy (calculated as described in the subsection "Additional Compensation Information—Perquisites and Personal Benefits" below).</w:t>
      </w:r>
    </w:p>
    <w:p>
      <w:pPr>
        <w:ind w:left="208" w:hanging="208"/>
        <w:spacing w:after="0" w:line="226" w:lineRule="auto"/>
        <w:tabs>
          <w:tab w:leader="none" w:pos="208" w:val="left"/>
        </w:tabs>
        <w:numPr>
          <w:ilvl w:val="0"/>
          <w:numId w:val="84"/>
        </w:numPr>
        <w:rPr>
          <w:rFonts w:ascii="Arial" w:cs="Arial" w:eastAsia="Arial" w:hAnsi="Arial"/>
          <w:sz w:val="10"/>
          <w:szCs w:val="10"/>
          <w:color w:val="105BAB"/>
        </w:rPr>
      </w:pPr>
      <w:r>
        <w:rPr>
          <w:rFonts w:ascii="Arial" w:cs="Arial" w:eastAsia="Arial" w:hAnsi="Arial"/>
          <w:sz w:val="10"/>
          <w:szCs w:val="10"/>
          <w:color w:val="auto"/>
        </w:rPr>
        <w:t>Consists of (i) $10,800 for 401(k) Savings Plan matching contributions in respect of 2017 paid in February 2018 and (ii) $8,330 for tax and financial planning advisory services.</w:t>
      </w:r>
    </w:p>
    <w:p>
      <w:pPr>
        <w:ind w:left="8" w:right="3800"/>
        <w:spacing w:after="0" w:line="230" w:lineRule="auto"/>
        <w:rPr>
          <w:rFonts w:ascii="Arial" w:cs="Arial" w:eastAsia="Arial" w:hAnsi="Arial"/>
          <w:sz w:val="10"/>
          <w:szCs w:val="10"/>
          <w:color w:val="105BAB"/>
        </w:rPr>
      </w:pPr>
      <w:r>
        <w:rPr>
          <w:rFonts w:ascii="Arial" w:cs="Arial" w:eastAsia="Arial" w:hAnsi="Arial"/>
          <w:sz w:val="10"/>
          <w:szCs w:val="10"/>
          <w:color w:val="105BAB"/>
        </w:rPr>
        <w:t xml:space="preserve">7 </w:t>
      </w:r>
      <w:r>
        <w:rPr>
          <w:rFonts w:ascii="Arial" w:cs="Arial" w:eastAsia="Arial" w:hAnsi="Arial"/>
          <w:sz w:val="10"/>
          <w:szCs w:val="10"/>
          <w:color w:val="000000"/>
        </w:rPr>
        <w:t>Consists of (i) $10,800 for 401(k) Savings Plan matching contributions in respect of 2017 paid in February 2018 and (ii) $10,410 for tax and financial planning advisory services.</w:t>
      </w:r>
      <w:r>
        <w:rPr>
          <w:rFonts w:ascii="Arial" w:cs="Arial" w:eastAsia="Arial" w:hAnsi="Arial"/>
          <w:sz w:val="10"/>
          <w:szCs w:val="10"/>
          <w:color w:val="105BAB"/>
        </w:rPr>
        <w:t xml:space="preserve"> 8 </w:t>
      </w:r>
      <w:r>
        <w:rPr>
          <w:rFonts w:ascii="Arial" w:cs="Arial" w:eastAsia="Arial" w:hAnsi="Arial"/>
          <w:sz w:val="10"/>
          <w:szCs w:val="10"/>
          <w:color w:val="000000"/>
        </w:rPr>
        <w:t>Consists of (i) $9,000 for 401(k) Savings Plan matching contributions in respect of 2017 paid in February 2018 and (ii) $10,410 for tax and financial planning advisory services.</w:t>
      </w:r>
      <w:r>
        <w:rPr>
          <w:rFonts w:ascii="Arial" w:cs="Arial" w:eastAsia="Arial" w:hAnsi="Arial"/>
          <w:sz w:val="10"/>
          <w:szCs w:val="10"/>
          <w:color w:val="105BAB"/>
        </w:rPr>
        <w:t xml:space="preserve"> 9 </w:t>
      </w:r>
      <w:r>
        <w:rPr>
          <w:rFonts w:ascii="Arial" w:cs="Arial" w:eastAsia="Arial" w:hAnsi="Arial"/>
          <w:sz w:val="10"/>
          <w:szCs w:val="10"/>
          <w:color w:val="000000"/>
        </w:rPr>
        <w:t>Mr. Van Plew qualified as an NEO for 2017 but not for the prior two years.</w:t>
      </w:r>
    </w:p>
    <w:p>
      <w:pPr>
        <w:spacing w:after="0" w:line="126" w:lineRule="exact"/>
        <w:rPr>
          <w:sz w:val="20"/>
          <w:szCs w:val="20"/>
          <w:color w:val="auto"/>
        </w:rPr>
      </w:pPr>
    </w:p>
    <w:p>
      <w:pPr>
        <w:ind w:left="11028"/>
        <w:spacing w:after="0"/>
        <w:rPr>
          <w:sz w:val="20"/>
          <w:szCs w:val="20"/>
          <w:color w:val="auto"/>
        </w:rPr>
      </w:pPr>
      <w:r>
        <w:rPr>
          <w:rFonts w:ascii="Arial" w:cs="Arial" w:eastAsia="Arial" w:hAnsi="Arial"/>
          <w:sz w:val="10"/>
          <w:szCs w:val="10"/>
          <w:b w:val="1"/>
          <w:bCs w:val="1"/>
          <w:color w:val="FFFFF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2017 Grants of Plan-Based Awards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and explanatory footnotes provide information regarding the annual cash incentive and equity awards granted to our NEOs during 2017.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0" w:type="dxa"/>
            <w:vAlign w:val="bottom"/>
            <w:tcBorders>
              <w:top w:val="single" w:sz="8" w:color="105BAB"/>
              <w:bottom w:val="single" w:sz="8" w:color="105BAB"/>
            </w:tcBorders>
          </w:tcPr>
          <w:p>
            <w:pPr>
              <w:spacing w:after="0"/>
              <w:rPr>
                <w:sz w:val="10"/>
                <w:szCs w:val="10"/>
                <w:color w:val="auto"/>
              </w:rPr>
            </w:pPr>
          </w:p>
        </w:tc>
        <w:tc>
          <w:tcPr>
            <w:tcW w:w="6460" w:type="dxa"/>
            <w:vAlign w:val="bottom"/>
            <w:tcBorders>
              <w:top w:val="single" w:sz="8" w:color="105BAB"/>
              <w:bottom w:val="single" w:sz="8" w:color="105BAB"/>
            </w:tcBorders>
          </w:tcPr>
          <w:p>
            <w:pPr>
              <w:ind w:left="3160"/>
              <w:spacing w:after="0"/>
              <w:rPr>
                <w:sz w:val="20"/>
                <w:szCs w:val="20"/>
                <w:color w:val="auto"/>
              </w:rPr>
            </w:pPr>
            <w:r>
              <w:rPr>
                <w:rFonts w:ascii="Arial" w:cs="Arial" w:eastAsia="Arial" w:hAnsi="Arial"/>
                <w:sz w:val="10"/>
                <w:szCs w:val="10"/>
                <w:b w:val="1"/>
                <w:bCs w:val="1"/>
                <w:color w:val="105BAB"/>
              </w:rPr>
              <w:t>A</w:t>
            </w:r>
          </w:p>
        </w:tc>
        <w:tc>
          <w:tcPr>
            <w:tcW w:w="620" w:type="dxa"/>
            <w:vAlign w:val="bottom"/>
            <w:tcBorders>
              <w:top w:val="single" w:sz="8" w:color="105BAB"/>
              <w:bottom w:val="single" w:sz="8" w:color="105BAB"/>
            </w:tcBorders>
          </w:tcPr>
          <w:p>
            <w:pPr>
              <w:ind w:left="280"/>
              <w:spacing w:after="0"/>
              <w:rPr>
                <w:sz w:val="20"/>
                <w:szCs w:val="20"/>
                <w:color w:val="auto"/>
              </w:rPr>
            </w:pPr>
            <w:r>
              <w:rPr>
                <w:rFonts w:ascii="Arial" w:cs="Arial" w:eastAsia="Arial" w:hAnsi="Arial"/>
                <w:sz w:val="10"/>
                <w:szCs w:val="10"/>
                <w:b w:val="1"/>
                <w:bCs w:val="1"/>
                <w:color w:val="105BAB"/>
              </w:rPr>
              <w:t>B</w:t>
            </w:r>
          </w:p>
        </w:tc>
        <w:tc>
          <w:tcPr>
            <w:tcW w:w="50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C</w:t>
            </w:r>
          </w:p>
        </w:tc>
        <w:tc>
          <w:tcPr>
            <w:tcW w:w="52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D</w:t>
            </w:r>
          </w:p>
        </w:tc>
        <w:tc>
          <w:tcPr>
            <w:tcW w:w="520" w:type="dxa"/>
            <w:vAlign w:val="bottom"/>
            <w:tcBorders>
              <w:top w:val="single" w:sz="8" w:color="105BAB"/>
              <w:bottom w:val="single" w:sz="8" w:color="105BAB"/>
            </w:tcBorders>
            <w:gridSpan w:val="2"/>
          </w:tcPr>
          <w:p>
            <w:pPr>
              <w:jc w:val="center"/>
              <w:ind w:right="20"/>
              <w:spacing w:after="0"/>
              <w:rPr>
                <w:sz w:val="20"/>
                <w:szCs w:val="20"/>
                <w:color w:val="auto"/>
              </w:rPr>
            </w:pPr>
            <w:r>
              <w:rPr>
                <w:rFonts w:ascii="Arial" w:cs="Arial" w:eastAsia="Arial" w:hAnsi="Arial"/>
                <w:sz w:val="10"/>
                <w:szCs w:val="10"/>
                <w:b w:val="1"/>
                <w:bCs w:val="1"/>
                <w:color w:val="105BAB"/>
                <w:w w:val="89"/>
              </w:rPr>
              <w:t>E</w:t>
            </w:r>
          </w:p>
        </w:tc>
        <w:tc>
          <w:tcPr>
            <w:tcW w:w="44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70"/>
              </w:rPr>
              <w:t>I</w:t>
            </w:r>
          </w:p>
        </w:tc>
        <w:tc>
          <w:tcPr>
            <w:tcW w:w="58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J</w:t>
            </w:r>
          </w:p>
        </w:tc>
        <w:tc>
          <w:tcPr>
            <w:tcW w:w="60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2"/>
              </w:rPr>
              <w:t>K</w:t>
            </w:r>
          </w:p>
        </w:tc>
        <w:tc>
          <w:tcPr>
            <w:tcW w:w="520" w:type="dxa"/>
            <w:vAlign w:val="bottom"/>
            <w:tcBorders>
              <w:top w:val="single" w:sz="8" w:color="105BAB"/>
              <w:bottom w:val="single" w:sz="8" w:color="105BAB"/>
            </w:tcBorders>
          </w:tcPr>
          <w:p>
            <w:pPr>
              <w:spacing w:after="0"/>
              <w:rPr>
                <w:sz w:val="10"/>
                <w:szCs w:val="10"/>
                <w:color w:val="auto"/>
              </w:rPr>
            </w:pPr>
          </w:p>
        </w:tc>
        <w:tc>
          <w:tcPr>
            <w:tcW w:w="52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105BAB"/>
                <w:w w:val="93"/>
              </w:rPr>
              <w:t>All</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other</w:t>
            </w: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1"/>
              </w:rPr>
              <w:t>stock</w:t>
            </w: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awards:</w:t>
            </w: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number</w:t>
            </w: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All other</w:t>
            </w: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gridSpan w:val="4"/>
            <w:vMerge w:val="restart"/>
          </w:tcPr>
          <w:p>
            <w:pPr>
              <w:jc w:val="center"/>
              <w:ind w:right="20"/>
              <w:spacing w:after="0"/>
              <w:rPr>
                <w:sz w:val="20"/>
                <w:szCs w:val="20"/>
                <w:color w:val="auto"/>
              </w:rPr>
            </w:pPr>
            <w:r>
              <w:rPr>
                <w:rFonts w:ascii="Arial" w:cs="Arial" w:eastAsia="Arial" w:hAnsi="Arial"/>
                <w:sz w:val="10"/>
                <w:szCs w:val="10"/>
                <w:b w:val="1"/>
                <w:bCs w:val="1"/>
                <w:color w:val="105BAB"/>
                <w:w w:val="95"/>
              </w:rPr>
              <w:t>Estimated Possible Payouts</w:t>
            </w: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84"/>
              </w:rPr>
              <w:t>of</w:t>
            </w: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option</w:t>
            </w:r>
          </w:p>
        </w:tc>
        <w:tc>
          <w:tcPr>
            <w:tcW w:w="6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2"/>
              </w:rPr>
              <w:t>Closing</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Grant date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9"/>
              </w:rPr>
              <w:t>shares</w:t>
            </w:r>
          </w:p>
        </w:tc>
        <w:tc>
          <w:tcPr>
            <w:tcW w:w="58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5"/>
              </w:rPr>
              <w:t>awards:</w:t>
            </w:r>
          </w:p>
        </w:tc>
        <w:tc>
          <w:tcPr>
            <w:tcW w:w="600" w:type="dxa"/>
            <w:vAlign w:val="bottom"/>
          </w:tcPr>
          <w:p>
            <w:pPr>
              <w:spacing w:after="0"/>
              <w:rPr>
                <w:sz w:val="8"/>
                <w:szCs w:val="8"/>
                <w:color w:val="auto"/>
              </w:rPr>
            </w:pPr>
          </w:p>
        </w:tc>
        <w:tc>
          <w:tcPr>
            <w:tcW w:w="52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3"/>
              </w:rPr>
              <w:t>price of</w:t>
            </w:r>
          </w:p>
        </w:tc>
        <w:tc>
          <w:tcPr>
            <w:tcW w:w="520" w:type="dxa"/>
            <w:vAlign w:val="bottom"/>
          </w:tcPr>
          <w:p>
            <w:pPr>
              <w:jc w:val="center"/>
              <w:spacing w:after="0" w:line="99" w:lineRule="exact"/>
              <w:rPr>
                <w:sz w:val="20"/>
                <w:szCs w:val="20"/>
                <w:color w:val="auto"/>
              </w:rPr>
            </w:pPr>
            <w:r>
              <w:rPr>
                <w:rFonts w:ascii="Arial" w:cs="Arial" w:eastAsia="Arial" w:hAnsi="Arial"/>
                <w:sz w:val="10"/>
                <w:szCs w:val="10"/>
                <w:b w:val="1"/>
                <w:bCs w:val="1"/>
                <w:color w:val="105BAB"/>
                <w:w w:val="95"/>
              </w:rPr>
              <w:t>fair value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89"/>
              </w:rPr>
              <w:t>Under</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84"/>
              </w:rPr>
              <w:t>of</w:t>
            </w: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number of</w:t>
            </w:r>
          </w:p>
        </w:tc>
        <w:tc>
          <w:tcPr>
            <w:tcW w:w="6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Exercise or</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Company</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8"/>
              </w:rPr>
              <w:t>of stock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40" w:type="dxa"/>
            <w:vAlign w:val="bottom"/>
            <w:gridSpan w:val="4"/>
          </w:tcPr>
          <w:p>
            <w:pPr>
              <w:jc w:val="center"/>
              <w:ind w:right="40"/>
              <w:spacing w:after="0" w:line="108" w:lineRule="exact"/>
              <w:rPr>
                <w:sz w:val="20"/>
                <w:szCs w:val="20"/>
                <w:color w:val="auto"/>
              </w:rPr>
            </w:pPr>
            <w:r>
              <w:rPr>
                <w:rFonts w:ascii="Arial" w:cs="Arial" w:eastAsia="Arial" w:hAnsi="Arial"/>
                <w:sz w:val="10"/>
                <w:szCs w:val="10"/>
                <w:b w:val="1"/>
                <w:bCs w:val="1"/>
                <w:color w:val="105BAB"/>
                <w:w w:val="95"/>
              </w:rPr>
              <w:t>Non-Equity Incentive Plan</w:t>
            </w:r>
          </w:p>
        </w:tc>
        <w:tc>
          <w:tcPr>
            <w:tcW w:w="4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1"/>
              </w:rPr>
              <w:t>stock</w:t>
            </w: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securities</w:t>
            </w:r>
          </w:p>
        </w:tc>
        <w:tc>
          <w:tcPr>
            <w:tcW w:w="6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base price</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common</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rPr>
              <w:t>and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Borders>
              <w:bottom w:val="single" w:sz="8" w:color="105BAB"/>
            </w:tcBorders>
          </w:tcPr>
          <w:p>
            <w:pPr>
              <w:spacing w:after="0"/>
              <w:rPr>
                <w:sz w:val="10"/>
                <w:szCs w:val="10"/>
                <w:color w:val="auto"/>
              </w:rPr>
            </w:pPr>
          </w:p>
        </w:tc>
        <w:tc>
          <w:tcPr>
            <w:tcW w:w="520" w:type="dxa"/>
            <w:vAlign w:val="bottom"/>
            <w:tcBorders>
              <w:bottom w:val="single" w:sz="8" w:color="105BAB"/>
            </w:tcBorders>
          </w:tcPr>
          <w:p>
            <w:pPr>
              <w:jc w:val="center"/>
              <w:spacing w:after="0" w:line="126" w:lineRule="exact"/>
              <w:rPr>
                <w:sz w:val="20"/>
                <w:szCs w:val="20"/>
                <w:color w:val="auto"/>
              </w:rPr>
            </w:pPr>
            <w:r>
              <w:rPr>
                <w:rFonts w:ascii="Arial" w:cs="Arial" w:eastAsia="Arial" w:hAnsi="Arial"/>
                <w:sz w:val="10"/>
                <w:szCs w:val="10"/>
                <w:b w:val="1"/>
                <w:bCs w:val="1"/>
                <w:color w:val="105BAB"/>
                <w:w w:val="91"/>
              </w:rPr>
              <w:t>Awards</w:t>
            </w:r>
            <w:r>
              <w:rPr>
                <w:rFonts w:ascii="Arial" w:cs="Arial" w:eastAsia="Arial" w:hAnsi="Arial"/>
                <w:sz w:val="14"/>
                <w:szCs w:val="14"/>
                <w:b w:val="1"/>
                <w:bCs w:val="1"/>
                <w:color w:val="105BAB"/>
                <w:w w:val="91"/>
                <w:vertAlign w:val="superscript"/>
              </w:rPr>
              <w:t>1</w:t>
            </w:r>
          </w:p>
        </w:tc>
        <w:tc>
          <w:tcPr>
            <w:tcW w:w="480" w:type="dxa"/>
            <w:vAlign w:val="bottom"/>
            <w:tcBorders>
              <w:bottom w:val="single" w:sz="8" w:color="105BAB"/>
            </w:tcBorders>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105BAB"/>
                <w:w w:val="99"/>
              </w:rPr>
              <w:t>or</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105BAB"/>
                <w:w w:val="93"/>
              </w:rPr>
              <w:t>underlying</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105BAB"/>
              </w:rPr>
              <w:t>of</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7"/>
              </w:rPr>
              <w:t>stock on</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8"/>
              </w:rPr>
              <w:t>option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jc w:val="center"/>
              <w:spacing w:after="0" w:line="89" w:lineRule="exact"/>
              <w:rPr>
                <w:sz w:val="20"/>
                <w:szCs w:val="20"/>
                <w:color w:val="auto"/>
              </w:rPr>
            </w:pPr>
            <w:r>
              <w:rPr>
                <w:rFonts w:ascii="Arial" w:cs="Arial" w:eastAsia="Arial" w:hAnsi="Arial"/>
                <w:sz w:val="10"/>
                <w:szCs w:val="10"/>
                <w:b w:val="1"/>
                <w:bCs w:val="1"/>
                <w:color w:val="105BAB"/>
                <w:w w:val="98"/>
              </w:rPr>
              <w:t>option</w:t>
            </w:r>
          </w:p>
        </w:tc>
        <w:tc>
          <w:tcPr>
            <w:tcW w:w="520" w:type="dxa"/>
            <w:vAlign w:val="bottom"/>
          </w:tcPr>
          <w:p>
            <w:pPr>
              <w:jc w:val="center"/>
              <w:spacing w:after="0" w:line="89" w:lineRule="exact"/>
              <w:rPr>
                <w:sz w:val="20"/>
                <w:szCs w:val="20"/>
                <w:color w:val="auto"/>
              </w:rPr>
            </w:pPr>
            <w:r>
              <w:rPr>
                <w:rFonts w:ascii="Arial" w:cs="Arial" w:eastAsia="Arial" w:hAnsi="Arial"/>
                <w:sz w:val="10"/>
                <w:szCs w:val="10"/>
                <w:b w:val="1"/>
                <w:bCs w:val="1"/>
                <w:color w:val="105BAB"/>
                <w:w w:val="95"/>
              </w:rPr>
              <w:t>grant</w:t>
            </w: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105BAB"/>
                <w:w w:val="95"/>
              </w:rPr>
              <w:t>Threshold</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1"/>
              </w:rPr>
              <w:t>Target</w:t>
            </w: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105BAB"/>
                <w:w w:val="95"/>
              </w:rPr>
              <w:t>Maximum</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105BAB"/>
              </w:rPr>
              <w:t>units</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105BAB"/>
                <w:w w:val="94"/>
              </w:rPr>
              <w:t>options</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105BAB"/>
                <w:w w:val="98"/>
              </w:rPr>
              <w:t>awards</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7"/>
              </w:rPr>
              <w:t>date</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8"/>
              </w:rPr>
              <w:t>awards</w:t>
            </w:r>
          </w:p>
        </w:tc>
        <w:tc>
          <w:tcPr>
            <w:tcW w:w="0" w:type="dxa"/>
            <w:vAlign w:val="bottom"/>
          </w:tcPr>
          <w:p>
            <w:pPr>
              <w:spacing w:after="0"/>
              <w:rPr>
                <w:sz w:val="1"/>
                <w:szCs w:val="1"/>
                <w:color w:val="auto"/>
              </w:rPr>
            </w:pPr>
          </w:p>
        </w:tc>
      </w:tr>
      <w:tr>
        <w:trPr>
          <w:trHeight w:val="126"/>
        </w:trPr>
        <w:tc>
          <w:tcPr>
            <w:tcW w:w="6520" w:type="dxa"/>
            <w:vAlign w:val="bottom"/>
            <w:gridSpan w:val="3"/>
          </w:tcPr>
          <w:p>
            <w:pPr>
              <w:spacing w:after="0"/>
              <w:rPr>
                <w:sz w:val="20"/>
                <w:szCs w:val="20"/>
                <w:color w:val="auto"/>
              </w:rPr>
            </w:pPr>
            <w:r>
              <w:rPr>
                <w:rFonts w:ascii="Arial" w:cs="Arial" w:eastAsia="Arial" w:hAnsi="Arial"/>
                <w:sz w:val="10"/>
                <w:szCs w:val="10"/>
                <w:b w:val="1"/>
                <w:bCs w:val="1"/>
                <w:color w:val="105BAB"/>
              </w:rPr>
              <w:t>Name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105BAB"/>
              </w:rPr>
              <w:t>Grant date</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105BAB"/>
                <w:w w:val="97"/>
              </w:rPr>
              <w:t>($)</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7"/>
              </w:rPr>
              <w:t>($)</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105BAB"/>
                <w:w w:val="97"/>
              </w:rPr>
              <w:t>($)</w:t>
            </w:r>
          </w:p>
        </w:tc>
        <w:tc>
          <w:tcPr>
            <w:tcW w:w="4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105BAB"/>
                <w:w w:val="97"/>
              </w:rPr>
              <w:t>(#)</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105BAB"/>
                <w:w w:val="97"/>
              </w:rPr>
              <w:t>(#)</w:t>
            </w:r>
          </w:p>
        </w:tc>
        <w:tc>
          <w:tcPr>
            <w:tcW w:w="600" w:type="dxa"/>
            <w:vAlign w:val="bottom"/>
          </w:tcPr>
          <w:p>
            <w:pPr>
              <w:jc w:val="center"/>
              <w:spacing w:after="0" w:line="126" w:lineRule="exact"/>
              <w:rPr>
                <w:sz w:val="20"/>
                <w:szCs w:val="20"/>
                <w:color w:val="auto"/>
              </w:rPr>
            </w:pPr>
            <w:r>
              <w:rPr>
                <w:rFonts w:ascii="Arial" w:cs="Arial" w:eastAsia="Arial" w:hAnsi="Arial"/>
                <w:sz w:val="10"/>
                <w:szCs w:val="10"/>
                <w:b w:val="1"/>
                <w:bCs w:val="1"/>
                <w:color w:val="105BAB"/>
                <w:w w:val="90"/>
              </w:rPr>
              <w:t>($/Sh)</w:t>
            </w:r>
            <w:r>
              <w:rPr>
                <w:rFonts w:ascii="Arial" w:cs="Arial" w:eastAsia="Arial" w:hAnsi="Arial"/>
                <w:sz w:val="14"/>
                <w:szCs w:val="14"/>
                <w:b w:val="1"/>
                <w:bCs w:val="1"/>
                <w:color w:val="105BAB"/>
                <w:w w:val="90"/>
                <w:vertAlign w:val="superscript"/>
              </w:rPr>
              <w:t>2</w:t>
            </w:r>
          </w:p>
        </w:tc>
        <w:tc>
          <w:tcPr>
            <w:tcW w:w="520" w:type="dxa"/>
            <w:vAlign w:val="bottom"/>
          </w:tcPr>
          <w:p>
            <w:pPr>
              <w:jc w:val="center"/>
              <w:spacing w:after="0" w:line="126" w:lineRule="exact"/>
              <w:rPr>
                <w:sz w:val="20"/>
                <w:szCs w:val="20"/>
                <w:color w:val="auto"/>
              </w:rPr>
            </w:pPr>
            <w:r>
              <w:rPr>
                <w:rFonts w:ascii="Arial" w:cs="Arial" w:eastAsia="Arial" w:hAnsi="Arial"/>
                <w:sz w:val="10"/>
                <w:szCs w:val="10"/>
                <w:b w:val="1"/>
                <w:bCs w:val="1"/>
                <w:color w:val="105BAB"/>
                <w:w w:val="90"/>
              </w:rPr>
              <w:t>($/Sh)</w:t>
            </w:r>
            <w:r>
              <w:rPr>
                <w:rFonts w:ascii="Arial" w:cs="Arial" w:eastAsia="Arial" w:hAnsi="Arial"/>
                <w:sz w:val="14"/>
                <w:szCs w:val="14"/>
                <w:b w:val="1"/>
                <w:bCs w:val="1"/>
                <w:color w:val="105BAB"/>
                <w:w w:val="90"/>
                <w:vertAlign w:val="superscript"/>
              </w:rPr>
              <w:t>2</w:t>
            </w:r>
          </w:p>
        </w:tc>
        <w:tc>
          <w:tcPr>
            <w:tcW w:w="520" w:type="dxa"/>
            <w:vAlign w:val="bottom"/>
          </w:tcPr>
          <w:p>
            <w:pPr>
              <w:jc w:val="center"/>
              <w:spacing w:after="0" w:line="126" w:lineRule="exact"/>
              <w:rPr>
                <w:sz w:val="20"/>
                <w:szCs w:val="20"/>
                <w:color w:val="auto"/>
              </w:rPr>
            </w:pPr>
            <w:r>
              <w:rPr>
                <w:rFonts w:ascii="Arial" w:cs="Arial" w:eastAsia="Arial" w:hAnsi="Arial"/>
                <w:sz w:val="10"/>
                <w:szCs w:val="10"/>
                <w:b w:val="1"/>
                <w:bCs w:val="1"/>
                <w:color w:val="105BAB"/>
                <w:w w:val="80"/>
              </w:rPr>
              <w:t>($)</w:t>
            </w:r>
            <w:r>
              <w:rPr>
                <w:rFonts w:ascii="Arial" w:cs="Arial" w:eastAsia="Arial" w:hAnsi="Arial"/>
                <w:sz w:val="14"/>
                <w:szCs w:val="14"/>
                <w:b w:val="1"/>
                <w:bCs w:val="1"/>
                <w:color w:val="105BAB"/>
                <w:w w:val="80"/>
                <w:vertAlign w:val="superscript"/>
              </w:rPr>
              <w:t>3</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tcBorders>
              <w:top w:val="single" w:sz="8" w:color="105BAB"/>
            </w:tcBorders>
            <w:shd w:val="clear" w:color="auto" w:fill="F1F3F9"/>
          </w:tcPr>
          <w:p>
            <w:pPr>
              <w:spacing w:after="0"/>
              <w:rPr>
                <w:sz w:val="6"/>
                <w:szCs w:val="6"/>
                <w:color w:val="auto"/>
              </w:rPr>
            </w:pPr>
          </w:p>
        </w:tc>
        <w:tc>
          <w:tcPr>
            <w:tcW w:w="6460" w:type="dxa"/>
            <w:vAlign w:val="bottom"/>
            <w:tcBorders>
              <w:top w:val="single" w:sz="8" w:color="105BAB"/>
            </w:tcBorders>
            <w:shd w:val="clear" w:color="auto" w:fill="F1F3F9"/>
          </w:tcPr>
          <w:p>
            <w:pPr>
              <w:spacing w:after="0" w:line="79" w:lineRule="exact"/>
              <w:rPr>
                <w:sz w:val="20"/>
                <w:szCs w:val="20"/>
                <w:color w:val="auto"/>
              </w:rPr>
            </w:pPr>
            <w:r>
              <w:rPr>
                <w:rFonts w:ascii="Arial" w:cs="Arial" w:eastAsia="Arial" w:hAnsi="Arial"/>
                <w:sz w:val="8"/>
                <w:szCs w:val="8"/>
                <w:color w:val="auto"/>
              </w:rPr>
              <w:t>Leonard S. Schleifer, M.D., Ph.D.</w:t>
            </w:r>
          </w:p>
        </w:tc>
        <w:tc>
          <w:tcPr>
            <w:tcW w:w="620" w:type="dxa"/>
            <w:vAlign w:val="bottom"/>
            <w:tcBorders>
              <w:top w:val="single" w:sz="8" w:color="105BAB"/>
            </w:tcBorders>
            <w:shd w:val="clear" w:color="auto" w:fill="F1F3F9"/>
          </w:tcPr>
          <w:p>
            <w:pPr>
              <w:ind w:left="460"/>
              <w:spacing w:after="0" w:line="79" w:lineRule="exact"/>
              <w:rPr>
                <w:sz w:val="20"/>
                <w:szCs w:val="20"/>
                <w:color w:val="auto"/>
              </w:rPr>
            </w:pPr>
            <w:r>
              <w:rPr>
                <w:rFonts w:ascii="Arial" w:cs="Arial" w:eastAsia="Arial" w:hAnsi="Arial"/>
                <w:sz w:val="8"/>
                <w:szCs w:val="8"/>
                <w:color w:val="auto"/>
              </w:rPr>
              <w:t>—</w:t>
            </w:r>
          </w:p>
        </w:tc>
        <w:tc>
          <w:tcPr>
            <w:tcW w:w="500" w:type="dxa"/>
            <w:vAlign w:val="bottom"/>
            <w:tcBorders>
              <w:top w:val="single" w:sz="8" w:color="105BAB"/>
            </w:tcBorders>
            <w:shd w:val="clear" w:color="auto" w:fill="F1F3F9"/>
          </w:tcPr>
          <w:p>
            <w:pPr>
              <w:ind w:left="280"/>
              <w:spacing w:after="0" w:line="79" w:lineRule="exact"/>
              <w:rPr>
                <w:sz w:val="20"/>
                <w:szCs w:val="20"/>
                <w:color w:val="auto"/>
              </w:rPr>
            </w:pPr>
            <w:r>
              <w:rPr>
                <w:rFonts w:ascii="Arial" w:cs="Arial" w:eastAsia="Arial" w:hAnsi="Arial"/>
                <w:sz w:val="8"/>
                <w:szCs w:val="8"/>
                <w:color w:val="auto"/>
              </w:rPr>
              <w:t>—</w:t>
            </w:r>
          </w:p>
        </w:tc>
        <w:tc>
          <w:tcPr>
            <w:tcW w:w="520" w:type="dxa"/>
            <w:vAlign w:val="bottom"/>
            <w:tcBorders>
              <w:top w:val="single" w:sz="8" w:color="105BAB"/>
            </w:tcBorders>
            <w:shd w:val="clear" w:color="auto" w:fill="F1F3F9"/>
          </w:tcPr>
          <w:p>
            <w:pPr>
              <w:jc w:val="right"/>
              <w:spacing w:after="0" w:line="79" w:lineRule="exact"/>
              <w:rPr>
                <w:sz w:val="20"/>
                <w:szCs w:val="20"/>
                <w:color w:val="auto"/>
              </w:rPr>
            </w:pPr>
            <w:r>
              <w:rPr>
                <w:rFonts w:ascii="Arial" w:cs="Arial" w:eastAsia="Arial" w:hAnsi="Arial"/>
                <w:sz w:val="8"/>
                <w:szCs w:val="8"/>
                <w:color w:val="auto"/>
              </w:rPr>
              <w:t>1,542,600</w:t>
            </w:r>
          </w:p>
        </w:tc>
        <w:tc>
          <w:tcPr>
            <w:tcW w:w="520" w:type="dxa"/>
            <w:vAlign w:val="bottom"/>
            <w:tcBorders>
              <w:top w:val="single" w:sz="8" w:color="105BAB"/>
            </w:tcBorders>
            <w:gridSpan w:val="2"/>
            <w:shd w:val="clear" w:color="auto" w:fill="F1F3F9"/>
          </w:tcPr>
          <w:p>
            <w:pPr>
              <w:jc w:val="right"/>
              <w:ind w:right="40"/>
              <w:spacing w:after="0" w:line="79" w:lineRule="exact"/>
              <w:rPr>
                <w:sz w:val="20"/>
                <w:szCs w:val="20"/>
                <w:color w:val="auto"/>
              </w:rPr>
            </w:pPr>
            <w:r>
              <w:rPr>
                <w:rFonts w:ascii="Arial" w:cs="Arial" w:eastAsia="Arial" w:hAnsi="Arial"/>
                <w:sz w:val="8"/>
                <w:szCs w:val="8"/>
                <w:color w:val="auto"/>
              </w:rPr>
              <w:t>3,085,200</w:t>
            </w:r>
          </w:p>
        </w:tc>
        <w:tc>
          <w:tcPr>
            <w:tcW w:w="440" w:type="dxa"/>
            <w:vAlign w:val="bottom"/>
            <w:tcBorders>
              <w:top w:val="single" w:sz="8" w:color="105BAB"/>
            </w:tcBorders>
            <w:shd w:val="clear" w:color="auto" w:fill="F1F3F9"/>
          </w:tcPr>
          <w:p>
            <w:pPr>
              <w:jc w:val="center"/>
              <w:spacing w:after="0" w:line="79" w:lineRule="exact"/>
              <w:rPr>
                <w:sz w:val="20"/>
                <w:szCs w:val="20"/>
                <w:color w:val="auto"/>
              </w:rPr>
            </w:pPr>
            <w:r>
              <w:rPr>
                <w:rFonts w:ascii="Arial" w:cs="Arial" w:eastAsia="Arial" w:hAnsi="Arial"/>
                <w:sz w:val="8"/>
                <w:szCs w:val="8"/>
                <w:color w:val="auto"/>
              </w:rPr>
              <w:t>—</w:t>
            </w:r>
          </w:p>
        </w:tc>
        <w:tc>
          <w:tcPr>
            <w:tcW w:w="580" w:type="dxa"/>
            <w:vAlign w:val="bottom"/>
            <w:tcBorders>
              <w:top w:val="single" w:sz="8" w:color="105BAB"/>
            </w:tcBorders>
            <w:shd w:val="clear" w:color="auto" w:fill="F1F3F9"/>
          </w:tcPr>
          <w:p>
            <w:pPr>
              <w:jc w:val="right"/>
              <w:ind w:right="34"/>
              <w:spacing w:after="0" w:line="79"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105BAB"/>
            </w:tcBorders>
            <w:shd w:val="clear" w:color="auto" w:fill="F1F3F9"/>
          </w:tcPr>
          <w:p>
            <w:pPr>
              <w:jc w:val="right"/>
              <w:ind w:right="114"/>
              <w:spacing w:after="0" w:line="79" w:lineRule="exact"/>
              <w:rPr>
                <w:sz w:val="20"/>
                <w:szCs w:val="20"/>
                <w:color w:val="auto"/>
              </w:rPr>
            </w:pPr>
            <w:r>
              <w:rPr>
                <w:rFonts w:ascii="Arial" w:cs="Arial" w:eastAsia="Arial" w:hAnsi="Arial"/>
                <w:sz w:val="8"/>
                <w:szCs w:val="8"/>
                <w:color w:val="auto"/>
              </w:rPr>
              <w:t>—</w:t>
            </w:r>
          </w:p>
        </w:tc>
        <w:tc>
          <w:tcPr>
            <w:tcW w:w="520" w:type="dxa"/>
            <w:vAlign w:val="bottom"/>
            <w:tcBorders>
              <w:top w:val="single" w:sz="8" w:color="105BAB"/>
            </w:tcBorders>
            <w:shd w:val="clear" w:color="auto" w:fill="F1F3F9"/>
          </w:tcPr>
          <w:p>
            <w:pPr>
              <w:jc w:val="right"/>
              <w:ind w:right="54"/>
              <w:spacing w:after="0" w:line="79" w:lineRule="exact"/>
              <w:rPr>
                <w:sz w:val="20"/>
                <w:szCs w:val="20"/>
                <w:color w:val="auto"/>
              </w:rPr>
            </w:pPr>
            <w:r>
              <w:rPr>
                <w:rFonts w:ascii="Arial" w:cs="Arial" w:eastAsia="Arial" w:hAnsi="Arial"/>
                <w:sz w:val="8"/>
                <w:szCs w:val="8"/>
                <w:color w:val="auto"/>
              </w:rPr>
              <w:t>—</w:t>
            </w:r>
          </w:p>
        </w:tc>
        <w:tc>
          <w:tcPr>
            <w:tcW w:w="520" w:type="dxa"/>
            <w:vAlign w:val="bottom"/>
            <w:tcBorders>
              <w:top w:val="single" w:sz="8" w:color="105BAB"/>
            </w:tcBorders>
            <w:shd w:val="clear" w:color="auto" w:fill="F1F3F9"/>
          </w:tcPr>
          <w:p>
            <w:pPr>
              <w:jc w:val="right"/>
              <w:spacing w:after="0" w:line="7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Borders>
              <w:bottom w:val="single" w:sz="8" w:color="auto"/>
            </w:tcBorders>
            <w:shd w:val="clear" w:color="auto" w:fill="F1F3F9"/>
          </w:tcPr>
          <w:p>
            <w:pPr>
              <w:spacing w:after="0"/>
              <w:rPr>
                <w:sz w:val="10"/>
                <w:szCs w:val="10"/>
                <w:color w:val="auto"/>
              </w:rPr>
            </w:pPr>
          </w:p>
        </w:tc>
        <w:tc>
          <w:tcPr>
            <w:tcW w:w="6460" w:type="dxa"/>
            <w:vAlign w:val="bottom"/>
            <w:tcBorders>
              <w:bottom w:val="single" w:sz="8" w:color="auto"/>
            </w:tcBorders>
            <w:shd w:val="clear" w:color="auto" w:fill="F1F3F9"/>
          </w:tcPr>
          <w:p>
            <w:pPr>
              <w:spacing w:after="0"/>
              <w:rPr>
                <w:sz w:val="10"/>
                <w:szCs w:val="10"/>
                <w:color w:val="auto"/>
              </w:rPr>
            </w:pPr>
          </w:p>
        </w:tc>
        <w:tc>
          <w:tcPr>
            <w:tcW w:w="620" w:type="dxa"/>
            <w:vAlign w:val="bottom"/>
            <w:tcBorders>
              <w:bottom w:val="single" w:sz="8" w:color="auto"/>
            </w:tcBorders>
            <w:shd w:val="clear" w:color="auto" w:fill="F1F3F9"/>
          </w:tcPr>
          <w:p>
            <w:pPr>
              <w:ind w:left="80"/>
              <w:spacing w:after="0" w:line="126" w:lineRule="exact"/>
              <w:rPr>
                <w:sz w:val="20"/>
                <w:szCs w:val="20"/>
                <w:color w:val="auto"/>
              </w:rPr>
            </w:pPr>
            <w:r>
              <w:rPr>
                <w:rFonts w:ascii="Arial" w:cs="Arial" w:eastAsia="Arial" w:hAnsi="Arial"/>
                <w:sz w:val="10"/>
                <w:szCs w:val="10"/>
                <w:color w:val="auto"/>
                <w:w w:val="94"/>
              </w:rPr>
              <w:t>12/12/2017</w:t>
            </w:r>
            <w:r>
              <w:rPr>
                <w:rFonts w:ascii="Arial" w:cs="Arial" w:eastAsia="Arial" w:hAnsi="Arial"/>
                <w:sz w:val="14"/>
                <w:szCs w:val="14"/>
                <w:color w:val="auto"/>
                <w:w w:val="94"/>
                <w:vertAlign w:val="superscript"/>
              </w:rPr>
              <w:t>4</w:t>
            </w:r>
          </w:p>
        </w:tc>
        <w:tc>
          <w:tcPr>
            <w:tcW w:w="500" w:type="dxa"/>
            <w:vAlign w:val="bottom"/>
            <w:tcBorders>
              <w:bottom w:val="single" w:sz="8" w:color="auto"/>
            </w:tcBorders>
            <w:shd w:val="clear" w:color="auto" w:fill="F1F3F9"/>
          </w:tcPr>
          <w:p>
            <w:pPr>
              <w:ind w:left="2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gridSpan w:val="2"/>
            <w:shd w:val="clear" w:color="auto" w:fill="F1F3F9"/>
          </w:tcPr>
          <w:p>
            <w:pPr>
              <w:jc w:val="right"/>
              <w:ind w:right="4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auto"/>
            </w:tcBorders>
            <w:shd w:val="clear" w:color="auto" w:fill="F1F3F9"/>
          </w:tcPr>
          <w:p>
            <w:pPr>
              <w:jc w:val="right"/>
              <w:ind w:right="34"/>
              <w:spacing w:after="0"/>
              <w:rPr>
                <w:sz w:val="20"/>
                <w:szCs w:val="20"/>
                <w:color w:val="auto"/>
              </w:rPr>
            </w:pPr>
            <w:r>
              <w:rPr>
                <w:rFonts w:ascii="Arial" w:cs="Arial" w:eastAsia="Arial" w:hAnsi="Arial"/>
                <w:sz w:val="10"/>
                <w:szCs w:val="10"/>
                <w:color w:val="auto"/>
              </w:rPr>
              <w:t>139,474</w:t>
            </w:r>
          </w:p>
        </w:tc>
        <w:tc>
          <w:tcPr>
            <w:tcW w:w="600" w:type="dxa"/>
            <w:vAlign w:val="bottom"/>
            <w:tcBorders>
              <w:bottom w:val="single" w:sz="8" w:color="auto"/>
            </w:tcBorders>
            <w:shd w:val="clear" w:color="auto" w:fill="F1F3F9"/>
          </w:tcPr>
          <w:p>
            <w:pPr>
              <w:jc w:val="right"/>
              <w:ind w:right="114"/>
              <w:spacing w:after="0"/>
              <w:rPr>
                <w:sz w:val="20"/>
                <w:szCs w:val="20"/>
                <w:color w:val="auto"/>
              </w:rPr>
            </w:pPr>
            <w:r>
              <w:rPr>
                <w:rFonts w:ascii="Arial" w:cs="Arial" w:eastAsia="Arial" w:hAnsi="Arial"/>
                <w:sz w:val="10"/>
                <w:szCs w:val="10"/>
                <w:color w:val="auto"/>
              </w:rPr>
              <w:t>378.98</w:t>
            </w:r>
          </w:p>
        </w:tc>
        <w:tc>
          <w:tcPr>
            <w:tcW w:w="520" w:type="dxa"/>
            <w:vAlign w:val="bottom"/>
            <w:tcBorders>
              <w:bottom w:val="single" w:sz="8" w:color="auto"/>
            </w:tcBorders>
            <w:shd w:val="clear" w:color="auto" w:fill="F1F3F9"/>
          </w:tcPr>
          <w:p>
            <w:pPr>
              <w:jc w:val="right"/>
              <w:ind w:right="54"/>
              <w:spacing w:after="0"/>
              <w:rPr>
                <w:sz w:val="20"/>
                <w:szCs w:val="20"/>
                <w:color w:val="auto"/>
              </w:rPr>
            </w:pPr>
            <w:r>
              <w:rPr>
                <w:rFonts w:ascii="Arial" w:cs="Arial" w:eastAsia="Arial" w:hAnsi="Arial"/>
                <w:sz w:val="10"/>
                <w:szCs w:val="10"/>
                <w:color w:val="auto"/>
              </w:rPr>
              <w:t>381.72</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w w:val="99"/>
              </w:rPr>
              <w:t>21,967,210</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shd w:val="clear" w:color="auto" w:fill="D6DAEE"/>
          </w:tcPr>
          <w:p>
            <w:pPr>
              <w:spacing w:after="0"/>
              <w:rPr>
                <w:sz w:val="6"/>
                <w:szCs w:val="6"/>
                <w:color w:val="auto"/>
              </w:rPr>
            </w:pPr>
          </w:p>
        </w:tc>
        <w:tc>
          <w:tcPr>
            <w:tcW w:w="6460" w:type="dxa"/>
            <w:vAlign w:val="bottom"/>
            <w:shd w:val="clear" w:color="auto" w:fill="D6DAEE"/>
          </w:tcPr>
          <w:p>
            <w:pPr>
              <w:spacing w:after="0" w:line="79" w:lineRule="exact"/>
              <w:rPr>
                <w:sz w:val="20"/>
                <w:szCs w:val="20"/>
                <w:color w:val="auto"/>
              </w:rPr>
            </w:pPr>
            <w:r>
              <w:rPr>
                <w:rFonts w:ascii="Arial" w:cs="Arial" w:eastAsia="Arial" w:hAnsi="Arial"/>
                <w:sz w:val="8"/>
                <w:szCs w:val="8"/>
                <w:color w:val="auto"/>
              </w:rPr>
              <w:t>George D. Yancopoulos, M.D., Ph.D.</w:t>
            </w:r>
          </w:p>
        </w:tc>
        <w:tc>
          <w:tcPr>
            <w:tcW w:w="620" w:type="dxa"/>
            <w:vAlign w:val="bottom"/>
            <w:shd w:val="clear" w:color="auto" w:fill="D6DAEE"/>
          </w:tcPr>
          <w:p>
            <w:pPr>
              <w:ind w:left="460"/>
              <w:spacing w:after="0" w:line="79" w:lineRule="exact"/>
              <w:rPr>
                <w:sz w:val="20"/>
                <w:szCs w:val="20"/>
                <w:color w:val="auto"/>
              </w:rPr>
            </w:pPr>
            <w:r>
              <w:rPr>
                <w:rFonts w:ascii="Arial" w:cs="Arial" w:eastAsia="Arial" w:hAnsi="Arial"/>
                <w:sz w:val="8"/>
                <w:szCs w:val="8"/>
                <w:color w:val="auto"/>
              </w:rPr>
              <w:t>—</w:t>
            </w:r>
          </w:p>
        </w:tc>
        <w:tc>
          <w:tcPr>
            <w:tcW w:w="500" w:type="dxa"/>
            <w:vAlign w:val="bottom"/>
            <w:shd w:val="clear" w:color="auto" w:fill="D6DAEE"/>
          </w:tcPr>
          <w:p>
            <w:pPr>
              <w:ind w:left="280"/>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D6DAEE"/>
          </w:tcPr>
          <w:p>
            <w:pPr>
              <w:jc w:val="right"/>
              <w:spacing w:after="0" w:line="79" w:lineRule="exact"/>
              <w:rPr>
                <w:sz w:val="20"/>
                <w:szCs w:val="20"/>
                <w:color w:val="auto"/>
              </w:rPr>
            </w:pPr>
            <w:r>
              <w:rPr>
                <w:rFonts w:ascii="Arial" w:cs="Arial" w:eastAsia="Arial" w:hAnsi="Arial"/>
                <w:sz w:val="8"/>
                <w:szCs w:val="8"/>
                <w:color w:val="auto"/>
              </w:rPr>
              <w:t>1,311,240</w:t>
            </w:r>
          </w:p>
        </w:tc>
        <w:tc>
          <w:tcPr>
            <w:tcW w:w="520" w:type="dxa"/>
            <w:vAlign w:val="bottom"/>
            <w:gridSpan w:val="2"/>
            <w:shd w:val="clear" w:color="auto" w:fill="D6DAEE"/>
          </w:tcPr>
          <w:p>
            <w:pPr>
              <w:jc w:val="right"/>
              <w:ind w:right="40"/>
              <w:spacing w:after="0" w:line="79" w:lineRule="exact"/>
              <w:rPr>
                <w:sz w:val="20"/>
                <w:szCs w:val="20"/>
                <w:color w:val="auto"/>
              </w:rPr>
            </w:pPr>
            <w:r>
              <w:rPr>
                <w:rFonts w:ascii="Arial" w:cs="Arial" w:eastAsia="Arial" w:hAnsi="Arial"/>
                <w:sz w:val="8"/>
                <w:szCs w:val="8"/>
                <w:color w:val="auto"/>
              </w:rPr>
              <w:t>2,622,480</w:t>
            </w:r>
          </w:p>
        </w:tc>
        <w:tc>
          <w:tcPr>
            <w:tcW w:w="440" w:type="dxa"/>
            <w:vAlign w:val="bottom"/>
            <w:shd w:val="clear" w:color="auto" w:fill="D6DAEE"/>
          </w:tcPr>
          <w:p>
            <w:pPr>
              <w:jc w:val="center"/>
              <w:spacing w:after="0" w:line="79" w:lineRule="exact"/>
              <w:rPr>
                <w:sz w:val="20"/>
                <w:szCs w:val="20"/>
                <w:color w:val="auto"/>
              </w:rPr>
            </w:pPr>
            <w:r>
              <w:rPr>
                <w:rFonts w:ascii="Arial" w:cs="Arial" w:eastAsia="Arial" w:hAnsi="Arial"/>
                <w:sz w:val="8"/>
                <w:szCs w:val="8"/>
                <w:color w:val="auto"/>
              </w:rPr>
              <w:t>—</w:t>
            </w:r>
          </w:p>
        </w:tc>
        <w:tc>
          <w:tcPr>
            <w:tcW w:w="580" w:type="dxa"/>
            <w:vAlign w:val="bottom"/>
            <w:shd w:val="clear" w:color="auto" w:fill="D6DAEE"/>
          </w:tcPr>
          <w:p>
            <w:pPr>
              <w:jc w:val="right"/>
              <w:ind w:right="34"/>
              <w:spacing w:after="0" w:line="79" w:lineRule="exact"/>
              <w:rPr>
                <w:sz w:val="20"/>
                <w:szCs w:val="20"/>
                <w:color w:val="auto"/>
              </w:rPr>
            </w:pPr>
            <w:r>
              <w:rPr>
                <w:rFonts w:ascii="Arial" w:cs="Arial" w:eastAsia="Arial" w:hAnsi="Arial"/>
                <w:sz w:val="8"/>
                <w:szCs w:val="8"/>
                <w:color w:val="auto"/>
              </w:rPr>
              <w:t>—</w:t>
            </w:r>
          </w:p>
        </w:tc>
        <w:tc>
          <w:tcPr>
            <w:tcW w:w="600" w:type="dxa"/>
            <w:vAlign w:val="bottom"/>
            <w:shd w:val="clear" w:color="auto" w:fill="D6DAEE"/>
          </w:tcPr>
          <w:p>
            <w:pPr>
              <w:jc w:val="right"/>
              <w:ind w:right="11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D6DAEE"/>
          </w:tcPr>
          <w:p>
            <w:pPr>
              <w:jc w:val="right"/>
              <w:ind w:right="5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D6DAEE"/>
          </w:tcPr>
          <w:p>
            <w:pPr>
              <w:jc w:val="right"/>
              <w:spacing w:after="0" w:line="7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Borders>
              <w:bottom w:val="single" w:sz="8" w:color="auto"/>
            </w:tcBorders>
            <w:shd w:val="clear" w:color="auto" w:fill="D6DAEE"/>
          </w:tcPr>
          <w:p>
            <w:pPr>
              <w:spacing w:after="0"/>
              <w:rPr>
                <w:sz w:val="10"/>
                <w:szCs w:val="10"/>
                <w:color w:val="auto"/>
              </w:rPr>
            </w:pPr>
          </w:p>
        </w:tc>
        <w:tc>
          <w:tcPr>
            <w:tcW w:w="6460" w:type="dxa"/>
            <w:vAlign w:val="bottom"/>
            <w:tcBorders>
              <w:bottom w:val="single" w:sz="8" w:color="auto"/>
            </w:tcBorders>
            <w:shd w:val="clear" w:color="auto" w:fill="D6DAEE"/>
          </w:tcPr>
          <w:p>
            <w:pPr>
              <w:spacing w:after="0"/>
              <w:rPr>
                <w:sz w:val="10"/>
                <w:szCs w:val="10"/>
                <w:color w:val="auto"/>
              </w:rPr>
            </w:pPr>
          </w:p>
        </w:tc>
        <w:tc>
          <w:tcPr>
            <w:tcW w:w="620" w:type="dxa"/>
            <w:vAlign w:val="bottom"/>
            <w:tcBorders>
              <w:bottom w:val="single" w:sz="8" w:color="auto"/>
            </w:tcBorders>
            <w:shd w:val="clear" w:color="auto" w:fill="D6DAEE"/>
          </w:tcPr>
          <w:p>
            <w:pPr>
              <w:ind w:left="80"/>
              <w:spacing w:after="0" w:line="126" w:lineRule="exact"/>
              <w:rPr>
                <w:sz w:val="20"/>
                <w:szCs w:val="20"/>
                <w:color w:val="auto"/>
              </w:rPr>
            </w:pPr>
            <w:r>
              <w:rPr>
                <w:rFonts w:ascii="Arial" w:cs="Arial" w:eastAsia="Arial" w:hAnsi="Arial"/>
                <w:sz w:val="10"/>
                <w:szCs w:val="10"/>
                <w:color w:val="auto"/>
                <w:w w:val="94"/>
              </w:rPr>
              <w:t>12/12/2017</w:t>
            </w:r>
            <w:r>
              <w:rPr>
                <w:rFonts w:ascii="Arial" w:cs="Arial" w:eastAsia="Arial" w:hAnsi="Arial"/>
                <w:sz w:val="14"/>
                <w:szCs w:val="14"/>
                <w:color w:val="auto"/>
                <w:w w:val="94"/>
                <w:vertAlign w:val="superscript"/>
              </w:rPr>
              <w:t>4</w:t>
            </w:r>
          </w:p>
        </w:tc>
        <w:tc>
          <w:tcPr>
            <w:tcW w:w="500" w:type="dxa"/>
            <w:vAlign w:val="bottom"/>
            <w:tcBorders>
              <w:bottom w:val="single" w:sz="8" w:color="auto"/>
            </w:tcBorders>
            <w:shd w:val="clear" w:color="auto" w:fill="D6DAEE"/>
          </w:tcPr>
          <w:p>
            <w:pPr>
              <w:ind w:left="2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gridSpan w:val="2"/>
            <w:shd w:val="clear" w:color="auto" w:fill="D6DAEE"/>
          </w:tcPr>
          <w:p>
            <w:pPr>
              <w:jc w:val="right"/>
              <w:ind w:right="4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auto"/>
            </w:tcBorders>
            <w:shd w:val="clear" w:color="auto" w:fill="D6DAEE"/>
          </w:tcPr>
          <w:p>
            <w:pPr>
              <w:jc w:val="right"/>
              <w:ind w:right="34"/>
              <w:spacing w:after="0"/>
              <w:rPr>
                <w:sz w:val="20"/>
                <w:szCs w:val="20"/>
                <w:color w:val="auto"/>
              </w:rPr>
            </w:pPr>
            <w:r>
              <w:rPr>
                <w:rFonts w:ascii="Arial" w:cs="Arial" w:eastAsia="Arial" w:hAnsi="Arial"/>
                <w:sz w:val="10"/>
                <w:szCs w:val="10"/>
                <w:color w:val="auto"/>
              </w:rPr>
              <w:t>139,474</w:t>
            </w:r>
          </w:p>
        </w:tc>
        <w:tc>
          <w:tcPr>
            <w:tcW w:w="600" w:type="dxa"/>
            <w:vAlign w:val="bottom"/>
            <w:tcBorders>
              <w:bottom w:val="single" w:sz="8" w:color="auto"/>
            </w:tcBorders>
            <w:shd w:val="clear" w:color="auto" w:fill="D6DAEE"/>
          </w:tcPr>
          <w:p>
            <w:pPr>
              <w:jc w:val="right"/>
              <w:ind w:right="114"/>
              <w:spacing w:after="0"/>
              <w:rPr>
                <w:sz w:val="20"/>
                <w:szCs w:val="20"/>
                <w:color w:val="auto"/>
              </w:rPr>
            </w:pPr>
            <w:r>
              <w:rPr>
                <w:rFonts w:ascii="Arial" w:cs="Arial" w:eastAsia="Arial" w:hAnsi="Arial"/>
                <w:sz w:val="10"/>
                <w:szCs w:val="10"/>
                <w:color w:val="auto"/>
              </w:rPr>
              <w:t>378.98</w:t>
            </w:r>
          </w:p>
        </w:tc>
        <w:tc>
          <w:tcPr>
            <w:tcW w:w="520" w:type="dxa"/>
            <w:vAlign w:val="bottom"/>
            <w:tcBorders>
              <w:bottom w:val="single" w:sz="8" w:color="auto"/>
            </w:tcBorders>
            <w:shd w:val="clear" w:color="auto" w:fill="D6DAEE"/>
          </w:tcPr>
          <w:p>
            <w:pPr>
              <w:jc w:val="right"/>
              <w:ind w:right="54"/>
              <w:spacing w:after="0"/>
              <w:rPr>
                <w:sz w:val="20"/>
                <w:szCs w:val="20"/>
                <w:color w:val="auto"/>
              </w:rPr>
            </w:pPr>
            <w:r>
              <w:rPr>
                <w:rFonts w:ascii="Arial" w:cs="Arial" w:eastAsia="Arial" w:hAnsi="Arial"/>
                <w:sz w:val="10"/>
                <w:szCs w:val="10"/>
                <w:color w:val="auto"/>
              </w:rPr>
              <w:t>381.72</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w w:val="99"/>
              </w:rPr>
              <w:t>21,967,210</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shd w:val="clear" w:color="auto" w:fill="F1F3F9"/>
          </w:tcPr>
          <w:p>
            <w:pPr>
              <w:spacing w:after="0"/>
              <w:rPr>
                <w:sz w:val="6"/>
                <w:szCs w:val="6"/>
                <w:color w:val="auto"/>
              </w:rPr>
            </w:pPr>
          </w:p>
        </w:tc>
        <w:tc>
          <w:tcPr>
            <w:tcW w:w="6460" w:type="dxa"/>
            <w:vAlign w:val="bottom"/>
            <w:shd w:val="clear" w:color="auto" w:fill="F1F3F9"/>
          </w:tcPr>
          <w:p>
            <w:pPr>
              <w:spacing w:after="0" w:line="79" w:lineRule="exact"/>
              <w:rPr>
                <w:sz w:val="20"/>
                <w:szCs w:val="20"/>
                <w:color w:val="auto"/>
              </w:rPr>
            </w:pPr>
            <w:r>
              <w:rPr>
                <w:rFonts w:ascii="Arial" w:cs="Arial" w:eastAsia="Arial" w:hAnsi="Arial"/>
                <w:sz w:val="8"/>
                <w:szCs w:val="8"/>
                <w:color w:val="auto"/>
              </w:rPr>
              <w:t>Robert E. Landry</w:t>
            </w:r>
          </w:p>
        </w:tc>
        <w:tc>
          <w:tcPr>
            <w:tcW w:w="620" w:type="dxa"/>
            <w:vAlign w:val="bottom"/>
            <w:shd w:val="clear" w:color="auto" w:fill="F1F3F9"/>
          </w:tcPr>
          <w:p>
            <w:pPr>
              <w:ind w:left="460"/>
              <w:spacing w:after="0" w:line="79" w:lineRule="exact"/>
              <w:rPr>
                <w:sz w:val="20"/>
                <w:szCs w:val="20"/>
                <w:color w:val="auto"/>
              </w:rPr>
            </w:pPr>
            <w:r>
              <w:rPr>
                <w:rFonts w:ascii="Arial" w:cs="Arial" w:eastAsia="Arial" w:hAnsi="Arial"/>
                <w:sz w:val="8"/>
                <w:szCs w:val="8"/>
                <w:color w:val="auto"/>
              </w:rPr>
              <w:t>—</w:t>
            </w:r>
          </w:p>
        </w:tc>
        <w:tc>
          <w:tcPr>
            <w:tcW w:w="500" w:type="dxa"/>
            <w:vAlign w:val="bottom"/>
            <w:shd w:val="clear" w:color="auto" w:fill="F1F3F9"/>
          </w:tcPr>
          <w:p>
            <w:pPr>
              <w:ind w:left="280"/>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F1F3F9"/>
          </w:tcPr>
          <w:p>
            <w:pPr>
              <w:jc w:val="right"/>
              <w:spacing w:after="0" w:line="79" w:lineRule="exact"/>
              <w:rPr>
                <w:sz w:val="20"/>
                <w:szCs w:val="20"/>
                <w:color w:val="auto"/>
              </w:rPr>
            </w:pPr>
            <w:r>
              <w:rPr>
                <w:rFonts w:ascii="Arial" w:cs="Arial" w:eastAsia="Arial" w:hAnsi="Arial"/>
                <w:sz w:val="8"/>
                <w:szCs w:val="8"/>
                <w:color w:val="auto"/>
              </w:rPr>
              <w:t>309,000</w:t>
            </w:r>
          </w:p>
        </w:tc>
        <w:tc>
          <w:tcPr>
            <w:tcW w:w="520" w:type="dxa"/>
            <w:vAlign w:val="bottom"/>
            <w:gridSpan w:val="2"/>
            <w:shd w:val="clear" w:color="auto" w:fill="F1F3F9"/>
          </w:tcPr>
          <w:p>
            <w:pPr>
              <w:jc w:val="right"/>
              <w:ind w:right="40"/>
              <w:spacing w:after="0" w:line="79" w:lineRule="exact"/>
              <w:rPr>
                <w:sz w:val="20"/>
                <w:szCs w:val="20"/>
                <w:color w:val="auto"/>
              </w:rPr>
            </w:pPr>
            <w:r>
              <w:rPr>
                <w:rFonts w:ascii="Arial" w:cs="Arial" w:eastAsia="Arial" w:hAnsi="Arial"/>
                <w:sz w:val="8"/>
                <w:szCs w:val="8"/>
                <w:color w:val="auto"/>
              </w:rPr>
              <w:t>556,200</w:t>
            </w:r>
          </w:p>
        </w:tc>
        <w:tc>
          <w:tcPr>
            <w:tcW w:w="440" w:type="dxa"/>
            <w:vAlign w:val="bottom"/>
            <w:shd w:val="clear" w:color="auto" w:fill="F1F3F9"/>
          </w:tcPr>
          <w:p>
            <w:pPr>
              <w:jc w:val="center"/>
              <w:spacing w:after="0" w:line="79" w:lineRule="exact"/>
              <w:rPr>
                <w:sz w:val="20"/>
                <w:szCs w:val="20"/>
                <w:color w:val="auto"/>
              </w:rPr>
            </w:pPr>
            <w:r>
              <w:rPr>
                <w:rFonts w:ascii="Arial" w:cs="Arial" w:eastAsia="Arial" w:hAnsi="Arial"/>
                <w:sz w:val="8"/>
                <w:szCs w:val="8"/>
                <w:color w:val="auto"/>
              </w:rPr>
              <w:t>—</w:t>
            </w:r>
          </w:p>
        </w:tc>
        <w:tc>
          <w:tcPr>
            <w:tcW w:w="580" w:type="dxa"/>
            <w:vAlign w:val="bottom"/>
            <w:shd w:val="clear" w:color="auto" w:fill="F1F3F9"/>
          </w:tcPr>
          <w:p>
            <w:pPr>
              <w:jc w:val="right"/>
              <w:ind w:right="34"/>
              <w:spacing w:after="0" w:line="79" w:lineRule="exact"/>
              <w:rPr>
                <w:sz w:val="20"/>
                <w:szCs w:val="20"/>
                <w:color w:val="auto"/>
              </w:rPr>
            </w:pPr>
            <w:r>
              <w:rPr>
                <w:rFonts w:ascii="Arial" w:cs="Arial" w:eastAsia="Arial" w:hAnsi="Arial"/>
                <w:sz w:val="8"/>
                <w:szCs w:val="8"/>
                <w:color w:val="auto"/>
              </w:rPr>
              <w:t>—</w:t>
            </w:r>
          </w:p>
        </w:tc>
        <w:tc>
          <w:tcPr>
            <w:tcW w:w="600" w:type="dxa"/>
            <w:vAlign w:val="bottom"/>
            <w:shd w:val="clear" w:color="auto" w:fill="F1F3F9"/>
          </w:tcPr>
          <w:p>
            <w:pPr>
              <w:jc w:val="right"/>
              <w:ind w:right="11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F1F3F9"/>
          </w:tcPr>
          <w:p>
            <w:pPr>
              <w:jc w:val="right"/>
              <w:ind w:right="5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F1F3F9"/>
          </w:tcPr>
          <w:p>
            <w:pPr>
              <w:jc w:val="right"/>
              <w:spacing w:after="0" w:line="7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Borders>
              <w:bottom w:val="single" w:sz="8" w:color="auto"/>
            </w:tcBorders>
            <w:shd w:val="clear" w:color="auto" w:fill="F1F3F9"/>
          </w:tcPr>
          <w:p>
            <w:pPr>
              <w:spacing w:after="0"/>
              <w:rPr>
                <w:sz w:val="10"/>
                <w:szCs w:val="10"/>
                <w:color w:val="auto"/>
              </w:rPr>
            </w:pPr>
          </w:p>
        </w:tc>
        <w:tc>
          <w:tcPr>
            <w:tcW w:w="6460" w:type="dxa"/>
            <w:vAlign w:val="bottom"/>
            <w:tcBorders>
              <w:bottom w:val="single" w:sz="8" w:color="auto"/>
            </w:tcBorders>
            <w:shd w:val="clear" w:color="auto" w:fill="F1F3F9"/>
          </w:tcPr>
          <w:p>
            <w:pPr>
              <w:spacing w:after="0"/>
              <w:rPr>
                <w:sz w:val="10"/>
                <w:szCs w:val="10"/>
                <w:color w:val="auto"/>
              </w:rPr>
            </w:pPr>
          </w:p>
        </w:tc>
        <w:tc>
          <w:tcPr>
            <w:tcW w:w="620" w:type="dxa"/>
            <w:vAlign w:val="bottom"/>
            <w:tcBorders>
              <w:bottom w:val="single" w:sz="8" w:color="auto"/>
            </w:tcBorders>
            <w:shd w:val="clear" w:color="auto" w:fill="F1F3F9"/>
          </w:tcPr>
          <w:p>
            <w:pPr>
              <w:ind w:left="80"/>
              <w:spacing w:after="0" w:line="126" w:lineRule="exact"/>
              <w:rPr>
                <w:sz w:val="20"/>
                <w:szCs w:val="20"/>
                <w:color w:val="auto"/>
              </w:rPr>
            </w:pPr>
            <w:r>
              <w:rPr>
                <w:rFonts w:ascii="Arial" w:cs="Arial" w:eastAsia="Arial" w:hAnsi="Arial"/>
                <w:sz w:val="10"/>
                <w:szCs w:val="10"/>
                <w:color w:val="auto"/>
                <w:w w:val="94"/>
              </w:rPr>
              <w:t>12/12/2017</w:t>
            </w:r>
            <w:r>
              <w:rPr>
                <w:rFonts w:ascii="Arial" w:cs="Arial" w:eastAsia="Arial" w:hAnsi="Arial"/>
                <w:sz w:val="14"/>
                <w:szCs w:val="14"/>
                <w:color w:val="auto"/>
                <w:w w:val="94"/>
                <w:vertAlign w:val="superscript"/>
              </w:rPr>
              <w:t>4</w:t>
            </w:r>
          </w:p>
        </w:tc>
        <w:tc>
          <w:tcPr>
            <w:tcW w:w="500" w:type="dxa"/>
            <w:vAlign w:val="bottom"/>
            <w:tcBorders>
              <w:bottom w:val="single" w:sz="8" w:color="auto"/>
            </w:tcBorders>
            <w:shd w:val="clear" w:color="auto" w:fill="F1F3F9"/>
          </w:tcPr>
          <w:p>
            <w:pPr>
              <w:ind w:left="2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gridSpan w:val="2"/>
            <w:shd w:val="clear" w:color="auto" w:fill="F1F3F9"/>
          </w:tcPr>
          <w:p>
            <w:pPr>
              <w:jc w:val="right"/>
              <w:ind w:right="4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auto"/>
            </w:tcBorders>
            <w:shd w:val="clear" w:color="auto" w:fill="F1F3F9"/>
          </w:tcPr>
          <w:p>
            <w:pPr>
              <w:jc w:val="right"/>
              <w:ind w:right="34"/>
              <w:spacing w:after="0"/>
              <w:rPr>
                <w:sz w:val="20"/>
                <w:szCs w:val="20"/>
                <w:color w:val="auto"/>
              </w:rPr>
            </w:pPr>
            <w:r>
              <w:rPr>
                <w:rFonts w:ascii="Arial" w:cs="Arial" w:eastAsia="Arial" w:hAnsi="Arial"/>
                <w:sz w:val="10"/>
                <w:szCs w:val="10"/>
                <w:color w:val="auto"/>
              </w:rPr>
              <w:t>23,337</w:t>
            </w:r>
          </w:p>
        </w:tc>
        <w:tc>
          <w:tcPr>
            <w:tcW w:w="600" w:type="dxa"/>
            <w:vAlign w:val="bottom"/>
            <w:tcBorders>
              <w:bottom w:val="single" w:sz="8" w:color="auto"/>
            </w:tcBorders>
            <w:shd w:val="clear" w:color="auto" w:fill="F1F3F9"/>
          </w:tcPr>
          <w:p>
            <w:pPr>
              <w:jc w:val="right"/>
              <w:ind w:right="114"/>
              <w:spacing w:after="0"/>
              <w:rPr>
                <w:sz w:val="20"/>
                <w:szCs w:val="20"/>
                <w:color w:val="auto"/>
              </w:rPr>
            </w:pPr>
            <w:r>
              <w:rPr>
                <w:rFonts w:ascii="Arial" w:cs="Arial" w:eastAsia="Arial" w:hAnsi="Arial"/>
                <w:sz w:val="10"/>
                <w:szCs w:val="10"/>
                <w:color w:val="auto"/>
              </w:rPr>
              <w:t>378.98</w:t>
            </w:r>
          </w:p>
        </w:tc>
        <w:tc>
          <w:tcPr>
            <w:tcW w:w="520" w:type="dxa"/>
            <w:vAlign w:val="bottom"/>
            <w:tcBorders>
              <w:bottom w:val="single" w:sz="8" w:color="auto"/>
            </w:tcBorders>
            <w:shd w:val="clear" w:color="auto" w:fill="F1F3F9"/>
          </w:tcPr>
          <w:p>
            <w:pPr>
              <w:jc w:val="right"/>
              <w:ind w:right="54"/>
              <w:spacing w:after="0"/>
              <w:rPr>
                <w:sz w:val="20"/>
                <w:szCs w:val="20"/>
                <w:color w:val="auto"/>
              </w:rPr>
            </w:pPr>
            <w:r>
              <w:rPr>
                <w:rFonts w:ascii="Arial" w:cs="Arial" w:eastAsia="Arial" w:hAnsi="Arial"/>
                <w:sz w:val="10"/>
                <w:szCs w:val="10"/>
                <w:color w:val="auto"/>
              </w:rPr>
              <w:t>381.72</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3,675,566</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shd w:val="clear" w:color="auto" w:fill="D6DAEE"/>
          </w:tcPr>
          <w:p>
            <w:pPr>
              <w:spacing w:after="0"/>
              <w:rPr>
                <w:sz w:val="6"/>
                <w:szCs w:val="6"/>
                <w:color w:val="auto"/>
              </w:rPr>
            </w:pPr>
          </w:p>
        </w:tc>
        <w:tc>
          <w:tcPr>
            <w:tcW w:w="6460" w:type="dxa"/>
            <w:vAlign w:val="bottom"/>
            <w:shd w:val="clear" w:color="auto" w:fill="D6DAEE"/>
          </w:tcPr>
          <w:p>
            <w:pPr>
              <w:spacing w:after="0" w:line="79" w:lineRule="exact"/>
              <w:rPr>
                <w:sz w:val="20"/>
                <w:szCs w:val="20"/>
                <w:color w:val="auto"/>
              </w:rPr>
            </w:pPr>
            <w:r>
              <w:rPr>
                <w:rFonts w:ascii="Arial" w:cs="Arial" w:eastAsia="Arial" w:hAnsi="Arial"/>
                <w:sz w:val="8"/>
                <w:szCs w:val="8"/>
                <w:color w:val="auto"/>
              </w:rPr>
              <w:t>Neil Stahl, Ph.D.</w:t>
            </w:r>
          </w:p>
        </w:tc>
        <w:tc>
          <w:tcPr>
            <w:tcW w:w="620" w:type="dxa"/>
            <w:vAlign w:val="bottom"/>
            <w:shd w:val="clear" w:color="auto" w:fill="D6DAEE"/>
          </w:tcPr>
          <w:p>
            <w:pPr>
              <w:ind w:left="460"/>
              <w:spacing w:after="0" w:line="79" w:lineRule="exact"/>
              <w:rPr>
                <w:sz w:val="20"/>
                <w:szCs w:val="20"/>
                <w:color w:val="auto"/>
              </w:rPr>
            </w:pPr>
            <w:r>
              <w:rPr>
                <w:rFonts w:ascii="Arial" w:cs="Arial" w:eastAsia="Arial" w:hAnsi="Arial"/>
                <w:sz w:val="8"/>
                <w:szCs w:val="8"/>
                <w:color w:val="auto"/>
              </w:rPr>
              <w:t>—</w:t>
            </w:r>
          </w:p>
        </w:tc>
        <w:tc>
          <w:tcPr>
            <w:tcW w:w="500" w:type="dxa"/>
            <w:vAlign w:val="bottom"/>
            <w:shd w:val="clear" w:color="auto" w:fill="D6DAEE"/>
          </w:tcPr>
          <w:p>
            <w:pPr>
              <w:ind w:left="280"/>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D6DAEE"/>
          </w:tcPr>
          <w:p>
            <w:pPr>
              <w:jc w:val="right"/>
              <w:spacing w:after="0" w:line="79" w:lineRule="exact"/>
              <w:rPr>
                <w:sz w:val="20"/>
                <w:szCs w:val="20"/>
                <w:color w:val="auto"/>
              </w:rPr>
            </w:pPr>
            <w:r>
              <w:rPr>
                <w:rFonts w:ascii="Arial" w:cs="Arial" w:eastAsia="Arial" w:hAnsi="Arial"/>
                <w:sz w:val="8"/>
                <w:szCs w:val="8"/>
                <w:color w:val="auto"/>
              </w:rPr>
              <w:t>384,600</w:t>
            </w:r>
          </w:p>
        </w:tc>
        <w:tc>
          <w:tcPr>
            <w:tcW w:w="520" w:type="dxa"/>
            <w:vAlign w:val="bottom"/>
            <w:gridSpan w:val="2"/>
            <w:shd w:val="clear" w:color="auto" w:fill="D6DAEE"/>
          </w:tcPr>
          <w:p>
            <w:pPr>
              <w:jc w:val="right"/>
              <w:ind w:right="40"/>
              <w:spacing w:after="0" w:line="79" w:lineRule="exact"/>
              <w:rPr>
                <w:sz w:val="20"/>
                <w:szCs w:val="20"/>
                <w:color w:val="auto"/>
              </w:rPr>
            </w:pPr>
            <w:r>
              <w:rPr>
                <w:rFonts w:ascii="Arial" w:cs="Arial" w:eastAsia="Arial" w:hAnsi="Arial"/>
                <w:sz w:val="8"/>
                <w:szCs w:val="8"/>
                <w:color w:val="auto"/>
              </w:rPr>
              <w:t>692,280</w:t>
            </w:r>
          </w:p>
        </w:tc>
        <w:tc>
          <w:tcPr>
            <w:tcW w:w="440" w:type="dxa"/>
            <w:vAlign w:val="bottom"/>
            <w:shd w:val="clear" w:color="auto" w:fill="D6DAEE"/>
          </w:tcPr>
          <w:p>
            <w:pPr>
              <w:jc w:val="center"/>
              <w:spacing w:after="0" w:line="79" w:lineRule="exact"/>
              <w:rPr>
                <w:sz w:val="20"/>
                <w:szCs w:val="20"/>
                <w:color w:val="auto"/>
              </w:rPr>
            </w:pPr>
            <w:r>
              <w:rPr>
                <w:rFonts w:ascii="Arial" w:cs="Arial" w:eastAsia="Arial" w:hAnsi="Arial"/>
                <w:sz w:val="8"/>
                <w:szCs w:val="8"/>
                <w:color w:val="auto"/>
              </w:rPr>
              <w:t>—</w:t>
            </w:r>
          </w:p>
        </w:tc>
        <w:tc>
          <w:tcPr>
            <w:tcW w:w="580" w:type="dxa"/>
            <w:vAlign w:val="bottom"/>
            <w:shd w:val="clear" w:color="auto" w:fill="D6DAEE"/>
          </w:tcPr>
          <w:p>
            <w:pPr>
              <w:jc w:val="right"/>
              <w:ind w:right="34"/>
              <w:spacing w:after="0" w:line="79" w:lineRule="exact"/>
              <w:rPr>
                <w:sz w:val="20"/>
                <w:szCs w:val="20"/>
                <w:color w:val="auto"/>
              </w:rPr>
            </w:pPr>
            <w:r>
              <w:rPr>
                <w:rFonts w:ascii="Arial" w:cs="Arial" w:eastAsia="Arial" w:hAnsi="Arial"/>
                <w:sz w:val="8"/>
                <w:szCs w:val="8"/>
                <w:color w:val="auto"/>
              </w:rPr>
              <w:t>—</w:t>
            </w:r>
          </w:p>
        </w:tc>
        <w:tc>
          <w:tcPr>
            <w:tcW w:w="600" w:type="dxa"/>
            <w:vAlign w:val="bottom"/>
            <w:shd w:val="clear" w:color="auto" w:fill="D6DAEE"/>
          </w:tcPr>
          <w:p>
            <w:pPr>
              <w:jc w:val="right"/>
              <w:ind w:right="11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D6DAEE"/>
          </w:tcPr>
          <w:p>
            <w:pPr>
              <w:jc w:val="right"/>
              <w:ind w:right="5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D6DAEE"/>
          </w:tcPr>
          <w:p>
            <w:pPr>
              <w:jc w:val="right"/>
              <w:spacing w:after="0" w:line="7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Borders>
              <w:bottom w:val="single" w:sz="8" w:color="auto"/>
            </w:tcBorders>
            <w:shd w:val="clear" w:color="auto" w:fill="D6DAEE"/>
          </w:tcPr>
          <w:p>
            <w:pPr>
              <w:spacing w:after="0"/>
              <w:rPr>
                <w:sz w:val="10"/>
                <w:szCs w:val="10"/>
                <w:color w:val="auto"/>
              </w:rPr>
            </w:pPr>
          </w:p>
        </w:tc>
        <w:tc>
          <w:tcPr>
            <w:tcW w:w="6460" w:type="dxa"/>
            <w:vAlign w:val="bottom"/>
            <w:tcBorders>
              <w:bottom w:val="single" w:sz="8" w:color="auto"/>
            </w:tcBorders>
            <w:shd w:val="clear" w:color="auto" w:fill="D6DAEE"/>
          </w:tcPr>
          <w:p>
            <w:pPr>
              <w:spacing w:after="0"/>
              <w:rPr>
                <w:sz w:val="10"/>
                <w:szCs w:val="10"/>
                <w:color w:val="auto"/>
              </w:rPr>
            </w:pPr>
          </w:p>
        </w:tc>
        <w:tc>
          <w:tcPr>
            <w:tcW w:w="620" w:type="dxa"/>
            <w:vAlign w:val="bottom"/>
            <w:tcBorders>
              <w:bottom w:val="single" w:sz="8" w:color="auto"/>
            </w:tcBorders>
            <w:shd w:val="clear" w:color="auto" w:fill="D6DAEE"/>
          </w:tcPr>
          <w:p>
            <w:pPr>
              <w:ind w:left="80"/>
              <w:spacing w:after="0" w:line="126" w:lineRule="exact"/>
              <w:rPr>
                <w:sz w:val="20"/>
                <w:szCs w:val="20"/>
                <w:color w:val="auto"/>
              </w:rPr>
            </w:pPr>
            <w:r>
              <w:rPr>
                <w:rFonts w:ascii="Arial" w:cs="Arial" w:eastAsia="Arial" w:hAnsi="Arial"/>
                <w:sz w:val="10"/>
                <w:szCs w:val="10"/>
                <w:color w:val="auto"/>
                <w:w w:val="94"/>
              </w:rPr>
              <w:t>12/12/2017</w:t>
            </w:r>
            <w:r>
              <w:rPr>
                <w:rFonts w:ascii="Arial" w:cs="Arial" w:eastAsia="Arial" w:hAnsi="Arial"/>
                <w:sz w:val="14"/>
                <w:szCs w:val="14"/>
                <w:color w:val="auto"/>
                <w:w w:val="94"/>
                <w:vertAlign w:val="superscript"/>
              </w:rPr>
              <w:t>4</w:t>
            </w:r>
          </w:p>
        </w:tc>
        <w:tc>
          <w:tcPr>
            <w:tcW w:w="500" w:type="dxa"/>
            <w:vAlign w:val="bottom"/>
            <w:tcBorders>
              <w:bottom w:val="single" w:sz="8" w:color="auto"/>
            </w:tcBorders>
            <w:shd w:val="clear" w:color="auto" w:fill="D6DAEE"/>
          </w:tcPr>
          <w:p>
            <w:pPr>
              <w:ind w:left="2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gridSpan w:val="2"/>
            <w:shd w:val="clear" w:color="auto" w:fill="D6DAEE"/>
          </w:tcPr>
          <w:p>
            <w:pPr>
              <w:jc w:val="right"/>
              <w:ind w:right="4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auto"/>
            </w:tcBorders>
            <w:shd w:val="clear" w:color="auto" w:fill="D6DAEE"/>
          </w:tcPr>
          <w:p>
            <w:pPr>
              <w:jc w:val="right"/>
              <w:ind w:right="34"/>
              <w:spacing w:after="0"/>
              <w:rPr>
                <w:sz w:val="20"/>
                <w:szCs w:val="20"/>
                <w:color w:val="auto"/>
              </w:rPr>
            </w:pPr>
            <w:r>
              <w:rPr>
                <w:rFonts w:ascii="Arial" w:cs="Arial" w:eastAsia="Arial" w:hAnsi="Arial"/>
                <w:sz w:val="10"/>
                <w:szCs w:val="10"/>
                <w:color w:val="auto"/>
              </w:rPr>
              <w:t>50,000</w:t>
            </w:r>
          </w:p>
        </w:tc>
        <w:tc>
          <w:tcPr>
            <w:tcW w:w="600" w:type="dxa"/>
            <w:vAlign w:val="bottom"/>
            <w:tcBorders>
              <w:bottom w:val="single" w:sz="8" w:color="auto"/>
            </w:tcBorders>
            <w:shd w:val="clear" w:color="auto" w:fill="D6DAEE"/>
          </w:tcPr>
          <w:p>
            <w:pPr>
              <w:jc w:val="right"/>
              <w:ind w:right="114"/>
              <w:spacing w:after="0"/>
              <w:rPr>
                <w:sz w:val="20"/>
                <w:szCs w:val="20"/>
                <w:color w:val="auto"/>
              </w:rPr>
            </w:pPr>
            <w:r>
              <w:rPr>
                <w:rFonts w:ascii="Arial" w:cs="Arial" w:eastAsia="Arial" w:hAnsi="Arial"/>
                <w:sz w:val="10"/>
                <w:szCs w:val="10"/>
                <w:color w:val="auto"/>
              </w:rPr>
              <w:t>378.98</w:t>
            </w:r>
          </w:p>
        </w:tc>
        <w:tc>
          <w:tcPr>
            <w:tcW w:w="520" w:type="dxa"/>
            <w:vAlign w:val="bottom"/>
            <w:tcBorders>
              <w:bottom w:val="single" w:sz="8" w:color="auto"/>
            </w:tcBorders>
            <w:shd w:val="clear" w:color="auto" w:fill="D6DAEE"/>
          </w:tcPr>
          <w:p>
            <w:pPr>
              <w:jc w:val="right"/>
              <w:ind w:right="54"/>
              <w:spacing w:after="0"/>
              <w:rPr>
                <w:sz w:val="20"/>
                <w:szCs w:val="20"/>
                <w:color w:val="auto"/>
              </w:rPr>
            </w:pPr>
            <w:r>
              <w:rPr>
                <w:rFonts w:ascii="Arial" w:cs="Arial" w:eastAsia="Arial" w:hAnsi="Arial"/>
                <w:sz w:val="10"/>
                <w:szCs w:val="10"/>
                <w:color w:val="auto"/>
              </w:rPr>
              <w:t>381.72</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7,875,030</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shd w:val="clear" w:color="auto" w:fill="F1F3F9"/>
          </w:tcPr>
          <w:p>
            <w:pPr>
              <w:spacing w:after="0"/>
              <w:rPr>
                <w:sz w:val="6"/>
                <w:szCs w:val="6"/>
                <w:color w:val="auto"/>
              </w:rPr>
            </w:pPr>
          </w:p>
        </w:tc>
        <w:tc>
          <w:tcPr>
            <w:tcW w:w="6460" w:type="dxa"/>
            <w:vAlign w:val="bottom"/>
            <w:shd w:val="clear" w:color="auto" w:fill="F1F3F9"/>
          </w:tcPr>
          <w:p>
            <w:pPr>
              <w:spacing w:after="0" w:line="79" w:lineRule="exact"/>
              <w:rPr>
                <w:sz w:val="20"/>
                <w:szCs w:val="20"/>
                <w:color w:val="auto"/>
              </w:rPr>
            </w:pPr>
            <w:r>
              <w:rPr>
                <w:rFonts w:ascii="Arial" w:cs="Arial" w:eastAsia="Arial" w:hAnsi="Arial"/>
                <w:sz w:val="8"/>
                <w:szCs w:val="8"/>
                <w:color w:val="auto"/>
              </w:rPr>
              <w:t>Daniel P. Van Plew</w:t>
            </w:r>
          </w:p>
        </w:tc>
        <w:tc>
          <w:tcPr>
            <w:tcW w:w="620" w:type="dxa"/>
            <w:vAlign w:val="bottom"/>
            <w:shd w:val="clear" w:color="auto" w:fill="F1F3F9"/>
          </w:tcPr>
          <w:p>
            <w:pPr>
              <w:ind w:left="460"/>
              <w:spacing w:after="0" w:line="79" w:lineRule="exact"/>
              <w:rPr>
                <w:sz w:val="20"/>
                <w:szCs w:val="20"/>
                <w:color w:val="auto"/>
              </w:rPr>
            </w:pPr>
            <w:r>
              <w:rPr>
                <w:rFonts w:ascii="Arial" w:cs="Arial" w:eastAsia="Arial" w:hAnsi="Arial"/>
                <w:sz w:val="8"/>
                <w:szCs w:val="8"/>
                <w:color w:val="auto"/>
              </w:rPr>
              <w:t>—</w:t>
            </w:r>
          </w:p>
        </w:tc>
        <w:tc>
          <w:tcPr>
            <w:tcW w:w="500" w:type="dxa"/>
            <w:vAlign w:val="bottom"/>
            <w:shd w:val="clear" w:color="auto" w:fill="F1F3F9"/>
          </w:tcPr>
          <w:p>
            <w:pPr>
              <w:ind w:left="280"/>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F1F3F9"/>
          </w:tcPr>
          <w:p>
            <w:pPr>
              <w:jc w:val="right"/>
              <w:spacing w:after="0" w:line="79" w:lineRule="exact"/>
              <w:rPr>
                <w:sz w:val="20"/>
                <w:szCs w:val="20"/>
                <w:color w:val="auto"/>
              </w:rPr>
            </w:pPr>
            <w:r>
              <w:rPr>
                <w:rFonts w:ascii="Arial" w:cs="Arial" w:eastAsia="Arial" w:hAnsi="Arial"/>
                <w:sz w:val="8"/>
                <w:szCs w:val="8"/>
                <w:color w:val="auto"/>
              </w:rPr>
              <w:t>336,000</w:t>
            </w:r>
          </w:p>
        </w:tc>
        <w:tc>
          <w:tcPr>
            <w:tcW w:w="520" w:type="dxa"/>
            <w:vAlign w:val="bottom"/>
            <w:gridSpan w:val="2"/>
            <w:shd w:val="clear" w:color="auto" w:fill="F1F3F9"/>
          </w:tcPr>
          <w:p>
            <w:pPr>
              <w:jc w:val="right"/>
              <w:ind w:right="40"/>
              <w:spacing w:after="0" w:line="79" w:lineRule="exact"/>
              <w:rPr>
                <w:sz w:val="20"/>
                <w:szCs w:val="20"/>
                <w:color w:val="auto"/>
              </w:rPr>
            </w:pPr>
            <w:r>
              <w:rPr>
                <w:rFonts w:ascii="Arial" w:cs="Arial" w:eastAsia="Arial" w:hAnsi="Arial"/>
                <w:sz w:val="8"/>
                <w:szCs w:val="8"/>
                <w:color w:val="auto"/>
              </w:rPr>
              <w:t>604,800</w:t>
            </w:r>
          </w:p>
        </w:tc>
        <w:tc>
          <w:tcPr>
            <w:tcW w:w="440" w:type="dxa"/>
            <w:vAlign w:val="bottom"/>
            <w:shd w:val="clear" w:color="auto" w:fill="F1F3F9"/>
          </w:tcPr>
          <w:p>
            <w:pPr>
              <w:jc w:val="center"/>
              <w:spacing w:after="0" w:line="79" w:lineRule="exact"/>
              <w:rPr>
                <w:sz w:val="20"/>
                <w:szCs w:val="20"/>
                <w:color w:val="auto"/>
              </w:rPr>
            </w:pPr>
            <w:r>
              <w:rPr>
                <w:rFonts w:ascii="Arial" w:cs="Arial" w:eastAsia="Arial" w:hAnsi="Arial"/>
                <w:sz w:val="8"/>
                <w:szCs w:val="8"/>
                <w:color w:val="auto"/>
              </w:rPr>
              <w:t>—</w:t>
            </w:r>
          </w:p>
        </w:tc>
        <w:tc>
          <w:tcPr>
            <w:tcW w:w="580" w:type="dxa"/>
            <w:vAlign w:val="bottom"/>
            <w:shd w:val="clear" w:color="auto" w:fill="F1F3F9"/>
          </w:tcPr>
          <w:p>
            <w:pPr>
              <w:jc w:val="right"/>
              <w:ind w:right="34"/>
              <w:spacing w:after="0" w:line="79" w:lineRule="exact"/>
              <w:rPr>
                <w:sz w:val="20"/>
                <w:szCs w:val="20"/>
                <w:color w:val="auto"/>
              </w:rPr>
            </w:pPr>
            <w:r>
              <w:rPr>
                <w:rFonts w:ascii="Arial" w:cs="Arial" w:eastAsia="Arial" w:hAnsi="Arial"/>
                <w:sz w:val="8"/>
                <w:szCs w:val="8"/>
                <w:color w:val="auto"/>
              </w:rPr>
              <w:t>—</w:t>
            </w:r>
          </w:p>
        </w:tc>
        <w:tc>
          <w:tcPr>
            <w:tcW w:w="600" w:type="dxa"/>
            <w:vAlign w:val="bottom"/>
            <w:shd w:val="clear" w:color="auto" w:fill="F1F3F9"/>
          </w:tcPr>
          <w:p>
            <w:pPr>
              <w:jc w:val="right"/>
              <w:ind w:right="11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F1F3F9"/>
          </w:tcPr>
          <w:p>
            <w:pPr>
              <w:jc w:val="right"/>
              <w:ind w:right="54"/>
              <w:spacing w:after="0" w:line="79" w:lineRule="exact"/>
              <w:rPr>
                <w:sz w:val="20"/>
                <w:szCs w:val="20"/>
                <w:color w:val="auto"/>
              </w:rPr>
            </w:pPr>
            <w:r>
              <w:rPr>
                <w:rFonts w:ascii="Arial" w:cs="Arial" w:eastAsia="Arial" w:hAnsi="Arial"/>
                <w:sz w:val="8"/>
                <w:szCs w:val="8"/>
                <w:color w:val="auto"/>
              </w:rPr>
              <w:t>—</w:t>
            </w:r>
          </w:p>
        </w:tc>
        <w:tc>
          <w:tcPr>
            <w:tcW w:w="520" w:type="dxa"/>
            <w:vAlign w:val="bottom"/>
            <w:shd w:val="clear" w:color="auto" w:fill="F1F3F9"/>
          </w:tcPr>
          <w:p>
            <w:pPr>
              <w:jc w:val="right"/>
              <w:spacing w:after="0" w:line="7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Borders>
              <w:bottom w:val="single" w:sz="8" w:color="105BAB"/>
            </w:tcBorders>
            <w:shd w:val="clear" w:color="auto" w:fill="F1F3F9"/>
          </w:tcPr>
          <w:p>
            <w:pPr>
              <w:spacing w:after="0"/>
              <w:rPr>
                <w:sz w:val="10"/>
                <w:szCs w:val="10"/>
                <w:color w:val="auto"/>
              </w:rPr>
            </w:pPr>
          </w:p>
        </w:tc>
        <w:tc>
          <w:tcPr>
            <w:tcW w:w="6460" w:type="dxa"/>
            <w:vAlign w:val="bottom"/>
            <w:tcBorders>
              <w:bottom w:val="single" w:sz="8" w:color="105BAB"/>
            </w:tcBorders>
            <w:shd w:val="clear" w:color="auto" w:fill="F1F3F9"/>
          </w:tcPr>
          <w:p>
            <w:pPr>
              <w:spacing w:after="0"/>
              <w:rPr>
                <w:sz w:val="10"/>
                <w:szCs w:val="10"/>
                <w:color w:val="auto"/>
              </w:rPr>
            </w:pPr>
          </w:p>
        </w:tc>
        <w:tc>
          <w:tcPr>
            <w:tcW w:w="620" w:type="dxa"/>
            <w:vAlign w:val="bottom"/>
            <w:tcBorders>
              <w:bottom w:val="single" w:sz="8" w:color="105BAB"/>
            </w:tcBorders>
            <w:shd w:val="clear" w:color="auto" w:fill="F1F3F9"/>
          </w:tcPr>
          <w:p>
            <w:pPr>
              <w:ind w:left="80"/>
              <w:spacing w:after="0" w:line="126" w:lineRule="exact"/>
              <w:rPr>
                <w:sz w:val="20"/>
                <w:szCs w:val="20"/>
                <w:color w:val="auto"/>
              </w:rPr>
            </w:pPr>
            <w:r>
              <w:rPr>
                <w:rFonts w:ascii="Arial" w:cs="Arial" w:eastAsia="Arial" w:hAnsi="Arial"/>
                <w:sz w:val="10"/>
                <w:szCs w:val="10"/>
                <w:color w:val="auto"/>
                <w:w w:val="94"/>
              </w:rPr>
              <w:t>12/12/2017</w:t>
            </w:r>
            <w:r>
              <w:rPr>
                <w:rFonts w:ascii="Arial" w:cs="Arial" w:eastAsia="Arial" w:hAnsi="Arial"/>
                <w:sz w:val="14"/>
                <w:szCs w:val="14"/>
                <w:color w:val="auto"/>
                <w:w w:val="94"/>
                <w:vertAlign w:val="superscript"/>
              </w:rPr>
              <w:t>4</w:t>
            </w:r>
          </w:p>
        </w:tc>
        <w:tc>
          <w:tcPr>
            <w:tcW w:w="500" w:type="dxa"/>
            <w:vAlign w:val="bottom"/>
            <w:tcBorders>
              <w:bottom w:val="single" w:sz="8" w:color="105BAB"/>
            </w:tcBorders>
            <w:shd w:val="clear" w:color="auto" w:fill="F1F3F9"/>
          </w:tcPr>
          <w:p>
            <w:pPr>
              <w:ind w:left="2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105BAB"/>
            </w:tcBorders>
            <w:shd w:val="clear" w:color="auto" w:fill="F1F3F9"/>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105BAB"/>
            </w:tcBorders>
            <w:gridSpan w:val="2"/>
            <w:shd w:val="clear" w:color="auto" w:fill="F1F3F9"/>
          </w:tcPr>
          <w:p>
            <w:pPr>
              <w:jc w:val="right"/>
              <w:ind w:right="4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105BAB"/>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105BAB"/>
            </w:tcBorders>
            <w:shd w:val="clear" w:color="auto" w:fill="F1F3F9"/>
          </w:tcPr>
          <w:p>
            <w:pPr>
              <w:jc w:val="right"/>
              <w:ind w:right="34"/>
              <w:spacing w:after="0"/>
              <w:rPr>
                <w:sz w:val="20"/>
                <w:szCs w:val="20"/>
                <w:color w:val="auto"/>
              </w:rPr>
            </w:pPr>
            <w:r>
              <w:rPr>
                <w:rFonts w:ascii="Arial" w:cs="Arial" w:eastAsia="Arial" w:hAnsi="Arial"/>
                <w:sz w:val="10"/>
                <w:szCs w:val="10"/>
                <w:color w:val="auto"/>
              </w:rPr>
              <w:t>50,000</w:t>
            </w:r>
          </w:p>
        </w:tc>
        <w:tc>
          <w:tcPr>
            <w:tcW w:w="600" w:type="dxa"/>
            <w:vAlign w:val="bottom"/>
            <w:tcBorders>
              <w:bottom w:val="single" w:sz="8" w:color="105BAB"/>
            </w:tcBorders>
            <w:shd w:val="clear" w:color="auto" w:fill="F1F3F9"/>
          </w:tcPr>
          <w:p>
            <w:pPr>
              <w:jc w:val="right"/>
              <w:ind w:right="114"/>
              <w:spacing w:after="0"/>
              <w:rPr>
                <w:sz w:val="20"/>
                <w:szCs w:val="20"/>
                <w:color w:val="auto"/>
              </w:rPr>
            </w:pPr>
            <w:r>
              <w:rPr>
                <w:rFonts w:ascii="Arial" w:cs="Arial" w:eastAsia="Arial" w:hAnsi="Arial"/>
                <w:sz w:val="10"/>
                <w:szCs w:val="10"/>
                <w:color w:val="auto"/>
              </w:rPr>
              <w:t>378.98</w:t>
            </w:r>
          </w:p>
        </w:tc>
        <w:tc>
          <w:tcPr>
            <w:tcW w:w="520" w:type="dxa"/>
            <w:vAlign w:val="bottom"/>
            <w:tcBorders>
              <w:bottom w:val="single" w:sz="8" w:color="105BAB"/>
            </w:tcBorders>
            <w:shd w:val="clear" w:color="auto" w:fill="F1F3F9"/>
          </w:tcPr>
          <w:p>
            <w:pPr>
              <w:jc w:val="right"/>
              <w:ind w:right="54"/>
              <w:spacing w:after="0"/>
              <w:rPr>
                <w:sz w:val="20"/>
                <w:szCs w:val="20"/>
                <w:color w:val="auto"/>
              </w:rPr>
            </w:pPr>
            <w:r>
              <w:rPr>
                <w:rFonts w:ascii="Arial" w:cs="Arial" w:eastAsia="Arial" w:hAnsi="Arial"/>
                <w:sz w:val="10"/>
                <w:szCs w:val="10"/>
                <w:color w:val="auto"/>
              </w:rPr>
              <w:t>381.72</w:t>
            </w:r>
          </w:p>
        </w:tc>
        <w:tc>
          <w:tcPr>
            <w:tcW w:w="520" w:type="dxa"/>
            <w:vAlign w:val="bottom"/>
            <w:tcBorders>
              <w:bottom w:val="single" w:sz="8" w:color="105BAB"/>
            </w:tcBorders>
            <w:shd w:val="clear" w:color="auto" w:fill="F1F3F9"/>
          </w:tcPr>
          <w:p>
            <w:pPr>
              <w:jc w:val="right"/>
              <w:spacing w:after="0"/>
              <w:rPr>
                <w:sz w:val="20"/>
                <w:szCs w:val="20"/>
                <w:color w:val="auto"/>
              </w:rPr>
            </w:pPr>
            <w:r>
              <w:rPr>
                <w:rFonts w:ascii="Arial" w:cs="Arial" w:eastAsia="Arial" w:hAnsi="Arial"/>
                <w:sz w:val="10"/>
                <w:szCs w:val="10"/>
                <w:color w:val="auto"/>
              </w:rPr>
              <w:t>7,875,030</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20"/>
                <w:szCs w:val="20"/>
                <w:color w:val="auto"/>
              </w:rPr>
            </w:pPr>
            <w:r>
              <w:rPr>
                <w:rFonts w:ascii="Arial" w:cs="Arial" w:eastAsia="Arial" w:hAnsi="Arial"/>
                <w:sz w:val="5"/>
                <w:szCs w:val="5"/>
                <w:color w:val="105BAB"/>
                <w:w w:val="70"/>
              </w:rPr>
              <w:t>1</w:t>
            </w:r>
          </w:p>
        </w:tc>
        <w:tc>
          <w:tcPr>
            <w:tcW w:w="11280" w:type="dxa"/>
            <w:vAlign w:val="bottom"/>
            <w:gridSpan w:val="11"/>
            <w:vMerge w:val="restart"/>
          </w:tcPr>
          <w:p>
            <w:pPr>
              <w:jc w:val="right"/>
              <w:spacing w:after="0" w:line="101" w:lineRule="exact"/>
              <w:rPr>
                <w:sz w:val="20"/>
                <w:szCs w:val="20"/>
                <w:color w:val="auto"/>
              </w:rPr>
            </w:pPr>
            <w:r>
              <w:rPr>
                <w:rFonts w:ascii="Arial" w:cs="Arial" w:eastAsia="Arial" w:hAnsi="Arial"/>
                <w:sz w:val="10"/>
                <w:szCs w:val="10"/>
                <w:color w:val="auto"/>
                <w:w w:val="97"/>
              </w:rPr>
              <w:t>Cash incentive awards under the Regeneron Pharmaceuticals, Inc. Cash Incentive Bonus Plan. The actual cash incentive awards earned in respect of 2017 and paid out in January 2018 are reported as "Non-Equity Incentive Plan Compensation" in the Summary</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80" w:type="dxa"/>
            <w:vAlign w:val="bottom"/>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0" w:type="dxa"/>
            <w:vAlign w:val="bottom"/>
            <w:vMerge w:val="restart"/>
          </w:tcPr>
          <w:p>
            <w:pPr>
              <w:jc w:val="right"/>
              <w:ind w:right="56"/>
              <w:spacing w:after="0"/>
              <w:rPr>
                <w:sz w:val="20"/>
                <w:szCs w:val="20"/>
                <w:color w:val="auto"/>
              </w:rPr>
            </w:pPr>
            <w:r>
              <w:rPr>
                <w:rFonts w:ascii="Arial" w:cs="Arial" w:eastAsia="Arial" w:hAnsi="Arial"/>
                <w:sz w:val="5"/>
                <w:szCs w:val="5"/>
                <w:color w:val="105BAB"/>
                <w:w w:val="70"/>
              </w:rPr>
              <w:t>2</w:t>
            </w:r>
          </w:p>
        </w:tc>
        <w:tc>
          <w:tcPr>
            <w:tcW w:w="1136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Compensation Table above.</w:t>
            </w:r>
          </w:p>
        </w:tc>
        <w:tc>
          <w:tcPr>
            <w:tcW w:w="0" w:type="dxa"/>
            <w:vAlign w:val="bottom"/>
          </w:tcPr>
          <w:p>
            <w:pPr>
              <w:spacing w:after="0"/>
              <w:rPr>
                <w:sz w:val="1"/>
                <w:szCs w:val="1"/>
                <w:color w:val="auto"/>
              </w:rPr>
            </w:pPr>
          </w:p>
        </w:tc>
      </w:tr>
      <w:tr>
        <w:trPr>
          <w:trHeight w:val="62"/>
        </w:trPr>
        <w:tc>
          <w:tcPr>
            <w:tcW w:w="120" w:type="dxa"/>
            <w:vAlign w:val="bottom"/>
            <w:vMerge w:val="continue"/>
          </w:tcPr>
          <w:p>
            <w:pPr>
              <w:spacing w:after="0"/>
              <w:rPr>
                <w:sz w:val="5"/>
                <w:szCs w:val="5"/>
                <w:color w:val="auto"/>
              </w:rPr>
            </w:pPr>
          </w:p>
        </w:tc>
        <w:tc>
          <w:tcPr>
            <w:tcW w:w="1136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w w:val="96"/>
              </w:rPr>
              <w:t>These options have an exercise price equal to the average of the high and low sales price per share of the Company's common stock on the date of grant. Therefore, the closing price of our common stock on the grant date may be higher or lower than the exercise</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vMerge w:val="restart"/>
          </w:tcPr>
          <w:p>
            <w:pPr>
              <w:jc w:val="right"/>
              <w:ind w:right="56"/>
              <w:spacing w:after="0"/>
              <w:rPr>
                <w:sz w:val="20"/>
                <w:szCs w:val="20"/>
                <w:color w:val="auto"/>
              </w:rPr>
            </w:pPr>
            <w:r>
              <w:rPr>
                <w:rFonts w:ascii="Arial" w:cs="Arial" w:eastAsia="Arial" w:hAnsi="Arial"/>
                <w:sz w:val="5"/>
                <w:szCs w:val="5"/>
                <w:color w:val="105BAB"/>
                <w:w w:val="70"/>
              </w:rPr>
              <w:t>3</w:t>
            </w:r>
          </w:p>
        </w:tc>
        <w:tc>
          <w:tcPr>
            <w:tcW w:w="1136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price of these options.</w:t>
            </w:r>
          </w:p>
        </w:tc>
        <w:tc>
          <w:tcPr>
            <w:tcW w:w="0" w:type="dxa"/>
            <w:vAlign w:val="bottom"/>
          </w:tcPr>
          <w:p>
            <w:pPr>
              <w:spacing w:after="0"/>
              <w:rPr>
                <w:sz w:val="1"/>
                <w:szCs w:val="1"/>
                <w:color w:val="auto"/>
              </w:rPr>
            </w:pPr>
          </w:p>
        </w:tc>
      </w:tr>
      <w:tr>
        <w:trPr>
          <w:trHeight w:val="62"/>
        </w:trPr>
        <w:tc>
          <w:tcPr>
            <w:tcW w:w="120" w:type="dxa"/>
            <w:vAlign w:val="bottom"/>
            <w:vMerge w:val="continue"/>
          </w:tcPr>
          <w:p>
            <w:pPr>
              <w:spacing w:after="0"/>
              <w:rPr>
                <w:sz w:val="5"/>
                <w:szCs w:val="5"/>
                <w:color w:val="auto"/>
              </w:rPr>
            </w:pPr>
          </w:p>
        </w:tc>
        <w:tc>
          <w:tcPr>
            <w:tcW w:w="1136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w w:val="96"/>
              </w:rPr>
              <w:t>The amounts in this column represent the grant date fair value of the awards made pursuant to the Amended and Restated Regeneron Pharmaceuticals, Inc. 2014 Long-Term Incentive Plan. The assumptions used in the calculation of these amounts are included in</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vMerge w:val="restart"/>
          </w:tcPr>
          <w:p>
            <w:pPr>
              <w:jc w:val="right"/>
              <w:ind w:right="56"/>
              <w:spacing w:after="0"/>
              <w:rPr>
                <w:sz w:val="20"/>
                <w:szCs w:val="20"/>
                <w:color w:val="auto"/>
              </w:rPr>
            </w:pPr>
            <w:r>
              <w:rPr>
                <w:rFonts w:ascii="Arial" w:cs="Arial" w:eastAsia="Arial" w:hAnsi="Arial"/>
                <w:sz w:val="5"/>
                <w:szCs w:val="5"/>
                <w:color w:val="105BAB"/>
                <w:w w:val="70"/>
              </w:rPr>
              <w:t>4</w:t>
            </w:r>
          </w:p>
        </w:tc>
        <w:tc>
          <w:tcPr>
            <w:tcW w:w="1136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Note 14 to the Company's audited financial statements for the fiscal year ended December 31, 2017 included in the 2017 Annual Report.</w:t>
            </w:r>
          </w:p>
        </w:tc>
        <w:tc>
          <w:tcPr>
            <w:tcW w:w="0" w:type="dxa"/>
            <w:vAlign w:val="bottom"/>
          </w:tcPr>
          <w:p>
            <w:pPr>
              <w:spacing w:after="0"/>
              <w:rPr>
                <w:sz w:val="1"/>
                <w:szCs w:val="1"/>
                <w:color w:val="auto"/>
              </w:rPr>
            </w:pPr>
          </w:p>
        </w:tc>
      </w:tr>
      <w:tr>
        <w:trPr>
          <w:trHeight w:val="62"/>
        </w:trPr>
        <w:tc>
          <w:tcPr>
            <w:tcW w:w="120" w:type="dxa"/>
            <w:vAlign w:val="bottom"/>
            <w:vMerge w:val="continue"/>
          </w:tcPr>
          <w:p>
            <w:pPr>
              <w:spacing w:after="0"/>
              <w:rPr>
                <w:sz w:val="5"/>
                <w:szCs w:val="5"/>
                <w:color w:val="auto"/>
              </w:rPr>
            </w:pPr>
          </w:p>
        </w:tc>
        <w:tc>
          <w:tcPr>
            <w:tcW w:w="11360" w:type="dxa"/>
            <w:vAlign w:val="bottom"/>
            <w:gridSpan w:val="2"/>
            <w:vMerge w:val="restart"/>
          </w:tcPr>
          <w:p>
            <w:pPr>
              <w:ind w:left="80"/>
              <w:spacing w:after="0"/>
              <w:rPr>
                <w:sz w:val="20"/>
                <w:szCs w:val="20"/>
                <w:color w:val="auto"/>
              </w:rPr>
            </w:pPr>
            <w:r>
              <w:rPr>
                <w:rFonts w:ascii="Arial" w:cs="Arial" w:eastAsia="Arial" w:hAnsi="Arial"/>
                <w:sz w:val="10"/>
                <w:szCs w:val="10"/>
                <w:color w:val="auto"/>
              </w:rPr>
              <w:t>The NEO received a non-qualified stock option award that vests subject to continued employment at a rate of 25% per year over the first four years of the maximum ten-year option term.</w:t>
            </w: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1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105BAB"/>
          </w:tcPr>
          <w:p>
            <w:pPr>
              <w:spacing w:after="0"/>
              <w:rPr>
                <w:sz w:val="9"/>
                <w:szCs w:val="9"/>
                <w:color w:val="auto"/>
              </w:rPr>
            </w:pPr>
          </w:p>
        </w:tc>
        <w:tc>
          <w:tcPr>
            <w:tcW w:w="320" w:type="dxa"/>
            <w:vAlign w:val="bottom"/>
            <w:shd w:val="clear" w:color="auto" w:fill="105BAB"/>
          </w:tcPr>
          <w:p>
            <w:pPr>
              <w:ind w:left="220"/>
              <w:spacing w:after="0" w:line="108" w:lineRule="exact"/>
              <w:rPr>
                <w:sz w:val="20"/>
                <w:szCs w:val="20"/>
                <w:color w:val="auto"/>
              </w:rPr>
            </w:pPr>
            <w:r>
              <w:rPr>
                <w:rFonts w:ascii="Arial" w:cs="Arial" w:eastAsia="Arial" w:hAnsi="Arial"/>
                <w:sz w:val="10"/>
                <w:szCs w:val="10"/>
                <w:b w:val="1"/>
                <w:bCs w:val="1"/>
                <w:color w:val="FFFFFE"/>
                <w:w w:val="71"/>
              </w:rPr>
              <w:t>74</w:t>
            </w:r>
          </w:p>
        </w:tc>
        <w:tc>
          <w:tcPr>
            <w:tcW w:w="1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10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Outstanding Equity Awards at 2017 Fiscal Year-End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and explanatory footnotes provide information regarding unexercised stock options and unvested restricted stock awards held by our NEOs as of December 31, 2017.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0" w:type="dxa"/>
            <w:vAlign w:val="bottom"/>
            <w:tcBorders>
              <w:top w:val="single" w:sz="8" w:color="105BAB"/>
              <w:bottom w:val="single" w:sz="8" w:color="105BAB"/>
            </w:tcBorders>
          </w:tcPr>
          <w:p>
            <w:pPr>
              <w:spacing w:after="0"/>
              <w:rPr>
                <w:sz w:val="10"/>
                <w:szCs w:val="10"/>
                <w:color w:val="auto"/>
              </w:rPr>
            </w:pPr>
          </w:p>
        </w:tc>
        <w:tc>
          <w:tcPr>
            <w:tcW w:w="1280" w:type="dxa"/>
            <w:vAlign w:val="bottom"/>
            <w:tcBorders>
              <w:top w:val="single" w:sz="8" w:color="105BAB"/>
              <w:bottom w:val="single" w:sz="8" w:color="105BAB"/>
            </w:tcBorders>
            <w:gridSpan w:val="2"/>
          </w:tcPr>
          <w:p>
            <w:pPr>
              <w:ind w:left="260"/>
              <w:spacing w:after="0"/>
              <w:rPr>
                <w:sz w:val="20"/>
                <w:szCs w:val="20"/>
                <w:color w:val="auto"/>
              </w:rPr>
            </w:pPr>
            <w:r>
              <w:rPr>
                <w:rFonts w:ascii="Arial" w:cs="Arial" w:eastAsia="Arial" w:hAnsi="Arial"/>
                <w:sz w:val="10"/>
                <w:szCs w:val="10"/>
                <w:b w:val="1"/>
                <w:bCs w:val="1"/>
                <w:color w:val="105BAB"/>
              </w:rPr>
              <w:t>A</w:t>
            </w:r>
          </w:p>
        </w:tc>
        <w:tc>
          <w:tcPr>
            <w:tcW w:w="56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rPr>
              <w:t>B</w:t>
            </w:r>
          </w:p>
        </w:tc>
        <w:tc>
          <w:tcPr>
            <w:tcW w:w="1520" w:type="dxa"/>
            <w:vAlign w:val="bottom"/>
            <w:tcBorders>
              <w:top w:val="single" w:sz="8" w:color="105BAB"/>
              <w:bottom w:val="single" w:sz="8" w:color="105BAB"/>
            </w:tcBorders>
          </w:tcPr>
          <w:p>
            <w:pPr>
              <w:jc w:val="center"/>
              <w:ind w:left="373"/>
              <w:spacing w:after="0"/>
              <w:rPr>
                <w:sz w:val="20"/>
                <w:szCs w:val="20"/>
                <w:color w:val="auto"/>
              </w:rPr>
            </w:pPr>
            <w:r>
              <w:rPr>
                <w:rFonts w:ascii="Arial" w:cs="Arial" w:eastAsia="Arial" w:hAnsi="Arial"/>
                <w:sz w:val="10"/>
                <w:szCs w:val="10"/>
                <w:b w:val="1"/>
                <w:bCs w:val="1"/>
                <w:color w:val="105BAB"/>
                <w:w w:val="82"/>
              </w:rPr>
              <w:t>C</w:t>
            </w:r>
          </w:p>
        </w:tc>
        <w:tc>
          <w:tcPr>
            <w:tcW w:w="1360" w:type="dxa"/>
            <w:vAlign w:val="bottom"/>
            <w:tcBorders>
              <w:top w:val="single" w:sz="8" w:color="105BAB"/>
              <w:bottom w:val="single" w:sz="8" w:color="105BAB"/>
            </w:tcBorders>
          </w:tcPr>
          <w:p>
            <w:pPr>
              <w:jc w:val="center"/>
              <w:ind w:left="52"/>
              <w:spacing w:after="0"/>
              <w:rPr>
                <w:sz w:val="20"/>
                <w:szCs w:val="20"/>
                <w:color w:val="auto"/>
              </w:rPr>
            </w:pPr>
            <w:r>
              <w:rPr>
                <w:rFonts w:ascii="Arial" w:cs="Arial" w:eastAsia="Arial" w:hAnsi="Arial"/>
                <w:sz w:val="10"/>
                <w:szCs w:val="10"/>
                <w:b w:val="1"/>
                <w:bCs w:val="1"/>
                <w:color w:val="105BAB"/>
                <w:w w:val="82"/>
              </w:rPr>
              <w:t>D</w:t>
            </w:r>
          </w:p>
        </w:tc>
        <w:tc>
          <w:tcPr>
            <w:tcW w:w="1040" w:type="dxa"/>
            <w:vAlign w:val="bottom"/>
            <w:tcBorders>
              <w:top w:val="single" w:sz="8" w:color="105BAB"/>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9"/>
              </w:rPr>
              <w:t>E</w:t>
            </w:r>
          </w:p>
        </w:tc>
        <w:tc>
          <w:tcPr>
            <w:tcW w:w="1460" w:type="dxa"/>
            <w:vAlign w:val="bottom"/>
            <w:tcBorders>
              <w:top w:val="single" w:sz="8" w:color="105BAB"/>
              <w:bottom w:val="single" w:sz="8" w:color="105BAB"/>
            </w:tcBorders>
            <w:gridSpan w:val="2"/>
          </w:tcPr>
          <w:p>
            <w:pPr>
              <w:jc w:val="center"/>
              <w:ind w:right="340"/>
              <w:spacing w:after="0"/>
              <w:rPr>
                <w:sz w:val="20"/>
                <w:szCs w:val="20"/>
                <w:color w:val="auto"/>
              </w:rPr>
            </w:pPr>
            <w:r>
              <w:rPr>
                <w:rFonts w:ascii="Arial" w:cs="Arial" w:eastAsia="Arial" w:hAnsi="Arial"/>
                <w:sz w:val="8"/>
                <w:szCs w:val="8"/>
                <w:b w:val="1"/>
                <w:bCs w:val="1"/>
                <w:color w:val="105BAB"/>
                <w:w w:val="80"/>
              </w:rPr>
              <w:t>F</w:t>
            </w:r>
          </w:p>
        </w:tc>
        <w:tc>
          <w:tcPr>
            <w:tcW w:w="800" w:type="dxa"/>
            <w:vAlign w:val="bottom"/>
            <w:tcBorders>
              <w:top w:val="single" w:sz="8" w:color="105BAB"/>
              <w:bottom w:val="single" w:sz="8" w:color="105BAB"/>
            </w:tcBorders>
          </w:tcPr>
          <w:p>
            <w:pPr>
              <w:jc w:val="center"/>
              <w:ind w:right="392"/>
              <w:spacing w:after="0"/>
              <w:rPr>
                <w:sz w:val="20"/>
                <w:szCs w:val="20"/>
                <w:color w:val="auto"/>
              </w:rPr>
            </w:pPr>
            <w:r>
              <w:rPr>
                <w:rFonts w:ascii="Arial" w:cs="Arial" w:eastAsia="Arial" w:hAnsi="Arial"/>
                <w:sz w:val="10"/>
                <w:szCs w:val="10"/>
                <w:b w:val="1"/>
                <w:bCs w:val="1"/>
                <w:color w:val="105BAB"/>
              </w:rPr>
              <w:t>G</w:t>
            </w:r>
          </w:p>
        </w:tc>
        <w:tc>
          <w:tcPr>
            <w:tcW w:w="800" w:type="dxa"/>
            <w:vAlign w:val="bottom"/>
            <w:tcBorders>
              <w:top w:val="single" w:sz="8" w:color="105BAB"/>
              <w:bottom w:val="single" w:sz="8" w:color="105BAB"/>
            </w:tcBorders>
          </w:tcPr>
          <w:p>
            <w:pPr>
              <w:jc w:val="center"/>
              <w:ind w:left="52"/>
              <w:spacing w:after="0"/>
              <w:rPr>
                <w:sz w:val="20"/>
                <w:szCs w:val="20"/>
                <w:color w:val="auto"/>
              </w:rPr>
            </w:pPr>
            <w:r>
              <w:rPr>
                <w:rFonts w:ascii="Arial" w:cs="Arial" w:eastAsia="Arial" w:hAnsi="Arial"/>
                <w:sz w:val="10"/>
                <w:szCs w:val="10"/>
                <w:b w:val="1"/>
                <w:bCs w:val="1"/>
                <w:color w:val="105BAB"/>
                <w:w w:val="82"/>
              </w:rPr>
              <w:t>H</w:t>
            </w:r>
          </w:p>
        </w:tc>
        <w:tc>
          <w:tcPr>
            <w:tcW w:w="1500" w:type="dxa"/>
            <w:vAlign w:val="bottom"/>
            <w:tcBorders>
              <w:top w:val="single" w:sz="8" w:color="105BAB"/>
              <w:bottom w:val="single" w:sz="8" w:color="105BAB"/>
            </w:tcBorders>
          </w:tcPr>
          <w:p>
            <w:pPr>
              <w:jc w:val="center"/>
              <w:ind w:left="192"/>
              <w:spacing w:after="0"/>
              <w:rPr>
                <w:sz w:val="20"/>
                <w:szCs w:val="20"/>
                <w:color w:val="auto"/>
              </w:rPr>
            </w:pPr>
            <w:r>
              <w:rPr>
                <w:rFonts w:ascii="Arial" w:cs="Arial" w:eastAsia="Arial" w:hAnsi="Arial"/>
                <w:sz w:val="10"/>
                <w:szCs w:val="10"/>
                <w:b w:val="1"/>
                <w:bCs w:val="1"/>
                <w:color w:val="105BAB"/>
                <w:w w:val="70"/>
              </w:rPr>
              <w:t>I</w:t>
            </w:r>
          </w:p>
        </w:tc>
        <w:tc>
          <w:tcPr>
            <w:tcW w:w="980" w:type="dxa"/>
            <w:vAlign w:val="bottom"/>
            <w:tcBorders>
              <w:top w:val="single" w:sz="8" w:color="105BAB"/>
              <w:bottom w:val="single" w:sz="8" w:color="105BAB"/>
            </w:tcBorders>
            <w:gridSpan w:val="2"/>
          </w:tcPr>
          <w:p>
            <w:pPr>
              <w:jc w:val="center"/>
              <w:ind w:left="272"/>
              <w:spacing w:after="0"/>
              <w:rPr>
                <w:sz w:val="20"/>
                <w:szCs w:val="20"/>
                <w:color w:val="auto"/>
              </w:rPr>
            </w:pPr>
            <w:r>
              <w:rPr>
                <w:rFonts w:ascii="Arial" w:cs="Arial" w:eastAsia="Arial" w:hAnsi="Arial"/>
                <w:sz w:val="10"/>
                <w:szCs w:val="10"/>
                <w:b w:val="1"/>
                <w:bCs w:val="1"/>
                <w:color w:val="105BAB"/>
              </w:rPr>
              <w:t>J</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Borders>
              <w:bottom w:val="single" w:sz="8" w:color="105BAB"/>
            </w:tcBorders>
          </w:tcPr>
          <w:p>
            <w:pPr>
              <w:spacing w:after="0"/>
              <w:rPr>
                <w:sz w:val="20"/>
                <w:szCs w:val="20"/>
                <w:color w:val="auto"/>
              </w:rPr>
            </w:pPr>
          </w:p>
        </w:tc>
        <w:tc>
          <w:tcPr>
            <w:tcW w:w="1520" w:type="dxa"/>
            <w:vAlign w:val="bottom"/>
            <w:tcBorders>
              <w:bottom w:val="single" w:sz="8" w:color="105BAB"/>
            </w:tcBorders>
          </w:tcPr>
          <w:p>
            <w:pPr>
              <w:spacing w:after="0"/>
              <w:rPr>
                <w:sz w:val="20"/>
                <w:szCs w:val="20"/>
                <w:color w:val="auto"/>
              </w:rPr>
            </w:pPr>
          </w:p>
        </w:tc>
        <w:tc>
          <w:tcPr>
            <w:tcW w:w="1360" w:type="dxa"/>
            <w:vAlign w:val="bottom"/>
            <w:tcBorders>
              <w:bottom w:val="single" w:sz="8" w:color="105BAB"/>
            </w:tcBorders>
          </w:tcPr>
          <w:p>
            <w:pPr>
              <w:ind w:left="220"/>
              <w:spacing w:after="0"/>
              <w:rPr>
                <w:sz w:val="20"/>
                <w:szCs w:val="20"/>
                <w:color w:val="auto"/>
              </w:rPr>
            </w:pPr>
            <w:r>
              <w:rPr>
                <w:rFonts w:ascii="Arial" w:cs="Arial" w:eastAsia="Arial" w:hAnsi="Arial"/>
                <w:sz w:val="10"/>
                <w:szCs w:val="10"/>
                <w:b w:val="1"/>
                <w:bCs w:val="1"/>
                <w:color w:val="105BAB"/>
              </w:rPr>
              <w:t>Option Awards</w:t>
            </w:r>
          </w:p>
        </w:tc>
        <w:tc>
          <w:tcPr>
            <w:tcW w:w="1040" w:type="dxa"/>
            <w:vAlign w:val="bottom"/>
            <w:tcBorders>
              <w:bottom w:val="single" w:sz="8" w:color="105BAB"/>
            </w:tcBorders>
          </w:tcPr>
          <w:p>
            <w:pPr>
              <w:spacing w:after="0"/>
              <w:rPr>
                <w:sz w:val="20"/>
                <w:szCs w:val="20"/>
                <w:color w:val="auto"/>
              </w:rPr>
            </w:pPr>
          </w:p>
        </w:tc>
        <w:tc>
          <w:tcPr>
            <w:tcW w:w="800" w:type="dxa"/>
            <w:vAlign w:val="bottom"/>
            <w:tcBorders>
              <w:bottom w:val="single" w:sz="8" w:color="105BAB"/>
            </w:tcBorders>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Borders>
              <w:bottom w:val="single" w:sz="8" w:color="105BAB"/>
            </w:tcBorders>
          </w:tcPr>
          <w:p>
            <w:pPr>
              <w:spacing w:after="0"/>
              <w:rPr>
                <w:sz w:val="20"/>
                <w:szCs w:val="20"/>
                <w:color w:val="auto"/>
              </w:rPr>
            </w:pPr>
          </w:p>
        </w:tc>
        <w:tc>
          <w:tcPr>
            <w:tcW w:w="800" w:type="dxa"/>
            <w:vAlign w:val="bottom"/>
            <w:tcBorders>
              <w:bottom w:val="single" w:sz="8" w:color="105BAB"/>
            </w:tcBorders>
          </w:tcPr>
          <w:p>
            <w:pPr>
              <w:spacing w:after="0"/>
              <w:rPr>
                <w:sz w:val="20"/>
                <w:szCs w:val="20"/>
                <w:color w:val="auto"/>
              </w:rPr>
            </w:pPr>
          </w:p>
        </w:tc>
        <w:tc>
          <w:tcPr>
            <w:tcW w:w="1500" w:type="dxa"/>
            <w:vAlign w:val="bottom"/>
            <w:tcBorders>
              <w:bottom w:val="single" w:sz="8" w:color="105BAB"/>
            </w:tcBorders>
          </w:tcPr>
          <w:p>
            <w:pPr>
              <w:ind w:left="120"/>
              <w:spacing w:after="0"/>
              <w:rPr>
                <w:sz w:val="20"/>
                <w:szCs w:val="20"/>
                <w:color w:val="auto"/>
              </w:rPr>
            </w:pPr>
            <w:r>
              <w:rPr>
                <w:rFonts w:ascii="Arial" w:cs="Arial" w:eastAsia="Arial" w:hAnsi="Arial"/>
                <w:sz w:val="10"/>
                <w:szCs w:val="10"/>
                <w:b w:val="1"/>
                <w:bCs w:val="1"/>
                <w:color w:val="105BAB"/>
              </w:rPr>
              <w:t>Stock Awards</w:t>
            </w:r>
          </w:p>
        </w:tc>
        <w:tc>
          <w:tcPr>
            <w:tcW w:w="660" w:type="dxa"/>
            <w:vAlign w:val="bottom"/>
            <w:tcBorders>
              <w:bottom w:val="single" w:sz="8" w:color="105BAB"/>
            </w:tcBorders>
          </w:tcPr>
          <w:p>
            <w:pPr>
              <w:spacing w:after="0"/>
              <w:rPr>
                <w:sz w:val="20"/>
                <w:szCs w:val="20"/>
                <w:color w:val="auto"/>
              </w:rPr>
            </w:pPr>
          </w:p>
        </w:tc>
        <w:tc>
          <w:tcPr>
            <w:tcW w:w="320" w:type="dxa"/>
            <w:vAlign w:val="bottom"/>
            <w:tcBorders>
              <w:bottom w:val="single" w:sz="8" w:color="105BAB"/>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gridSpan w:val="3"/>
          </w:tcPr>
          <w:p>
            <w:pPr>
              <w:jc w:val="center"/>
              <w:ind w:left="132"/>
              <w:spacing w:after="0"/>
              <w:rPr>
                <w:sz w:val="20"/>
                <w:szCs w:val="20"/>
                <w:color w:val="auto"/>
              </w:rPr>
            </w:pPr>
            <w:r>
              <w:rPr>
                <w:rFonts w:ascii="Arial" w:cs="Arial" w:eastAsia="Arial" w:hAnsi="Arial"/>
                <w:sz w:val="10"/>
                <w:szCs w:val="10"/>
                <w:b w:val="1"/>
                <w:bCs w:val="1"/>
                <w:color w:val="105BAB"/>
                <w:w w:val="98"/>
              </w:rPr>
              <w:t>Equity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8"/>
              </w:rPr>
              <w:t>Equity</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6"/>
              </w:rPr>
              <w:t>incentive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392"/>
              <w:spacing w:after="0" w:line="108" w:lineRule="exact"/>
              <w:rPr>
                <w:sz w:val="20"/>
                <w:szCs w:val="20"/>
                <w:color w:val="auto"/>
              </w:rPr>
            </w:pPr>
            <w:r>
              <w:rPr>
                <w:rFonts w:ascii="Arial" w:cs="Arial" w:eastAsia="Arial" w:hAnsi="Arial"/>
                <w:sz w:val="10"/>
                <w:szCs w:val="10"/>
                <w:b w:val="1"/>
                <w:bCs w:val="1"/>
                <w:color w:val="105BAB"/>
                <w:w w:val="95"/>
              </w:rPr>
              <w:t>Number</w:t>
            </w:r>
          </w:p>
        </w:tc>
        <w:tc>
          <w:tcPr>
            <w:tcW w:w="800" w:type="dxa"/>
            <w:vAlign w:val="bottom"/>
          </w:tcPr>
          <w:p>
            <w:pPr>
              <w:spacing w:after="0"/>
              <w:rPr>
                <w:sz w:val="9"/>
                <w:szCs w:val="9"/>
                <w:color w:val="auto"/>
              </w:rPr>
            </w:pP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6"/>
              </w:rPr>
              <w:t>incentive</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4"/>
              </w:rPr>
              <w:t>plan awards: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8"/>
              </w:rPr>
              <w:t>Equity</w:t>
            </w: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392"/>
              <w:spacing w:after="0" w:line="108" w:lineRule="exact"/>
              <w:rPr>
                <w:sz w:val="20"/>
                <w:szCs w:val="20"/>
                <w:color w:val="auto"/>
              </w:rPr>
            </w:pPr>
            <w:r>
              <w:rPr>
                <w:rFonts w:ascii="Arial" w:cs="Arial" w:eastAsia="Arial" w:hAnsi="Arial"/>
                <w:sz w:val="10"/>
                <w:szCs w:val="10"/>
                <w:b w:val="1"/>
                <w:bCs w:val="1"/>
                <w:color w:val="105BAB"/>
                <w:w w:val="84"/>
              </w:rPr>
              <w:t>of</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2"/>
              </w:rPr>
              <w:t>Market</w:t>
            </w: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4"/>
              </w:rPr>
              <w:t>plan awards:</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1"/>
              </w:rPr>
              <w:t>market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6"/>
              </w:rPr>
              <w:t>incentive</w:t>
            </w: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392"/>
              <w:spacing w:after="0" w:line="108" w:lineRule="exact"/>
              <w:rPr>
                <w:sz w:val="20"/>
                <w:szCs w:val="20"/>
                <w:color w:val="auto"/>
              </w:rPr>
            </w:pPr>
            <w:r>
              <w:rPr>
                <w:rFonts w:ascii="Arial" w:cs="Arial" w:eastAsia="Arial" w:hAnsi="Arial"/>
                <w:sz w:val="10"/>
                <w:szCs w:val="10"/>
                <w:b w:val="1"/>
                <w:bCs w:val="1"/>
                <w:color w:val="105BAB"/>
                <w:w w:val="99"/>
              </w:rPr>
              <w:t>shares</w:t>
            </w:r>
          </w:p>
        </w:tc>
        <w:tc>
          <w:tcPr>
            <w:tcW w:w="800" w:type="dxa"/>
            <w:vAlign w:val="bottom"/>
          </w:tcPr>
          <w:p>
            <w:pPr>
              <w:jc w:val="center"/>
              <w:ind w:left="72"/>
              <w:spacing w:after="0" w:line="108" w:lineRule="exact"/>
              <w:rPr>
                <w:sz w:val="20"/>
                <w:szCs w:val="20"/>
                <w:color w:val="auto"/>
              </w:rPr>
            </w:pPr>
            <w:r>
              <w:rPr>
                <w:rFonts w:ascii="Arial" w:cs="Arial" w:eastAsia="Arial" w:hAnsi="Arial"/>
                <w:sz w:val="10"/>
                <w:szCs w:val="10"/>
                <w:b w:val="1"/>
                <w:bCs w:val="1"/>
                <w:color w:val="105BAB"/>
                <w:w w:val="93"/>
              </w:rPr>
              <w:t>value</w:t>
            </w:r>
          </w:p>
        </w:tc>
        <w:tc>
          <w:tcPr>
            <w:tcW w:w="1500" w:type="dxa"/>
            <w:vAlign w:val="bottom"/>
          </w:tcPr>
          <w:p>
            <w:pPr>
              <w:jc w:val="center"/>
              <w:ind w:left="172"/>
              <w:spacing w:after="0" w:line="108" w:lineRule="exact"/>
              <w:rPr>
                <w:sz w:val="20"/>
                <w:szCs w:val="20"/>
                <w:color w:val="auto"/>
              </w:rPr>
            </w:pPr>
            <w:r>
              <w:rPr>
                <w:rFonts w:ascii="Arial" w:cs="Arial" w:eastAsia="Arial" w:hAnsi="Arial"/>
                <w:sz w:val="10"/>
                <w:szCs w:val="10"/>
                <w:b w:val="1"/>
                <w:bCs w:val="1"/>
                <w:color w:val="105BAB"/>
                <w:w w:val="98"/>
              </w:rPr>
              <w:t>number of</w:t>
            </w:r>
          </w:p>
        </w:tc>
        <w:tc>
          <w:tcPr>
            <w:tcW w:w="1120" w:type="dxa"/>
            <w:vAlign w:val="bottom"/>
            <w:gridSpan w:val="3"/>
          </w:tcPr>
          <w:p>
            <w:pPr>
              <w:jc w:val="center"/>
              <w:ind w:left="152"/>
              <w:spacing w:after="0" w:line="108" w:lineRule="exact"/>
              <w:rPr>
                <w:sz w:val="20"/>
                <w:szCs w:val="20"/>
                <w:color w:val="auto"/>
              </w:rPr>
            </w:pPr>
            <w:r>
              <w:rPr>
                <w:rFonts w:ascii="Arial" w:cs="Arial" w:eastAsia="Arial" w:hAnsi="Arial"/>
                <w:sz w:val="10"/>
                <w:szCs w:val="10"/>
                <w:b w:val="1"/>
                <w:bCs w:val="1"/>
                <w:color w:val="105BAB"/>
                <w:w w:val="96"/>
              </w:rPr>
              <w:t>or payout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4"/>
              </w:rPr>
              <w:t>plan awards:</w:t>
            </w: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392"/>
              <w:spacing w:after="0" w:line="108" w:lineRule="exact"/>
              <w:rPr>
                <w:sz w:val="20"/>
                <w:szCs w:val="20"/>
                <w:color w:val="auto"/>
              </w:rPr>
            </w:pPr>
            <w:r>
              <w:rPr>
                <w:rFonts w:ascii="Arial" w:cs="Arial" w:eastAsia="Arial" w:hAnsi="Arial"/>
                <w:sz w:val="10"/>
                <w:szCs w:val="10"/>
                <w:b w:val="1"/>
                <w:bCs w:val="1"/>
                <w:color w:val="105BAB"/>
                <w:w w:val="98"/>
              </w:rPr>
              <w:t>or units</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4"/>
              </w:rPr>
              <w:t>of shares</w:t>
            </w:r>
          </w:p>
        </w:tc>
        <w:tc>
          <w:tcPr>
            <w:tcW w:w="1500" w:type="dxa"/>
            <w:vAlign w:val="bottom"/>
          </w:tcPr>
          <w:p>
            <w:pPr>
              <w:jc w:val="center"/>
              <w:ind w:left="172"/>
              <w:spacing w:after="0" w:line="108" w:lineRule="exact"/>
              <w:rPr>
                <w:sz w:val="20"/>
                <w:szCs w:val="20"/>
                <w:color w:val="auto"/>
              </w:rPr>
            </w:pPr>
            <w:r>
              <w:rPr>
                <w:rFonts w:ascii="Arial" w:cs="Arial" w:eastAsia="Arial" w:hAnsi="Arial"/>
                <w:sz w:val="10"/>
                <w:szCs w:val="10"/>
                <w:b w:val="1"/>
                <w:bCs w:val="1"/>
                <w:color w:val="105BAB"/>
                <w:w w:val="97"/>
              </w:rPr>
              <w:t>unearned</w:t>
            </w:r>
          </w:p>
        </w:tc>
        <w:tc>
          <w:tcPr>
            <w:tcW w:w="1120" w:type="dxa"/>
            <w:vAlign w:val="bottom"/>
            <w:gridSpan w:val="3"/>
          </w:tcPr>
          <w:p>
            <w:pPr>
              <w:jc w:val="center"/>
              <w:ind w:left="152"/>
              <w:spacing w:after="0" w:line="108" w:lineRule="exact"/>
              <w:rPr>
                <w:sz w:val="20"/>
                <w:szCs w:val="20"/>
                <w:color w:val="auto"/>
              </w:rPr>
            </w:pPr>
            <w:r>
              <w:rPr>
                <w:rFonts w:ascii="Arial" w:cs="Arial" w:eastAsia="Arial" w:hAnsi="Arial"/>
                <w:sz w:val="10"/>
                <w:szCs w:val="10"/>
                <w:b w:val="1"/>
                <w:bCs w:val="1"/>
                <w:color w:val="105BAB"/>
                <w:w w:val="95"/>
              </w:rPr>
              <w:t>value of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Number of</w:t>
            </w:r>
          </w:p>
        </w:tc>
        <w:tc>
          <w:tcPr>
            <w:tcW w:w="1520" w:type="dxa"/>
            <w:vAlign w:val="bottom"/>
          </w:tcPr>
          <w:p>
            <w:pPr>
              <w:jc w:val="center"/>
              <w:ind w:left="353"/>
              <w:spacing w:after="0" w:line="108" w:lineRule="exact"/>
              <w:rPr>
                <w:sz w:val="20"/>
                <w:szCs w:val="20"/>
                <w:color w:val="auto"/>
              </w:rPr>
            </w:pPr>
            <w:r>
              <w:rPr>
                <w:rFonts w:ascii="Arial" w:cs="Arial" w:eastAsia="Arial" w:hAnsi="Arial"/>
                <w:sz w:val="10"/>
                <w:szCs w:val="10"/>
                <w:b w:val="1"/>
                <w:bCs w:val="1"/>
                <w:color w:val="105BAB"/>
                <w:w w:val="95"/>
              </w:rPr>
              <w:t>Number of</w:t>
            </w: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3"/>
              </w:rPr>
              <w:t>number of</w:t>
            </w: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392"/>
              <w:spacing w:after="0" w:line="108" w:lineRule="exact"/>
              <w:rPr>
                <w:sz w:val="20"/>
                <w:szCs w:val="20"/>
                <w:color w:val="auto"/>
              </w:rPr>
            </w:pPr>
            <w:r>
              <w:rPr>
                <w:rFonts w:ascii="Arial" w:cs="Arial" w:eastAsia="Arial" w:hAnsi="Arial"/>
                <w:sz w:val="10"/>
                <w:szCs w:val="10"/>
                <w:b w:val="1"/>
                <w:bCs w:val="1"/>
                <w:color w:val="105BAB"/>
                <w:w w:val="84"/>
              </w:rPr>
              <w:t>of</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9"/>
              </w:rPr>
              <w:t>or</w:t>
            </w:r>
          </w:p>
        </w:tc>
        <w:tc>
          <w:tcPr>
            <w:tcW w:w="1500" w:type="dxa"/>
            <w:vAlign w:val="bottom"/>
          </w:tcPr>
          <w:p>
            <w:pPr>
              <w:jc w:val="center"/>
              <w:ind w:left="172"/>
              <w:spacing w:after="0" w:line="108" w:lineRule="exact"/>
              <w:rPr>
                <w:sz w:val="20"/>
                <w:szCs w:val="20"/>
                <w:color w:val="auto"/>
              </w:rPr>
            </w:pPr>
            <w:r>
              <w:rPr>
                <w:rFonts w:ascii="Arial" w:cs="Arial" w:eastAsia="Arial" w:hAnsi="Arial"/>
                <w:sz w:val="10"/>
                <w:szCs w:val="10"/>
                <w:b w:val="1"/>
                <w:bCs w:val="1"/>
                <w:color w:val="105BAB"/>
                <w:w w:val="97"/>
              </w:rPr>
              <w:t>shares, units</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3"/>
              </w:rPr>
              <w:t>unearned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securities</w:t>
            </w:r>
          </w:p>
        </w:tc>
        <w:tc>
          <w:tcPr>
            <w:tcW w:w="1520" w:type="dxa"/>
            <w:vAlign w:val="bottom"/>
          </w:tcPr>
          <w:p>
            <w:pPr>
              <w:jc w:val="center"/>
              <w:ind w:left="373"/>
              <w:spacing w:after="0" w:line="108" w:lineRule="exact"/>
              <w:rPr>
                <w:sz w:val="20"/>
                <w:szCs w:val="20"/>
                <w:color w:val="auto"/>
              </w:rPr>
            </w:pPr>
            <w:r>
              <w:rPr>
                <w:rFonts w:ascii="Arial" w:cs="Arial" w:eastAsia="Arial" w:hAnsi="Arial"/>
                <w:sz w:val="10"/>
                <w:szCs w:val="10"/>
                <w:b w:val="1"/>
                <w:bCs w:val="1"/>
                <w:color w:val="105BAB"/>
                <w:w w:val="98"/>
              </w:rPr>
              <w:t>securities</w:t>
            </w: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8"/>
              </w:rPr>
              <w:t>securities</w:t>
            </w: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392"/>
              <w:spacing w:after="0" w:line="108" w:lineRule="exact"/>
              <w:rPr>
                <w:sz w:val="20"/>
                <w:szCs w:val="20"/>
                <w:color w:val="auto"/>
              </w:rPr>
            </w:pPr>
            <w:r>
              <w:rPr>
                <w:rFonts w:ascii="Arial" w:cs="Arial" w:eastAsia="Arial" w:hAnsi="Arial"/>
                <w:sz w:val="10"/>
                <w:szCs w:val="10"/>
                <w:b w:val="1"/>
                <w:bCs w:val="1"/>
                <w:color w:val="105BAB"/>
                <w:w w:val="91"/>
              </w:rPr>
              <w:t>stock</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4"/>
              </w:rPr>
              <w:t>units of</w:t>
            </w: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9"/>
              </w:rPr>
              <w:t>or</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6"/>
              </w:rPr>
              <w:t>shares,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3"/>
              </w:rPr>
              <w:t>underlying</w:t>
            </w:r>
          </w:p>
        </w:tc>
        <w:tc>
          <w:tcPr>
            <w:tcW w:w="1520" w:type="dxa"/>
            <w:vAlign w:val="bottom"/>
          </w:tcPr>
          <w:p>
            <w:pPr>
              <w:jc w:val="center"/>
              <w:ind w:left="373"/>
              <w:spacing w:after="0" w:line="108" w:lineRule="exact"/>
              <w:rPr>
                <w:sz w:val="20"/>
                <w:szCs w:val="20"/>
                <w:color w:val="auto"/>
              </w:rPr>
            </w:pPr>
            <w:r>
              <w:rPr>
                <w:rFonts w:ascii="Arial" w:cs="Arial" w:eastAsia="Arial" w:hAnsi="Arial"/>
                <w:sz w:val="10"/>
                <w:szCs w:val="10"/>
                <w:b w:val="1"/>
                <w:bCs w:val="1"/>
                <w:color w:val="105BAB"/>
                <w:w w:val="97"/>
              </w:rPr>
              <w:t>underlying</w:t>
            </w: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7"/>
              </w:rPr>
              <w:t>underlying</w:t>
            </w: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412"/>
              <w:spacing w:after="0" w:line="108" w:lineRule="exact"/>
              <w:rPr>
                <w:sz w:val="20"/>
                <w:szCs w:val="20"/>
                <w:color w:val="auto"/>
              </w:rPr>
            </w:pPr>
            <w:r>
              <w:rPr>
                <w:rFonts w:ascii="Arial" w:cs="Arial" w:eastAsia="Arial" w:hAnsi="Arial"/>
                <w:sz w:val="10"/>
                <w:szCs w:val="10"/>
                <w:b w:val="1"/>
                <w:bCs w:val="1"/>
                <w:color w:val="105BAB"/>
                <w:w w:val="97"/>
              </w:rPr>
              <w:t>that</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9"/>
              </w:rPr>
              <w:t>stock</w:t>
            </w: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7"/>
              </w:rPr>
              <w:t>other rights</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6"/>
              </w:rPr>
              <w:t>units or other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unexercised</w:t>
            </w:r>
          </w:p>
        </w:tc>
        <w:tc>
          <w:tcPr>
            <w:tcW w:w="1520" w:type="dxa"/>
            <w:vAlign w:val="bottom"/>
          </w:tcPr>
          <w:p>
            <w:pPr>
              <w:jc w:val="center"/>
              <w:ind w:left="353"/>
              <w:spacing w:after="0" w:line="108" w:lineRule="exact"/>
              <w:rPr>
                <w:sz w:val="20"/>
                <w:szCs w:val="20"/>
                <w:color w:val="auto"/>
              </w:rPr>
            </w:pPr>
            <w:r>
              <w:rPr>
                <w:rFonts w:ascii="Arial" w:cs="Arial" w:eastAsia="Arial" w:hAnsi="Arial"/>
                <w:sz w:val="10"/>
                <w:szCs w:val="10"/>
                <w:b w:val="1"/>
                <w:bCs w:val="1"/>
                <w:color w:val="105BAB"/>
                <w:w w:val="95"/>
              </w:rPr>
              <w:t>unexercised</w:t>
            </w:r>
          </w:p>
        </w:tc>
        <w:tc>
          <w:tcPr>
            <w:tcW w:w="1360" w:type="dxa"/>
            <w:vAlign w:val="bottom"/>
          </w:tcPr>
          <w:p>
            <w:pPr>
              <w:jc w:val="center"/>
              <w:ind w:left="72"/>
              <w:spacing w:after="0" w:line="108" w:lineRule="exact"/>
              <w:rPr>
                <w:sz w:val="20"/>
                <w:szCs w:val="20"/>
                <w:color w:val="auto"/>
              </w:rPr>
            </w:pPr>
            <w:r>
              <w:rPr>
                <w:rFonts w:ascii="Arial" w:cs="Arial" w:eastAsia="Arial" w:hAnsi="Arial"/>
                <w:sz w:val="10"/>
                <w:szCs w:val="10"/>
                <w:b w:val="1"/>
                <w:bCs w:val="1"/>
                <w:color w:val="105BAB"/>
                <w:w w:val="95"/>
              </w:rPr>
              <w:t>unexercised</w:t>
            </w: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9"/>
              </w:rPr>
              <w:t>Option</w:t>
            </w: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jc w:val="center"/>
              <w:ind w:right="412"/>
              <w:spacing w:after="0" w:line="108" w:lineRule="exact"/>
              <w:rPr>
                <w:sz w:val="20"/>
                <w:szCs w:val="20"/>
                <w:color w:val="auto"/>
              </w:rPr>
            </w:pPr>
            <w:r>
              <w:rPr>
                <w:rFonts w:ascii="Arial" w:cs="Arial" w:eastAsia="Arial" w:hAnsi="Arial"/>
                <w:sz w:val="10"/>
                <w:szCs w:val="10"/>
                <w:b w:val="1"/>
                <w:bCs w:val="1"/>
                <w:color w:val="105BAB"/>
                <w:w w:val="96"/>
              </w:rPr>
              <w:t>have</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5"/>
              </w:rPr>
              <w:t>that have</w:t>
            </w: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7"/>
              </w:rPr>
              <w:t>that</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3"/>
              </w:rPr>
              <w:t>rights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9"/>
              </w:rPr>
              <w:t>options</w:t>
            </w:r>
          </w:p>
        </w:tc>
        <w:tc>
          <w:tcPr>
            <w:tcW w:w="1520" w:type="dxa"/>
            <w:vAlign w:val="bottom"/>
          </w:tcPr>
          <w:p>
            <w:pPr>
              <w:jc w:val="center"/>
              <w:ind w:left="373"/>
              <w:spacing w:after="0" w:line="108" w:lineRule="exact"/>
              <w:rPr>
                <w:sz w:val="20"/>
                <w:szCs w:val="20"/>
                <w:color w:val="auto"/>
              </w:rPr>
            </w:pPr>
            <w:r>
              <w:rPr>
                <w:rFonts w:ascii="Arial" w:cs="Arial" w:eastAsia="Arial" w:hAnsi="Arial"/>
                <w:sz w:val="10"/>
                <w:szCs w:val="10"/>
                <w:b w:val="1"/>
                <w:bCs w:val="1"/>
                <w:color w:val="105BAB"/>
                <w:w w:val="94"/>
              </w:rPr>
              <w:t>options</w:t>
            </w: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3"/>
              </w:rPr>
              <w:t>unearned</w:t>
            </w: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4"/>
              </w:rPr>
              <w:t>exercise</w:t>
            </w:r>
          </w:p>
        </w:tc>
        <w:tc>
          <w:tcPr>
            <w:tcW w:w="146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105BAB"/>
                <w:w w:val="99"/>
              </w:rPr>
              <w:t>Option</w:t>
            </w:r>
          </w:p>
        </w:tc>
        <w:tc>
          <w:tcPr>
            <w:tcW w:w="800" w:type="dxa"/>
            <w:vAlign w:val="bottom"/>
          </w:tcPr>
          <w:p>
            <w:pPr>
              <w:ind w:left="100"/>
              <w:spacing w:after="0" w:line="108" w:lineRule="exact"/>
              <w:rPr>
                <w:sz w:val="20"/>
                <w:szCs w:val="20"/>
                <w:color w:val="auto"/>
              </w:rPr>
            </w:pPr>
            <w:r>
              <w:rPr>
                <w:rFonts w:ascii="Arial" w:cs="Arial" w:eastAsia="Arial" w:hAnsi="Arial"/>
                <w:sz w:val="10"/>
                <w:szCs w:val="10"/>
                <w:b w:val="1"/>
                <w:bCs w:val="1"/>
                <w:color w:val="105BAB"/>
              </w:rPr>
              <w:t>not</w:t>
            </w:r>
          </w:p>
        </w:tc>
        <w:tc>
          <w:tcPr>
            <w:tcW w:w="800" w:type="dxa"/>
            <w:vAlign w:val="bottom"/>
          </w:tcPr>
          <w:p>
            <w:pPr>
              <w:ind w:left="380"/>
              <w:spacing w:after="0" w:line="108" w:lineRule="exact"/>
              <w:rPr>
                <w:sz w:val="20"/>
                <w:szCs w:val="20"/>
                <w:color w:val="auto"/>
              </w:rPr>
            </w:pPr>
            <w:r>
              <w:rPr>
                <w:rFonts w:ascii="Arial" w:cs="Arial" w:eastAsia="Arial" w:hAnsi="Arial"/>
                <w:sz w:val="10"/>
                <w:szCs w:val="10"/>
                <w:b w:val="1"/>
                <w:bCs w:val="1"/>
                <w:color w:val="105BAB"/>
              </w:rPr>
              <w:t>not</w:t>
            </w:r>
          </w:p>
        </w:tc>
        <w:tc>
          <w:tcPr>
            <w:tcW w:w="1500" w:type="dxa"/>
            <w:vAlign w:val="bottom"/>
          </w:tcPr>
          <w:p>
            <w:pPr>
              <w:jc w:val="center"/>
              <w:ind w:left="172"/>
              <w:spacing w:after="0" w:line="108" w:lineRule="exact"/>
              <w:rPr>
                <w:sz w:val="20"/>
                <w:szCs w:val="20"/>
                <w:color w:val="auto"/>
              </w:rPr>
            </w:pPr>
            <w:r>
              <w:rPr>
                <w:rFonts w:ascii="Arial" w:cs="Arial" w:eastAsia="Arial" w:hAnsi="Arial"/>
                <w:sz w:val="10"/>
                <w:szCs w:val="10"/>
                <w:b w:val="1"/>
                <w:bCs w:val="1"/>
                <w:color w:val="105BAB"/>
                <w:w w:val="97"/>
              </w:rPr>
              <w:t>have not</w:t>
            </w:r>
          </w:p>
        </w:tc>
        <w:tc>
          <w:tcPr>
            <w:tcW w:w="1120" w:type="dxa"/>
            <w:vAlign w:val="bottom"/>
            <w:gridSpan w:val="3"/>
          </w:tcPr>
          <w:p>
            <w:pPr>
              <w:jc w:val="center"/>
              <w:ind w:left="152"/>
              <w:spacing w:after="0" w:line="108" w:lineRule="exact"/>
              <w:rPr>
                <w:sz w:val="20"/>
                <w:szCs w:val="20"/>
                <w:color w:val="auto"/>
              </w:rPr>
            </w:pPr>
            <w:r>
              <w:rPr>
                <w:rFonts w:ascii="Arial" w:cs="Arial" w:eastAsia="Arial" w:hAnsi="Arial"/>
                <w:sz w:val="10"/>
                <w:szCs w:val="10"/>
                <w:b w:val="1"/>
                <w:bCs w:val="1"/>
                <w:color w:val="105BAB"/>
                <w:w w:val="96"/>
              </w:rPr>
              <w:t>that have not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exercisable</w:t>
            </w:r>
          </w:p>
        </w:tc>
        <w:tc>
          <w:tcPr>
            <w:tcW w:w="1520" w:type="dxa"/>
            <w:vAlign w:val="bottom"/>
          </w:tcPr>
          <w:p>
            <w:pPr>
              <w:jc w:val="center"/>
              <w:ind w:left="353"/>
              <w:spacing w:after="0" w:line="108" w:lineRule="exact"/>
              <w:rPr>
                <w:sz w:val="20"/>
                <w:szCs w:val="20"/>
                <w:color w:val="auto"/>
              </w:rPr>
            </w:pPr>
            <w:r>
              <w:rPr>
                <w:rFonts w:ascii="Arial" w:cs="Arial" w:eastAsia="Arial" w:hAnsi="Arial"/>
                <w:sz w:val="10"/>
                <w:szCs w:val="10"/>
                <w:b w:val="1"/>
                <w:bCs w:val="1"/>
                <w:color w:val="105BAB"/>
                <w:w w:val="95"/>
              </w:rPr>
              <w:t>unexercisable</w:t>
            </w:r>
          </w:p>
        </w:tc>
        <w:tc>
          <w:tcPr>
            <w:tcW w:w="136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4"/>
              </w:rPr>
              <w:t>options</w:t>
            </w: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rPr>
              <w:t>price</w:t>
            </w:r>
          </w:p>
        </w:tc>
        <w:tc>
          <w:tcPr>
            <w:tcW w:w="146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105BAB"/>
                <w:w w:val="91"/>
              </w:rPr>
              <w:t>expiration</w:t>
            </w:r>
          </w:p>
        </w:tc>
        <w:tc>
          <w:tcPr>
            <w:tcW w:w="800" w:type="dxa"/>
            <w:vAlign w:val="bottom"/>
          </w:tcPr>
          <w:p>
            <w:pPr>
              <w:jc w:val="center"/>
              <w:ind w:right="412"/>
              <w:spacing w:after="0" w:line="108" w:lineRule="exact"/>
              <w:rPr>
                <w:sz w:val="20"/>
                <w:szCs w:val="20"/>
                <w:color w:val="auto"/>
              </w:rPr>
            </w:pPr>
            <w:r>
              <w:rPr>
                <w:rFonts w:ascii="Arial" w:cs="Arial" w:eastAsia="Arial" w:hAnsi="Arial"/>
                <w:sz w:val="10"/>
                <w:szCs w:val="10"/>
                <w:b w:val="1"/>
                <w:bCs w:val="1"/>
                <w:color w:val="105BAB"/>
                <w:w w:val="94"/>
              </w:rPr>
              <w:t>vested</w:t>
            </w:r>
          </w:p>
        </w:tc>
        <w:tc>
          <w:tcPr>
            <w:tcW w:w="800" w:type="dxa"/>
            <w:vAlign w:val="bottom"/>
          </w:tcPr>
          <w:p>
            <w:pPr>
              <w:jc w:val="center"/>
              <w:ind w:left="52"/>
              <w:spacing w:after="0" w:line="108" w:lineRule="exact"/>
              <w:rPr>
                <w:sz w:val="20"/>
                <w:szCs w:val="20"/>
                <w:color w:val="auto"/>
              </w:rPr>
            </w:pPr>
            <w:r>
              <w:rPr>
                <w:rFonts w:ascii="Arial" w:cs="Arial" w:eastAsia="Arial" w:hAnsi="Arial"/>
                <w:sz w:val="10"/>
                <w:szCs w:val="10"/>
                <w:b w:val="1"/>
                <w:bCs w:val="1"/>
                <w:color w:val="105BAB"/>
                <w:w w:val="94"/>
              </w:rPr>
              <w:t>vested</w:t>
            </w:r>
          </w:p>
        </w:tc>
        <w:tc>
          <w:tcPr>
            <w:tcW w:w="1500" w:type="dxa"/>
            <w:vAlign w:val="bottom"/>
          </w:tcPr>
          <w:p>
            <w:pPr>
              <w:jc w:val="center"/>
              <w:ind w:left="192"/>
              <w:spacing w:after="0" w:line="108" w:lineRule="exact"/>
              <w:rPr>
                <w:sz w:val="20"/>
                <w:szCs w:val="20"/>
                <w:color w:val="auto"/>
              </w:rPr>
            </w:pPr>
            <w:r>
              <w:rPr>
                <w:rFonts w:ascii="Arial" w:cs="Arial" w:eastAsia="Arial" w:hAnsi="Arial"/>
                <w:sz w:val="10"/>
                <w:szCs w:val="10"/>
                <w:b w:val="1"/>
                <w:bCs w:val="1"/>
                <w:color w:val="105BAB"/>
                <w:w w:val="94"/>
              </w:rPr>
              <w:t>vested</w:t>
            </w:r>
          </w:p>
        </w:tc>
        <w:tc>
          <w:tcPr>
            <w:tcW w:w="1120" w:type="dxa"/>
            <w:vAlign w:val="bottom"/>
            <w:gridSpan w:val="3"/>
          </w:tcPr>
          <w:p>
            <w:pPr>
              <w:jc w:val="center"/>
              <w:ind w:left="132"/>
              <w:spacing w:after="0" w:line="108" w:lineRule="exact"/>
              <w:rPr>
                <w:sz w:val="20"/>
                <w:szCs w:val="20"/>
                <w:color w:val="auto"/>
              </w:rPr>
            </w:pPr>
            <w:r>
              <w:rPr>
                <w:rFonts w:ascii="Arial" w:cs="Arial" w:eastAsia="Arial" w:hAnsi="Arial"/>
                <w:sz w:val="10"/>
                <w:szCs w:val="10"/>
                <w:b w:val="1"/>
                <w:bCs w:val="1"/>
                <w:color w:val="105BAB"/>
                <w:w w:val="94"/>
              </w:rPr>
              <w:t>vested</w:t>
            </w:r>
          </w:p>
        </w:tc>
        <w:tc>
          <w:tcPr>
            <w:tcW w:w="0" w:type="dxa"/>
            <w:vAlign w:val="bottom"/>
          </w:tcPr>
          <w:p>
            <w:pPr>
              <w:spacing w:after="0"/>
              <w:rPr>
                <w:sz w:val="1"/>
                <w:szCs w:val="1"/>
                <w:color w:val="auto"/>
              </w:rPr>
            </w:pPr>
          </w:p>
        </w:tc>
      </w:tr>
      <w:tr>
        <w:trPr>
          <w:trHeight w:val="117"/>
        </w:trPr>
        <w:tc>
          <w:tcPr>
            <w:tcW w:w="1320" w:type="dxa"/>
            <w:vAlign w:val="bottom"/>
            <w:gridSpan w:val="4"/>
          </w:tcPr>
          <w:p>
            <w:pPr>
              <w:spacing w:after="0"/>
              <w:rPr>
                <w:sz w:val="20"/>
                <w:szCs w:val="20"/>
                <w:color w:val="auto"/>
              </w:rPr>
            </w:pPr>
            <w:r>
              <w:rPr>
                <w:rFonts w:ascii="Arial" w:cs="Arial" w:eastAsia="Arial" w:hAnsi="Arial"/>
                <w:sz w:val="10"/>
                <w:szCs w:val="10"/>
                <w:b w:val="1"/>
                <w:bCs w:val="1"/>
                <w:color w:val="105BAB"/>
              </w:rPr>
              <w:t>Name</w:t>
            </w:r>
          </w:p>
        </w:tc>
        <w:tc>
          <w:tcPr>
            <w:tcW w:w="560" w:type="dxa"/>
            <w:vAlign w:val="bottom"/>
          </w:tcPr>
          <w:p>
            <w:pPr>
              <w:ind w:left="220"/>
              <w:spacing w:after="0"/>
              <w:rPr>
                <w:sz w:val="20"/>
                <w:szCs w:val="20"/>
                <w:color w:val="auto"/>
              </w:rPr>
            </w:pPr>
            <w:r>
              <w:rPr>
                <w:rFonts w:ascii="Arial" w:cs="Arial" w:eastAsia="Arial" w:hAnsi="Arial"/>
                <w:sz w:val="10"/>
                <w:szCs w:val="10"/>
                <w:b w:val="1"/>
                <w:bCs w:val="1"/>
                <w:color w:val="105BAB"/>
              </w:rPr>
              <w:t>(#)</w:t>
            </w:r>
          </w:p>
        </w:tc>
        <w:tc>
          <w:tcPr>
            <w:tcW w:w="1520" w:type="dxa"/>
            <w:vAlign w:val="bottom"/>
          </w:tcPr>
          <w:p>
            <w:pPr>
              <w:jc w:val="right"/>
              <w:ind w:right="453"/>
              <w:spacing w:after="0"/>
              <w:rPr>
                <w:sz w:val="20"/>
                <w:szCs w:val="20"/>
                <w:color w:val="auto"/>
              </w:rPr>
            </w:pPr>
            <w:r>
              <w:rPr>
                <w:rFonts w:ascii="Arial" w:cs="Arial" w:eastAsia="Arial" w:hAnsi="Arial"/>
                <w:sz w:val="10"/>
                <w:szCs w:val="10"/>
                <w:b w:val="1"/>
                <w:bCs w:val="1"/>
                <w:color w:val="105BAB"/>
              </w:rPr>
              <w:t>(#)</w:t>
            </w:r>
          </w:p>
        </w:tc>
        <w:tc>
          <w:tcPr>
            <w:tcW w:w="1360" w:type="dxa"/>
            <w:vAlign w:val="bottom"/>
          </w:tcPr>
          <w:p>
            <w:pPr>
              <w:jc w:val="center"/>
              <w:ind w:left="52"/>
              <w:spacing w:after="0"/>
              <w:rPr>
                <w:sz w:val="20"/>
                <w:szCs w:val="20"/>
                <w:color w:val="auto"/>
              </w:rPr>
            </w:pPr>
            <w:r>
              <w:rPr>
                <w:rFonts w:ascii="Arial" w:cs="Arial" w:eastAsia="Arial" w:hAnsi="Arial"/>
                <w:sz w:val="10"/>
                <w:szCs w:val="10"/>
                <w:b w:val="1"/>
                <w:bCs w:val="1"/>
                <w:color w:val="105BAB"/>
                <w:w w:val="81"/>
              </w:rPr>
              <w:t>(#)</w:t>
            </w:r>
          </w:p>
        </w:tc>
        <w:tc>
          <w:tcPr>
            <w:tcW w:w="1040" w:type="dxa"/>
            <w:vAlign w:val="bottom"/>
          </w:tcPr>
          <w:p>
            <w:pPr>
              <w:jc w:val="right"/>
              <w:ind w:right="412"/>
              <w:spacing w:after="0"/>
              <w:rPr>
                <w:sz w:val="20"/>
                <w:szCs w:val="20"/>
                <w:color w:val="auto"/>
              </w:rPr>
            </w:pPr>
            <w:r>
              <w:rPr>
                <w:rFonts w:ascii="Arial" w:cs="Arial" w:eastAsia="Arial" w:hAnsi="Arial"/>
                <w:sz w:val="10"/>
                <w:szCs w:val="10"/>
                <w:b w:val="1"/>
                <w:bCs w:val="1"/>
                <w:color w:val="105BAB"/>
              </w:rPr>
              <w:t>($)</w:t>
            </w:r>
          </w:p>
        </w:tc>
        <w:tc>
          <w:tcPr>
            <w:tcW w:w="14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105BAB"/>
                <w:w w:val="97"/>
              </w:rPr>
              <w:t>date</w:t>
            </w:r>
          </w:p>
        </w:tc>
        <w:tc>
          <w:tcPr>
            <w:tcW w:w="800" w:type="dxa"/>
            <w:vAlign w:val="bottom"/>
          </w:tcPr>
          <w:p>
            <w:pPr>
              <w:ind w:left="120"/>
              <w:spacing w:after="0"/>
              <w:rPr>
                <w:sz w:val="20"/>
                <w:szCs w:val="20"/>
                <w:color w:val="auto"/>
              </w:rPr>
            </w:pPr>
            <w:r>
              <w:rPr>
                <w:rFonts w:ascii="Arial" w:cs="Arial" w:eastAsia="Arial" w:hAnsi="Arial"/>
                <w:sz w:val="10"/>
                <w:szCs w:val="10"/>
                <w:b w:val="1"/>
                <w:bCs w:val="1"/>
                <w:color w:val="105BAB"/>
              </w:rPr>
              <w:t>(#)</w:t>
            </w:r>
          </w:p>
        </w:tc>
        <w:tc>
          <w:tcPr>
            <w:tcW w:w="800" w:type="dxa"/>
            <w:vAlign w:val="bottom"/>
          </w:tcPr>
          <w:p>
            <w:pPr>
              <w:ind w:left="400"/>
              <w:spacing w:after="0"/>
              <w:rPr>
                <w:sz w:val="20"/>
                <w:szCs w:val="20"/>
                <w:color w:val="auto"/>
              </w:rPr>
            </w:pPr>
            <w:r>
              <w:rPr>
                <w:rFonts w:ascii="Arial" w:cs="Arial" w:eastAsia="Arial" w:hAnsi="Arial"/>
                <w:sz w:val="10"/>
                <w:szCs w:val="10"/>
                <w:b w:val="1"/>
                <w:bCs w:val="1"/>
                <w:color w:val="105BAB"/>
              </w:rPr>
              <w:t>($)</w:t>
            </w:r>
          </w:p>
        </w:tc>
        <w:tc>
          <w:tcPr>
            <w:tcW w:w="1500" w:type="dxa"/>
            <w:vAlign w:val="bottom"/>
          </w:tcPr>
          <w:p>
            <w:pPr>
              <w:jc w:val="center"/>
              <w:ind w:left="172"/>
              <w:spacing w:after="0"/>
              <w:rPr>
                <w:sz w:val="20"/>
                <w:szCs w:val="20"/>
                <w:color w:val="auto"/>
              </w:rPr>
            </w:pPr>
            <w:r>
              <w:rPr>
                <w:rFonts w:ascii="Arial" w:cs="Arial" w:eastAsia="Arial" w:hAnsi="Arial"/>
                <w:sz w:val="10"/>
                <w:szCs w:val="10"/>
                <w:b w:val="1"/>
                <w:bCs w:val="1"/>
                <w:color w:val="105BAB"/>
                <w:w w:val="97"/>
              </w:rPr>
              <w:t>(#)</w:t>
            </w:r>
          </w:p>
        </w:tc>
        <w:tc>
          <w:tcPr>
            <w:tcW w:w="980" w:type="dxa"/>
            <w:vAlign w:val="bottom"/>
            <w:gridSpan w:val="2"/>
          </w:tcPr>
          <w:p>
            <w:pPr>
              <w:jc w:val="center"/>
              <w:ind w:left="292"/>
              <w:spacing w:after="0"/>
              <w:rPr>
                <w:sz w:val="20"/>
                <w:szCs w:val="20"/>
                <w:color w:val="auto"/>
              </w:rPr>
            </w:pPr>
            <w:r>
              <w:rPr>
                <w:rFonts w:ascii="Arial" w:cs="Arial" w:eastAsia="Arial" w:hAnsi="Arial"/>
                <w:sz w:val="10"/>
                <w:szCs w:val="10"/>
                <w:b w:val="1"/>
                <w:bCs w:val="1"/>
                <w:color w:val="105BAB"/>
                <w:w w:val="97"/>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top w:val="single" w:sz="8" w:color="105BAB"/>
              <w:bottom w:val="single" w:sz="8" w:color="F1F3F9"/>
            </w:tcBorders>
            <w:shd w:val="clear" w:color="auto" w:fill="F1F3F9"/>
          </w:tcPr>
          <w:p>
            <w:pPr>
              <w:spacing w:after="0"/>
              <w:rPr>
                <w:sz w:val="10"/>
                <w:szCs w:val="10"/>
                <w:color w:val="auto"/>
              </w:rPr>
            </w:pPr>
          </w:p>
        </w:tc>
        <w:tc>
          <w:tcPr>
            <w:tcW w:w="1280" w:type="dxa"/>
            <w:vAlign w:val="bottom"/>
            <w:tcBorders>
              <w:top w:val="single" w:sz="8" w:color="105BAB"/>
              <w:bottom w:val="single" w:sz="8" w:color="F1F3F9"/>
            </w:tcBorders>
            <w:gridSpan w:val="2"/>
            <w:shd w:val="clear" w:color="auto" w:fill="F1F3F9"/>
          </w:tcPr>
          <w:p>
            <w:pPr>
              <w:spacing w:after="0"/>
              <w:rPr>
                <w:sz w:val="20"/>
                <w:szCs w:val="20"/>
                <w:color w:val="auto"/>
              </w:rPr>
            </w:pPr>
            <w:r>
              <w:rPr>
                <w:rFonts w:ascii="Arial" w:cs="Arial" w:eastAsia="Arial" w:hAnsi="Arial"/>
                <w:sz w:val="10"/>
                <w:szCs w:val="10"/>
                <w:b w:val="1"/>
                <w:bCs w:val="1"/>
                <w:color w:val="105BAB"/>
              </w:rPr>
              <w:t>Leonard S.</w:t>
            </w:r>
          </w:p>
        </w:tc>
        <w:tc>
          <w:tcPr>
            <w:tcW w:w="560" w:type="dxa"/>
            <w:vAlign w:val="bottom"/>
            <w:tcBorders>
              <w:top w:val="single" w:sz="8" w:color="105BAB"/>
              <w:bottom w:val="single" w:sz="8" w:color="auto"/>
            </w:tcBorders>
            <w:shd w:val="clear" w:color="auto" w:fill="F1F3F9"/>
          </w:tcPr>
          <w:p>
            <w:pPr>
              <w:ind w:left="220"/>
              <w:spacing w:after="0"/>
              <w:rPr>
                <w:sz w:val="20"/>
                <w:szCs w:val="20"/>
                <w:color w:val="auto"/>
              </w:rPr>
            </w:pPr>
            <w:r>
              <w:rPr>
                <w:rFonts w:ascii="Arial" w:cs="Arial" w:eastAsia="Arial" w:hAnsi="Arial"/>
                <w:sz w:val="10"/>
                <w:szCs w:val="10"/>
                <w:color w:val="auto"/>
              </w:rPr>
              <w:t>—</w:t>
            </w:r>
          </w:p>
        </w:tc>
        <w:tc>
          <w:tcPr>
            <w:tcW w:w="1520" w:type="dxa"/>
            <w:vAlign w:val="bottom"/>
            <w:tcBorders>
              <w:top w:val="single" w:sz="8" w:color="105BAB"/>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139,474</w:t>
            </w:r>
            <w:r>
              <w:rPr>
                <w:rFonts w:ascii="Arial" w:cs="Arial" w:eastAsia="Arial" w:hAnsi="Arial"/>
                <w:sz w:val="13"/>
                <w:szCs w:val="13"/>
                <w:color w:val="auto"/>
                <w:vertAlign w:val="superscript"/>
              </w:rPr>
              <w:t>1</w:t>
            </w:r>
          </w:p>
        </w:tc>
        <w:tc>
          <w:tcPr>
            <w:tcW w:w="1360" w:type="dxa"/>
            <w:vAlign w:val="bottom"/>
            <w:tcBorders>
              <w:top w:val="single" w:sz="8" w:color="105BAB"/>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top w:val="single" w:sz="8" w:color="105BAB"/>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378.98</w:t>
            </w:r>
          </w:p>
        </w:tc>
        <w:tc>
          <w:tcPr>
            <w:tcW w:w="1460" w:type="dxa"/>
            <w:vAlign w:val="bottom"/>
            <w:tcBorders>
              <w:top w:val="single" w:sz="8" w:color="105BAB"/>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12/12/2027</w:t>
            </w:r>
          </w:p>
        </w:tc>
        <w:tc>
          <w:tcPr>
            <w:tcW w:w="800" w:type="dxa"/>
            <w:vAlign w:val="bottom"/>
            <w:tcBorders>
              <w:top w:val="single" w:sz="8" w:color="105BAB"/>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105BAB"/>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top w:val="single" w:sz="8" w:color="105BAB"/>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top w:val="single" w:sz="8" w:color="105BAB"/>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line="107" w:lineRule="exact"/>
              <w:rPr>
                <w:sz w:val="20"/>
                <w:szCs w:val="20"/>
                <w:color w:val="auto"/>
              </w:rPr>
            </w:pPr>
            <w:r>
              <w:rPr>
                <w:rFonts w:ascii="Arial" w:cs="Arial" w:eastAsia="Arial" w:hAnsi="Arial"/>
                <w:sz w:val="10"/>
                <w:szCs w:val="10"/>
                <w:b w:val="1"/>
                <w:bCs w:val="1"/>
                <w:color w:val="105BAB"/>
              </w:rPr>
              <w:t>Schleifer,</w:t>
            </w: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36,704</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110,111</w:t>
            </w:r>
            <w:r>
              <w:rPr>
                <w:rFonts w:ascii="Arial" w:cs="Arial" w:eastAsia="Arial" w:hAnsi="Arial"/>
                <w:sz w:val="13"/>
                <w:szCs w:val="13"/>
                <w:color w:val="auto"/>
                <w:vertAlign w:val="superscript"/>
              </w:rPr>
              <w:t>2</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381.92</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12/16/2026</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line="107" w:lineRule="exact"/>
              <w:rPr>
                <w:sz w:val="20"/>
                <w:szCs w:val="20"/>
                <w:color w:val="auto"/>
              </w:rPr>
            </w:pPr>
            <w:r>
              <w:rPr>
                <w:rFonts w:ascii="Arial" w:cs="Arial" w:eastAsia="Arial" w:hAnsi="Arial"/>
                <w:sz w:val="10"/>
                <w:szCs w:val="10"/>
                <w:b w:val="1"/>
                <w:bCs w:val="1"/>
                <w:color w:val="105BAB"/>
              </w:rPr>
              <w:t>M.D., Ph.D.</w:t>
            </w: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86,362</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86,361</w:t>
            </w:r>
            <w:r>
              <w:rPr>
                <w:rFonts w:ascii="Arial" w:cs="Arial" w:eastAsia="Arial" w:hAnsi="Arial"/>
                <w:sz w:val="13"/>
                <w:szCs w:val="13"/>
                <w:color w:val="auto"/>
                <w:vertAlign w:val="superscript"/>
              </w:rPr>
              <w:t>3</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555.67</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12/16/2025</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152,403</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50,801</w:t>
            </w:r>
            <w:r>
              <w:rPr>
                <w:rFonts w:ascii="Arial" w:cs="Arial" w:eastAsia="Arial" w:hAnsi="Arial"/>
                <w:sz w:val="13"/>
                <w:szCs w:val="13"/>
                <w:color w:val="auto"/>
                <w:vertAlign w:val="superscript"/>
              </w:rPr>
              <w:t>4</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399.66</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12/16/2024</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239,063</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270.43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12/13/2023</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281,250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179.13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12/14/2022</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160,000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240,000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125,000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30.63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12/14/2020</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187,500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30.63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12/14/2020</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187,500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21.25</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12/18/2019</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125,000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21.25</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12/18/2019</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125,000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16.80</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12/17/2018</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vMerge w:val="restart"/>
            <w:shd w:val="clear" w:color="auto" w:fill="F1F3F9"/>
          </w:tcPr>
          <w:p>
            <w:pPr>
              <w:ind w:left="120"/>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187,500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16.80</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12/17/2018</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105BAB"/>
            </w:tcBorders>
            <w:shd w:val="clear" w:color="auto" w:fill="F1F3F9"/>
          </w:tcPr>
          <w:p>
            <w:pPr>
              <w:spacing w:after="0"/>
              <w:rPr>
                <w:sz w:val="8"/>
                <w:szCs w:val="8"/>
                <w:color w:val="auto"/>
              </w:rPr>
            </w:pPr>
          </w:p>
        </w:tc>
        <w:tc>
          <w:tcPr>
            <w:tcW w:w="640" w:type="dxa"/>
            <w:vAlign w:val="bottom"/>
            <w:tcBorders>
              <w:bottom w:val="single" w:sz="8" w:color="105BAB"/>
            </w:tcBorders>
            <w:vMerge w:val="continue"/>
            <w:shd w:val="clear" w:color="auto" w:fill="F1F3F9"/>
          </w:tcPr>
          <w:p>
            <w:pPr>
              <w:spacing w:after="0"/>
              <w:rPr>
                <w:sz w:val="8"/>
                <w:szCs w:val="8"/>
                <w:color w:val="auto"/>
              </w:rPr>
            </w:pPr>
          </w:p>
        </w:tc>
        <w:tc>
          <w:tcPr>
            <w:tcW w:w="640" w:type="dxa"/>
            <w:vAlign w:val="bottom"/>
            <w:tcBorders>
              <w:bottom w:val="single" w:sz="8" w:color="105BAB"/>
            </w:tcBorders>
            <w:shd w:val="clear" w:color="auto" w:fill="F1F3F9"/>
          </w:tcPr>
          <w:p>
            <w:pPr>
              <w:spacing w:after="0"/>
              <w:rPr>
                <w:sz w:val="8"/>
                <w:szCs w:val="8"/>
                <w:color w:val="auto"/>
              </w:rPr>
            </w:pPr>
          </w:p>
        </w:tc>
        <w:tc>
          <w:tcPr>
            <w:tcW w:w="56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b w:val="1"/>
                <w:bCs w:val="1"/>
                <w:color w:val="auto"/>
              </w:rPr>
              <w:t>2,133,282</w:t>
            </w:r>
          </w:p>
        </w:tc>
        <w:tc>
          <w:tcPr>
            <w:tcW w:w="1520" w:type="dxa"/>
            <w:vAlign w:val="bottom"/>
            <w:tcBorders>
              <w:bottom w:val="single" w:sz="8" w:color="105BAB"/>
            </w:tcBorders>
            <w:shd w:val="clear" w:color="auto" w:fill="F1F3F9"/>
          </w:tcPr>
          <w:p>
            <w:pPr>
              <w:jc w:val="center"/>
              <w:ind w:left="153"/>
              <w:spacing w:after="0" w:line="97" w:lineRule="exact"/>
              <w:rPr>
                <w:sz w:val="20"/>
                <w:szCs w:val="20"/>
                <w:color w:val="auto"/>
              </w:rPr>
            </w:pPr>
            <w:r>
              <w:rPr>
                <w:rFonts w:ascii="Arial" w:cs="Arial" w:eastAsia="Arial" w:hAnsi="Arial"/>
                <w:sz w:val="10"/>
                <w:szCs w:val="10"/>
                <w:b w:val="1"/>
                <w:bCs w:val="1"/>
                <w:color w:val="auto"/>
                <w:w w:val="99"/>
              </w:rPr>
              <w:t>386,747</w:t>
            </w:r>
          </w:p>
        </w:tc>
        <w:tc>
          <w:tcPr>
            <w:tcW w:w="1360" w:type="dxa"/>
            <w:vAlign w:val="bottom"/>
            <w:tcBorders>
              <w:bottom w:val="single" w:sz="8" w:color="105BAB"/>
            </w:tcBorders>
            <w:shd w:val="clear" w:color="auto" w:fill="F1F3F9"/>
          </w:tcPr>
          <w:p>
            <w:pPr>
              <w:spacing w:after="0"/>
              <w:rPr>
                <w:sz w:val="8"/>
                <w:szCs w:val="8"/>
                <w:color w:val="auto"/>
              </w:rPr>
            </w:pPr>
          </w:p>
        </w:tc>
        <w:tc>
          <w:tcPr>
            <w:tcW w:w="104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66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1500" w:type="dxa"/>
            <w:vAlign w:val="bottom"/>
            <w:tcBorders>
              <w:bottom w:val="single" w:sz="8" w:color="105BAB"/>
            </w:tcBorders>
            <w:shd w:val="clear" w:color="auto" w:fill="F1F3F9"/>
          </w:tcPr>
          <w:p>
            <w:pPr>
              <w:spacing w:after="0"/>
              <w:rPr>
                <w:sz w:val="8"/>
                <w:szCs w:val="8"/>
                <w:color w:val="auto"/>
              </w:rPr>
            </w:pPr>
          </w:p>
        </w:tc>
        <w:tc>
          <w:tcPr>
            <w:tcW w:w="660" w:type="dxa"/>
            <w:vAlign w:val="bottom"/>
            <w:tcBorders>
              <w:bottom w:val="single" w:sz="8" w:color="105BAB"/>
            </w:tcBorders>
            <w:shd w:val="clear" w:color="auto" w:fill="F1F3F9"/>
          </w:tcPr>
          <w:p>
            <w:pPr>
              <w:spacing w:after="0"/>
              <w:rPr>
                <w:sz w:val="8"/>
                <w:szCs w:val="8"/>
                <w:color w:val="auto"/>
              </w:rPr>
            </w:pPr>
          </w:p>
        </w:tc>
        <w:tc>
          <w:tcPr>
            <w:tcW w:w="320" w:type="dxa"/>
            <w:vAlign w:val="bottom"/>
            <w:tcBorders>
              <w:bottom w:val="single" w:sz="8" w:color="105BAB"/>
            </w:tcBorders>
            <w:shd w:val="clear" w:color="auto" w:fill="F1F3F9"/>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1280" w:type="dxa"/>
            <w:vAlign w:val="bottom"/>
            <w:tcBorders>
              <w:bottom w:val="single" w:sz="8" w:color="D6DAEE"/>
            </w:tcBorders>
            <w:gridSpan w:val="2"/>
            <w:shd w:val="clear" w:color="auto" w:fill="D6DAEE"/>
          </w:tcPr>
          <w:p>
            <w:pPr>
              <w:spacing w:after="0"/>
              <w:rPr>
                <w:sz w:val="20"/>
                <w:szCs w:val="20"/>
                <w:color w:val="auto"/>
              </w:rPr>
            </w:pPr>
            <w:r>
              <w:rPr>
                <w:rFonts w:ascii="Arial" w:cs="Arial" w:eastAsia="Arial" w:hAnsi="Arial"/>
                <w:sz w:val="10"/>
                <w:szCs w:val="10"/>
                <w:b w:val="1"/>
                <w:bCs w:val="1"/>
                <w:color w:val="105BAB"/>
              </w:rPr>
              <w:t>George D.</w:t>
            </w:r>
          </w:p>
        </w:tc>
        <w:tc>
          <w:tcPr>
            <w:tcW w:w="560" w:type="dxa"/>
            <w:vAlign w:val="bottom"/>
            <w:tcBorders>
              <w:bottom w:val="single" w:sz="8" w:color="auto"/>
            </w:tcBorders>
            <w:shd w:val="clear" w:color="auto" w:fill="D6DAEE"/>
          </w:tcPr>
          <w:p>
            <w:pPr>
              <w:ind w:left="22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139,474</w:t>
            </w:r>
            <w:r>
              <w:rPr>
                <w:rFonts w:ascii="Arial" w:cs="Arial" w:eastAsia="Arial" w:hAnsi="Arial"/>
                <w:sz w:val="13"/>
                <w:szCs w:val="13"/>
                <w:color w:val="auto"/>
                <w:vertAlign w:val="superscript"/>
              </w:rPr>
              <w:t>1</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378.98</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12/12/2027</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line="107" w:lineRule="exact"/>
              <w:rPr>
                <w:sz w:val="20"/>
                <w:szCs w:val="20"/>
                <w:color w:val="auto"/>
              </w:rPr>
            </w:pPr>
            <w:r>
              <w:rPr>
                <w:rFonts w:ascii="Arial" w:cs="Arial" w:eastAsia="Arial" w:hAnsi="Arial"/>
                <w:sz w:val="10"/>
                <w:szCs w:val="10"/>
                <w:b w:val="1"/>
                <w:bCs w:val="1"/>
                <w:color w:val="105BAB"/>
                <w:w w:val="94"/>
              </w:rPr>
              <w:t>Yancopoulos,</w:t>
            </w:r>
          </w:p>
        </w:tc>
        <w:tc>
          <w:tcPr>
            <w:tcW w:w="640" w:type="dxa"/>
            <w:vAlign w:val="bottom"/>
            <w:tcBorders>
              <w:bottom w:val="single" w:sz="8" w:color="D6DAEE"/>
            </w:tcBorders>
            <w:shd w:val="clear" w:color="auto" w:fill="D6DAEE"/>
          </w:tcPr>
          <w:p>
            <w:pPr>
              <w:spacing w:after="0"/>
              <w:rPr>
                <w:sz w:val="10"/>
                <w:szCs w:val="10"/>
                <w:color w:val="auto"/>
              </w:rPr>
            </w:pPr>
          </w:p>
        </w:tc>
        <w:tc>
          <w:tcPr>
            <w:tcW w:w="56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36,704</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110,111</w:t>
            </w:r>
            <w:r>
              <w:rPr>
                <w:rFonts w:ascii="Arial" w:cs="Arial" w:eastAsia="Arial" w:hAnsi="Arial"/>
                <w:sz w:val="13"/>
                <w:szCs w:val="13"/>
                <w:color w:val="auto"/>
                <w:vertAlign w:val="superscript"/>
              </w:rPr>
              <w:t>2</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381.92</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12/16/2026</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line="107" w:lineRule="exact"/>
              <w:rPr>
                <w:sz w:val="20"/>
                <w:szCs w:val="20"/>
                <w:color w:val="auto"/>
              </w:rPr>
            </w:pPr>
            <w:r>
              <w:rPr>
                <w:rFonts w:ascii="Arial" w:cs="Arial" w:eastAsia="Arial" w:hAnsi="Arial"/>
                <w:sz w:val="10"/>
                <w:szCs w:val="10"/>
                <w:b w:val="1"/>
                <w:bCs w:val="1"/>
                <w:color w:val="105BAB"/>
              </w:rPr>
              <w:t>M.D., Ph.D.</w:t>
            </w:r>
          </w:p>
        </w:tc>
        <w:tc>
          <w:tcPr>
            <w:tcW w:w="640" w:type="dxa"/>
            <w:vAlign w:val="bottom"/>
            <w:tcBorders>
              <w:bottom w:val="single" w:sz="8" w:color="D6DAEE"/>
            </w:tcBorders>
            <w:shd w:val="clear" w:color="auto" w:fill="D6DAEE"/>
          </w:tcPr>
          <w:p>
            <w:pPr>
              <w:spacing w:after="0"/>
              <w:rPr>
                <w:sz w:val="10"/>
                <w:szCs w:val="10"/>
                <w:color w:val="auto"/>
              </w:rPr>
            </w:pPr>
          </w:p>
        </w:tc>
        <w:tc>
          <w:tcPr>
            <w:tcW w:w="56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73,408</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73,407</w:t>
            </w:r>
            <w:r>
              <w:rPr>
                <w:rFonts w:ascii="Arial" w:cs="Arial" w:eastAsia="Arial" w:hAnsi="Arial"/>
                <w:sz w:val="13"/>
                <w:szCs w:val="13"/>
                <w:color w:val="auto"/>
                <w:vertAlign w:val="superscript"/>
              </w:rPr>
              <w:t>3</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555.67</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12/16/2025</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rPr>
                <w:sz w:val="10"/>
                <w:szCs w:val="10"/>
                <w:color w:val="auto"/>
              </w:rPr>
            </w:pPr>
          </w:p>
        </w:tc>
        <w:tc>
          <w:tcPr>
            <w:tcW w:w="56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129,543</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43,180</w:t>
            </w:r>
            <w:r>
              <w:rPr>
                <w:rFonts w:ascii="Arial" w:cs="Arial" w:eastAsia="Arial" w:hAnsi="Arial"/>
                <w:sz w:val="13"/>
                <w:szCs w:val="13"/>
                <w:color w:val="auto"/>
                <w:vertAlign w:val="superscript"/>
              </w:rPr>
              <w:t>4</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399.66</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12/16/2024</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203,204</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270.43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12/13/2023</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239,063</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179.13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12/14/2022</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158,079</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240,000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96,736</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30.63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12/14/2020</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150,000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30.63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12/14/2020</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150,000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21.25</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12/18/2019</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95,295</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21.25</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12/18/2019</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94,048</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16.80</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12/17/2018</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vMerge w:val="restart"/>
            <w:shd w:val="clear" w:color="auto" w:fill="D6DAEE"/>
          </w:tcPr>
          <w:p>
            <w:pPr>
              <w:ind w:left="120"/>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150,000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16.80</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12/17/2018</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105BAB"/>
            </w:tcBorders>
            <w:shd w:val="clear" w:color="auto" w:fill="D6DAEE"/>
          </w:tcPr>
          <w:p>
            <w:pPr>
              <w:spacing w:after="0"/>
              <w:rPr>
                <w:sz w:val="8"/>
                <w:szCs w:val="8"/>
                <w:color w:val="auto"/>
              </w:rPr>
            </w:pPr>
          </w:p>
        </w:tc>
        <w:tc>
          <w:tcPr>
            <w:tcW w:w="640" w:type="dxa"/>
            <w:vAlign w:val="bottom"/>
            <w:tcBorders>
              <w:bottom w:val="single" w:sz="8" w:color="105BAB"/>
            </w:tcBorders>
            <w:vMerge w:val="continue"/>
            <w:shd w:val="clear" w:color="auto" w:fill="D6DAEE"/>
          </w:tcPr>
          <w:p>
            <w:pPr>
              <w:spacing w:after="0"/>
              <w:rPr>
                <w:sz w:val="8"/>
                <w:szCs w:val="8"/>
                <w:color w:val="auto"/>
              </w:rPr>
            </w:pPr>
          </w:p>
        </w:tc>
        <w:tc>
          <w:tcPr>
            <w:tcW w:w="640" w:type="dxa"/>
            <w:vAlign w:val="bottom"/>
            <w:tcBorders>
              <w:bottom w:val="single" w:sz="8" w:color="105BAB"/>
            </w:tcBorders>
            <w:shd w:val="clear" w:color="auto" w:fill="D6DAEE"/>
          </w:tcPr>
          <w:p>
            <w:pPr>
              <w:spacing w:after="0"/>
              <w:rPr>
                <w:sz w:val="8"/>
                <w:szCs w:val="8"/>
                <w:color w:val="auto"/>
              </w:rPr>
            </w:pPr>
          </w:p>
        </w:tc>
        <w:tc>
          <w:tcPr>
            <w:tcW w:w="56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b w:val="1"/>
                <w:bCs w:val="1"/>
                <w:color w:val="auto"/>
              </w:rPr>
              <w:t>1,816,080</w:t>
            </w:r>
          </w:p>
        </w:tc>
        <w:tc>
          <w:tcPr>
            <w:tcW w:w="1520" w:type="dxa"/>
            <w:vAlign w:val="bottom"/>
            <w:tcBorders>
              <w:bottom w:val="single" w:sz="8" w:color="105BAB"/>
            </w:tcBorders>
            <w:shd w:val="clear" w:color="auto" w:fill="D6DAEE"/>
          </w:tcPr>
          <w:p>
            <w:pPr>
              <w:jc w:val="center"/>
              <w:ind w:left="153"/>
              <w:spacing w:after="0" w:line="97" w:lineRule="exact"/>
              <w:rPr>
                <w:sz w:val="20"/>
                <w:szCs w:val="20"/>
                <w:color w:val="auto"/>
              </w:rPr>
            </w:pPr>
            <w:r>
              <w:rPr>
                <w:rFonts w:ascii="Arial" w:cs="Arial" w:eastAsia="Arial" w:hAnsi="Arial"/>
                <w:sz w:val="10"/>
                <w:szCs w:val="10"/>
                <w:b w:val="1"/>
                <w:bCs w:val="1"/>
                <w:color w:val="auto"/>
                <w:w w:val="99"/>
              </w:rPr>
              <w:t>366,172</w:t>
            </w:r>
          </w:p>
        </w:tc>
        <w:tc>
          <w:tcPr>
            <w:tcW w:w="1360" w:type="dxa"/>
            <w:vAlign w:val="bottom"/>
            <w:tcBorders>
              <w:bottom w:val="single" w:sz="8" w:color="105BAB"/>
            </w:tcBorders>
            <w:shd w:val="clear" w:color="auto" w:fill="D6DAEE"/>
          </w:tcPr>
          <w:p>
            <w:pPr>
              <w:spacing w:after="0"/>
              <w:rPr>
                <w:sz w:val="8"/>
                <w:szCs w:val="8"/>
                <w:color w:val="auto"/>
              </w:rPr>
            </w:pPr>
          </w:p>
        </w:tc>
        <w:tc>
          <w:tcPr>
            <w:tcW w:w="1040" w:type="dxa"/>
            <w:vAlign w:val="bottom"/>
            <w:tcBorders>
              <w:bottom w:val="single" w:sz="8" w:color="105BAB"/>
            </w:tcBorders>
            <w:shd w:val="clear" w:color="auto" w:fill="D6DAEE"/>
          </w:tcPr>
          <w:p>
            <w:pPr>
              <w:spacing w:after="0"/>
              <w:rPr>
                <w:sz w:val="8"/>
                <w:szCs w:val="8"/>
                <w:color w:val="auto"/>
              </w:rPr>
            </w:pPr>
          </w:p>
        </w:tc>
        <w:tc>
          <w:tcPr>
            <w:tcW w:w="800" w:type="dxa"/>
            <w:vAlign w:val="bottom"/>
            <w:tcBorders>
              <w:bottom w:val="single" w:sz="8" w:color="105BAB"/>
            </w:tcBorders>
            <w:shd w:val="clear" w:color="auto" w:fill="D6DAEE"/>
          </w:tcPr>
          <w:p>
            <w:pPr>
              <w:spacing w:after="0"/>
              <w:rPr>
                <w:sz w:val="8"/>
                <w:szCs w:val="8"/>
                <w:color w:val="auto"/>
              </w:rPr>
            </w:pPr>
          </w:p>
        </w:tc>
        <w:tc>
          <w:tcPr>
            <w:tcW w:w="660" w:type="dxa"/>
            <w:vAlign w:val="bottom"/>
            <w:tcBorders>
              <w:bottom w:val="single" w:sz="8" w:color="105BAB"/>
            </w:tcBorders>
            <w:shd w:val="clear" w:color="auto" w:fill="D6DAEE"/>
          </w:tcPr>
          <w:p>
            <w:pPr>
              <w:spacing w:after="0"/>
              <w:rPr>
                <w:sz w:val="8"/>
                <w:szCs w:val="8"/>
                <w:color w:val="auto"/>
              </w:rPr>
            </w:pPr>
          </w:p>
        </w:tc>
        <w:tc>
          <w:tcPr>
            <w:tcW w:w="800" w:type="dxa"/>
            <w:vAlign w:val="bottom"/>
            <w:tcBorders>
              <w:bottom w:val="single" w:sz="8" w:color="105BAB"/>
            </w:tcBorders>
            <w:shd w:val="clear" w:color="auto" w:fill="D6DAEE"/>
          </w:tcPr>
          <w:p>
            <w:pPr>
              <w:spacing w:after="0"/>
              <w:rPr>
                <w:sz w:val="8"/>
                <w:szCs w:val="8"/>
                <w:color w:val="auto"/>
              </w:rPr>
            </w:pPr>
          </w:p>
        </w:tc>
        <w:tc>
          <w:tcPr>
            <w:tcW w:w="800" w:type="dxa"/>
            <w:vAlign w:val="bottom"/>
            <w:tcBorders>
              <w:bottom w:val="single" w:sz="8" w:color="105BAB"/>
            </w:tcBorders>
            <w:shd w:val="clear" w:color="auto" w:fill="D6DAEE"/>
          </w:tcPr>
          <w:p>
            <w:pPr>
              <w:spacing w:after="0"/>
              <w:rPr>
                <w:sz w:val="8"/>
                <w:szCs w:val="8"/>
                <w:color w:val="auto"/>
              </w:rPr>
            </w:pPr>
          </w:p>
        </w:tc>
        <w:tc>
          <w:tcPr>
            <w:tcW w:w="1500" w:type="dxa"/>
            <w:vAlign w:val="bottom"/>
            <w:tcBorders>
              <w:bottom w:val="single" w:sz="8" w:color="105BAB"/>
            </w:tcBorders>
            <w:shd w:val="clear" w:color="auto" w:fill="D6DAEE"/>
          </w:tcPr>
          <w:p>
            <w:pPr>
              <w:spacing w:after="0"/>
              <w:rPr>
                <w:sz w:val="8"/>
                <w:szCs w:val="8"/>
                <w:color w:val="auto"/>
              </w:rPr>
            </w:pPr>
          </w:p>
        </w:tc>
        <w:tc>
          <w:tcPr>
            <w:tcW w:w="660" w:type="dxa"/>
            <w:vAlign w:val="bottom"/>
            <w:tcBorders>
              <w:bottom w:val="single" w:sz="8" w:color="105BAB"/>
            </w:tcBorders>
            <w:shd w:val="clear" w:color="auto" w:fill="D6DAEE"/>
          </w:tcPr>
          <w:p>
            <w:pPr>
              <w:spacing w:after="0"/>
              <w:rPr>
                <w:sz w:val="8"/>
                <w:szCs w:val="8"/>
                <w:color w:val="auto"/>
              </w:rPr>
            </w:pPr>
          </w:p>
        </w:tc>
        <w:tc>
          <w:tcPr>
            <w:tcW w:w="320" w:type="dxa"/>
            <w:vAlign w:val="bottom"/>
            <w:tcBorders>
              <w:bottom w:val="single" w:sz="8" w:color="105BAB"/>
            </w:tcBorders>
            <w:shd w:val="clear" w:color="auto" w:fill="D6DAE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1280" w:type="dxa"/>
            <w:vAlign w:val="bottom"/>
            <w:tcBorders>
              <w:bottom w:val="single" w:sz="8" w:color="F1F3F9"/>
            </w:tcBorders>
            <w:gridSpan w:val="2"/>
            <w:shd w:val="clear" w:color="auto" w:fill="F1F3F9"/>
          </w:tcPr>
          <w:p>
            <w:pPr>
              <w:spacing w:after="0"/>
              <w:rPr>
                <w:sz w:val="20"/>
                <w:szCs w:val="20"/>
                <w:color w:val="auto"/>
              </w:rPr>
            </w:pPr>
            <w:r>
              <w:rPr>
                <w:rFonts w:ascii="Arial" w:cs="Arial" w:eastAsia="Arial" w:hAnsi="Arial"/>
                <w:sz w:val="10"/>
                <w:szCs w:val="10"/>
                <w:b w:val="1"/>
                <w:bCs w:val="1"/>
                <w:color w:val="105BAB"/>
              </w:rPr>
              <w:t>Robert E.</w:t>
            </w:r>
          </w:p>
        </w:tc>
        <w:tc>
          <w:tcPr>
            <w:tcW w:w="560" w:type="dxa"/>
            <w:vAlign w:val="bottom"/>
            <w:tcBorders>
              <w:bottom w:val="single" w:sz="8" w:color="auto"/>
            </w:tcBorders>
            <w:shd w:val="clear" w:color="auto" w:fill="F1F3F9"/>
          </w:tcPr>
          <w:p>
            <w:pPr>
              <w:ind w:left="22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23,337</w:t>
            </w:r>
            <w:r>
              <w:rPr>
                <w:rFonts w:ascii="Arial" w:cs="Arial" w:eastAsia="Arial" w:hAnsi="Arial"/>
                <w:sz w:val="13"/>
                <w:szCs w:val="13"/>
                <w:color w:val="auto"/>
                <w:vertAlign w:val="superscript"/>
              </w:rPr>
              <w:t>1</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378.98</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12/12/2027</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line="107" w:lineRule="exact"/>
              <w:rPr>
                <w:sz w:val="20"/>
                <w:szCs w:val="20"/>
                <w:color w:val="auto"/>
              </w:rPr>
            </w:pPr>
            <w:r>
              <w:rPr>
                <w:rFonts w:ascii="Arial" w:cs="Arial" w:eastAsia="Arial" w:hAnsi="Arial"/>
                <w:sz w:val="10"/>
                <w:szCs w:val="10"/>
                <w:b w:val="1"/>
                <w:bCs w:val="1"/>
                <w:color w:val="105BAB"/>
              </w:rPr>
              <w:t>Landry</w:t>
            </w: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6,142</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18,423</w:t>
            </w:r>
            <w:r>
              <w:rPr>
                <w:rFonts w:ascii="Arial" w:cs="Arial" w:eastAsia="Arial" w:hAnsi="Arial"/>
                <w:sz w:val="13"/>
                <w:szCs w:val="13"/>
                <w:color w:val="auto"/>
                <w:vertAlign w:val="superscript"/>
              </w:rPr>
              <w:t>2</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381.92</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12/16/2026</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14,450</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14,450</w:t>
            </w:r>
            <w:r>
              <w:rPr>
                <w:rFonts w:ascii="Arial" w:cs="Arial" w:eastAsia="Arial" w:hAnsi="Arial"/>
                <w:sz w:val="13"/>
                <w:szCs w:val="13"/>
                <w:color w:val="auto"/>
                <w:vertAlign w:val="superscript"/>
              </w:rPr>
              <w:t>3</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555.67</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12/16/2025</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25,500</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8,500</w:t>
            </w:r>
            <w:r>
              <w:rPr>
                <w:rFonts w:ascii="Arial" w:cs="Arial" w:eastAsia="Arial" w:hAnsi="Arial"/>
                <w:sz w:val="13"/>
                <w:szCs w:val="13"/>
                <w:color w:val="auto"/>
                <w:vertAlign w:val="superscript"/>
              </w:rPr>
              <w:t>4</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399.66</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12/16/2024</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57,000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272.70</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9/9/2023</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vMerge w:val="restart"/>
            <w:shd w:val="clear" w:color="auto" w:fill="F1F3F9"/>
          </w:tcPr>
          <w:p>
            <w:pPr>
              <w:ind w:left="120"/>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ind w:left="22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F1F3F9"/>
          </w:tcPr>
          <w:p>
            <w:pPr>
              <w:jc w:val="center"/>
              <w:ind w:left="133"/>
              <w:spacing w:after="0"/>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99"/>
              </w:rPr>
              <w:t>—</w:t>
            </w:r>
          </w:p>
        </w:tc>
        <w:tc>
          <w:tcPr>
            <w:tcW w:w="1460" w:type="dxa"/>
            <w:vAlign w:val="bottom"/>
            <w:tcBorders>
              <w:bottom w:val="single" w:sz="8" w:color="auto"/>
            </w:tcBorders>
            <w:gridSpan w:val="2"/>
            <w:shd w:val="clear" w:color="auto" w:fill="F1F3F9"/>
          </w:tcPr>
          <w:p>
            <w:pPr>
              <w:jc w:val="center"/>
              <w:ind w:right="340"/>
              <w:spacing w:after="0"/>
              <w:rPr>
                <w:sz w:val="20"/>
                <w:szCs w:val="20"/>
                <w:color w:val="auto"/>
              </w:rPr>
            </w:pPr>
            <w:r>
              <w:rPr>
                <w:rFonts w:ascii="Arial" w:cs="Arial" w:eastAsia="Arial" w:hAnsi="Arial"/>
                <w:sz w:val="10"/>
                <w:szCs w:val="10"/>
                <w:color w:val="auto"/>
                <w:w w:val="79"/>
              </w:rPr>
              <w:t>—</w:t>
            </w:r>
          </w:p>
        </w:tc>
        <w:tc>
          <w:tcPr>
            <w:tcW w:w="800" w:type="dxa"/>
            <w:vAlign w:val="bottom"/>
            <w:tcBorders>
              <w:bottom w:val="single" w:sz="8" w:color="auto"/>
            </w:tcBorders>
            <w:shd w:val="clear" w:color="auto" w:fill="F1F3F9"/>
          </w:tcPr>
          <w:p>
            <w:pPr>
              <w:ind w:left="40"/>
              <w:spacing w:after="0" w:line="115" w:lineRule="exact"/>
              <w:rPr>
                <w:sz w:val="20"/>
                <w:szCs w:val="20"/>
                <w:color w:val="auto"/>
              </w:rPr>
            </w:pPr>
            <w:r>
              <w:rPr>
                <w:rFonts w:ascii="Arial" w:cs="Arial" w:eastAsia="Arial" w:hAnsi="Arial"/>
                <w:sz w:val="9"/>
                <w:szCs w:val="9"/>
                <w:color w:val="auto"/>
              </w:rPr>
              <w:t>5,000</w:t>
            </w:r>
            <w:r>
              <w:rPr>
                <w:rFonts w:ascii="Arial" w:cs="Arial" w:eastAsia="Arial" w:hAnsi="Arial"/>
                <w:sz w:val="13"/>
                <w:szCs w:val="13"/>
                <w:color w:val="auto"/>
                <w:vertAlign w:val="superscript"/>
              </w:rPr>
              <w:t>5</w:t>
            </w:r>
          </w:p>
        </w:tc>
        <w:tc>
          <w:tcPr>
            <w:tcW w:w="800" w:type="dxa"/>
            <w:vAlign w:val="bottom"/>
            <w:tcBorders>
              <w:bottom w:val="single" w:sz="8" w:color="auto"/>
            </w:tcBorders>
            <w:shd w:val="clear" w:color="auto" w:fill="F1F3F9"/>
          </w:tcPr>
          <w:p>
            <w:pPr>
              <w:jc w:val="center"/>
              <w:ind w:left="72"/>
              <w:spacing w:after="0" w:line="115" w:lineRule="exact"/>
              <w:rPr>
                <w:sz w:val="20"/>
                <w:szCs w:val="20"/>
                <w:color w:val="auto"/>
              </w:rPr>
            </w:pPr>
            <w:r>
              <w:rPr>
                <w:rFonts w:ascii="Arial" w:cs="Arial" w:eastAsia="Arial" w:hAnsi="Arial"/>
                <w:sz w:val="9"/>
                <w:szCs w:val="9"/>
                <w:color w:val="auto"/>
              </w:rPr>
              <w:t>1,879,800</w:t>
            </w:r>
            <w:r>
              <w:rPr>
                <w:rFonts w:ascii="Arial" w:cs="Arial" w:eastAsia="Arial" w:hAnsi="Arial"/>
                <w:sz w:val="13"/>
                <w:szCs w:val="13"/>
                <w:color w:val="auto"/>
                <w:vertAlign w:val="superscript"/>
              </w:rPr>
              <w:t>6</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105BAB"/>
            </w:tcBorders>
            <w:shd w:val="clear" w:color="auto" w:fill="F1F3F9"/>
          </w:tcPr>
          <w:p>
            <w:pPr>
              <w:spacing w:after="0"/>
              <w:rPr>
                <w:sz w:val="8"/>
                <w:szCs w:val="8"/>
                <w:color w:val="auto"/>
              </w:rPr>
            </w:pPr>
          </w:p>
        </w:tc>
        <w:tc>
          <w:tcPr>
            <w:tcW w:w="640" w:type="dxa"/>
            <w:vAlign w:val="bottom"/>
            <w:tcBorders>
              <w:bottom w:val="single" w:sz="8" w:color="105BAB"/>
            </w:tcBorders>
            <w:vMerge w:val="continue"/>
            <w:shd w:val="clear" w:color="auto" w:fill="F1F3F9"/>
          </w:tcPr>
          <w:p>
            <w:pPr>
              <w:spacing w:after="0"/>
              <w:rPr>
                <w:sz w:val="8"/>
                <w:szCs w:val="8"/>
                <w:color w:val="auto"/>
              </w:rPr>
            </w:pPr>
          </w:p>
        </w:tc>
        <w:tc>
          <w:tcPr>
            <w:tcW w:w="640" w:type="dxa"/>
            <w:vAlign w:val="bottom"/>
            <w:tcBorders>
              <w:bottom w:val="single" w:sz="8" w:color="105BAB"/>
            </w:tcBorders>
            <w:shd w:val="clear" w:color="auto" w:fill="F1F3F9"/>
          </w:tcPr>
          <w:p>
            <w:pPr>
              <w:spacing w:after="0"/>
              <w:rPr>
                <w:sz w:val="8"/>
                <w:szCs w:val="8"/>
                <w:color w:val="auto"/>
              </w:rPr>
            </w:pPr>
          </w:p>
        </w:tc>
        <w:tc>
          <w:tcPr>
            <w:tcW w:w="56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b w:val="1"/>
                <w:bCs w:val="1"/>
                <w:color w:val="auto"/>
              </w:rPr>
              <w:t>103,092</w:t>
            </w:r>
          </w:p>
        </w:tc>
        <w:tc>
          <w:tcPr>
            <w:tcW w:w="1520" w:type="dxa"/>
            <w:vAlign w:val="bottom"/>
            <w:tcBorders>
              <w:bottom w:val="single" w:sz="8" w:color="105BAB"/>
            </w:tcBorders>
            <w:shd w:val="clear" w:color="auto" w:fill="F1F3F9"/>
          </w:tcPr>
          <w:p>
            <w:pPr>
              <w:jc w:val="right"/>
              <w:ind w:right="433"/>
              <w:spacing w:after="0" w:line="97" w:lineRule="exact"/>
              <w:rPr>
                <w:sz w:val="20"/>
                <w:szCs w:val="20"/>
                <w:color w:val="auto"/>
              </w:rPr>
            </w:pPr>
            <w:r>
              <w:rPr>
                <w:rFonts w:ascii="Arial" w:cs="Arial" w:eastAsia="Arial" w:hAnsi="Arial"/>
                <w:sz w:val="10"/>
                <w:szCs w:val="10"/>
                <w:b w:val="1"/>
                <w:bCs w:val="1"/>
                <w:color w:val="auto"/>
              </w:rPr>
              <w:t>64,710</w:t>
            </w:r>
          </w:p>
        </w:tc>
        <w:tc>
          <w:tcPr>
            <w:tcW w:w="1360" w:type="dxa"/>
            <w:vAlign w:val="bottom"/>
            <w:tcBorders>
              <w:bottom w:val="single" w:sz="8" w:color="105BAB"/>
            </w:tcBorders>
            <w:shd w:val="clear" w:color="auto" w:fill="F1F3F9"/>
          </w:tcPr>
          <w:p>
            <w:pPr>
              <w:spacing w:after="0"/>
              <w:rPr>
                <w:sz w:val="8"/>
                <w:szCs w:val="8"/>
                <w:color w:val="auto"/>
              </w:rPr>
            </w:pPr>
          </w:p>
        </w:tc>
        <w:tc>
          <w:tcPr>
            <w:tcW w:w="104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66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ind w:left="40"/>
              <w:spacing w:after="0" w:line="97" w:lineRule="exact"/>
              <w:rPr>
                <w:sz w:val="20"/>
                <w:szCs w:val="20"/>
                <w:color w:val="auto"/>
              </w:rPr>
            </w:pPr>
            <w:r>
              <w:rPr>
                <w:rFonts w:ascii="Arial" w:cs="Arial" w:eastAsia="Arial" w:hAnsi="Arial"/>
                <w:sz w:val="10"/>
                <w:szCs w:val="10"/>
                <w:b w:val="1"/>
                <w:bCs w:val="1"/>
                <w:color w:val="auto"/>
              </w:rPr>
              <w:t>5,000</w:t>
            </w:r>
          </w:p>
        </w:tc>
        <w:tc>
          <w:tcPr>
            <w:tcW w:w="800" w:type="dxa"/>
            <w:vAlign w:val="bottom"/>
            <w:tcBorders>
              <w:bottom w:val="single" w:sz="8" w:color="105BAB"/>
            </w:tcBorders>
            <w:shd w:val="clear" w:color="auto" w:fill="F1F3F9"/>
          </w:tcPr>
          <w:p>
            <w:pPr>
              <w:spacing w:after="0"/>
              <w:rPr>
                <w:sz w:val="8"/>
                <w:szCs w:val="8"/>
                <w:color w:val="auto"/>
              </w:rPr>
            </w:pPr>
          </w:p>
        </w:tc>
        <w:tc>
          <w:tcPr>
            <w:tcW w:w="1500" w:type="dxa"/>
            <w:vAlign w:val="bottom"/>
            <w:tcBorders>
              <w:bottom w:val="single" w:sz="8" w:color="105BAB"/>
            </w:tcBorders>
            <w:shd w:val="clear" w:color="auto" w:fill="F1F3F9"/>
          </w:tcPr>
          <w:p>
            <w:pPr>
              <w:spacing w:after="0"/>
              <w:rPr>
                <w:sz w:val="8"/>
                <w:szCs w:val="8"/>
                <w:color w:val="auto"/>
              </w:rPr>
            </w:pPr>
          </w:p>
        </w:tc>
        <w:tc>
          <w:tcPr>
            <w:tcW w:w="660" w:type="dxa"/>
            <w:vAlign w:val="bottom"/>
            <w:tcBorders>
              <w:bottom w:val="single" w:sz="8" w:color="105BAB"/>
            </w:tcBorders>
            <w:shd w:val="clear" w:color="auto" w:fill="F1F3F9"/>
          </w:tcPr>
          <w:p>
            <w:pPr>
              <w:spacing w:after="0"/>
              <w:rPr>
                <w:sz w:val="8"/>
                <w:szCs w:val="8"/>
                <w:color w:val="auto"/>
              </w:rPr>
            </w:pPr>
          </w:p>
        </w:tc>
        <w:tc>
          <w:tcPr>
            <w:tcW w:w="320" w:type="dxa"/>
            <w:vAlign w:val="bottom"/>
            <w:tcBorders>
              <w:bottom w:val="single" w:sz="8" w:color="105BAB"/>
            </w:tcBorders>
            <w:shd w:val="clear" w:color="auto" w:fill="F1F3F9"/>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Borders>
              <w:bottom w:val="single" w:sz="8" w:color="D6DAEE"/>
            </w:tcBorders>
            <w:shd w:val="clear" w:color="auto" w:fill="D6DAEE"/>
          </w:tcPr>
          <w:p>
            <w:pPr>
              <w:spacing w:after="0"/>
              <w:rPr>
                <w:sz w:val="11"/>
                <w:szCs w:val="11"/>
                <w:color w:val="auto"/>
              </w:rPr>
            </w:pPr>
          </w:p>
        </w:tc>
        <w:tc>
          <w:tcPr>
            <w:tcW w:w="1280" w:type="dxa"/>
            <w:vAlign w:val="bottom"/>
            <w:tcBorders>
              <w:bottom w:val="single" w:sz="8" w:color="D6DAEE"/>
            </w:tcBorders>
            <w:gridSpan w:val="2"/>
            <w:shd w:val="clear" w:color="auto" w:fill="D6DAEE"/>
          </w:tcPr>
          <w:p>
            <w:pPr>
              <w:spacing w:after="0"/>
              <w:rPr>
                <w:sz w:val="20"/>
                <w:szCs w:val="20"/>
                <w:color w:val="auto"/>
              </w:rPr>
            </w:pPr>
            <w:r>
              <w:rPr>
                <w:rFonts w:ascii="Arial" w:cs="Arial" w:eastAsia="Arial" w:hAnsi="Arial"/>
                <w:sz w:val="10"/>
                <w:szCs w:val="10"/>
                <w:b w:val="1"/>
                <w:bCs w:val="1"/>
                <w:color w:val="105BAB"/>
              </w:rPr>
              <w:t>Neil Stahl,</w:t>
            </w:r>
          </w:p>
        </w:tc>
        <w:tc>
          <w:tcPr>
            <w:tcW w:w="560" w:type="dxa"/>
            <w:vAlign w:val="bottom"/>
            <w:tcBorders>
              <w:bottom w:val="single" w:sz="8" w:color="auto"/>
            </w:tcBorders>
            <w:shd w:val="clear" w:color="auto" w:fill="D6DAEE"/>
          </w:tcPr>
          <w:p>
            <w:pPr>
              <w:ind w:left="22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D6DAEE"/>
          </w:tcPr>
          <w:p>
            <w:pPr>
              <w:jc w:val="right"/>
              <w:ind w:right="393"/>
              <w:spacing w:after="0" w:line="133" w:lineRule="exact"/>
              <w:rPr>
                <w:sz w:val="20"/>
                <w:szCs w:val="20"/>
                <w:color w:val="auto"/>
              </w:rPr>
            </w:pPr>
            <w:r>
              <w:rPr>
                <w:rFonts w:ascii="Arial" w:cs="Arial" w:eastAsia="Arial" w:hAnsi="Arial"/>
                <w:sz w:val="10"/>
                <w:szCs w:val="10"/>
                <w:color w:val="auto"/>
              </w:rPr>
              <w:t>50,000</w:t>
            </w:r>
            <w:r>
              <w:rPr>
                <w:rFonts w:ascii="Arial" w:cs="Arial" w:eastAsia="Arial" w:hAnsi="Arial"/>
                <w:sz w:val="14"/>
                <w:szCs w:val="14"/>
                <w:color w:val="auto"/>
                <w:vertAlign w:val="superscript"/>
              </w:rPr>
              <w:t>1</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378.98</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12/12/2027</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line="107" w:lineRule="exact"/>
              <w:rPr>
                <w:sz w:val="20"/>
                <w:szCs w:val="20"/>
                <w:color w:val="auto"/>
              </w:rPr>
            </w:pPr>
            <w:r>
              <w:rPr>
                <w:rFonts w:ascii="Arial" w:cs="Arial" w:eastAsia="Arial" w:hAnsi="Arial"/>
                <w:sz w:val="10"/>
                <w:szCs w:val="10"/>
                <w:b w:val="1"/>
                <w:bCs w:val="1"/>
                <w:color w:val="105BAB"/>
              </w:rPr>
              <w:t>Ph.D.</w:t>
            </w:r>
          </w:p>
        </w:tc>
        <w:tc>
          <w:tcPr>
            <w:tcW w:w="640" w:type="dxa"/>
            <w:vAlign w:val="bottom"/>
            <w:tcBorders>
              <w:bottom w:val="single" w:sz="8" w:color="D6DAEE"/>
            </w:tcBorders>
            <w:shd w:val="clear" w:color="auto" w:fill="D6DAEE"/>
          </w:tcPr>
          <w:p>
            <w:pPr>
              <w:spacing w:after="0"/>
              <w:rPr>
                <w:sz w:val="10"/>
                <w:szCs w:val="10"/>
                <w:color w:val="auto"/>
              </w:rPr>
            </w:pPr>
          </w:p>
        </w:tc>
        <w:tc>
          <w:tcPr>
            <w:tcW w:w="56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14,586</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43,756</w:t>
            </w:r>
            <w:r>
              <w:rPr>
                <w:rFonts w:ascii="Arial" w:cs="Arial" w:eastAsia="Arial" w:hAnsi="Arial"/>
                <w:sz w:val="13"/>
                <w:szCs w:val="13"/>
                <w:color w:val="auto"/>
                <w:vertAlign w:val="superscript"/>
              </w:rPr>
              <w:t>2</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381.92</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12/16/2026</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rPr>
                <w:sz w:val="10"/>
                <w:szCs w:val="10"/>
                <w:color w:val="auto"/>
              </w:rPr>
            </w:pPr>
          </w:p>
        </w:tc>
        <w:tc>
          <w:tcPr>
            <w:tcW w:w="56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34,320</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34,318</w:t>
            </w:r>
            <w:r>
              <w:rPr>
                <w:rFonts w:ascii="Arial" w:cs="Arial" w:eastAsia="Arial" w:hAnsi="Arial"/>
                <w:sz w:val="13"/>
                <w:szCs w:val="13"/>
                <w:color w:val="auto"/>
                <w:vertAlign w:val="superscript"/>
              </w:rPr>
              <w:t>3</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555.67</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12/16/2025</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rPr>
                <w:sz w:val="10"/>
                <w:szCs w:val="10"/>
                <w:color w:val="auto"/>
              </w:rPr>
            </w:pPr>
          </w:p>
        </w:tc>
        <w:tc>
          <w:tcPr>
            <w:tcW w:w="640" w:type="dxa"/>
            <w:vAlign w:val="bottom"/>
            <w:tcBorders>
              <w:bottom w:val="single" w:sz="8" w:color="D6DAEE"/>
            </w:tcBorders>
            <w:shd w:val="clear" w:color="auto" w:fill="D6DAEE"/>
          </w:tcPr>
          <w:p>
            <w:pPr>
              <w:spacing w:after="0"/>
              <w:rPr>
                <w:sz w:val="10"/>
                <w:szCs w:val="10"/>
                <w:color w:val="auto"/>
              </w:rPr>
            </w:pPr>
          </w:p>
        </w:tc>
        <w:tc>
          <w:tcPr>
            <w:tcW w:w="56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60,563</w:t>
            </w:r>
          </w:p>
        </w:tc>
        <w:tc>
          <w:tcPr>
            <w:tcW w:w="1520" w:type="dxa"/>
            <w:vAlign w:val="bottom"/>
            <w:tcBorders>
              <w:bottom w:val="single" w:sz="8" w:color="auto"/>
            </w:tcBorders>
            <w:shd w:val="clear" w:color="auto" w:fill="D6DAEE"/>
          </w:tcPr>
          <w:p>
            <w:pPr>
              <w:jc w:val="right"/>
              <w:ind w:right="393"/>
              <w:spacing w:after="0" w:line="115" w:lineRule="exact"/>
              <w:rPr>
                <w:sz w:val="20"/>
                <w:szCs w:val="20"/>
                <w:color w:val="auto"/>
              </w:rPr>
            </w:pPr>
            <w:r>
              <w:rPr>
                <w:rFonts w:ascii="Arial" w:cs="Arial" w:eastAsia="Arial" w:hAnsi="Arial"/>
                <w:sz w:val="9"/>
                <w:szCs w:val="9"/>
                <w:color w:val="auto"/>
              </w:rPr>
              <w:t>20,187</w:t>
            </w:r>
            <w:r>
              <w:rPr>
                <w:rFonts w:ascii="Arial" w:cs="Arial" w:eastAsia="Arial" w:hAnsi="Arial"/>
                <w:sz w:val="13"/>
                <w:szCs w:val="13"/>
                <w:color w:val="auto"/>
                <w:vertAlign w:val="superscript"/>
              </w:rPr>
              <w:t>4</w:t>
            </w:r>
          </w:p>
        </w:tc>
        <w:tc>
          <w:tcPr>
            <w:tcW w:w="1360" w:type="dxa"/>
            <w:vAlign w:val="bottom"/>
            <w:tcBorders>
              <w:bottom w:val="single" w:sz="8" w:color="auto"/>
            </w:tcBorders>
            <w:shd w:val="clear" w:color="auto" w:fill="D6DAEE"/>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rPr>
                <w:sz w:val="20"/>
                <w:szCs w:val="20"/>
                <w:color w:val="auto"/>
              </w:rPr>
            </w:pPr>
            <w:r>
              <w:rPr>
                <w:rFonts w:ascii="Arial" w:cs="Arial" w:eastAsia="Arial" w:hAnsi="Arial"/>
                <w:sz w:val="10"/>
                <w:szCs w:val="10"/>
                <w:color w:val="auto"/>
              </w:rPr>
              <w:t>399.66</w:t>
            </w:r>
          </w:p>
        </w:tc>
        <w:tc>
          <w:tcPr>
            <w:tcW w:w="1460" w:type="dxa"/>
            <w:vAlign w:val="bottom"/>
            <w:tcBorders>
              <w:bottom w:val="single" w:sz="8" w:color="auto"/>
            </w:tcBorders>
            <w:gridSpan w:val="2"/>
            <w:shd w:val="clear" w:color="auto" w:fill="D6DAEE"/>
          </w:tcPr>
          <w:p>
            <w:pPr>
              <w:jc w:val="right"/>
              <w:ind w:right="660"/>
              <w:spacing w:after="0"/>
              <w:rPr>
                <w:sz w:val="20"/>
                <w:szCs w:val="20"/>
                <w:color w:val="auto"/>
              </w:rPr>
            </w:pPr>
            <w:r>
              <w:rPr>
                <w:rFonts w:ascii="Arial" w:cs="Arial" w:eastAsia="Arial" w:hAnsi="Arial"/>
                <w:sz w:val="10"/>
                <w:szCs w:val="10"/>
                <w:color w:val="auto"/>
              </w:rPr>
              <w:t>12/16/2024</w:t>
            </w:r>
          </w:p>
        </w:tc>
        <w:tc>
          <w:tcPr>
            <w:tcW w:w="800" w:type="dxa"/>
            <w:vAlign w:val="bottom"/>
            <w:tcBorders>
              <w:bottom w:val="single" w:sz="8" w:color="auto"/>
            </w:tcBorders>
            <w:shd w:val="clear" w:color="auto" w:fill="D6DAEE"/>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95,000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270.43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12/13/2023</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112,500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179.13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12/14/2022</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48,079</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75,000</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D6DAEE"/>
            </w:tcBorders>
            <w:shd w:val="clear" w:color="auto" w:fill="D6DAEE"/>
          </w:tcPr>
          <w:p>
            <w:pPr>
              <w:spacing w:after="0"/>
              <w:rPr>
                <w:sz w:val="8"/>
                <w:szCs w:val="8"/>
                <w:color w:val="auto"/>
              </w:rPr>
            </w:pPr>
          </w:p>
        </w:tc>
        <w:tc>
          <w:tcPr>
            <w:tcW w:w="640" w:type="dxa"/>
            <w:vAlign w:val="bottom"/>
            <w:tcBorders>
              <w:bottom w:val="single" w:sz="8" w:color="D6DAEE"/>
            </w:tcBorders>
            <w:vMerge w:val="restart"/>
            <w:shd w:val="clear" w:color="auto" w:fill="D6DAEE"/>
          </w:tcPr>
          <w:p>
            <w:pPr>
              <w:ind w:left="120"/>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D6DAEE"/>
            </w:tcBorders>
            <w:shd w:val="clear" w:color="auto" w:fill="D6DAEE"/>
          </w:tcPr>
          <w:p>
            <w:pPr>
              <w:spacing w:after="0"/>
              <w:rPr>
                <w:sz w:val="8"/>
                <w:szCs w:val="8"/>
                <w:color w:val="auto"/>
              </w:rPr>
            </w:pPr>
          </w:p>
        </w:tc>
        <w:tc>
          <w:tcPr>
            <w:tcW w:w="560" w:type="dxa"/>
            <w:vAlign w:val="bottom"/>
            <w:tcBorders>
              <w:bottom w:val="single" w:sz="8" w:color="auto"/>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26,736</w:t>
            </w:r>
          </w:p>
        </w:tc>
        <w:tc>
          <w:tcPr>
            <w:tcW w:w="1520" w:type="dxa"/>
            <w:vAlign w:val="bottom"/>
            <w:tcBorders>
              <w:bottom w:val="single" w:sz="8" w:color="auto"/>
            </w:tcBorders>
            <w:shd w:val="clear" w:color="auto" w:fill="D6DAEE"/>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D6DAEE"/>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D6DAEE"/>
          </w:tcPr>
          <w:p>
            <w:pPr>
              <w:jc w:val="right"/>
              <w:ind w:right="312"/>
              <w:spacing w:after="0" w:line="97" w:lineRule="exact"/>
              <w:rPr>
                <w:sz w:val="20"/>
                <w:szCs w:val="20"/>
                <w:color w:val="auto"/>
              </w:rPr>
            </w:pPr>
            <w:r>
              <w:rPr>
                <w:rFonts w:ascii="Arial" w:cs="Arial" w:eastAsia="Arial" w:hAnsi="Arial"/>
                <w:sz w:val="10"/>
                <w:szCs w:val="10"/>
                <w:color w:val="auto"/>
              </w:rPr>
              <w:t>30.63</w:t>
            </w:r>
          </w:p>
        </w:tc>
        <w:tc>
          <w:tcPr>
            <w:tcW w:w="1460" w:type="dxa"/>
            <w:vAlign w:val="bottom"/>
            <w:tcBorders>
              <w:bottom w:val="single" w:sz="8" w:color="auto"/>
            </w:tcBorders>
            <w:gridSpan w:val="2"/>
            <w:shd w:val="clear" w:color="auto" w:fill="D6DAEE"/>
          </w:tcPr>
          <w:p>
            <w:pPr>
              <w:jc w:val="right"/>
              <w:ind w:right="660"/>
              <w:spacing w:after="0" w:line="97" w:lineRule="exact"/>
              <w:rPr>
                <w:sz w:val="20"/>
                <w:szCs w:val="20"/>
                <w:color w:val="auto"/>
              </w:rPr>
            </w:pPr>
            <w:r>
              <w:rPr>
                <w:rFonts w:ascii="Arial" w:cs="Arial" w:eastAsia="Arial" w:hAnsi="Arial"/>
                <w:sz w:val="10"/>
                <w:szCs w:val="10"/>
                <w:color w:val="auto"/>
              </w:rPr>
              <w:t>12/14/2020</w:t>
            </w:r>
          </w:p>
        </w:tc>
        <w:tc>
          <w:tcPr>
            <w:tcW w:w="800" w:type="dxa"/>
            <w:vAlign w:val="bottom"/>
            <w:tcBorders>
              <w:bottom w:val="single" w:sz="8" w:color="auto"/>
            </w:tcBorders>
            <w:shd w:val="clear" w:color="auto" w:fill="D6DAEE"/>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D6DAEE"/>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D6DAEE"/>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D6DAEE"/>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105BAB"/>
            </w:tcBorders>
            <w:shd w:val="clear" w:color="auto" w:fill="D6DAEE"/>
          </w:tcPr>
          <w:p>
            <w:pPr>
              <w:spacing w:after="0"/>
              <w:rPr>
                <w:sz w:val="8"/>
                <w:szCs w:val="8"/>
                <w:color w:val="auto"/>
              </w:rPr>
            </w:pPr>
          </w:p>
        </w:tc>
        <w:tc>
          <w:tcPr>
            <w:tcW w:w="640" w:type="dxa"/>
            <w:vAlign w:val="bottom"/>
            <w:tcBorders>
              <w:bottom w:val="single" w:sz="8" w:color="105BAB"/>
            </w:tcBorders>
            <w:vMerge w:val="continue"/>
            <w:shd w:val="clear" w:color="auto" w:fill="D6DAEE"/>
          </w:tcPr>
          <w:p>
            <w:pPr>
              <w:spacing w:after="0"/>
              <w:rPr>
                <w:sz w:val="8"/>
                <w:szCs w:val="8"/>
                <w:color w:val="auto"/>
              </w:rPr>
            </w:pPr>
          </w:p>
        </w:tc>
        <w:tc>
          <w:tcPr>
            <w:tcW w:w="640" w:type="dxa"/>
            <w:vAlign w:val="bottom"/>
            <w:tcBorders>
              <w:bottom w:val="single" w:sz="8" w:color="105BAB"/>
            </w:tcBorders>
            <w:shd w:val="clear" w:color="auto" w:fill="D6DAEE"/>
          </w:tcPr>
          <w:p>
            <w:pPr>
              <w:spacing w:after="0"/>
              <w:rPr>
                <w:sz w:val="8"/>
                <w:szCs w:val="8"/>
                <w:color w:val="auto"/>
              </w:rPr>
            </w:pPr>
          </w:p>
        </w:tc>
        <w:tc>
          <w:tcPr>
            <w:tcW w:w="560" w:type="dxa"/>
            <w:vAlign w:val="bottom"/>
            <w:tcBorders>
              <w:bottom w:val="single" w:sz="8" w:color="105BAB"/>
            </w:tcBorders>
            <w:shd w:val="clear" w:color="auto" w:fill="D6DAEE"/>
          </w:tcPr>
          <w:p>
            <w:pPr>
              <w:jc w:val="right"/>
              <w:spacing w:after="0" w:line="97" w:lineRule="exact"/>
              <w:rPr>
                <w:sz w:val="20"/>
                <w:szCs w:val="20"/>
                <w:color w:val="auto"/>
              </w:rPr>
            </w:pPr>
            <w:r>
              <w:rPr>
                <w:rFonts w:ascii="Arial" w:cs="Arial" w:eastAsia="Arial" w:hAnsi="Arial"/>
                <w:sz w:val="10"/>
                <w:szCs w:val="10"/>
                <w:b w:val="1"/>
                <w:bCs w:val="1"/>
                <w:color w:val="auto"/>
              </w:rPr>
              <w:t>466,784</w:t>
            </w:r>
          </w:p>
        </w:tc>
        <w:tc>
          <w:tcPr>
            <w:tcW w:w="1520" w:type="dxa"/>
            <w:vAlign w:val="bottom"/>
            <w:tcBorders>
              <w:bottom w:val="single" w:sz="8" w:color="105BAB"/>
            </w:tcBorders>
            <w:shd w:val="clear" w:color="auto" w:fill="D6DAEE"/>
          </w:tcPr>
          <w:p>
            <w:pPr>
              <w:jc w:val="center"/>
              <w:ind w:left="153"/>
              <w:spacing w:after="0" w:line="97" w:lineRule="exact"/>
              <w:rPr>
                <w:sz w:val="20"/>
                <w:szCs w:val="20"/>
                <w:color w:val="auto"/>
              </w:rPr>
            </w:pPr>
            <w:r>
              <w:rPr>
                <w:rFonts w:ascii="Arial" w:cs="Arial" w:eastAsia="Arial" w:hAnsi="Arial"/>
                <w:sz w:val="10"/>
                <w:szCs w:val="10"/>
                <w:b w:val="1"/>
                <w:bCs w:val="1"/>
                <w:color w:val="auto"/>
                <w:w w:val="99"/>
              </w:rPr>
              <w:t>148,261</w:t>
            </w:r>
          </w:p>
        </w:tc>
        <w:tc>
          <w:tcPr>
            <w:tcW w:w="1360" w:type="dxa"/>
            <w:vAlign w:val="bottom"/>
            <w:tcBorders>
              <w:bottom w:val="single" w:sz="8" w:color="105BAB"/>
            </w:tcBorders>
            <w:shd w:val="clear" w:color="auto" w:fill="D6DAEE"/>
          </w:tcPr>
          <w:p>
            <w:pPr>
              <w:spacing w:after="0"/>
              <w:rPr>
                <w:sz w:val="8"/>
                <w:szCs w:val="8"/>
                <w:color w:val="auto"/>
              </w:rPr>
            </w:pPr>
          </w:p>
        </w:tc>
        <w:tc>
          <w:tcPr>
            <w:tcW w:w="1040" w:type="dxa"/>
            <w:vAlign w:val="bottom"/>
            <w:tcBorders>
              <w:bottom w:val="single" w:sz="8" w:color="105BAB"/>
            </w:tcBorders>
            <w:shd w:val="clear" w:color="auto" w:fill="D6DAEE"/>
          </w:tcPr>
          <w:p>
            <w:pPr>
              <w:spacing w:after="0"/>
              <w:rPr>
                <w:sz w:val="8"/>
                <w:szCs w:val="8"/>
                <w:color w:val="auto"/>
              </w:rPr>
            </w:pPr>
          </w:p>
        </w:tc>
        <w:tc>
          <w:tcPr>
            <w:tcW w:w="800" w:type="dxa"/>
            <w:vAlign w:val="bottom"/>
            <w:tcBorders>
              <w:bottom w:val="single" w:sz="8" w:color="105BAB"/>
            </w:tcBorders>
            <w:shd w:val="clear" w:color="auto" w:fill="D6DAEE"/>
          </w:tcPr>
          <w:p>
            <w:pPr>
              <w:spacing w:after="0"/>
              <w:rPr>
                <w:sz w:val="8"/>
                <w:szCs w:val="8"/>
                <w:color w:val="auto"/>
              </w:rPr>
            </w:pPr>
          </w:p>
        </w:tc>
        <w:tc>
          <w:tcPr>
            <w:tcW w:w="660" w:type="dxa"/>
            <w:vAlign w:val="bottom"/>
            <w:tcBorders>
              <w:bottom w:val="single" w:sz="8" w:color="105BAB"/>
            </w:tcBorders>
            <w:shd w:val="clear" w:color="auto" w:fill="D6DAEE"/>
          </w:tcPr>
          <w:p>
            <w:pPr>
              <w:spacing w:after="0"/>
              <w:rPr>
                <w:sz w:val="8"/>
                <w:szCs w:val="8"/>
                <w:color w:val="auto"/>
              </w:rPr>
            </w:pPr>
          </w:p>
        </w:tc>
        <w:tc>
          <w:tcPr>
            <w:tcW w:w="800" w:type="dxa"/>
            <w:vAlign w:val="bottom"/>
            <w:tcBorders>
              <w:bottom w:val="single" w:sz="8" w:color="105BAB"/>
            </w:tcBorders>
            <w:shd w:val="clear" w:color="auto" w:fill="D6DAEE"/>
          </w:tcPr>
          <w:p>
            <w:pPr>
              <w:spacing w:after="0"/>
              <w:rPr>
                <w:sz w:val="8"/>
                <w:szCs w:val="8"/>
                <w:color w:val="auto"/>
              </w:rPr>
            </w:pPr>
          </w:p>
        </w:tc>
        <w:tc>
          <w:tcPr>
            <w:tcW w:w="800" w:type="dxa"/>
            <w:vAlign w:val="bottom"/>
            <w:tcBorders>
              <w:bottom w:val="single" w:sz="8" w:color="105BAB"/>
            </w:tcBorders>
            <w:shd w:val="clear" w:color="auto" w:fill="D6DAEE"/>
          </w:tcPr>
          <w:p>
            <w:pPr>
              <w:spacing w:after="0"/>
              <w:rPr>
                <w:sz w:val="8"/>
                <w:szCs w:val="8"/>
                <w:color w:val="auto"/>
              </w:rPr>
            </w:pPr>
          </w:p>
        </w:tc>
        <w:tc>
          <w:tcPr>
            <w:tcW w:w="1500" w:type="dxa"/>
            <w:vAlign w:val="bottom"/>
            <w:tcBorders>
              <w:bottom w:val="single" w:sz="8" w:color="105BAB"/>
            </w:tcBorders>
            <w:shd w:val="clear" w:color="auto" w:fill="D6DAEE"/>
          </w:tcPr>
          <w:p>
            <w:pPr>
              <w:spacing w:after="0"/>
              <w:rPr>
                <w:sz w:val="8"/>
                <w:szCs w:val="8"/>
                <w:color w:val="auto"/>
              </w:rPr>
            </w:pPr>
          </w:p>
        </w:tc>
        <w:tc>
          <w:tcPr>
            <w:tcW w:w="660" w:type="dxa"/>
            <w:vAlign w:val="bottom"/>
            <w:tcBorders>
              <w:bottom w:val="single" w:sz="8" w:color="105BAB"/>
            </w:tcBorders>
            <w:shd w:val="clear" w:color="auto" w:fill="D6DAEE"/>
          </w:tcPr>
          <w:p>
            <w:pPr>
              <w:spacing w:after="0"/>
              <w:rPr>
                <w:sz w:val="8"/>
                <w:szCs w:val="8"/>
                <w:color w:val="auto"/>
              </w:rPr>
            </w:pPr>
          </w:p>
        </w:tc>
        <w:tc>
          <w:tcPr>
            <w:tcW w:w="320" w:type="dxa"/>
            <w:vAlign w:val="bottom"/>
            <w:tcBorders>
              <w:bottom w:val="single" w:sz="8" w:color="105BAB"/>
            </w:tcBorders>
            <w:shd w:val="clear" w:color="auto" w:fill="D6DAE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1280" w:type="dxa"/>
            <w:vAlign w:val="bottom"/>
            <w:tcBorders>
              <w:bottom w:val="single" w:sz="8" w:color="F1F3F9"/>
            </w:tcBorders>
            <w:gridSpan w:val="2"/>
            <w:shd w:val="clear" w:color="auto" w:fill="F1F3F9"/>
          </w:tcPr>
          <w:p>
            <w:pPr>
              <w:spacing w:after="0"/>
              <w:rPr>
                <w:sz w:val="20"/>
                <w:szCs w:val="20"/>
                <w:color w:val="auto"/>
              </w:rPr>
            </w:pPr>
            <w:r>
              <w:rPr>
                <w:rFonts w:ascii="Arial" w:cs="Arial" w:eastAsia="Arial" w:hAnsi="Arial"/>
                <w:sz w:val="10"/>
                <w:szCs w:val="10"/>
                <w:b w:val="1"/>
                <w:bCs w:val="1"/>
                <w:color w:val="105BAB"/>
              </w:rPr>
              <w:t>Daniel P.</w:t>
            </w:r>
          </w:p>
        </w:tc>
        <w:tc>
          <w:tcPr>
            <w:tcW w:w="560" w:type="dxa"/>
            <w:vAlign w:val="bottom"/>
            <w:tcBorders>
              <w:bottom w:val="single" w:sz="8" w:color="auto"/>
            </w:tcBorders>
            <w:shd w:val="clear" w:color="auto" w:fill="F1F3F9"/>
          </w:tcPr>
          <w:p>
            <w:pPr>
              <w:ind w:left="22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50,000</w:t>
            </w:r>
            <w:r>
              <w:rPr>
                <w:rFonts w:ascii="Arial" w:cs="Arial" w:eastAsia="Arial" w:hAnsi="Arial"/>
                <w:sz w:val="13"/>
                <w:szCs w:val="13"/>
                <w:color w:val="auto"/>
                <w:vertAlign w:val="superscript"/>
              </w:rPr>
              <w:t>1</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378.98</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12/12/2027</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line="107" w:lineRule="exact"/>
              <w:rPr>
                <w:sz w:val="20"/>
                <w:szCs w:val="20"/>
                <w:color w:val="auto"/>
              </w:rPr>
            </w:pPr>
            <w:r>
              <w:rPr>
                <w:rFonts w:ascii="Arial" w:cs="Arial" w:eastAsia="Arial" w:hAnsi="Arial"/>
                <w:sz w:val="10"/>
                <w:szCs w:val="10"/>
                <w:b w:val="1"/>
                <w:bCs w:val="1"/>
                <w:color w:val="105BAB"/>
              </w:rPr>
              <w:t>Van Plew</w:t>
            </w: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8,500</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25,500</w:t>
            </w:r>
            <w:r>
              <w:rPr>
                <w:rFonts w:ascii="Arial" w:cs="Arial" w:eastAsia="Arial" w:hAnsi="Arial"/>
                <w:sz w:val="13"/>
                <w:szCs w:val="13"/>
                <w:color w:val="auto"/>
                <w:vertAlign w:val="superscript"/>
              </w:rPr>
              <w:t>2</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381.92</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12/16/2026</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20,000</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20,000</w:t>
            </w:r>
            <w:r>
              <w:rPr>
                <w:rFonts w:ascii="Arial" w:cs="Arial" w:eastAsia="Arial" w:hAnsi="Arial"/>
                <w:sz w:val="13"/>
                <w:szCs w:val="13"/>
                <w:color w:val="auto"/>
                <w:vertAlign w:val="superscript"/>
              </w:rPr>
              <w:t>3</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555.67</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12/16/2025</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640" w:type="dxa"/>
            <w:vAlign w:val="bottom"/>
            <w:tcBorders>
              <w:bottom w:val="single" w:sz="8" w:color="F1F3F9"/>
            </w:tcBorders>
            <w:shd w:val="clear" w:color="auto" w:fill="F1F3F9"/>
          </w:tcPr>
          <w:p>
            <w:pPr>
              <w:spacing w:after="0"/>
              <w:rPr>
                <w:sz w:val="10"/>
                <w:szCs w:val="10"/>
                <w:color w:val="auto"/>
              </w:rPr>
            </w:pPr>
          </w:p>
        </w:tc>
        <w:tc>
          <w:tcPr>
            <w:tcW w:w="56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30,000</w:t>
            </w:r>
          </w:p>
        </w:tc>
        <w:tc>
          <w:tcPr>
            <w:tcW w:w="1520" w:type="dxa"/>
            <w:vAlign w:val="bottom"/>
            <w:tcBorders>
              <w:bottom w:val="single" w:sz="8" w:color="auto"/>
            </w:tcBorders>
            <w:shd w:val="clear" w:color="auto" w:fill="F1F3F9"/>
          </w:tcPr>
          <w:p>
            <w:pPr>
              <w:jc w:val="right"/>
              <w:ind w:right="393"/>
              <w:spacing w:after="0" w:line="115"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4</w:t>
            </w:r>
          </w:p>
        </w:tc>
        <w:tc>
          <w:tcPr>
            <w:tcW w:w="1360" w:type="dxa"/>
            <w:vAlign w:val="bottom"/>
            <w:tcBorders>
              <w:bottom w:val="single" w:sz="8" w:color="auto"/>
            </w:tcBorders>
            <w:shd w:val="clear" w:color="auto" w:fill="F1F3F9"/>
          </w:tcPr>
          <w:p>
            <w:pPr>
              <w:jc w:val="center"/>
              <w:ind w:left="52"/>
              <w:spacing w:after="0"/>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rPr>
                <w:sz w:val="20"/>
                <w:szCs w:val="20"/>
                <w:color w:val="auto"/>
              </w:rPr>
            </w:pPr>
            <w:r>
              <w:rPr>
                <w:rFonts w:ascii="Arial" w:cs="Arial" w:eastAsia="Arial" w:hAnsi="Arial"/>
                <w:sz w:val="10"/>
                <w:szCs w:val="10"/>
                <w:color w:val="auto"/>
              </w:rPr>
              <w:t>399.66</w:t>
            </w:r>
          </w:p>
        </w:tc>
        <w:tc>
          <w:tcPr>
            <w:tcW w:w="1460" w:type="dxa"/>
            <w:vAlign w:val="bottom"/>
            <w:tcBorders>
              <w:bottom w:val="single" w:sz="8" w:color="auto"/>
            </w:tcBorders>
            <w:gridSpan w:val="2"/>
            <w:shd w:val="clear" w:color="auto" w:fill="F1F3F9"/>
          </w:tcPr>
          <w:p>
            <w:pPr>
              <w:jc w:val="right"/>
              <w:ind w:right="660"/>
              <w:spacing w:after="0"/>
              <w:rPr>
                <w:sz w:val="20"/>
                <w:szCs w:val="20"/>
                <w:color w:val="auto"/>
              </w:rPr>
            </w:pPr>
            <w:r>
              <w:rPr>
                <w:rFonts w:ascii="Arial" w:cs="Arial" w:eastAsia="Arial" w:hAnsi="Arial"/>
                <w:sz w:val="10"/>
                <w:szCs w:val="10"/>
                <w:color w:val="auto"/>
              </w:rPr>
              <w:t>12/16/2024</w:t>
            </w:r>
          </w:p>
        </w:tc>
        <w:tc>
          <w:tcPr>
            <w:tcW w:w="800" w:type="dxa"/>
            <w:vAlign w:val="bottom"/>
            <w:tcBorders>
              <w:bottom w:val="single" w:sz="8" w:color="auto"/>
            </w:tcBorders>
            <w:shd w:val="clear" w:color="auto" w:fill="F1F3F9"/>
          </w:tcPr>
          <w:p>
            <w:pPr>
              <w:ind w:left="10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50,000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270.43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12/13/2023</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75,000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179.13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12/14/2022</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52,500</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33,079</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52.03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12/16/2021</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F1F3F9"/>
            </w:tcBorders>
            <w:shd w:val="clear" w:color="auto" w:fill="F1F3F9"/>
          </w:tcPr>
          <w:p>
            <w:pPr>
              <w:spacing w:after="0"/>
              <w:rPr>
                <w:sz w:val="8"/>
                <w:szCs w:val="8"/>
                <w:color w:val="auto"/>
              </w:rPr>
            </w:pPr>
          </w:p>
        </w:tc>
        <w:tc>
          <w:tcPr>
            <w:tcW w:w="640" w:type="dxa"/>
            <w:vAlign w:val="bottom"/>
            <w:tcBorders>
              <w:bottom w:val="single" w:sz="8" w:color="F1F3F9"/>
            </w:tcBorders>
            <w:vMerge w:val="restart"/>
            <w:shd w:val="clear" w:color="auto" w:fill="F1F3F9"/>
          </w:tcPr>
          <w:p>
            <w:pPr>
              <w:ind w:left="120"/>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F1F3F9"/>
            </w:tcBorders>
            <w:shd w:val="clear" w:color="auto" w:fill="F1F3F9"/>
          </w:tcPr>
          <w:p>
            <w:pPr>
              <w:spacing w:after="0"/>
              <w:rPr>
                <w:sz w:val="8"/>
                <w:szCs w:val="8"/>
                <w:color w:val="auto"/>
              </w:rPr>
            </w:pPr>
          </w:p>
        </w:tc>
        <w:tc>
          <w:tcPr>
            <w:tcW w:w="560" w:type="dxa"/>
            <w:vAlign w:val="bottom"/>
            <w:tcBorders>
              <w:bottom w:val="single" w:sz="8" w:color="auto"/>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32,735</w:t>
            </w:r>
          </w:p>
        </w:tc>
        <w:tc>
          <w:tcPr>
            <w:tcW w:w="1520" w:type="dxa"/>
            <w:vAlign w:val="bottom"/>
            <w:tcBorders>
              <w:bottom w:val="single" w:sz="8" w:color="auto"/>
            </w:tcBorders>
            <w:shd w:val="clear" w:color="auto" w:fill="F1F3F9"/>
          </w:tcPr>
          <w:p>
            <w:pPr>
              <w:jc w:val="center"/>
              <w:ind w:left="133"/>
              <w:spacing w:after="0" w:line="97" w:lineRule="exact"/>
              <w:rPr>
                <w:sz w:val="20"/>
                <w:szCs w:val="20"/>
                <w:color w:val="auto"/>
              </w:rPr>
            </w:pPr>
            <w:r>
              <w:rPr>
                <w:rFonts w:ascii="Arial" w:cs="Arial" w:eastAsia="Arial" w:hAnsi="Arial"/>
                <w:sz w:val="10"/>
                <w:szCs w:val="10"/>
                <w:color w:val="auto"/>
                <w:w w:val="99"/>
              </w:rPr>
              <w:t>—</w:t>
            </w:r>
          </w:p>
        </w:tc>
        <w:tc>
          <w:tcPr>
            <w:tcW w:w="1360" w:type="dxa"/>
            <w:vAlign w:val="bottom"/>
            <w:tcBorders>
              <w:bottom w:val="single" w:sz="8" w:color="auto"/>
            </w:tcBorders>
            <w:shd w:val="clear" w:color="auto" w:fill="F1F3F9"/>
          </w:tcPr>
          <w:p>
            <w:pPr>
              <w:jc w:val="center"/>
              <w:ind w:left="52"/>
              <w:spacing w:after="0" w:line="97" w:lineRule="exact"/>
              <w:rPr>
                <w:sz w:val="20"/>
                <w:szCs w:val="20"/>
                <w:color w:val="auto"/>
              </w:rPr>
            </w:pPr>
            <w:r>
              <w:rPr>
                <w:rFonts w:ascii="Arial" w:cs="Arial" w:eastAsia="Arial" w:hAnsi="Arial"/>
                <w:sz w:val="10"/>
                <w:szCs w:val="10"/>
                <w:color w:val="auto"/>
                <w:w w:val="99"/>
              </w:rPr>
              <w:t>—</w:t>
            </w:r>
          </w:p>
        </w:tc>
        <w:tc>
          <w:tcPr>
            <w:tcW w:w="1040" w:type="dxa"/>
            <w:vAlign w:val="bottom"/>
            <w:tcBorders>
              <w:bottom w:val="single" w:sz="8" w:color="auto"/>
            </w:tcBorders>
            <w:shd w:val="clear" w:color="auto" w:fill="F1F3F9"/>
          </w:tcPr>
          <w:p>
            <w:pPr>
              <w:jc w:val="right"/>
              <w:ind w:right="312"/>
              <w:spacing w:after="0" w:line="97" w:lineRule="exact"/>
              <w:rPr>
                <w:sz w:val="20"/>
                <w:szCs w:val="20"/>
                <w:color w:val="auto"/>
              </w:rPr>
            </w:pPr>
            <w:r>
              <w:rPr>
                <w:rFonts w:ascii="Arial" w:cs="Arial" w:eastAsia="Arial" w:hAnsi="Arial"/>
                <w:sz w:val="10"/>
                <w:szCs w:val="10"/>
                <w:color w:val="auto"/>
              </w:rPr>
              <w:t>30.63</w:t>
            </w:r>
          </w:p>
        </w:tc>
        <w:tc>
          <w:tcPr>
            <w:tcW w:w="1460" w:type="dxa"/>
            <w:vAlign w:val="bottom"/>
            <w:tcBorders>
              <w:bottom w:val="single" w:sz="8" w:color="auto"/>
            </w:tcBorders>
            <w:gridSpan w:val="2"/>
            <w:shd w:val="clear" w:color="auto" w:fill="F1F3F9"/>
          </w:tcPr>
          <w:p>
            <w:pPr>
              <w:jc w:val="right"/>
              <w:ind w:right="660"/>
              <w:spacing w:after="0" w:line="97" w:lineRule="exact"/>
              <w:rPr>
                <w:sz w:val="20"/>
                <w:szCs w:val="20"/>
                <w:color w:val="auto"/>
              </w:rPr>
            </w:pPr>
            <w:r>
              <w:rPr>
                <w:rFonts w:ascii="Arial" w:cs="Arial" w:eastAsia="Arial" w:hAnsi="Arial"/>
                <w:sz w:val="10"/>
                <w:szCs w:val="10"/>
                <w:color w:val="auto"/>
              </w:rPr>
              <w:t>12/14/2020</w:t>
            </w:r>
          </w:p>
        </w:tc>
        <w:tc>
          <w:tcPr>
            <w:tcW w:w="800" w:type="dxa"/>
            <w:vAlign w:val="bottom"/>
            <w:tcBorders>
              <w:bottom w:val="single" w:sz="8" w:color="auto"/>
            </w:tcBorders>
            <w:shd w:val="clear" w:color="auto" w:fill="F1F3F9"/>
          </w:tcPr>
          <w:p>
            <w:pPr>
              <w:ind w:left="100"/>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1F3F9"/>
          </w:tcPr>
          <w:p>
            <w:pPr>
              <w:ind w:left="380"/>
              <w:spacing w:after="0" w:line="97" w:lineRule="exact"/>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F1F3F9"/>
          </w:tcPr>
          <w:p>
            <w:pPr>
              <w:jc w:val="center"/>
              <w:ind w:left="192"/>
              <w:spacing w:after="0" w:line="97" w:lineRule="exact"/>
              <w:rPr>
                <w:sz w:val="20"/>
                <w:szCs w:val="20"/>
                <w:color w:val="auto"/>
              </w:rPr>
            </w:pPr>
            <w:r>
              <w:rPr>
                <w:rFonts w:ascii="Arial" w:cs="Arial" w:eastAsia="Arial" w:hAnsi="Arial"/>
                <w:sz w:val="10"/>
                <w:szCs w:val="10"/>
                <w:color w:val="auto"/>
                <w:w w:val="99"/>
              </w:rPr>
              <w:t>—</w:t>
            </w:r>
          </w:p>
        </w:tc>
        <w:tc>
          <w:tcPr>
            <w:tcW w:w="980" w:type="dxa"/>
            <w:vAlign w:val="bottom"/>
            <w:tcBorders>
              <w:bottom w:val="single" w:sz="8" w:color="auto"/>
            </w:tcBorders>
            <w:gridSpan w:val="2"/>
            <w:shd w:val="clear" w:color="auto" w:fill="F1F3F9"/>
          </w:tcPr>
          <w:p>
            <w:pPr>
              <w:jc w:val="center"/>
              <w:ind w:left="272"/>
              <w:spacing w:after="0" w:line="97" w:lineRule="exact"/>
              <w:rPr>
                <w:sz w:val="20"/>
                <w:szCs w:val="20"/>
                <w:color w:val="auto"/>
              </w:rPr>
            </w:pPr>
            <w:r>
              <w:rPr>
                <w:rFonts w:ascii="Arial" w:cs="Arial" w:eastAsia="Arial" w:hAnsi="Arial"/>
                <w:sz w:val="10"/>
                <w:szCs w:val="10"/>
                <w:color w:val="auto"/>
                <w:w w:val="99"/>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 w:type="dxa"/>
            <w:vAlign w:val="bottom"/>
            <w:tcBorders>
              <w:bottom w:val="single" w:sz="8" w:color="105BAB"/>
            </w:tcBorders>
            <w:shd w:val="clear" w:color="auto" w:fill="F1F3F9"/>
          </w:tcPr>
          <w:p>
            <w:pPr>
              <w:spacing w:after="0"/>
              <w:rPr>
                <w:sz w:val="8"/>
                <w:szCs w:val="8"/>
                <w:color w:val="auto"/>
              </w:rPr>
            </w:pPr>
          </w:p>
        </w:tc>
        <w:tc>
          <w:tcPr>
            <w:tcW w:w="640" w:type="dxa"/>
            <w:vAlign w:val="bottom"/>
            <w:tcBorders>
              <w:bottom w:val="single" w:sz="8" w:color="105BAB"/>
            </w:tcBorders>
            <w:vMerge w:val="continue"/>
            <w:shd w:val="clear" w:color="auto" w:fill="F1F3F9"/>
          </w:tcPr>
          <w:p>
            <w:pPr>
              <w:spacing w:after="0"/>
              <w:rPr>
                <w:sz w:val="8"/>
                <w:szCs w:val="8"/>
                <w:color w:val="auto"/>
              </w:rPr>
            </w:pPr>
          </w:p>
        </w:tc>
        <w:tc>
          <w:tcPr>
            <w:tcW w:w="640" w:type="dxa"/>
            <w:vAlign w:val="bottom"/>
            <w:tcBorders>
              <w:bottom w:val="single" w:sz="8" w:color="105BAB"/>
            </w:tcBorders>
            <w:shd w:val="clear" w:color="auto" w:fill="F1F3F9"/>
          </w:tcPr>
          <w:p>
            <w:pPr>
              <w:spacing w:after="0"/>
              <w:rPr>
                <w:sz w:val="8"/>
                <w:szCs w:val="8"/>
                <w:color w:val="auto"/>
              </w:rPr>
            </w:pPr>
          </w:p>
        </w:tc>
        <w:tc>
          <w:tcPr>
            <w:tcW w:w="560" w:type="dxa"/>
            <w:vAlign w:val="bottom"/>
            <w:tcBorders>
              <w:bottom w:val="single" w:sz="8" w:color="105BAB"/>
            </w:tcBorders>
            <w:shd w:val="clear" w:color="auto" w:fill="F1F3F9"/>
          </w:tcPr>
          <w:p>
            <w:pPr>
              <w:jc w:val="right"/>
              <w:spacing w:after="0" w:line="97" w:lineRule="exact"/>
              <w:rPr>
                <w:sz w:val="20"/>
                <w:szCs w:val="20"/>
                <w:color w:val="auto"/>
              </w:rPr>
            </w:pPr>
            <w:r>
              <w:rPr>
                <w:rFonts w:ascii="Arial" w:cs="Arial" w:eastAsia="Arial" w:hAnsi="Arial"/>
                <w:sz w:val="10"/>
                <w:szCs w:val="10"/>
                <w:b w:val="1"/>
                <w:bCs w:val="1"/>
                <w:color w:val="auto"/>
              </w:rPr>
              <w:t>301,814</w:t>
            </w:r>
          </w:p>
        </w:tc>
        <w:tc>
          <w:tcPr>
            <w:tcW w:w="1520" w:type="dxa"/>
            <w:vAlign w:val="bottom"/>
            <w:tcBorders>
              <w:bottom w:val="single" w:sz="8" w:color="105BAB"/>
            </w:tcBorders>
            <w:shd w:val="clear" w:color="auto" w:fill="F1F3F9"/>
          </w:tcPr>
          <w:p>
            <w:pPr>
              <w:jc w:val="center"/>
              <w:ind w:left="153"/>
              <w:spacing w:after="0" w:line="97" w:lineRule="exact"/>
              <w:rPr>
                <w:sz w:val="20"/>
                <w:szCs w:val="20"/>
                <w:color w:val="auto"/>
              </w:rPr>
            </w:pPr>
            <w:r>
              <w:rPr>
                <w:rFonts w:ascii="Arial" w:cs="Arial" w:eastAsia="Arial" w:hAnsi="Arial"/>
                <w:sz w:val="10"/>
                <w:szCs w:val="10"/>
                <w:b w:val="1"/>
                <w:bCs w:val="1"/>
                <w:color w:val="auto"/>
                <w:w w:val="99"/>
              </w:rPr>
              <w:t>105,500</w:t>
            </w:r>
          </w:p>
        </w:tc>
        <w:tc>
          <w:tcPr>
            <w:tcW w:w="1360" w:type="dxa"/>
            <w:vAlign w:val="bottom"/>
            <w:tcBorders>
              <w:bottom w:val="single" w:sz="8" w:color="105BAB"/>
            </w:tcBorders>
            <w:shd w:val="clear" w:color="auto" w:fill="F1F3F9"/>
          </w:tcPr>
          <w:p>
            <w:pPr>
              <w:spacing w:after="0"/>
              <w:rPr>
                <w:sz w:val="8"/>
                <w:szCs w:val="8"/>
                <w:color w:val="auto"/>
              </w:rPr>
            </w:pPr>
          </w:p>
        </w:tc>
        <w:tc>
          <w:tcPr>
            <w:tcW w:w="104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66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800" w:type="dxa"/>
            <w:vAlign w:val="bottom"/>
            <w:tcBorders>
              <w:bottom w:val="single" w:sz="8" w:color="105BAB"/>
            </w:tcBorders>
            <w:shd w:val="clear" w:color="auto" w:fill="F1F3F9"/>
          </w:tcPr>
          <w:p>
            <w:pPr>
              <w:spacing w:after="0"/>
              <w:rPr>
                <w:sz w:val="8"/>
                <w:szCs w:val="8"/>
                <w:color w:val="auto"/>
              </w:rPr>
            </w:pPr>
          </w:p>
        </w:tc>
        <w:tc>
          <w:tcPr>
            <w:tcW w:w="1500" w:type="dxa"/>
            <w:vAlign w:val="bottom"/>
            <w:tcBorders>
              <w:bottom w:val="single" w:sz="8" w:color="105BAB"/>
            </w:tcBorders>
            <w:shd w:val="clear" w:color="auto" w:fill="F1F3F9"/>
          </w:tcPr>
          <w:p>
            <w:pPr>
              <w:spacing w:after="0"/>
              <w:rPr>
                <w:sz w:val="8"/>
                <w:szCs w:val="8"/>
                <w:color w:val="auto"/>
              </w:rPr>
            </w:pPr>
          </w:p>
        </w:tc>
        <w:tc>
          <w:tcPr>
            <w:tcW w:w="660" w:type="dxa"/>
            <w:vAlign w:val="bottom"/>
            <w:tcBorders>
              <w:bottom w:val="single" w:sz="8" w:color="105BAB"/>
            </w:tcBorders>
            <w:shd w:val="clear" w:color="auto" w:fill="F1F3F9"/>
          </w:tcPr>
          <w:p>
            <w:pPr>
              <w:spacing w:after="0"/>
              <w:rPr>
                <w:sz w:val="8"/>
                <w:szCs w:val="8"/>
                <w:color w:val="auto"/>
              </w:rPr>
            </w:pPr>
          </w:p>
        </w:tc>
        <w:tc>
          <w:tcPr>
            <w:tcW w:w="320" w:type="dxa"/>
            <w:vAlign w:val="bottom"/>
            <w:tcBorders>
              <w:bottom w:val="single" w:sz="8" w:color="105BAB"/>
            </w:tcBorders>
            <w:shd w:val="clear" w:color="auto" w:fill="F1F3F9"/>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20"/>
                <w:szCs w:val="20"/>
                <w:color w:val="auto"/>
              </w:rPr>
            </w:pPr>
            <w:r>
              <w:rPr>
                <w:rFonts w:ascii="Arial" w:cs="Arial" w:eastAsia="Arial" w:hAnsi="Arial"/>
                <w:sz w:val="1"/>
                <w:szCs w:val="1"/>
                <w:color w:val="105BAB"/>
                <w:w w:val="4294967288"/>
              </w:rPr>
              <w:t>1</w:t>
            </w:r>
          </w:p>
        </w:tc>
        <w:tc>
          <w:tcPr>
            <w:tcW w:w="7220" w:type="dxa"/>
            <w:vAlign w:val="bottom"/>
            <w:gridSpan w:val="8"/>
            <w:vMerge w:val="restart"/>
          </w:tcPr>
          <w:p>
            <w:pPr>
              <w:ind w:left="140"/>
              <w:spacing w:after="0" w:line="101" w:lineRule="exact"/>
              <w:rPr>
                <w:sz w:val="20"/>
                <w:szCs w:val="20"/>
                <w:color w:val="auto"/>
              </w:rPr>
            </w:pPr>
            <w:r>
              <w:rPr>
                <w:rFonts w:ascii="Arial" w:cs="Arial" w:eastAsia="Arial" w:hAnsi="Arial"/>
                <w:sz w:val="10"/>
                <w:szCs w:val="10"/>
                <w:color w:val="auto"/>
              </w:rPr>
              <w:t>This stock option award was granted to the NEO on December 12, 2017 and vests at a rate of 25% per year over the first four years of the option term.</w:t>
            </w: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40" w:type="dxa"/>
            <w:vAlign w:val="bottom"/>
            <w:gridSpan w:val="2"/>
            <w:vMerge w:val="restart"/>
          </w:tcPr>
          <w:p>
            <w:pPr>
              <w:spacing w:after="0"/>
              <w:rPr>
                <w:sz w:val="20"/>
                <w:szCs w:val="20"/>
                <w:color w:val="auto"/>
              </w:rPr>
            </w:pPr>
            <w:r>
              <w:rPr>
                <w:rFonts w:ascii="Arial" w:cs="Arial" w:eastAsia="Arial" w:hAnsi="Arial"/>
                <w:sz w:val="5"/>
                <w:szCs w:val="5"/>
                <w:color w:val="105BAB"/>
                <w:w w:val="70"/>
              </w:rPr>
              <w:t>2</w:t>
            </w:r>
          </w:p>
        </w:tc>
        <w:tc>
          <w:tcPr>
            <w:tcW w:w="7220" w:type="dxa"/>
            <w:vAlign w:val="bottom"/>
            <w:gridSpan w:val="8"/>
            <w:vMerge w:val="continue"/>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
        </w:trPr>
        <w:tc>
          <w:tcPr>
            <w:tcW w:w="40" w:type="dxa"/>
            <w:vAlign w:val="bottom"/>
            <w:gridSpan w:val="2"/>
            <w:vMerge w:val="continue"/>
          </w:tcPr>
          <w:p>
            <w:pPr>
              <w:spacing w:after="0"/>
              <w:rPr>
                <w:sz w:val="5"/>
                <w:szCs w:val="5"/>
                <w:color w:val="auto"/>
              </w:rPr>
            </w:pPr>
          </w:p>
        </w:tc>
        <w:tc>
          <w:tcPr>
            <w:tcW w:w="7220" w:type="dxa"/>
            <w:vAlign w:val="bottom"/>
            <w:gridSpan w:val="8"/>
            <w:vMerge w:val="restart"/>
          </w:tcPr>
          <w:p>
            <w:pPr>
              <w:ind w:left="140"/>
              <w:spacing w:after="0" w:line="108" w:lineRule="exact"/>
              <w:rPr>
                <w:sz w:val="20"/>
                <w:szCs w:val="20"/>
                <w:color w:val="auto"/>
              </w:rPr>
            </w:pPr>
            <w:r>
              <w:rPr>
                <w:rFonts w:ascii="Arial" w:cs="Arial" w:eastAsia="Arial" w:hAnsi="Arial"/>
                <w:sz w:val="10"/>
                <w:szCs w:val="10"/>
                <w:color w:val="auto"/>
              </w:rPr>
              <w:t>This stock option award was granted to the NEO on December 16, 2016 and vests at a rate of 25% per year over the first four years of the option term.</w:t>
            </w: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0" w:type="dxa"/>
            <w:vAlign w:val="bottom"/>
            <w:gridSpan w:val="2"/>
            <w:vMerge w:val="restart"/>
          </w:tcPr>
          <w:p>
            <w:pPr>
              <w:spacing w:after="0"/>
              <w:rPr>
                <w:sz w:val="20"/>
                <w:szCs w:val="20"/>
                <w:color w:val="auto"/>
              </w:rPr>
            </w:pPr>
            <w:r>
              <w:rPr>
                <w:rFonts w:ascii="Arial" w:cs="Arial" w:eastAsia="Arial" w:hAnsi="Arial"/>
                <w:sz w:val="5"/>
                <w:szCs w:val="5"/>
                <w:color w:val="105BAB"/>
                <w:w w:val="70"/>
              </w:rPr>
              <w:t>3</w:t>
            </w:r>
          </w:p>
        </w:tc>
        <w:tc>
          <w:tcPr>
            <w:tcW w:w="7220" w:type="dxa"/>
            <w:vAlign w:val="bottom"/>
            <w:gridSpan w:val="8"/>
            <w:vMerge w:val="continue"/>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gridSpan w:val="2"/>
            <w:vMerge w:val="continue"/>
          </w:tcPr>
          <w:p>
            <w:pPr>
              <w:spacing w:after="0"/>
              <w:rPr>
                <w:sz w:val="5"/>
                <w:szCs w:val="5"/>
                <w:color w:val="auto"/>
              </w:rPr>
            </w:pPr>
          </w:p>
        </w:tc>
        <w:tc>
          <w:tcPr>
            <w:tcW w:w="7220" w:type="dxa"/>
            <w:vAlign w:val="bottom"/>
            <w:gridSpan w:val="8"/>
            <w:vMerge w:val="restart"/>
          </w:tcPr>
          <w:p>
            <w:pPr>
              <w:ind w:left="140"/>
              <w:spacing w:after="0" w:line="108" w:lineRule="exact"/>
              <w:rPr>
                <w:sz w:val="20"/>
                <w:szCs w:val="20"/>
                <w:color w:val="auto"/>
              </w:rPr>
            </w:pPr>
            <w:r>
              <w:rPr>
                <w:rFonts w:ascii="Arial" w:cs="Arial" w:eastAsia="Arial" w:hAnsi="Arial"/>
                <w:sz w:val="10"/>
                <w:szCs w:val="10"/>
                <w:color w:val="auto"/>
              </w:rPr>
              <w:t>This stock option award was granted to the NEO on December 16, 2015 and vests at a rate of 25% per year over the first four years of the option term.</w:t>
            </w: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0" w:type="dxa"/>
            <w:vAlign w:val="bottom"/>
            <w:gridSpan w:val="2"/>
            <w:vMerge w:val="restart"/>
          </w:tcPr>
          <w:p>
            <w:pPr>
              <w:spacing w:after="0"/>
              <w:rPr>
                <w:sz w:val="20"/>
                <w:szCs w:val="20"/>
                <w:color w:val="auto"/>
              </w:rPr>
            </w:pPr>
            <w:r>
              <w:rPr>
                <w:rFonts w:ascii="Arial" w:cs="Arial" w:eastAsia="Arial" w:hAnsi="Arial"/>
                <w:sz w:val="5"/>
                <w:szCs w:val="5"/>
                <w:color w:val="105BAB"/>
                <w:w w:val="70"/>
              </w:rPr>
              <w:t>4</w:t>
            </w:r>
          </w:p>
        </w:tc>
        <w:tc>
          <w:tcPr>
            <w:tcW w:w="7220" w:type="dxa"/>
            <w:vAlign w:val="bottom"/>
            <w:gridSpan w:val="8"/>
            <w:vMerge w:val="continue"/>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gridSpan w:val="2"/>
            <w:vMerge w:val="continue"/>
          </w:tcPr>
          <w:p>
            <w:pPr>
              <w:spacing w:after="0"/>
              <w:rPr>
                <w:sz w:val="5"/>
                <w:szCs w:val="5"/>
                <w:color w:val="auto"/>
              </w:rPr>
            </w:pPr>
          </w:p>
        </w:tc>
        <w:tc>
          <w:tcPr>
            <w:tcW w:w="7220" w:type="dxa"/>
            <w:vAlign w:val="bottom"/>
            <w:gridSpan w:val="8"/>
            <w:vMerge w:val="restart"/>
          </w:tcPr>
          <w:p>
            <w:pPr>
              <w:ind w:left="140"/>
              <w:spacing w:after="0" w:line="108" w:lineRule="exact"/>
              <w:rPr>
                <w:sz w:val="20"/>
                <w:szCs w:val="20"/>
                <w:color w:val="auto"/>
              </w:rPr>
            </w:pPr>
            <w:r>
              <w:rPr>
                <w:rFonts w:ascii="Arial" w:cs="Arial" w:eastAsia="Arial" w:hAnsi="Arial"/>
                <w:sz w:val="10"/>
                <w:szCs w:val="10"/>
                <w:color w:val="auto"/>
              </w:rPr>
              <w:t>This stock option award was granted to the NEO on December 16, 2014 and vests at a rate of 25% per year over the first four years of the option term.</w:t>
            </w: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0" w:type="dxa"/>
            <w:vAlign w:val="bottom"/>
            <w:gridSpan w:val="2"/>
            <w:vMerge w:val="restart"/>
          </w:tcPr>
          <w:p>
            <w:pPr>
              <w:spacing w:after="0"/>
              <w:rPr>
                <w:sz w:val="20"/>
                <w:szCs w:val="20"/>
                <w:color w:val="auto"/>
              </w:rPr>
            </w:pPr>
            <w:r>
              <w:rPr>
                <w:rFonts w:ascii="Arial" w:cs="Arial" w:eastAsia="Arial" w:hAnsi="Arial"/>
                <w:sz w:val="5"/>
                <w:szCs w:val="5"/>
                <w:color w:val="105BAB"/>
                <w:w w:val="70"/>
              </w:rPr>
              <w:t>5</w:t>
            </w:r>
          </w:p>
        </w:tc>
        <w:tc>
          <w:tcPr>
            <w:tcW w:w="7220" w:type="dxa"/>
            <w:vAlign w:val="bottom"/>
            <w:gridSpan w:val="8"/>
            <w:vMerge w:val="continue"/>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gridSpan w:val="2"/>
            <w:vMerge w:val="continue"/>
          </w:tcPr>
          <w:p>
            <w:pPr>
              <w:spacing w:after="0"/>
              <w:rPr>
                <w:sz w:val="5"/>
                <w:szCs w:val="5"/>
                <w:color w:val="auto"/>
              </w:rPr>
            </w:pPr>
          </w:p>
        </w:tc>
        <w:tc>
          <w:tcPr>
            <w:tcW w:w="8020" w:type="dxa"/>
            <w:vAlign w:val="bottom"/>
            <w:gridSpan w:val="9"/>
            <w:vMerge w:val="restart"/>
          </w:tcPr>
          <w:p>
            <w:pPr>
              <w:ind w:left="140"/>
              <w:spacing w:after="0" w:line="108" w:lineRule="exact"/>
              <w:rPr>
                <w:sz w:val="20"/>
                <w:szCs w:val="20"/>
                <w:color w:val="auto"/>
              </w:rPr>
            </w:pPr>
            <w:r>
              <w:rPr>
                <w:rFonts w:ascii="Arial" w:cs="Arial" w:eastAsia="Arial" w:hAnsi="Arial"/>
                <w:sz w:val="10"/>
                <w:szCs w:val="10"/>
                <w:color w:val="auto"/>
                <w:w w:val="98"/>
              </w:rPr>
              <w:t>This restricted stock award was granted to the NEO on September 9, 2013 and vests 100% on the fifth anniversary of the date of grant, subject to the NEO's continued employment.</w:t>
            </w:r>
          </w:p>
        </w:tc>
        <w:tc>
          <w:tcPr>
            <w:tcW w:w="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0" w:type="dxa"/>
            <w:vAlign w:val="bottom"/>
            <w:gridSpan w:val="2"/>
            <w:vMerge w:val="restart"/>
          </w:tcPr>
          <w:p>
            <w:pPr>
              <w:spacing w:after="0"/>
              <w:rPr>
                <w:sz w:val="20"/>
                <w:szCs w:val="20"/>
                <w:color w:val="auto"/>
              </w:rPr>
            </w:pPr>
            <w:r>
              <w:rPr>
                <w:rFonts w:ascii="Arial" w:cs="Arial" w:eastAsia="Arial" w:hAnsi="Arial"/>
                <w:sz w:val="5"/>
                <w:szCs w:val="5"/>
                <w:color w:val="105BAB"/>
                <w:w w:val="70"/>
              </w:rPr>
              <w:t>6</w:t>
            </w:r>
          </w:p>
        </w:tc>
        <w:tc>
          <w:tcPr>
            <w:tcW w:w="8020" w:type="dxa"/>
            <w:vAlign w:val="bottom"/>
            <w:gridSpan w:val="9"/>
            <w:vMerge w:val="continue"/>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gridSpan w:val="2"/>
            <w:vMerge w:val="continue"/>
          </w:tcPr>
          <w:p>
            <w:pPr>
              <w:spacing w:after="0"/>
              <w:rPr>
                <w:sz w:val="5"/>
                <w:szCs w:val="5"/>
                <w:color w:val="auto"/>
              </w:rPr>
            </w:pPr>
          </w:p>
        </w:tc>
        <w:tc>
          <w:tcPr>
            <w:tcW w:w="7220" w:type="dxa"/>
            <w:vAlign w:val="bottom"/>
            <w:gridSpan w:val="8"/>
            <w:vMerge w:val="restart"/>
          </w:tcPr>
          <w:p>
            <w:pPr>
              <w:ind w:left="140"/>
              <w:spacing w:after="0"/>
              <w:rPr>
                <w:sz w:val="20"/>
                <w:szCs w:val="20"/>
                <w:color w:val="auto"/>
              </w:rPr>
            </w:pPr>
            <w:r>
              <w:rPr>
                <w:rFonts w:ascii="Arial" w:cs="Arial" w:eastAsia="Arial" w:hAnsi="Arial"/>
                <w:sz w:val="10"/>
                <w:szCs w:val="10"/>
                <w:color w:val="auto"/>
              </w:rPr>
              <w:t>Reflects the closing price of $375.96 per share of the Company's common stock on the NASDAQ Global Select Market on December 29, 2017.</w:t>
            </w: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20" w:type="dxa"/>
            <w:vAlign w:val="bottom"/>
            <w:gridSpan w:val="8"/>
            <w:vMerge w:val="continue"/>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20" w:type="dxa"/>
            <w:vAlign w:val="bottom"/>
            <w:shd w:val="clear" w:color="auto" w:fill="105BAB"/>
          </w:tcPr>
          <w:p>
            <w:pPr>
              <w:jc w:val="right"/>
              <w:ind w:right="152"/>
              <w:spacing w:after="0" w:line="108" w:lineRule="exact"/>
              <w:rPr>
                <w:sz w:val="20"/>
                <w:szCs w:val="20"/>
                <w:color w:val="auto"/>
              </w:rPr>
            </w:pPr>
            <w:r>
              <w:rPr>
                <w:rFonts w:ascii="Arial" w:cs="Arial" w:eastAsia="Arial" w:hAnsi="Arial"/>
                <w:sz w:val="10"/>
                <w:szCs w:val="10"/>
                <w:b w:val="1"/>
                <w:bCs w:val="1"/>
                <w:color w:val="FFFFFE"/>
                <w:w w:val="89"/>
              </w:rPr>
              <w:t>75</w:t>
            </w:r>
          </w:p>
        </w:tc>
        <w:tc>
          <w:tcPr>
            <w:tcW w:w="140" w:type="dxa"/>
            <w:vAlign w:val="bottom"/>
            <w:shd w:val="clear" w:color="auto" w:fill="105BAB"/>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86" w:name="page87"/>
    <w:bookmarkEnd w:id="86"/>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2017 Option Exercises and Stock Vested</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and explanatory footnotes provide information with regard to amounts realized by our NEOs during 2017 as a result of the exercise of stock options or the vesting of restricted stock awards.</w:t>
      </w:r>
    </w:p>
    <w:p>
      <w:pPr>
        <w:spacing w:after="0" w:line="254"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3380" w:type="dxa"/>
            <w:vAlign w:val="bottom"/>
            <w:tcBorders>
              <w:top w:val="single" w:sz="8" w:color="105BAB"/>
              <w:bottom w:val="single" w:sz="8" w:color="105BAB"/>
            </w:tcBorders>
          </w:tcPr>
          <w:p>
            <w:pPr>
              <w:ind w:left="780"/>
              <w:spacing w:after="0"/>
              <w:rPr>
                <w:sz w:val="20"/>
                <w:szCs w:val="20"/>
                <w:color w:val="auto"/>
              </w:rPr>
            </w:pPr>
            <w:r>
              <w:rPr>
                <w:rFonts w:ascii="Arial" w:cs="Arial" w:eastAsia="Arial" w:hAnsi="Arial"/>
                <w:sz w:val="10"/>
                <w:szCs w:val="10"/>
                <w:b w:val="1"/>
                <w:bCs w:val="1"/>
                <w:color w:val="105BAB"/>
              </w:rPr>
              <w:t>A</w:t>
            </w:r>
          </w:p>
        </w:tc>
        <w:tc>
          <w:tcPr>
            <w:tcW w:w="940" w:type="dxa"/>
            <w:vAlign w:val="bottom"/>
            <w:tcBorders>
              <w:top w:val="single" w:sz="8" w:color="105BAB"/>
              <w:bottom w:val="single" w:sz="8" w:color="105BAB"/>
            </w:tcBorders>
          </w:tcPr>
          <w:p>
            <w:pPr>
              <w:jc w:val="center"/>
              <w:ind w:right="153"/>
              <w:spacing w:after="0"/>
              <w:rPr>
                <w:sz w:val="20"/>
                <w:szCs w:val="20"/>
                <w:color w:val="auto"/>
              </w:rPr>
            </w:pPr>
            <w:r>
              <w:rPr>
                <w:rFonts w:ascii="Arial" w:cs="Arial" w:eastAsia="Arial" w:hAnsi="Arial"/>
                <w:sz w:val="10"/>
                <w:szCs w:val="10"/>
                <w:b w:val="1"/>
                <w:bCs w:val="1"/>
                <w:color w:val="105BAB"/>
                <w:w w:val="82"/>
              </w:rPr>
              <w:t>B</w:t>
            </w:r>
          </w:p>
        </w:tc>
        <w:tc>
          <w:tcPr>
            <w:tcW w:w="2200" w:type="dxa"/>
            <w:vAlign w:val="bottom"/>
            <w:tcBorders>
              <w:top w:val="single" w:sz="8" w:color="105BAB"/>
              <w:bottom w:val="single" w:sz="8" w:color="105BAB"/>
            </w:tcBorders>
          </w:tcPr>
          <w:p>
            <w:pPr>
              <w:jc w:val="center"/>
              <w:ind w:left="1493"/>
              <w:spacing w:after="0"/>
              <w:rPr>
                <w:sz w:val="20"/>
                <w:szCs w:val="20"/>
                <w:color w:val="auto"/>
              </w:rPr>
            </w:pPr>
            <w:r>
              <w:rPr>
                <w:rFonts w:ascii="Arial" w:cs="Arial" w:eastAsia="Arial" w:hAnsi="Arial"/>
                <w:sz w:val="10"/>
                <w:szCs w:val="10"/>
                <w:b w:val="1"/>
                <w:bCs w:val="1"/>
                <w:color w:val="105BAB"/>
                <w:w w:val="82"/>
              </w:rPr>
              <w:t>C</w:t>
            </w:r>
          </w:p>
        </w:tc>
        <w:tc>
          <w:tcPr>
            <w:tcW w:w="1740" w:type="dxa"/>
            <w:vAlign w:val="bottom"/>
            <w:tcBorders>
              <w:top w:val="single" w:sz="8" w:color="105BAB"/>
              <w:bottom w:val="single" w:sz="8" w:color="105BAB"/>
            </w:tcBorders>
          </w:tcPr>
          <w:p>
            <w:pPr>
              <w:spacing w:after="0"/>
              <w:rPr>
                <w:sz w:val="10"/>
                <w:szCs w:val="10"/>
                <w:color w:val="auto"/>
              </w:rPr>
            </w:pPr>
          </w:p>
        </w:tc>
        <w:tc>
          <w:tcPr>
            <w:tcW w:w="900" w:type="dxa"/>
            <w:vAlign w:val="bottom"/>
            <w:tcBorders>
              <w:top w:val="single" w:sz="8" w:color="105BAB"/>
              <w:bottom w:val="single" w:sz="8" w:color="105BAB"/>
            </w:tcBorders>
          </w:tcPr>
          <w:p>
            <w:pPr>
              <w:jc w:val="center"/>
              <w:ind w:right="173"/>
              <w:spacing w:after="0"/>
              <w:rPr>
                <w:sz w:val="20"/>
                <w:szCs w:val="20"/>
                <w:color w:val="auto"/>
              </w:rPr>
            </w:pPr>
            <w:r>
              <w:rPr>
                <w:rFonts w:ascii="Arial" w:cs="Arial" w:eastAsia="Arial" w:hAnsi="Arial"/>
                <w:sz w:val="10"/>
                <w:szCs w:val="10"/>
                <w:b w:val="1"/>
                <w:bCs w:val="1"/>
                <w:color w:val="105BAB"/>
              </w:rPr>
              <w:t>D</w:t>
            </w:r>
          </w:p>
        </w:tc>
        <w:tc>
          <w:tcPr>
            <w:tcW w:w="2180" w:type="dxa"/>
            <w:vAlign w:val="bottom"/>
            <w:tcBorders>
              <w:top w:val="single" w:sz="8" w:color="105BAB"/>
              <w:bottom w:val="single" w:sz="8" w:color="105BAB"/>
            </w:tcBorders>
          </w:tcPr>
          <w:p>
            <w:pPr>
              <w:jc w:val="center"/>
              <w:ind w:left="1473"/>
              <w:spacing w:after="0"/>
              <w:rPr>
                <w:sz w:val="20"/>
                <w:szCs w:val="20"/>
                <w:color w:val="auto"/>
              </w:rPr>
            </w:pPr>
            <w:r>
              <w:rPr>
                <w:rFonts w:ascii="Arial" w:cs="Arial" w:eastAsia="Arial" w:hAnsi="Arial"/>
                <w:sz w:val="10"/>
                <w:szCs w:val="10"/>
                <w:b w:val="1"/>
                <w:bCs w:val="1"/>
                <w:color w:val="105BAB"/>
                <w:w w:val="89"/>
              </w:rPr>
              <w:t>E</w:t>
            </w:r>
          </w:p>
        </w:tc>
        <w:tc>
          <w:tcPr>
            <w:tcW w:w="0" w:type="dxa"/>
            <w:vAlign w:val="bottom"/>
          </w:tcPr>
          <w:p>
            <w:pPr>
              <w:spacing w:after="0"/>
              <w:rPr>
                <w:sz w:val="1"/>
                <w:szCs w:val="1"/>
                <w:color w:val="auto"/>
              </w:rPr>
            </w:pPr>
          </w:p>
        </w:tc>
      </w:tr>
      <w:tr>
        <w:trPr>
          <w:trHeight w:val="205"/>
        </w:trPr>
        <w:tc>
          <w:tcPr>
            <w:tcW w:w="3380" w:type="dxa"/>
            <w:vAlign w:val="bottom"/>
          </w:tcPr>
          <w:p>
            <w:pPr>
              <w:spacing w:after="0"/>
              <w:rPr>
                <w:sz w:val="17"/>
                <w:szCs w:val="17"/>
                <w:color w:val="auto"/>
              </w:rPr>
            </w:pPr>
          </w:p>
        </w:tc>
        <w:tc>
          <w:tcPr>
            <w:tcW w:w="940" w:type="dxa"/>
            <w:vAlign w:val="bottom"/>
            <w:tcBorders>
              <w:bottom w:val="single" w:sz="8" w:color="105BAB"/>
            </w:tcBorders>
          </w:tcPr>
          <w:p>
            <w:pPr>
              <w:spacing w:after="0"/>
              <w:rPr>
                <w:sz w:val="17"/>
                <w:szCs w:val="17"/>
                <w:color w:val="auto"/>
              </w:rPr>
            </w:pPr>
          </w:p>
        </w:tc>
        <w:tc>
          <w:tcPr>
            <w:tcW w:w="2200" w:type="dxa"/>
            <w:vAlign w:val="bottom"/>
            <w:tcBorders>
              <w:bottom w:val="single" w:sz="8" w:color="105BAB"/>
            </w:tcBorders>
          </w:tcPr>
          <w:p>
            <w:pPr>
              <w:jc w:val="right"/>
              <w:ind w:right="1193"/>
              <w:spacing w:after="0"/>
              <w:rPr>
                <w:sz w:val="20"/>
                <w:szCs w:val="20"/>
                <w:color w:val="auto"/>
              </w:rPr>
            </w:pPr>
            <w:r>
              <w:rPr>
                <w:rFonts w:ascii="Arial" w:cs="Arial" w:eastAsia="Arial" w:hAnsi="Arial"/>
                <w:sz w:val="10"/>
                <w:szCs w:val="10"/>
                <w:b w:val="1"/>
                <w:bCs w:val="1"/>
                <w:color w:val="105BAB"/>
              </w:rPr>
              <w:t>Option awards</w:t>
            </w:r>
          </w:p>
        </w:tc>
        <w:tc>
          <w:tcPr>
            <w:tcW w:w="1740" w:type="dxa"/>
            <w:vAlign w:val="bottom"/>
          </w:tcPr>
          <w:p>
            <w:pPr>
              <w:spacing w:after="0"/>
              <w:rPr>
                <w:sz w:val="17"/>
                <w:szCs w:val="17"/>
                <w:color w:val="auto"/>
              </w:rPr>
            </w:pPr>
          </w:p>
        </w:tc>
        <w:tc>
          <w:tcPr>
            <w:tcW w:w="900" w:type="dxa"/>
            <w:vAlign w:val="bottom"/>
            <w:tcBorders>
              <w:bottom w:val="single" w:sz="8" w:color="105BAB"/>
            </w:tcBorders>
          </w:tcPr>
          <w:p>
            <w:pPr>
              <w:spacing w:after="0"/>
              <w:rPr>
                <w:sz w:val="17"/>
                <w:szCs w:val="17"/>
                <w:color w:val="auto"/>
              </w:rPr>
            </w:pPr>
          </w:p>
        </w:tc>
        <w:tc>
          <w:tcPr>
            <w:tcW w:w="2180" w:type="dxa"/>
            <w:vAlign w:val="bottom"/>
            <w:tcBorders>
              <w:bottom w:val="single" w:sz="8" w:color="105BAB"/>
            </w:tcBorders>
          </w:tcPr>
          <w:p>
            <w:pPr>
              <w:ind w:left="320"/>
              <w:spacing w:after="0"/>
              <w:rPr>
                <w:sz w:val="20"/>
                <w:szCs w:val="20"/>
                <w:color w:val="auto"/>
              </w:rPr>
            </w:pPr>
            <w:r>
              <w:rPr>
                <w:rFonts w:ascii="Arial" w:cs="Arial" w:eastAsia="Arial" w:hAnsi="Arial"/>
                <w:sz w:val="10"/>
                <w:szCs w:val="10"/>
                <w:b w:val="1"/>
                <w:bCs w:val="1"/>
                <w:color w:val="105BAB"/>
              </w:rPr>
              <w:t>Stock awards</w:t>
            </w:r>
          </w:p>
        </w:tc>
        <w:tc>
          <w:tcPr>
            <w:tcW w:w="0" w:type="dxa"/>
            <w:vAlign w:val="bottom"/>
          </w:tcPr>
          <w:p>
            <w:pPr>
              <w:spacing w:after="0"/>
              <w:rPr>
                <w:sz w:val="1"/>
                <w:szCs w:val="1"/>
                <w:color w:val="auto"/>
              </w:rPr>
            </w:pPr>
          </w:p>
        </w:tc>
      </w:tr>
      <w:tr>
        <w:trPr>
          <w:trHeight w:val="88"/>
        </w:trPr>
        <w:tc>
          <w:tcPr>
            <w:tcW w:w="3380" w:type="dxa"/>
            <w:vAlign w:val="bottom"/>
          </w:tcPr>
          <w:p>
            <w:pPr>
              <w:spacing w:after="0"/>
              <w:rPr>
                <w:sz w:val="7"/>
                <w:szCs w:val="7"/>
                <w:color w:val="auto"/>
              </w:rPr>
            </w:pPr>
          </w:p>
        </w:tc>
        <w:tc>
          <w:tcPr>
            <w:tcW w:w="940" w:type="dxa"/>
            <w:vAlign w:val="bottom"/>
          </w:tcPr>
          <w:p>
            <w:pPr>
              <w:jc w:val="center"/>
              <w:ind w:right="133"/>
              <w:spacing w:after="0" w:line="89" w:lineRule="exact"/>
              <w:rPr>
                <w:sz w:val="20"/>
                <w:szCs w:val="20"/>
                <w:color w:val="auto"/>
              </w:rPr>
            </w:pPr>
            <w:r>
              <w:rPr>
                <w:rFonts w:ascii="Arial" w:cs="Arial" w:eastAsia="Arial" w:hAnsi="Arial"/>
                <w:sz w:val="10"/>
                <w:szCs w:val="10"/>
                <w:b w:val="1"/>
                <w:bCs w:val="1"/>
                <w:color w:val="105BAB"/>
                <w:w w:val="95"/>
              </w:rPr>
              <w:t>Number of</w:t>
            </w:r>
          </w:p>
        </w:tc>
        <w:tc>
          <w:tcPr>
            <w:tcW w:w="2200" w:type="dxa"/>
            <w:vAlign w:val="bottom"/>
            <w:vMerge w:val="restart"/>
          </w:tcPr>
          <w:p>
            <w:pPr>
              <w:jc w:val="center"/>
              <w:ind w:left="1493"/>
              <w:spacing w:after="0"/>
              <w:rPr>
                <w:sz w:val="20"/>
                <w:szCs w:val="20"/>
                <w:color w:val="auto"/>
              </w:rPr>
            </w:pPr>
            <w:r>
              <w:rPr>
                <w:rFonts w:ascii="Arial" w:cs="Arial" w:eastAsia="Arial" w:hAnsi="Arial"/>
                <w:sz w:val="10"/>
                <w:szCs w:val="10"/>
                <w:b w:val="1"/>
                <w:bCs w:val="1"/>
                <w:color w:val="105BAB"/>
                <w:w w:val="92"/>
              </w:rPr>
              <w:t>Value realized</w:t>
            </w:r>
          </w:p>
        </w:tc>
        <w:tc>
          <w:tcPr>
            <w:tcW w:w="1740" w:type="dxa"/>
            <w:vAlign w:val="bottom"/>
          </w:tcPr>
          <w:p>
            <w:pPr>
              <w:spacing w:after="0"/>
              <w:rPr>
                <w:sz w:val="7"/>
                <w:szCs w:val="7"/>
                <w:color w:val="auto"/>
              </w:rPr>
            </w:pPr>
          </w:p>
        </w:tc>
        <w:tc>
          <w:tcPr>
            <w:tcW w:w="900" w:type="dxa"/>
            <w:vAlign w:val="bottom"/>
          </w:tcPr>
          <w:p>
            <w:pPr>
              <w:jc w:val="center"/>
              <w:ind w:right="173"/>
              <w:spacing w:after="0" w:line="89" w:lineRule="exact"/>
              <w:rPr>
                <w:sz w:val="20"/>
                <w:szCs w:val="20"/>
                <w:color w:val="auto"/>
              </w:rPr>
            </w:pPr>
            <w:r>
              <w:rPr>
                <w:rFonts w:ascii="Arial" w:cs="Arial" w:eastAsia="Arial" w:hAnsi="Arial"/>
                <w:sz w:val="10"/>
                <w:szCs w:val="10"/>
                <w:b w:val="1"/>
                <w:bCs w:val="1"/>
                <w:color w:val="105BAB"/>
                <w:w w:val="95"/>
              </w:rPr>
              <w:t>Number of</w:t>
            </w:r>
          </w:p>
        </w:tc>
        <w:tc>
          <w:tcPr>
            <w:tcW w:w="2180" w:type="dxa"/>
            <w:vAlign w:val="bottom"/>
            <w:vMerge w:val="restart"/>
          </w:tcPr>
          <w:p>
            <w:pPr>
              <w:jc w:val="center"/>
              <w:ind w:left="1473"/>
              <w:spacing w:after="0"/>
              <w:rPr>
                <w:sz w:val="20"/>
                <w:szCs w:val="20"/>
                <w:color w:val="auto"/>
              </w:rPr>
            </w:pPr>
            <w:r>
              <w:rPr>
                <w:rFonts w:ascii="Arial" w:cs="Arial" w:eastAsia="Arial" w:hAnsi="Arial"/>
                <w:sz w:val="10"/>
                <w:szCs w:val="10"/>
                <w:b w:val="1"/>
                <w:bCs w:val="1"/>
                <w:color w:val="105BAB"/>
                <w:w w:val="92"/>
              </w:rPr>
              <w:t>Value realized</w:t>
            </w:r>
          </w:p>
        </w:tc>
        <w:tc>
          <w:tcPr>
            <w:tcW w:w="0" w:type="dxa"/>
            <w:vAlign w:val="bottom"/>
          </w:tcPr>
          <w:p>
            <w:pPr>
              <w:spacing w:after="0"/>
              <w:rPr>
                <w:sz w:val="1"/>
                <w:szCs w:val="1"/>
                <w:color w:val="auto"/>
              </w:rPr>
            </w:pPr>
          </w:p>
        </w:tc>
      </w:tr>
      <w:tr>
        <w:trPr>
          <w:trHeight w:val="99"/>
        </w:trPr>
        <w:tc>
          <w:tcPr>
            <w:tcW w:w="3380" w:type="dxa"/>
            <w:vAlign w:val="bottom"/>
          </w:tcPr>
          <w:p>
            <w:pPr>
              <w:spacing w:after="0"/>
              <w:rPr>
                <w:sz w:val="8"/>
                <w:szCs w:val="8"/>
                <w:color w:val="auto"/>
              </w:rPr>
            </w:pPr>
          </w:p>
        </w:tc>
        <w:tc>
          <w:tcPr>
            <w:tcW w:w="940" w:type="dxa"/>
            <w:vAlign w:val="bottom"/>
          </w:tcPr>
          <w:p>
            <w:pPr>
              <w:jc w:val="center"/>
              <w:ind w:right="153"/>
              <w:spacing w:after="0" w:line="99" w:lineRule="exact"/>
              <w:rPr>
                <w:sz w:val="20"/>
                <w:szCs w:val="20"/>
                <w:color w:val="auto"/>
              </w:rPr>
            </w:pPr>
            <w:r>
              <w:rPr>
                <w:rFonts w:ascii="Arial" w:cs="Arial" w:eastAsia="Arial" w:hAnsi="Arial"/>
                <w:sz w:val="10"/>
                <w:szCs w:val="10"/>
                <w:b w:val="1"/>
                <w:bCs w:val="1"/>
                <w:color w:val="105BAB"/>
                <w:w w:val="92"/>
              </w:rPr>
              <w:t>shares</w:t>
            </w:r>
          </w:p>
        </w:tc>
        <w:tc>
          <w:tcPr>
            <w:tcW w:w="220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jc w:val="center"/>
              <w:ind w:right="173"/>
              <w:spacing w:after="0" w:line="99" w:lineRule="exact"/>
              <w:rPr>
                <w:sz w:val="20"/>
                <w:szCs w:val="20"/>
                <w:color w:val="auto"/>
              </w:rPr>
            </w:pPr>
            <w:r>
              <w:rPr>
                <w:rFonts w:ascii="Arial" w:cs="Arial" w:eastAsia="Arial" w:hAnsi="Arial"/>
                <w:sz w:val="10"/>
                <w:szCs w:val="10"/>
                <w:b w:val="1"/>
                <w:bCs w:val="1"/>
                <w:color w:val="105BAB"/>
                <w:w w:val="99"/>
              </w:rPr>
              <w:t>shares</w:t>
            </w: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940" w:type="dxa"/>
            <w:vAlign w:val="bottom"/>
          </w:tcPr>
          <w:p>
            <w:pPr>
              <w:jc w:val="center"/>
              <w:ind w:right="153"/>
              <w:spacing w:after="0" w:line="108" w:lineRule="exact"/>
              <w:rPr>
                <w:sz w:val="20"/>
                <w:szCs w:val="20"/>
                <w:color w:val="auto"/>
              </w:rPr>
            </w:pPr>
            <w:r>
              <w:rPr>
                <w:rFonts w:ascii="Arial" w:cs="Arial" w:eastAsia="Arial" w:hAnsi="Arial"/>
                <w:sz w:val="10"/>
                <w:szCs w:val="10"/>
                <w:b w:val="1"/>
                <w:bCs w:val="1"/>
                <w:color w:val="105BAB"/>
                <w:w w:val="95"/>
              </w:rPr>
              <w:t>acquired on</w:t>
            </w:r>
          </w:p>
        </w:tc>
        <w:tc>
          <w:tcPr>
            <w:tcW w:w="2200" w:type="dxa"/>
            <w:vAlign w:val="bottom"/>
          </w:tcPr>
          <w:p>
            <w:pPr>
              <w:jc w:val="center"/>
              <w:ind w:left="1493"/>
              <w:spacing w:after="0" w:line="108" w:lineRule="exact"/>
              <w:rPr>
                <w:sz w:val="20"/>
                <w:szCs w:val="20"/>
                <w:color w:val="auto"/>
              </w:rPr>
            </w:pPr>
            <w:r>
              <w:rPr>
                <w:rFonts w:ascii="Arial" w:cs="Arial" w:eastAsia="Arial" w:hAnsi="Arial"/>
                <w:sz w:val="10"/>
                <w:szCs w:val="10"/>
                <w:b w:val="1"/>
                <w:bCs w:val="1"/>
                <w:color w:val="105BAB"/>
                <w:w w:val="81"/>
              </w:rPr>
              <w:t>on</w:t>
            </w:r>
          </w:p>
        </w:tc>
        <w:tc>
          <w:tcPr>
            <w:tcW w:w="1740" w:type="dxa"/>
            <w:vAlign w:val="bottom"/>
          </w:tcPr>
          <w:p>
            <w:pPr>
              <w:spacing w:after="0"/>
              <w:rPr>
                <w:sz w:val="9"/>
                <w:szCs w:val="9"/>
                <w:color w:val="auto"/>
              </w:rPr>
            </w:pPr>
          </w:p>
        </w:tc>
        <w:tc>
          <w:tcPr>
            <w:tcW w:w="900" w:type="dxa"/>
            <w:vAlign w:val="bottom"/>
          </w:tcPr>
          <w:p>
            <w:pPr>
              <w:jc w:val="center"/>
              <w:ind w:right="173"/>
              <w:spacing w:after="0" w:line="108" w:lineRule="exact"/>
              <w:rPr>
                <w:sz w:val="20"/>
                <w:szCs w:val="20"/>
                <w:color w:val="auto"/>
              </w:rPr>
            </w:pPr>
            <w:r>
              <w:rPr>
                <w:rFonts w:ascii="Arial" w:cs="Arial" w:eastAsia="Arial" w:hAnsi="Arial"/>
                <w:sz w:val="10"/>
                <w:szCs w:val="10"/>
                <w:b w:val="1"/>
                <w:bCs w:val="1"/>
                <w:color w:val="105BAB"/>
                <w:w w:val="95"/>
              </w:rPr>
              <w:t>acquired</w:t>
            </w:r>
          </w:p>
        </w:tc>
        <w:tc>
          <w:tcPr>
            <w:tcW w:w="2180" w:type="dxa"/>
            <w:vAlign w:val="bottom"/>
          </w:tcPr>
          <w:p>
            <w:pPr>
              <w:jc w:val="center"/>
              <w:ind w:left="1453"/>
              <w:spacing w:after="0" w:line="108" w:lineRule="exact"/>
              <w:rPr>
                <w:sz w:val="20"/>
                <w:szCs w:val="20"/>
                <w:color w:val="auto"/>
              </w:rPr>
            </w:pPr>
            <w:r>
              <w:rPr>
                <w:rFonts w:ascii="Arial" w:cs="Arial" w:eastAsia="Arial" w:hAnsi="Arial"/>
                <w:sz w:val="10"/>
                <w:szCs w:val="10"/>
                <w:b w:val="1"/>
                <w:bCs w:val="1"/>
                <w:color w:val="105BAB"/>
                <w:w w:val="97"/>
              </w:rPr>
              <w:t>on</w:t>
            </w: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940" w:type="dxa"/>
            <w:vAlign w:val="bottom"/>
          </w:tcPr>
          <w:p>
            <w:pPr>
              <w:jc w:val="center"/>
              <w:ind w:right="153"/>
              <w:spacing w:after="0" w:line="108" w:lineRule="exact"/>
              <w:rPr>
                <w:sz w:val="20"/>
                <w:szCs w:val="20"/>
                <w:color w:val="auto"/>
              </w:rPr>
            </w:pPr>
            <w:r>
              <w:rPr>
                <w:rFonts w:ascii="Arial" w:cs="Arial" w:eastAsia="Arial" w:hAnsi="Arial"/>
                <w:sz w:val="10"/>
                <w:szCs w:val="10"/>
                <w:b w:val="1"/>
                <w:bCs w:val="1"/>
                <w:color w:val="105BAB"/>
                <w:w w:val="94"/>
              </w:rPr>
              <w:t>exercise</w:t>
            </w:r>
          </w:p>
        </w:tc>
        <w:tc>
          <w:tcPr>
            <w:tcW w:w="2200" w:type="dxa"/>
            <w:vAlign w:val="bottom"/>
          </w:tcPr>
          <w:p>
            <w:pPr>
              <w:jc w:val="center"/>
              <w:ind w:left="1493"/>
              <w:spacing w:after="0" w:line="108" w:lineRule="exact"/>
              <w:rPr>
                <w:sz w:val="20"/>
                <w:szCs w:val="20"/>
                <w:color w:val="auto"/>
              </w:rPr>
            </w:pPr>
            <w:r>
              <w:rPr>
                <w:rFonts w:ascii="Arial" w:cs="Arial" w:eastAsia="Arial" w:hAnsi="Arial"/>
                <w:sz w:val="10"/>
                <w:szCs w:val="10"/>
                <w:b w:val="1"/>
                <w:bCs w:val="1"/>
                <w:color w:val="105BAB"/>
                <w:w w:val="94"/>
              </w:rPr>
              <w:t>exercise</w:t>
            </w:r>
          </w:p>
        </w:tc>
        <w:tc>
          <w:tcPr>
            <w:tcW w:w="1740" w:type="dxa"/>
            <w:vAlign w:val="bottom"/>
          </w:tcPr>
          <w:p>
            <w:pPr>
              <w:spacing w:after="0"/>
              <w:rPr>
                <w:sz w:val="9"/>
                <w:szCs w:val="9"/>
                <w:color w:val="auto"/>
              </w:rPr>
            </w:pPr>
          </w:p>
        </w:tc>
        <w:tc>
          <w:tcPr>
            <w:tcW w:w="900" w:type="dxa"/>
            <w:vAlign w:val="bottom"/>
          </w:tcPr>
          <w:p>
            <w:pPr>
              <w:jc w:val="center"/>
              <w:ind w:right="173"/>
              <w:spacing w:after="0" w:line="108" w:lineRule="exact"/>
              <w:rPr>
                <w:sz w:val="20"/>
                <w:szCs w:val="20"/>
                <w:color w:val="auto"/>
              </w:rPr>
            </w:pPr>
            <w:r>
              <w:rPr>
                <w:rFonts w:ascii="Arial" w:cs="Arial" w:eastAsia="Arial" w:hAnsi="Arial"/>
                <w:sz w:val="10"/>
                <w:szCs w:val="10"/>
                <w:b w:val="1"/>
                <w:bCs w:val="1"/>
                <w:color w:val="105BAB"/>
                <w:w w:val="93"/>
              </w:rPr>
              <w:t>onvesting</w:t>
            </w:r>
          </w:p>
        </w:tc>
        <w:tc>
          <w:tcPr>
            <w:tcW w:w="2180" w:type="dxa"/>
            <w:vAlign w:val="bottom"/>
          </w:tcPr>
          <w:p>
            <w:pPr>
              <w:jc w:val="center"/>
              <w:ind w:left="1473"/>
              <w:spacing w:after="0" w:line="108" w:lineRule="exact"/>
              <w:rPr>
                <w:sz w:val="20"/>
                <w:szCs w:val="20"/>
                <w:color w:val="auto"/>
              </w:rPr>
            </w:pPr>
            <w:r>
              <w:rPr>
                <w:rFonts w:ascii="Arial" w:cs="Arial" w:eastAsia="Arial" w:hAnsi="Arial"/>
                <w:sz w:val="10"/>
                <w:szCs w:val="10"/>
                <w:b w:val="1"/>
                <w:bCs w:val="1"/>
                <w:color w:val="105BAB"/>
                <w:w w:val="96"/>
              </w:rPr>
              <w:t>vesting</w:t>
            </w:r>
          </w:p>
        </w:tc>
        <w:tc>
          <w:tcPr>
            <w:tcW w:w="0" w:type="dxa"/>
            <w:vAlign w:val="bottom"/>
          </w:tcPr>
          <w:p>
            <w:pPr>
              <w:spacing w:after="0"/>
              <w:rPr>
                <w:sz w:val="1"/>
                <w:szCs w:val="1"/>
                <w:color w:val="auto"/>
              </w:rPr>
            </w:pPr>
          </w:p>
        </w:tc>
      </w:tr>
      <w:tr>
        <w:trPr>
          <w:trHeight w:val="126"/>
        </w:trPr>
        <w:tc>
          <w:tcPr>
            <w:tcW w:w="3380" w:type="dxa"/>
            <w:vAlign w:val="bottom"/>
            <w:tcBorders>
              <w:bottom w:val="single" w:sz="8" w:color="105BAB"/>
            </w:tcBorders>
          </w:tcPr>
          <w:p>
            <w:pPr>
              <w:spacing w:after="0"/>
              <w:rPr>
                <w:sz w:val="20"/>
                <w:szCs w:val="20"/>
                <w:color w:val="auto"/>
              </w:rPr>
            </w:pPr>
            <w:r>
              <w:rPr>
                <w:rFonts w:ascii="Arial" w:cs="Arial" w:eastAsia="Arial" w:hAnsi="Arial"/>
                <w:sz w:val="10"/>
                <w:szCs w:val="10"/>
                <w:b w:val="1"/>
                <w:bCs w:val="1"/>
                <w:color w:val="105BAB"/>
              </w:rPr>
              <w:t>Name</w:t>
            </w:r>
          </w:p>
        </w:tc>
        <w:tc>
          <w:tcPr>
            <w:tcW w:w="940" w:type="dxa"/>
            <w:vAlign w:val="bottom"/>
            <w:tcBorders>
              <w:bottom w:val="single" w:sz="8" w:color="105BAB"/>
            </w:tcBorders>
          </w:tcPr>
          <w:p>
            <w:pPr>
              <w:jc w:val="right"/>
              <w:ind w:right="453"/>
              <w:spacing w:after="0"/>
              <w:rPr>
                <w:sz w:val="20"/>
                <w:szCs w:val="20"/>
                <w:color w:val="auto"/>
              </w:rPr>
            </w:pPr>
            <w:r>
              <w:rPr>
                <w:rFonts w:ascii="Arial" w:cs="Arial" w:eastAsia="Arial" w:hAnsi="Arial"/>
                <w:sz w:val="10"/>
                <w:szCs w:val="10"/>
                <w:b w:val="1"/>
                <w:bCs w:val="1"/>
                <w:color w:val="105BAB"/>
              </w:rPr>
              <w:t>(#)</w:t>
            </w:r>
          </w:p>
        </w:tc>
        <w:tc>
          <w:tcPr>
            <w:tcW w:w="2200" w:type="dxa"/>
            <w:vAlign w:val="bottom"/>
            <w:tcBorders>
              <w:bottom w:val="single" w:sz="8" w:color="105BAB"/>
            </w:tcBorders>
          </w:tcPr>
          <w:p>
            <w:pPr>
              <w:jc w:val="center"/>
              <w:ind w:right="193"/>
              <w:spacing w:after="0" w:line="126" w:lineRule="exact"/>
              <w:rPr>
                <w:sz w:val="20"/>
                <w:szCs w:val="20"/>
                <w:color w:val="auto"/>
              </w:rPr>
            </w:pPr>
            <w:r>
              <w:rPr>
                <w:rFonts w:ascii="Arial" w:cs="Arial" w:eastAsia="Arial" w:hAnsi="Arial"/>
                <w:sz w:val="10"/>
                <w:szCs w:val="10"/>
                <w:b w:val="1"/>
                <w:bCs w:val="1"/>
                <w:color w:val="105BAB"/>
              </w:rPr>
              <w:t>($)</w:t>
            </w:r>
            <w:r>
              <w:rPr>
                <w:rFonts w:ascii="Arial" w:cs="Arial" w:eastAsia="Arial" w:hAnsi="Arial"/>
                <w:sz w:val="14"/>
                <w:szCs w:val="14"/>
                <w:b w:val="1"/>
                <w:bCs w:val="1"/>
                <w:color w:val="105BAB"/>
                <w:vertAlign w:val="superscript"/>
              </w:rPr>
              <w:t>1</w:t>
            </w:r>
          </w:p>
        </w:tc>
        <w:tc>
          <w:tcPr>
            <w:tcW w:w="2640" w:type="dxa"/>
            <w:vAlign w:val="bottom"/>
            <w:tcBorders>
              <w:bottom w:val="single" w:sz="8" w:color="105BAB"/>
            </w:tcBorders>
            <w:gridSpan w:val="2"/>
          </w:tcPr>
          <w:p>
            <w:pPr>
              <w:jc w:val="center"/>
              <w:ind w:left="1472"/>
              <w:spacing w:after="0"/>
              <w:rPr>
                <w:sz w:val="20"/>
                <w:szCs w:val="20"/>
                <w:color w:val="auto"/>
              </w:rPr>
            </w:pPr>
            <w:r>
              <w:rPr>
                <w:rFonts w:ascii="Arial" w:cs="Arial" w:eastAsia="Arial" w:hAnsi="Arial"/>
                <w:sz w:val="10"/>
                <w:szCs w:val="10"/>
                <w:b w:val="1"/>
                <w:bCs w:val="1"/>
                <w:color w:val="105BAB"/>
                <w:w w:val="97"/>
              </w:rPr>
              <w:t>(#)</w:t>
            </w:r>
          </w:p>
        </w:tc>
        <w:tc>
          <w:tcPr>
            <w:tcW w:w="2180" w:type="dxa"/>
            <w:vAlign w:val="bottom"/>
            <w:tcBorders>
              <w:bottom w:val="single" w:sz="8" w:color="105BAB"/>
            </w:tcBorders>
          </w:tcPr>
          <w:p>
            <w:pPr>
              <w:jc w:val="center"/>
              <w:ind w:left="1453"/>
              <w:spacing w:after="0" w:line="126" w:lineRule="exact"/>
              <w:rPr>
                <w:sz w:val="20"/>
                <w:szCs w:val="20"/>
                <w:color w:val="auto"/>
              </w:rPr>
            </w:pPr>
            <w:r>
              <w:rPr>
                <w:rFonts w:ascii="Arial" w:cs="Arial" w:eastAsia="Arial" w:hAnsi="Arial"/>
                <w:sz w:val="10"/>
                <w:szCs w:val="10"/>
                <w:b w:val="1"/>
                <w:bCs w:val="1"/>
                <w:color w:val="105BAB"/>
                <w:w w:val="91"/>
              </w:rPr>
              <w:t>($)</w:t>
            </w:r>
            <w:r>
              <w:rPr>
                <w:rFonts w:ascii="Arial" w:cs="Arial" w:eastAsia="Arial" w:hAnsi="Arial"/>
                <w:sz w:val="14"/>
                <w:szCs w:val="14"/>
                <w:b w:val="1"/>
                <w:bCs w:val="1"/>
                <w:color w:val="105BAB"/>
                <w:w w:val="91"/>
                <w:vertAlign w:val="superscript"/>
              </w:rPr>
              <w:t>2</w:t>
            </w:r>
          </w:p>
        </w:tc>
        <w:tc>
          <w:tcPr>
            <w:tcW w:w="0" w:type="dxa"/>
            <w:vAlign w:val="bottom"/>
          </w:tcPr>
          <w:p>
            <w:pPr>
              <w:spacing w:after="0"/>
              <w:rPr>
                <w:sz w:val="1"/>
                <w:szCs w:val="1"/>
                <w:color w:val="auto"/>
              </w:rPr>
            </w:pPr>
          </w:p>
        </w:tc>
      </w:tr>
      <w:tr>
        <w:trPr>
          <w:trHeight w:val="97"/>
        </w:trPr>
        <w:tc>
          <w:tcPr>
            <w:tcW w:w="3380" w:type="dxa"/>
            <w:vAlign w:val="bottom"/>
            <w:tcBorders>
              <w:bottom w:val="single" w:sz="8" w:color="auto"/>
            </w:tcBorders>
            <w:shd w:val="clear" w:color="auto" w:fill="F1F3F9"/>
          </w:tcPr>
          <w:p>
            <w:pPr>
              <w:spacing w:after="0" w:line="97" w:lineRule="exact"/>
              <w:rPr>
                <w:sz w:val="20"/>
                <w:szCs w:val="20"/>
                <w:color w:val="auto"/>
              </w:rPr>
            </w:pPr>
            <w:r>
              <w:rPr>
                <w:rFonts w:ascii="Arial" w:cs="Arial" w:eastAsia="Arial" w:hAnsi="Arial"/>
                <w:sz w:val="10"/>
                <w:szCs w:val="10"/>
                <w:color w:val="auto"/>
              </w:rPr>
              <w:t>Leonard S. Schleifer, M.D., Ph.D.</w:t>
            </w:r>
          </w:p>
        </w:tc>
        <w:tc>
          <w:tcPr>
            <w:tcW w:w="940" w:type="dxa"/>
            <w:vAlign w:val="bottom"/>
            <w:tcBorders>
              <w:bottom w:val="single" w:sz="8" w:color="auto"/>
            </w:tcBorders>
            <w:shd w:val="clear" w:color="auto" w:fill="F1F3F9"/>
          </w:tcPr>
          <w:p>
            <w:pPr>
              <w:jc w:val="right"/>
              <w:ind w:right="353"/>
              <w:spacing w:after="0" w:line="97" w:lineRule="exact"/>
              <w:rPr>
                <w:sz w:val="20"/>
                <w:szCs w:val="20"/>
                <w:color w:val="auto"/>
              </w:rPr>
            </w:pPr>
            <w:r>
              <w:rPr>
                <w:rFonts w:ascii="Arial" w:cs="Arial" w:eastAsia="Arial" w:hAnsi="Arial"/>
                <w:sz w:val="10"/>
                <w:szCs w:val="10"/>
                <w:color w:val="auto"/>
              </w:rPr>
              <w:t>250,000</w:t>
            </w:r>
          </w:p>
        </w:tc>
        <w:tc>
          <w:tcPr>
            <w:tcW w:w="2200" w:type="dxa"/>
            <w:vAlign w:val="bottom"/>
            <w:tcBorders>
              <w:bottom w:val="single" w:sz="8" w:color="auto"/>
            </w:tcBorders>
            <w:shd w:val="clear" w:color="auto" w:fill="F1F3F9"/>
          </w:tcPr>
          <w:p>
            <w:pPr>
              <w:jc w:val="right"/>
              <w:ind w:right="33"/>
              <w:spacing w:after="0" w:line="97" w:lineRule="exact"/>
              <w:rPr>
                <w:sz w:val="20"/>
                <w:szCs w:val="20"/>
                <w:color w:val="auto"/>
              </w:rPr>
            </w:pPr>
            <w:r>
              <w:rPr>
                <w:rFonts w:ascii="Arial" w:cs="Arial" w:eastAsia="Arial" w:hAnsi="Arial"/>
                <w:sz w:val="10"/>
                <w:szCs w:val="10"/>
                <w:color w:val="auto"/>
              </w:rPr>
              <w:t>90,790,000</w:t>
            </w:r>
          </w:p>
        </w:tc>
        <w:tc>
          <w:tcPr>
            <w:tcW w:w="1740" w:type="dxa"/>
            <w:vAlign w:val="bottom"/>
            <w:tcBorders>
              <w:bottom w:val="single" w:sz="8" w:color="auto"/>
            </w:tcBorders>
            <w:shd w:val="clear" w:color="auto" w:fill="F1F3F9"/>
          </w:tcPr>
          <w:p>
            <w:pPr>
              <w:spacing w:after="0"/>
              <w:rPr>
                <w:sz w:val="8"/>
                <w:szCs w:val="8"/>
                <w:color w:val="auto"/>
              </w:rPr>
            </w:pPr>
          </w:p>
        </w:tc>
        <w:tc>
          <w:tcPr>
            <w:tcW w:w="900" w:type="dxa"/>
            <w:vAlign w:val="bottom"/>
            <w:tcBorders>
              <w:bottom w:val="single" w:sz="8" w:color="auto"/>
            </w:tcBorders>
            <w:shd w:val="clear" w:color="auto" w:fill="F1F3F9"/>
          </w:tcPr>
          <w:p>
            <w:pPr>
              <w:jc w:val="center"/>
              <w:ind w:right="173"/>
              <w:spacing w:after="0" w:line="97" w:lineRule="exact"/>
              <w:rPr>
                <w:sz w:val="20"/>
                <w:szCs w:val="20"/>
                <w:color w:val="auto"/>
              </w:rPr>
            </w:pPr>
            <w:r>
              <w:rPr>
                <w:rFonts w:ascii="Arial" w:cs="Arial" w:eastAsia="Arial" w:hAnsi="Arial"/>
                <w:sz w:val="10"/>
                <w:szCs w:val="10"/>
                <w:color w:val="auto"/>
                <w:w w:val="79"/>
              </w:rPr>
              <w:t>—</w:t>
            </w:r>
          </w:p>
        </w:tc>
        <w:tc>
          <w:tcPr>
            <w:tcW w:w="2180" w:type="dxa"/>
            <w:vAlign w:val="bottom"/>
            <w:tcBorders>
              <w:bottom w:val="single" w:sz="8" w:color="auto"/>
            </w:tcBorders>
            <w:shd w:val="clear" w:color="auto" w:fill="F1F3F9"/>
          </w:tcPr>
          <w:p>
            <w:pPr>
              <w:jc w:val="center"/>
              <w:ind w:left="1473"/>
              <w:spacing w:after="0" w:line="97"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97"/>
        </w:trPr>
        <w:tc>
          <w:tcPr>
            <w:tcW w:w="3380" w:type="dxa"/>
            <w:vAlign w:val="bottom"/>
            <w:tcBorders>
              <w:bottom w:val="single" w:sz="8" w:color="auto"/>
            </w:tcBorders>
            <w:shd w:val="clear" w:color="auto" w:fill="D6DAEE"/>
          </w:tcPr>
          <w:p>
            <w:pPr>
              <w:spacing w:after="0" w:line="97" w:lineRule="exact"/>
              <w:rPr>
                <w:sz w:val="20"/>
                <w:szCs w:val="20"/>
                <w:color w:val="auto"/>
              </w:rPr>
            </w:pPr>
            <w:r>
              <w:rPr>
                <w:rFonts w:ascii="Arial" w:cs="Arial" w:eastAsia="Arial" w:hAnsi="Arial"/>
                <w:sz w:val="10"/>
                <w:szCs w:val="10"/>
                <w:color w:val="auto"/>
              </w:rPr>
              <w:t>George D. Yancopoulos, M.D., Ph.D.</w:t>
            </w:r>
          </w:p>
        </w:tc>
        <w:tc>
          <w:tcPr>
            <w:tcW w:w="940" w:type="dxa"/>
            <w:vAlign w:val="bottom"/>
            <w:tcBorders>
              <w:bottom w:val="single" w:sz="8" w:color="auto"/>
            </w:tcBorders>
            <w:shd w:val="clear" w:color="auto" w:fill="D6DAEE"/>
          </w:tcPr>
          <w:p>
            <w:pPr>
              <w:jc w:val="right"/>
              <w:ind w:right="353"/>
              <w:spacing w:after="0" w:line="97" w:lineRule="exact"/>
              <w:rPr>
                <w:sz w:val="20"/>
                <w:szCs w:val="20"/>
                <w:color w:val="auto"/>
              </w:rPr>
            </w:pPr>
            <w:r>
              <w:rPr>
                <w:rFonts w:ascii="Arial" w:cs="Arial" w:eastAsia="Arial" w:hAnsi="Arial"/>
                <w:sz w:val="10"/>
                <w:szCs w:val="10"/>
                <w:color w:val="auto"/>
              </w:rPr>
              <w:t>195,438</w:t>
            </w:r>
          </w:p>
        </w:tc>
        <w:tc>
          <w:tcPr>
            <w:tcW w:w="2200" w:type="dxa"/>
            <w:vAlign w:val="bottom"/>
            <w:tcBorders>
              <w:bottom w:val="single" w:sz="8" w:color="auto"/>
            </w:tcBorders>
            <w:shd w:val="clear" w:color="auto" w:fill="D6DAEE"/>
          </w:tcPr>
          <w:p>
            <w:pPr>
              <w:jc w:val="right"/>
              <w:ind w:right="33"/>
              <w:spacing w:after="0" w:line="97" w:lineRule="exact"/>
              <w:rPr>
                <w:sz w:val="20"/>
                <w:szCs w:val="20"/>
                <w:color w:val="auto"/>
              </w:rPr>
            </w:pPr>
            <w:r>
              <w:rPr>
                <w:rFonts w:ascii="Arial" w:cs="Arial" w:eastAsia="Arial" w:hAnsi="Arial"/>
                <w:sz w:val="10"/>
                <w:szCs w:val="10"/>
                <w:color w:val="auto"/>
              </w:rPr>
              <w:t>70,975,264</w:t>
            </w:r>
          </w:p>
        </w:tc>
        <w:tc>
          <w:tcPr>
            <w:tcW w:w="2640" w:type="dxa"/>
            <w:vAlign w:val="bottom"/>
            <w:tcBorders>
              <w:bottom w:val="single" w:sz="8" w:color="auto"/>
            </w:tcBorders>
            <w:gridSpan w:val="2"/>
            <w:shd w:val="clear" w:color="auto" w:fill="D6DAEE"/>
          </w:tcPr>
          <w:p>
            <w:pPr>
              <w:jc w:val="center"/>
              <w:ind w:left="1472"/>
              <w:spacing w:after="0" w:line="97" w:lineRule="exact"/>
              <w:rPr>
                <w:sz w:val="20"/>
                <w:szCs w:val="20"/>
                <w:color w:val="auto"/>
              </w:rPr>
            </w:pPr>
            <w:r>
              <w:rPr>
                <w:rFonts w:ascii="Arial" w:cs="Arial" w:eastAsia="Arial" w:hAnsi="Arial"/>
                <w:sz w:val="10"/>
                <w:szCs w:val="10"/>
                <w:color w:val="auto"/>
                <w:w w:val="99"/>
              </w:rPr>
              <w:t>500,000</w:t>
            </w:r>
          </w:p>
        </w:tc>
        <w:tc>
          <w:tcPr>
            <w:tcW w:w="2180" w:type="dxa"/>
            <w:vAlign w:val="bottom"/>
            <w:tcBorders>
              <w:bottom w:val="single" w:sz="8" w:color="auto"/>
            </w:tcBorders>
            <w:shd w:val="clear" w:color="auto" w:fill="D6DAEE"/>
          </w:tcPr>
          <w:p>
            <w:pPr>
              <w:jc w:val="center"/>
              <w:ind w:left="1473"/>
              <w:spacing w:after="0" w:line="97" w:lineRule="exact"/>
              <w:rPr>
                <w:sz w:val="20"/>
                <w:szCs w:val="20"/>
                <w:color w:val="auto"/>
              </w:rPr>
            </w:pPr>
            <w:r>
              <w:rPr>
                <w:rFonts w:ascii="Arial" w:cs="Arial" w:eastAsia="Arial" w:hAnsi="Arial"/>
                <w:sz w:val="10"/>
                <w:szCs w:val="10"/>
                <w:color w:val="auto"/>
                <w:w w:val="97"/>
              </w:rPr>
              <w:t>193,450,000</w:t>
            </w:r>
          </w:p>
        </w:tc>
        <w:tc>
          <w:tcPr>
            <w:tcW w:w="0" w:type="dxa"/>
            <w:vAlign w:val="bottom"/>
          </w:tcPr>
          <w:p>
            <w:pPr>
              <w:spacing w:after="0"/>
              <w:rPr>
                <w:sz w:val="1"/>
                <w:szCs w:val="1"/>
                <w:color w:val="auto"/>
              </w:rPr>
            </w:pPr>
          </w:p>
        </w:tc>
      </w:tr>
      <w:tr>
        <w:trPr>
          <w:trHeight w:val="97"/>
        </w:trPr>
        <w:tc>
          <w:tcPr>
            <w:tcW w:w="3380" w:type="dxa"/>
            <w:vAlign w:val="bottom"/>
            <w:tcBorders>
              <w:bottom w:val="single" w:sz="8" w:color="auto"/>
            </w:tcBorders>
            <w:shd w:val="clear" w:color="auto" w:fill="F1F3F9"/>
          </w:tcPr>
          <w:p>
            <w:pPr>
              <w:spacing w:after="0" w:line="97" w:lineRule="exact"/>
              <w:rPr>
                <w:sz w:val="20"/>
                <w:szCs w:val="20"/>
                <w:color w:val="auto"/>
              </w:rPr>
            </w:pPr>
            <w:r>
              <w:rPr>
                <w:rFonts w:ascii="Arial" w:cs="Arial" w:eastAsia="Arial" w:hAnsi="Arial"/>
                <w:sz w:val="10"/>
                <w:szCs w:val="10"/>
                <w:color w:val="auto"/>
              </w:rPr>
              <w:t>Robert E. Landry</w:t>
            </w:r>
          </w:p>
        </w:tc>
        <w:tc>
          <w:tcPr>
            <w:tcW w:w="940" w:type="dxa"/>
            <w:vAlign w:val="bottom"/>
            <w:tcBorders>
              <w:bottom w:val="single" w:sz="8" w:color="auto"/>
            </w:tcBorders>
            <w:shd w:val="clear" w:color="auto" w:fill="F1F3F9"/>
          </w:tcPr>
          <w:p>
            <w:pPr>
              <w:jc w:val="right"/>
              <w:ind w:right="353"/>
              <w:spacing w:after="0" w:line="97" w:lineRule="exact"/>
              <w:rPr>
                <w:sz w:val="20"/>
                <w:szCs w:val="20"/>
                <w:color w:val="auto"/>
              </w:rPr>
            </w:pPr>
            <w:r>
              <w:rPr>
                <w:rFonts w:ascii="Arial" w:cs="Arial" w:eastAsia="Arial" w:hAnsi="Arial"/>
                <w:sz w:val="10"/>
                <w:szCs w:val="10"/>
                <w:color w:val="auto"/>
              </w:rPr>
              <w:t>9,000</w:t>
            </w:r>
          </w:p>
        </w:tc>
        <w:tc>
          <w:tcPr>
            <w:tcW w:w="2200" w:type="dxa"/>
            <w:vAlign w:val="bottom"/>
            <w:tcBorders>
              <w:bottom w:val="single" w:sz="8" w:color="auto"/>
            </w:tcBorders>
            <w:shd w:val="clear" w:color="auto" w:fill="F1F3F9"/>
          </w:tcPr>
          <w:p>
            <w:pPr>
              <w:jc w:val="right"/>
              <w:ind w:right="33"/>
              <w:spacing w:after="0" w:line="97" w:lineRule="exact"/>
              <w:rPr>
                <w:sz w:val="20"/>
                <w:szCs w:val="20"/>
                <w:color w:val="auto"/>
              </w:rPr>
            </w:pPr>
            <w:r>
              <w:rPr>
                <w:rFonts w:ascii="Arial" w:cs="Arial" w:eastAsia="Arial" w:hAnsi="Arial"/>
                <w:sz w:val="10"/>
                <w:szCs w:val="10"/>
                <w:color w:val="auto"/>
              </w:rPr>
              <w:t>1,909,550</w:t>
            </w:r>
          </w:p>
        </w:tc>
        <w:tc>
          <w:tcPr>
            <w:tcW w:w="1740" w:type="dxa"/>
            <w:vAlign w:val="bottom"/>
            <w:tcBorders>
              <w:bottom w:val="single" w:sz="8" w:color="auto"/>
            </w:tcBorders>
            <w:shd w:val="clear" w:color="auto" w:fill="F1F3F9"/>
          </w:tcPr>
          <w:p>
            <w:pPr>
              <w:spacing w:after="0"/>
              <w:rPr>
                <w:sz w:val="8"/>
                <w:szCs w:val="8"/>
                <w:color w:val="auto"/>
              </w:rPr>
            </w:pPr>
          </w:p>
        </w:tc>
        <w:tc>
          <w:tcPr>
            <w:tcW w:w="900" w:type="dxa"/>
            <w:vAlign w:val="bottom"/>
            <w:tcBorders>
              <w:bottom w:val="single" w:sz="8" w:color="auto"/>
            </w:tcBorders>
            <w:shd w:val="clear" w:color="auto" w:fill="F1F3F9"/>
          </w:tcPr>
          <w:p>
            <w:pPr>
              <w:jc w:val="center"/>
              <w:ind w:right="173"/>
              <w:spacing w:after="0" w:line="97" w:lineRule="exact"/>
              <w:rPr>
                <w:sz w:val="20"/>
                <w:szCs w:val="20"/>
                <w:color w:val="auto"/>
              </w:rPr>
            </w:pPr>
            <w:r>
              <w:rPr>
                <w:rFonts w:ascii="Arial" w:cs="Arial" w:eastAsia="Arial" w:hAnsi="Arial"/>
                <w:sz w:val="10"/>
                <w:szCs w:val="10"/>
                <w:color w:val="auto"/>
                <w:w w:val="79"/>
              </w:rPr>
              <w:t>—</w:t>
            </w:r>
          </w:p>
        </w:tc>
        <w:tc>
          <w:tcPr>
            <w:tcW w:w="2180" w:type="dxa"/>
            <w:vAlign w:val="bottom"/>
            <w:tcBorders>
              <w:bottom w:val="single" w:sz="8" w:color="auto"/>
            </w:tcBorders>
            <w:shd w:val="clear" w:color="auto" w:fill="F1F3F9"/>
          </w:tcPr>
          <w:p>
            <w:pPr>
              <w:jc w:val="center"/>
              <w:ind w:left="1473"/>
              <w:spacing w:after="0" w:line="97"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97"/>
        </w:trPr>
        <w:tc>
          <w:tcPr>
            <w:tcW w:w="3380" w:type="dxa"/>
            <w:vAlign w:val="bottom"/>
            <w:tcBorders>
              <w:bottom w:val="single" w:sz="8" w:color="auto"/>
            </w:tcBorders>
            <w:shd w:val="clear" w:color="auto" w:fill="D6DAEE"/>
          </w:tcPr>
          <w:p>
            <w:pPr>
              <w:spacing w:after="0" w:line="97" w:lineRule="exact"/>
              <w:rPr>
                <w:sz w:val="20"/>
                <w:szCs w:val="20"/>
                <w:color w:val="auto"/>
              </w:rPr>
            </w:pPr>
            <w:r>
              <w:rPr>
                <w:rFonts w:ascii="Arial" w:cs="Arial" w:eastAsia="Arial" w:hAnsi="Arial"/>
                <w:sz w:val="10"/>
                <w:szCs w:val="10"/>
                <w:color w:val="auto"/>
              </w:rPr>
              <w:t>Neil Stahl, Ph.D.</w:t>
            </w:r>
          </w:p>
        </w:tc>
        <w:tc>
          <w:tcPr>
            <w:tcW w:w="940" w:type="dxa"/>
            <w:vAlign w:val="bottom"/>
            <w:tcBorders>
              <w:bottom w:val="single" w:sz="8" w:color="auto"/>
            </w:tcBorders>
            <w:shd w:val="clear" w:color="auto" w:fill="D6DAEE"/>
          </w:tcPr>
          <w:p>
            <w:pPr>
              <w:jc w:val="right"/>
              <w:ind w:right="353"/>
              <w:spacing w:after="0" w:line="97" w:lineRule="exact"/>
              <w:rPr>
                <w:sz w:val="20"/>
                <w:szCs w:val="20"/>
                <w:color w:val="auto"/>
              </w:rPr>
            </w:pPr>
            <w:r>
              <w:rPr>
                <w:rFonts w:ascii="Arial" w:cs="Arial" w:eastAsia="Arial" w:hAnsi="Arial"/>
                <w:sz w:val="10"/>
                <w:szCs w:val="10"/>
                <w:color w:val="auto"/>
              </w:rPr>
              <w:t>50,839</w:t>
            </w:r>
          </w:p>
        </w:tc>
        <w:tc>
          <w:tcPr>
            <w:tcW w:w="2200" w:type="dxa"/>
            <w:vAlign w:val="bottom"/>
            <w:tcBorders>
              <w:bottom w:val="single" w:sz="8" w:color="auto"/>
            </w:tcBorders>
            <w:shd w:val="clear" w:color="auto" w:fill="D6DAEE"/>
          </w:tcPr>
          <w:p>
            <w:pPr>
              <w:jc w:val="right"/>
              <w:ind w:right="33"/>
              <w:spacing w:after="0" w:line="97" w:lineRule="exact"/>
              <w:rPr>
                <w:sz w:val="20"/>
                <w:szCs w:val="20"/>
                <w:color w:val="auto"/>
              </w:rPr>
            </w:pPr>
            <w:r>
              <w:rPr>
                <w:rFonts w:ascii="Arial" w:cs="Arial" w:eastAsia="Arial" w:hAnsi="Arial"/>
                <w:sz w:val="10"/>
                <w:szCs w:val="10"/>
                <w:color w:val="auto"/>
              </w:rPr>
              <w:t>21,619,047</w:t>
            </w:r>
          </w:p>
        </w:tc>
        <w:tc>
          <w:tcPr>
            <w:tcW w:w="1740" w:type="dxa"/>
            <w:vAlign w:val="bottom"/>
            <w:tcBorders>
              <w:bottom w:val="single" w:sz="8" w:color="auto"/>
            </w:tcBorders>
            <w:shd w:val="clear" w:color="auto" w:fill="D6DAEE"/>
          </w:tcPr>
          <w:p>
            <w:pPr>
              <w:spacing w:after="0"/>
              <w:rPr>
                <w:sz w:val="8"/>
                <w:szCs w:val="8"/>
                <w:color w:val="auto"/>
              </w:rPr>
            </w:pPr>
          </w:p>
        </w:tc>
        <w:tc>
          <w:tcPr>
            <w:tcW w:w="900" w:type="dxa"/>
            <w:vAlign w:val="bottom"/>
            <w:tcBorders>
              <w:bottom w:val="single" w:sz="8" w:color="auto"/>
            </w:tcBorders>
            <w:shd w:val="clear" w:color="auto" w:fill="D6DAEE"/>
          </w:tcPr>
          <w:p>
            <w:pPr>
              <w:jc w:val="center"/>
              <w:ind w:right="173"/>
              <w:spacing w:after="0" w:line="97" w:lineRule="exact"/>
              <w:rPr>
                <w:sz w:val="20"/>
                <w:szCs w:val="20"/>
                <w:color w:val="auto"/>
              </w:rPr>
            </w:pPr>
            <w:r>
              <w:rPr>
                <w:rFonts w:ascii="Arial" w:cs="Arial" w:eastAsia="Arial" w:hAnsi="Arial"/>
                <w:sz w:val="10"/>
                <w:szCs w:val="10"/>
                <w:color w:val="auto"/>
                <w:w w:val="79"/>
              </w:rPr>
              <w:t>—</w:t>
            </w:r>
          </w:p>
        </w:tc>
        <w:tc>
          <w:tcPr>
            <w:tcW w:w="2180" w:type="dxa"/>
            <w:vAlign w:val="bottom"/>
            <w:tcBorders>
              <w:bottom w:val="single" w:sz="8" w:color="auto"/>
            </w:tcBorders>
            <w:shd w:val="clear" w:color="auto" w:fill="D6DAEE"/>
          </w:tcPr>
          <w:p>
            <w:pPr>
              <w:jc w:val="center"/>
              <w:ind w:left="1473"/>
              <w:spacing w:after="0" w:line="97"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86"/>
        </w:trPr>
        <w:tc>
          <w:tcPr>
            <w:tcW w:w="3380" w:type="dxa"/>
            <w:vAlign w:val="bottom"/>
          </w:tcPr>
          <w:p>
            <w:pPr>
              <w:spacing w:after="0" w:line="86" w:lineRule="exact"/>
              <w:rPr>
                <w:sz w:val="20"/>
                <w:szCs w:val="20"/>
                <w:color w:val="auto"/>
              </w:rPr>
            </w:pPr>
            <w:r>
              <w:rPr>
                <w:rFonts w:ascii="Arial" w:cs="Arial" w:eastAsia="Arial" w:hAnsi="Arial"/>
                <w:sz w:val="8"/>
                <w:szCs w:val="8"/>
                <w:color w:val="auto"/>
              </w:rPr>
              <w:t>Daniel P. Van Plew</w:t>
            </w:r>
          </w:p>
        </w:tc>
        <w:tc>
          <w:tcPr>
            <w:tcW w:w="940" w:type="dxa"/>
            <w:vAlign w:val="bottom"/>
          </w:tcPr>
          <w:p>
            <w:pPr>
              <w:jc w:val="center"/>
              <w:ind w:right="153"/>
              <w:spacing w:after="0" w:line="86" w:lineRule="exact"/>
              <w:rPr>
                <w:sz w:val="20"/>
                <w:szCs w:val="20"/>
                <w:color w:val="auto"/>
              </w:rPr>
            </w:pPr>
            <w:r>
              <w:rPr>
                <w:rFonts w:ascii="Arial" w:cs="Arial" w:eastAsia="Arial" w:hAnsi="Arial"/>
                <w:sz w:val="8"/>
                <w:szCs w:val="8"/>
                <w:color w:val="auto"/>
              </w:rPr>
              <w:t>—</w:t>
            </w:r>
          </w:p>
        </w:tc>
        <w:tc>
          <w:tcPr>
            <w:tcW w:w="2200" w:type="dxa"/>
            <w:vAlign w:val="bottom"/>
          </w:tcPr>
          <w:p>
            <w:pPr>
              <w:jc w:val="center"/>
              <w:ind w:left="1493"/>
              <w:spacing w:after="0" w:line="86" w:lineRule="exact"/>
              <w:rPr>
                <w:sz w:val="20"/>
                <w:szCs w:val="20"/>
                <w:color w:val="auto"/>
              </w:rPr>
            </w:pPr>
            <w:r>
              <w:rPr>
                <w:rFonts w:ascii="Arial" w:cs="Arial" w:eastAsia="Arial" w:hAnsi="Arial"/>
                <w:sz w:val="8"/>
                <w:szCs w:val="8"/>
                <w:color w:val="auto"/>
              </w:rPr>
              <w:t>—</w:t>
            </w:r>
          </w:p>
        </w:tc>
        <w:tc>
          <w:tcPr>
            <w:tcW w:w="1740" w:type="dxa"/>
            <w:vAlign w:val="bottom"/>
          </w:tcPr>
          <w:p>
            <w:pPr>
              <w:spacing w:after="0"/>
              <w:rPr>
                <w:sz w:val="7"/>
                <w:szCs w:val="7"/>
                <w:color w:val="auto"/>
              </w:rPr>
            </w:pPr>
          </w:p>
        </w:tc>
        <w:tc>
          <w:tcPr>
            <w:tcW w:w="900" w:type="dxa"/>
            <w:vAlign w:val="bottom"/>
          </w:tcPr>
          <w:p>
            <w:pPr>
              <w:jc w:val="center"/>
              <w:ind w:right="173"/>
              <w:spacing w:after="0" w:line="86" w:lineRule="exact"/>
              <w:rPr>
                <w:sz w:val="20"/>
                <w:szCs w:val="20"/>
                <w:color w:val="auto"/>
              </w:rPr>
            </w:pPr>
            <w:r>
              <w:rPr>
                <w:rFonts w:ascii="Arial" w:cs="Arial" w:eastAsia="Arial" w:hAnsi="Arial"/>
                <w:sz w:val="8"/>
                <w:szCs w:val="8"/>
                <w:color w:val="auto"/>
                <w:w w:val="99"/>
              </w:rPr>
              <w:t>—</w:t>
            </w:r>
          </w:p>
        </w:tc>
        <w:tc>
          <w:tcPr>
            <w:tcW w:w="2180" w:type="dxa"/>
            <w:vAlign w:val="bottom"/>
          </w:tcPr>
          <w:p>
            <w:pPr>
              <w:jc w:val="center"/>
              <w:ind w:left="1473"/>
              <w:spacing w:after="0" w:line="86"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00900" cy="742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00900" cy="74295"/>
                    </a:xfrm>
                    <a:prstGeom prst="rect">
                      <a:avLst/>
                    </a:prstGeom>
                    <a:noFill/>
                  </pic:spPr>
                </pic:pic>
              </a:graphicData>
            </a:graphic>
          </wp:anchor>
        </w:drawing>
      </w:r>
    </w:p>
    <w:p>
      <w:pPr>
        <w:ind w:left="208" w:hanging="208"/>
        <w:spacing w:after="0" w:line="195" w:lineRule="auto"/>
        <w:tabs>
          <w:tab w:leader="none" w:pos="208" w:val="left"/>
        </w:tabs>
        <w:numPr>
          <w:ilvl w:val="0"/>
          <w:numId w:val="85"/>
        </w:numPr>
        <w:rPr>
          <w:rFonts w:ascii="Arial" w:cs="Arial" w:eastAsia="Arial" w:hAnsi="Arial"/>
          <w:sz w:val="14"/>
          <w:szCs w:val="14"/>
          <w:color w:val="105BAB"/>
          <w:vertAlign w:val="superscript"/>
        </w:rPr>
      </w:pPr>
      <w:r>
        <w:rPr>
          <w:rFonts w:ascii="Arial" w:cs="Arial" w:eastAsia="Arial" w:hAnsi="Arial"/>
          <w:sz w:val="10"/>
          <w:szCs w:val="10"/>
          <w:color w:val="auto"/>
        </w:rPr>
        <w:t>Amounts reflect the difference between the exercise price of the option(s) and the average of the high and low sales price per share of the Company's common stock on the NASDAQ Global Select Market on the exercise date(s).</w:t>
      </w:r>
    </w:p>
    <w:p>
      <w:pPr>
        <w:ind w:left="8"/>
        <w:spacing w:after="0" w:line="238" w:lineRule="auto"/>
        <w:rPr>
          <w:rFonts w:ascii="Arial" w:cs="Arial" w:eastAsia="Arial" w:hAnsi="Arial"/>
          <w:sz w:val="14"/>
          <w:szCs w:val="14"/>
          <w:color w:val="105BAB"/>
          <w:vertAlign w:val="superscript"/>
        </w:rPr>
      </w:pPr>
      <w:r>
        <w:rPr>
          <w:rFonts w:ascii="Arial" w:cs="Arial" w:eastAsia="Arial" w:hAnsi="Arial"/>
          <w:sz w:val="14"/>
          <w:szCs w:val="14"/>
          <w:color w:val="105BAB"/>
          <w:vertAlign w:val="superscript"/>
        </w:rPr>
        <w:t>2</w:t>
      </w:r>
      <w:r>
        <w:rPr>
          <w:rFonts w:ascii="Arial" w:cs="Arial" w:eastAsia="Arial" w:hAnsi="Arial"/>
          <w:sz w:val="10"/>
          <w:szCs w:val="10"/>
          <w:color w:val="auto"/>
        </w:rPr>
        <w:t xml:space="preserve">    Amount reflects the average of the high and low sales price per share of the Company's common stock on the NASDAQ Global Select Market on the vesting date.</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Post-Employment Compensation</w:t>
      </w:r>
    </w:p>
    <w:p>
      <w:pPr>
        <w:spacing w:after="0" w:line="155" w:lineRule="exact"/>
        <w:rPr>
          <w:sz w:val="20"/>
          <w:szCs w:val="20"/>
          <w:color w:val="auto"/>
        </w:rPr>
      </w:pPr>
    </w:p>
    <w:p>
      <w:pPr>
        <w:ind w:left="8" w:right="120"/>
        <w:spacing w:after="0" w:line="264" w:lineRule="auto"/>
        <w:rPr>
          <w:sz w:val="20"/>
          <w:szCs w:val="20"/>
          <w:color w:val="auto"/>
        </w:rPr>
      </w:pPr>
      <w:r>
        <w:rPr>
          <w:rFonts w:ascii="Arial" w:cs="Arial" w:eastAsia="Arial" w:hAnsi="Arial"/>
          <w:sz w:val="11"/>
          <w:szCs w:val="11"/>
          <w:color w:val="auto"/>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Leonard S. Schleifer, M.D., Ph.D., Employment Agreement</w:t>
      </w:r>
    </w:p>
    <w:p>
      <w:pPr>
        <w:spacing w:after="0" w:line="155" w:lineRule="exact"/>
        <w:rPr>
          <w:sz w:val="20"/>
          <w:szCs w:val="20"/>
          <w:color w:val="auto"/>
        </w:rPr>
      </w:pPr>
    </w:p>
    <w:p>
      <w:pPr>
        <w:ind w:left="8"/>
        <w:spacing w:after="0" w:line="236" w:lineRule="auto"/>
        <w:rPr>
          <w:sz w:val="20"/>
          <w:szCs w:val="20"/>
          <w:color w:val="auto"/>
        </w:rPr>
      </w:pPr>
      <w:r>
        <w:rPr>
          <w:rFonts w:ascii="Arial" w:cs="Arial" w:eastAsia="Arial" w:hAnsi="Arial"/>
          <w:sz w:val="12"/>
          <w:szCs w:val="12"/>
          <w:color w:val="auto"/>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128" w:lineRule="exact"/>
        <w:rPr>
          <w:sz w:val="20"/>
          <w:szCs w:val="20"/>
          <w:color w:val="auto"/>
        </w:rPr>
      </w:pPr>
    </w:p>
    <w:p>
      <w:pPr>
        <w:ind w:left="8" w:right="80"/>
        <w:spacing w:after="0" w:line="239" w:lineRule="auto"/>
        <w:rPr>
          <w:sz w:val="20"/>
          <w:szCs w:val="20"/>
          <w:color w:val="auto"/>
        </w:rPr>
      </w:pPr>
      <w:r>
        <w:rPr>
          <w:rFonts w:ascii="Arial" w:cs="Arial" w:eastAsia="Arial" w:hAnsi="Arial"/>
          <w:sz w:val="12"/>
          <w:szCs w:val="12"/>
          <w:color w:val="auto"/>
        </w:rPr>
        <w:t>Upon an involuntary termination (</w:t>
      </w:r>
      <w:r>
        <w:rPr>
          <w:rFonts w:ascii="Arial" w:cs="Arial" w:eastAsia="Arial" w:hAnsi="Arial"/>
          <w:sz w:val="12"/>
          <w:szCs w:val="12"/>
          <w:i w:val="1"/>
          <w:iCs w:val="1"/>
          <w:color w:val="auto"/>
        </w:rPr>
        <w:t>i.e.</w:t>
      </w:r>
      <w:r>
        <w:rPr>
          <w:rFonts w:ascii="Arial" w:cs="Arial" w:eastAsia="Arial" w:hAnsi="Arial"/>
          <w:sz w:val="12"/>
          <w:szCs w:val="12"/>
          <w:color w:val="auto"/>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w:t>
      </w:r>
    </w:p>
    <w:p>
      <w:pPr>
        <w:spacing w:after="0" w:line="131"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FFFFFE"/>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85750" cy="685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142" w:right="259" w:bottom="1440" w:gutter="0" w:footer="0" w:header="0"/>
        </w:sectPr>
      </w:pPr>
    </w:p>
    <w:bookmarkStart w:id="87" w:name="page88"/>
    <w:bookmarkEnd w:id="87"/>
    <w:p>
      <w:pPr>
        <w:ind w:left="8"/>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92340" cy="457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Arial" w:cs="Arial" w:eastAsia="Arial" w:hAnsi="Arial"/>
          <w:sz w:val="12"/>
          <w:szCs w:val="12"/>
          <w:color w:val="auto"/>
        </w:rPr>
        <w:t>excise taxes could be eliminated by reducing Dr. Schleifer's cash severance payments and benefits under the agreement by less than 10%, in which case such benefits and payments will be reduced accordingly.</w:t>
      </w:r>
    </w:p>
    <w:p>
      <w:pPr>
        <w:spacing w:after="0" w:line="141" w:lineRule="exact"/>
        <w:rPr>
          <w:sz w:val="20"/>
          <w:szCs w:val="20"/>
          <w:color w:val="auto"/>
        </w:rPr>
      </w:pPr>
    </w:p>
    <w:p>
      <w:pPr>
        <w:ind w:left="8" w:right="100"/>
        <w:spacing w:after="0" w:line="239" w:lineRule="auto"/>
        <w:rPr>
          <w:sz w:val="20"/>
          <w:szCs w:val="20"/>
          <w:color w:val="auto"/>
        </w:rPr>
      </w:pPr>
      <w:r>
        <w:rPr>
          <w:rFonts w:ascii="Arial" w:cs="Arial" w:eastAsia="Arial" w:hAnsi="Arial"/>
          <w:sz w:val="12"/>
          <w:szCs w:val="12"/>
          <w:color w:val="auto"/>
        </w:rPr>
        <w:t>The following table reflects the potential payments to our CEO under his employment agreement assuming a termination effective December 31, 2017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Potential Severance Payments under Dr. Schleifer's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20090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00900" cy="5715"/>
                    </a:xfrm>
                    <a:prstGeom prst="rect">
                      <a:avLst/>
                    </a:prstGeom>
                    <a:noFill/>
                  </pic:spPr>
                </pic:pic>
              </a:graphicData>
            </a:graphic>
          </wp:anchor>
        </w:drawing>
      </w:r>
    </w:p>
    <w:p>
      <w:pPr>
        <w:spacing w:after="0" w:line="385"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820" w:type="dxa"/>
            <w:vAlign w:val="bottom"/>
          </w:tcPr>
          <w:p>
            <w:pPr>
              <w:spacing w:after="0"/>
              <w:rPr>
                <w:sz w:val="10"/>
                <w:szCs w:val="10"/>
                <w:color w:val="auto"/>
              </w:rPr>
            </w:pPr>
          </w:p>
        </w:tc>
        <w:tc>
          <w:tcPr>
            <w:tcW w:w="2900" w:type="dxa"/>
            <w:vAlign w:val="bottom"/>
          </w:tcPr>
          <w:p>
            <w:pPr>
              <w:jc w:val="center"/>
              <w:ind w:left="2412"/>
              <w:spacing w:after="0"/>
              <w:rPr>
                <w:sz w:val="20"/>
                <w:szCs w:val="20"/>
                <w:color w:val="auto"/>
              </w:rPr>
            </w:pPr>
            <w:r>
              <w:rPr>
                <w:rFonts w:ascii="Arial" w:cs="Arial" w:eastAsia="Arial" w:hAnsi="Arial"/>
                <w:sz w:val="10"/>
                <w:szCs w:val="10"/>
                <w:b w:val="1"/>
                <w:bCs w:val="1"/>
                <w:color w:val="105BAB"/>
                <w:w w:val="97"/>
              </w:rPr>
              <w:t>Cash</w:t>
            </w:r>
          </w:p>
        </w:tc>
        <w:tc>
          <w:tcPr>
            <w:tcW w:w="80" w:type="dxa"/>
            <w:vAlign w:val="bottom"/>
          </w:tcPr>
          <w:p>
            <w:pPr>
              <w:spacing w:after="0"/>
              <w:rPr>
                <w:sz w:val="10"/>
                <w:szCs w:val="10"/>
                <w:color w:val="auto"/>
              </w:rPr>
            </w:pPr>
          </w:p>
        </w:tc>
        <w:tc>
          <w:tcPr>
            <w:tcW w:w="680" w:type="dxa"/>
            <w:vAlign w:val="bottom"/>
          </w:tcPr>
          <w:p>
            <w:pPr>
              <w:jc w:val="right"/>
              <w:ind w:right="97"/>
              <w:spacing w:after="0"/>
              <w:rPr>
                <w:sz w:val="20"/>
                <w:szCs w:val="20"/>
                <w:color w:val="auto"/>
              </w:rPr>
            </w:pPr>
            <w:r>
              <w:rPr>
                <w:rFonts w:ascii="Arial" w:cs="Arial" w:eastAsia="Arial" w:hAnsi="Arial"/>
                <w:sz w:val="10"/>
                <w:szCs w:val="10"/>
                <w:b w:val="1"/>
                <w:bCs w:val="1"/>
                <w:color w:val="105BAB"/>
              </w:rPr>
              <w:t>Benefits</w:t>
            </w:r>
          </w:p>
        </w:tc>
        <w:tc>
          <w:tcPr>
            <w:tcW w:w="50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b w:val="1"/>
                <w:bCs w:val="1"/>
                <w:color w:val="105BAB"/>
                <w:w w:val="94"/>
              </w:rPr>
              <w:t>Disability</w:t>
            </w:r>
          </w:p>
        </w:tc>
        <w:tc>
          <w:tcPr>
            <w:tcW w:w="760" w:type="dxa"/>
            <w:vAlign w:val="bottom"/>
            <w:gridSpan w:val="2"/>
          </w:tcPr>
          <w:p>
            <w:pPr>
              <w:jc w:val="center"/>
              <w:spacing w:after="0"/>
              <w:rPr>
                <w:sz w:val="20"/>
                <w:szCs w:val="20"/>
                <w:color w:val="auto"/>
              </w:rPr>
            </w:pPr>
            <w:r>
              <w:rPr>
                <w:rFonts w:ascii="Arial" w:cs="Arial" w:eastAsia="Arial" w:hAnsi="Arial"/>
                <w:sz w:val="10"/>
                <w:szCs w:val="10"/>
                <w:b w:val="1"/>
                <w:bCs w:val="1"/>
                <w:color w:val="105BAB"/>
                <w:w w:val="92"/>
              </w:rPr>
              <w:t>Value of</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4"/>
              </w:rPr>
              <w:t>Cutback/</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105BAB"/>
                <w:w w:val="91"/>
              </w:rPr>
              <w:t>Total</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2980" w:type="dxa"/>
            <w:vAlign w:val="bottom"/>
            <w:gridSpan w:val="2"/>
          </w:tcPr>
          <w:p>
            <w:pPr>
              <w:jc w:val="center"/>
              <w:ind w:left="2332"/>
              <w:spacing w:after="0" w:line="108" w:lineRule="exact"/>
              <w:rPr>
                <w:sz w:val="20"/>
                <w:szCs w:val="20"/>
                <w:color w:val="auto"/>
              </w:rPr>
            </w:pPr>
            <w:r>
              <w:rPr>
                <w:rFonts w:ascii="Arial" w:cs="Arial" w:eastAsia="Arial" w:hAnsi="Arial"/>
                <w:sz w:val="10"/>
                <w:szCs w:val="10"/>
                <w:b w:val="1"/>
                <w:bCs w:val="1"/>
                <w:color w:val="105BAB"/>
                <w:w w:val="95"/>
              </w:rPr>
              <w:t>Severance</w:t>
            </w:r>
          </w:p>
        </w:tc>
        <w:tc>
          <w:tcPr>
            <w:tcW w:w="680" w:type="dxa"/>
            <w:vAlign w:val="bottom"/>
          </w:tcPr>
          <w:p>
            <w:pPr>
              <w:jc w:val="right"/>
              <w:spacing w:after="0" w:line="108" w:lineRule="exact"/>
              <w:rPr>
                <w:sz w:val="20"/>
                <w:szCs w:val="20"/>
                <w:color w:val="auto"/>
              </w:rPr>
            </w:pPr>
            <w:r>
              <w:rPr>
                <w:rFonts w:ascii="Arial" w:cs="Arial" w:eastAsia="Arial" w:hAnsi="Arial"/>
                <w:sz w:val="10"/>
                <w:szCs w:val="10"/>
                <w:b w:val="1"/>
                <w:bCs w:val="1"/>
                <w:color w:val="105BAB"/>
              </w:rPr>
              <w:t>Continuation</w:t>
            </w:r>
          </w:p>
        </w:tc>
        <w:tc>
          <w:tcPr>
            <w:tcW w:w="50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3"/>
              </w:rPr>
              <w:t>Death</w:t>
            </w:r>
          </w:p>
        </w:tc>
        <w:tc>
          <w:tcPr>
            <w:tcW w:w="5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Benefits</w:t>
            </w:r>
          </w:p>
        </w:tc>
        <w:tc>
          <w:tcPr>
            <w:tcW w:w="7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105BAB"/>
                <w:w w:val="95"/>
              </w:rPr>
              <w:t>Accelerated</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2"/>
              </w:rPr>
              <w:t>Gross-</w:t>
            </w:r>
          </w:p>
        </w:tc>
        <w:tc>
          <w:tcPr>
            <w:tcW w:w="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Amount</w:t>
            </w:r>
          </w:p>
        </w:tc>
        <w:tc>
          <w:tcPr>
            <w:tcW w:w="0" w:type="dxa"/>
            <w:vAlign w:val="bottom"/>
          </w:tcPr>
          <w:p>
            <w:pPr>
              <w:spacing w:after="0"/>
              <w:rPr>
                <w:sz w:val="1"/>
                <w:szCs w:val="1"/>
                <w:color w:val="auto"/>
              </w:rPr>
            </w:pPr>
          </w:p>
        </w:tc>
      </w:tr>
      <w:tr>
        <w:trPr>
          <w:trHeight w:val="126"/>
        </w:trPr>
        <w:tc>
          <w:tcPr>
            <w:tcW w:w="4820" w:type="dxa"/>
            <w:vAlign w:val="bottom"/>
            <w:tcBorders>
              <w:bottom w:val="single" w:sz="8" w:color="105BAB"/>
            </w:tcBorders>
          </w:tcPr>
          <w:p>
            <w:pPr>
              <w:ind w:left="60"/>
              <w:spacing w:after="0"/>
              <w:rPr>
                <w:sz w:val="20"/>
                <w:szCs w:val="20"/>
                <w:color w:val="auto"/>
              </w:rPr>
            </w:pPr>
            <w:r>
              <w:rPr>
                <w:rFonts w:ascii="Arial" w:cs="Arial" w:eastAsia="Arial" w:hAnsi="Arial"/>
                <w:sz w:val="10"/>
                <w:szCs w:val="10"/>
                <w:b w:val="1"/>
                <w:bCs w:val="1"/>
                <w:color w:val="105BAB"/>
              </w:rPr>
              <w:t>Scenario</w:t>
            </w:r>
          </w:p>
        </w:tc>
        <w:tc>
          <w:tcPr>
            <w:tcW w:w="2900" w:type="dxa"/>
            <w:vAlign w:val="bottom"/>
            <w:tcBorders>
              <w:bottom w:val="single" w:sz="8" w:color="105BAB"/>
            </w:tcBorders>
          </w:tcPr>
          <w:p>
            <w:pPr>
              <w:jc w:val="center"/>
              <w:ind w:left="2412"/>
              <w:spacing w:after="0"/>
              <w:rPr>
                <w:sz w:val="20"/>
                <w:szCs w:val="20"/>
                <w:color w:val="auto"/>
              </w:rPr>
            </w:pPr>
            <w:r>
              <w:rPr>
                <w:rFonts w:ascii="Arial" w:cs="Arial" w:eastAsia="Arial" w:hAnsi="Arial"/>
                <w:sz w:val="10"/>
                <w:szCs w:val="10"/>
                <w:b w:val="1"/>
                <w:bCs w:val="1"/>
                <w:color w:val="105BAB"/>
                <w:w w:val="97"/>
              </w:rPr>
              <w:t>($)</w:t>
            </w:r>
          </w:p>
        </w:tc>
        <w:tc>
          <w:tcPr>
            <w:tcW w:w="80" w:type="dxa"/>
            <w:vAlign w:val="bottom"/>
            <w:tcBorders>
              <w:bottom w:val="single" w:sz="8" w:color="105BAB"/>
            </w:tcBorders>
          </w:tcPr>
          <w:p>
            <w:pPr>
              <w:spacing w:after="0"/>
              <w:rPr>
                <w:sz w:val="10"/>
                <w:szCs w:val="10"/>
                <w:color w:val="auto"/>
              </w:rPr>
            </w:pPr>
          </w:p>
        </w:tc>
        <w:tc>
          <w:tcPr>
            <w:tcW w:w="680" w:type="dxa"/>
            <w:vAlign w:val="bottom"/>
            <w:tcBorders>
              <w:bottom w:val="single" w:sz="8" w:color="105BAB"/>
            </w:tcBorders>
          </w:tcPr>
          <w:p>
            <w:pPr>
              <w:jc w:val="right"/>
              <w:ind w:right="237"/>
              <w:spacing w:after="0"/>
              <w:rPr>
                <w:sz w:val="20"/>
                <w:szCs w:val="20"/>
                <w:color w:val="auto"/>
              </w:rPr>
            </w:pPr>
            <w:r>
              <w:rPr>
                <w:rFonts w:ascii="Arial" w:cs="Arial" w:eastAsia="Arial" w:hAnsi="Arial"/>
                <w:sz w:val="10"/>
                <w:szCs w:val="10"/>
                <w:b w:val="1"/>
                <w:bCs w:val="1"/>
                <w:color w:val="105BAB"/>
              </w:rPr>
              <w:t>($)</w:t>
            </w:r>
          </w:p>
        </w:tc>
        <w:tc>
          <w:tcPr>
            <w:tcW w:w="500" w:type="dxa"/>
            <w:vAlign w:val="bottom"/>
            <w:tcBorders>
              <w:bottom w:val="single" w:sz="8" w:color="105BAB"/>
            </w:tcBorders>
          </w:tcPr>
          <w:p>
            <w:pPr>
              <w:jc w:val="center"/>
              <w:spacing w:after="0" w:line="126" w:lineRule="exact"/>
              <w:rPr>
                <w:sz w:val="20"/>
                <w:szCs w:val="20"/>
                <w:color w:val="auto"/>
              </w:rPr>
            </w:pPr>
            <w:r>
              <w:rPr>
                <w:rFonts w:ascii="Arial" w:cs="Arial" w:eastAsia="Arial" w:hAnsi="Arial"/>
                <w:sz w:val="10"/>
                <w:szCs w:val="10"/>
                <w:b w:val="1"/>
                <w:bCs w:val="1"/>
                <w:color w:val="105BAB"/>
                <w:w w:val="93"/>
              </w:rPr>
              <w:t>Benefits</w:t>
            </w:r>
            <w:r>
              <w:rPr>
                <w:rFonts w:ascii="Arial" w:cs="Arial" w:eastAsia="Arial" w:hAnsi="Arial"/>
                <w:sz w:val="14"/>
                <w:szCs w:val="14"/>
                <w:b w:val="1"/>
                <w:bCs w:val="1"/>
                <w:color w:val="105BAB"/>
                <w:w w:val="93"/>
                <w:vertAlign w:val="superscript"/>
              </w:rPr>
              <w:t>4</w:t>
            </w:r>
          </w:p>
        </w:tc>
        <w:tc>
          <w:tcPr>
            <w:tcW w:w="56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w:t>
            </w:r>
          </w:p>
        </w:tc>
        <w:tc>
          <w:tcPr>
            <w:tcW w:w="760" w:type="dxa"/>
            <w:vAlign w:val="bottom"/>
            <w:tcBorders>
              <w:bottom w:val="single" w:sz="8" w:color="105BAB"/>
            </w:tcBorders>
            <w:gridSpan w:val="2"/>
          </w:tcPr>
          <w:p>
            <w:pPr>
              <w:jc w:val="center"/>
              <w:spacing w:after="0"/>
              <w:rPr>
                <w:sz w:val="20"/>
                <w:szCs w:val="20"/>
                <w:color w:val="auto"/>
              </w:rPr>
            </w:pPr>
            <w:r>
              <w:rPr>
                <w:rFonts w:ascii="Arial" w:cs="Arial" w:eastAsia="Arial" w:hAnsi="Arial"/>
                <w:sz w:val="10"/>
                <w:szCs w:val="10"/>
                <w:b w:val="1"/>
                <w:bCs w:val="1"/>
                <w:color w:val="105BAB"/>
                <w:w w:val="94"/>
              </w:rPr>
              <w:t>Stock Options</w:t>
            </w:r>
          </w:p>
        </w:tc>
        <w:tc>
          <w:tcPr>
            <w:tcW w:w="520" w:type="dxa"/>
            <w:vAlign w:val="bottom"/>
            <w:tcBorders>
              <w:bottom w:val="single" w:sz="8" w:color="105BAB"/>
            </w:tcBorders>
          </w:tcPr>
          <w:p>
            <w:pPr>
              <w:jc w:val="center"/>
              <w:spacing w:after="0" w:line="126" w:lineRule="exact"/>
              <w:rPr>
                <w:sz w:val="20"/>
                <w:szCs w:val="20"/>
                <w:color w:val="auto"/>
              </w:rPr>
            </w:pPr>
            <w:r>
              <w:rPr>
                <w:rFonts w:ascii="Arial" w:cs="Arial" w:eastAsia="Arial" w:hAnsi="Arial"/>
                <w:sz w:val="10"/>
                <w:szCs w:val="10"/>
                <w:b w:val="1"/>
                <w:bCs w:val="1"/>
                <w:color w:val="105BAB"/>
                <w:w w:val="91"/>
              </w:rPr>
              <w:t>up</w:t>
            </w:r>
            <w:r>
              <w:rPr>
                <w:rFonts w:ascii="Arial" w:cs="Arial" w:eastAsia="Arial" w:hAnsi="Arial"/>
                <w:sz w:val="14"/>
                <w:szCs w:val="14"/>
                <w:b w:val="1"/>
                <w:bCs w:val="1"/>
                <w:color w:val="105BAB"/>
                <w:w w:val="91"/>
                <w:vertAlign w:val="superscript"/>
              </w:rPr>
              <w:t>6</w:t>
            </w:r>
          </w:p>
        </w:tc>
        <w:tc>
          <w:tcPr>
            <w:tcW w:w="52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1"/>
              </w:rPr>
              <w:t>($)</w:t>
            </w:r>
          </w:p>
        </w:tc>
        <w:tc>
          <w:tcPr>
            <w:tcW w:w="0" w:type="dxa"/>
            <w:vAlign w:val="bottom"/>
          </w:tcPr>
          <w:p>
            <w:pPr>
              <w:spacing w:after="0"/>
              <w:rPr>
                <w:sz w:val="1"/>
                <w:szCs w:val="1"/>
                <w:color w:val="auto"/>
              </w:rPr>
            </w:pPr>
          </w:p>
        </w:tc>
      </w:tr>
      <w:tr>
        <w:trPr>
          <w:trHeight w:val="79"/>
        </w:trPr>
        <w:tc>
          <w:tcPr>
            <w:tcW w:w="4820" w:type="dxa"/>
            <w:vAlign w:val="bottom"/>
            <w:shd w:val="clear" w:color="auto" w:fill="F1F3F9"/>
          </w:tcPr>
          <w:p>
            <w:pPr>
              <w:ind w:left="60"/>
              <w:spacing w:after="0" w:line="79" w:lineRule="exact"/>
              <w:rPr>
                <w:sz w:val="20"/>
                <w:szCs w:val="20"/>
                <w:color w:val="auto"/>
              </w:rPr>
            </w:pPr>
            <w:r>
              <w:rPr>
                <w:rFonts w:ascii="Arial" w:cs="Arial" w:eastAsia="Arial" w:hAnsi="Arial"/>
                <w:sz w:val="7"/>
                <w:szCs w:val="7"/>
                <w:color w:val="auto"/>
              </w:rPr>
              <w:t>Involuntary Termination Following a Change of Control</w:t>
            </w:r>
            <w:r>
              <w:rPr>
                <w:rFonts w:ascii="Arial" w:cs="Arial" w:eastAsia="Arial" w:hAnsi="Arial"/>
                <w:sz w:val="9"/>
                <w:szCs w:val="9"/>
                <w:color w:val="auto"/>
                <w:vertAlign w:val="superscript"/>
              </w:rPr>
              <w:t>1</w:t>
            </w:r>
          </w:p>
        </w:tc>
        <w:tc>
          <w:tcPr>
            <w:tcW w:w="290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rPr>
              <w:t>11,114,500</w:t>
            </w:r>
          </w:p>
        </w:tc>
        <w:tc>
          <w:tcPr>
            <w:tcW w:w="80" w:type="dxa"/>
            <w:vAlign w:val="bottom"/>
            <w:shd w:val="clear" w:color="auto" w:fill="F1F3F9"/>
          </w:tcPr>
          <w:p>
            <w:pPr>
              <w:jc w:val="right"/>
              <w:ind w:right="16"/>
              <w:spacing w:after="0"/>
              <w:rPr>
                <w:sz w:val="20"/>
                <w:szCs w:val="20"/>
                <w:color w:val="auto"/>
              </w:rPr>
            </w:pPr>
            <w:r>
              <w:rPr>
                <w:rFonts w:ascii="Arial" w:cs="Arial" w:eastAsia="Arial" w:hAnsi="Arial"/>
                <w:sz w:val="5"/>
                <w:szCs w:val="5"/>
                <w:color w:val="auto"/>
                <w:w w:val="70"/>
              </w:rPr>
              <w:t>2</w:t>
            </w:r>
          </w:p>
        </w:tc>
        <w:tc>
          <w:tcPr>
            <w:tcW w:w="680" w:type="dxa"/>
            <w:vAlign w:val="bottom"/>
            <w:shd w:val="clear" w:color="auto" w:fill="F1F3F9"/>
          </w:tcPr>
          <w:p>
            <w:pPr>
              <w:jc w:val="right"/>
              <w:ind w:right="77"/>
              <w:spacing w:after="0" w:line="79" w:lineRule="exact"/>
              <w:rPr>
                <w:sz w:val="20"/>
                <w:szCs w:val="20"/>
                <w:color w:val="auto"/>
              </w:rPr>
            </w:pPr>
            <w:r>
              <w:rPr>
                <w:rFonts w:ascii="Arial" w:cs="Arial" w:eastAsia="Arial" w:hAnsi="Arial"/>
                <w:sz w:val="7"/>
                <w:szCs w:val="7"/>
                <w:color w:val="auto"/>
              </w:rPr>
              <w:t>3</w:t>
            </w:r>
          </w:p>
        </w:tc>
        <w:tc>
          <w:tcPr>
            <w:tcW w:w="500" w:type="dxa"/>
            <w:vAlign w:val="bottom"/>
            <w:vMerge w:val="restart"/>
            <w:shd w:val="clear" w:color="auto" w:fill="F1F3F9"/>
          </w:tcPr>
          <w:p>
            <w:pPr>
              <w:jc w:val="center"/>
              <w:spacing w:after="0"/>
              <w:rPr>
                <w:sz w:val="20"/>
                <w:szCs w:val="20"/>
                <w:color w:val="auto"/>
              </w:rPr>
            </w:pPr>
            <w:r>
              <w:rPr>
                <w:rFonts w:ascii="Arial" w:cs="Arial" w:eastAsia="Arial" w:hAnsi="Arial"/>
                <w:sz w:val="10"/>
                <w:szCs w:val="10"/>
                <w:color w:val="auto"/>
                <w:w w:val="79"/>
              </w:rPr>
              <w:t>—</w:t>
            </w:r>
          </w:p>
        </w:tc>
        <w:tc>
          <w:tcPr>
            <w:tcW w:w="560" w:type="dxa"/>
            <w:vAlign w:val="bottom"/>
            <w:vMerge w:val="restart"/>
            <w:shd w:val="clear" w:color="auto" w:fill="F1F3F9"/>
          </w:tcPr>
          <w:p>
            <w:pPr>
              <w:ind w:left="320"/>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F1F3F9"/>
          </w:tcPr>
          <w:p>
            <w:pPr>
              <w:ind w:left="340"/>
              <w:spacing w:after="0"/>
              <w:rPr>
                <w:sz w:val="20"/>
                <w:szCs w:val="20"/>
                <w:color w:val="auto"/>
              </w:rPr>
            </w:pPr>
            <w:r>
              <w:rPr>
                <w:rFonts w:ascii="Arial" w:cs="Arial" w:eastAsia="Arial" w:hAnsi="Arial"/>
                <w:sz w:val="10"/>
                <w:szCs w:val="10"/>
                <w:color w:val="auto"/>
                <w:w w:val="79"/>
              </w:rPr>
              <w:t>—</w:t>
            </w:r>
          </w:p>
        </w:tc>
        <w:tc>
          <w:tcPr>
            <w:tcW w:w="320" w:type="dxa"/>
            <w:vAlign w:val="bottom"/>
            <w:shd w:val="clear" w:color="auto" w:fill="F1F3F9"/>
          </w:tcPr>
          <w:p>
            <w:pPr>
              <w:jc w:val="right"/>
              <w:ind w:right="256"/>
              <w:spacing w:after="0"/>
              <w:rPr>
                <w:sz w:val="20"/>
                <w:szCs w:val="20"/>
                <w:color w:val="auto"/>
              </w:rPr>
            </w:pPr>
            <w:r>
              <w:rPr>
                <w:rFonts w:ascii="Arial" w:cs="Arial" w:eastAsia="Arial" w:hAnsi="Arial"/>
                <w:sz w:val="5"/>
                <w:szCs w:val="5"/>
                <w:color w:val="auto"/>
                <w:w w:val="70"/>
              </w:rPr>
              <w:t>5</w:t>
            </w:r>
          </w:p>
        </w:tc>
        <w:tc>
          <w:tcPr>
            <w:tcW w:w="520" w:type="dxa"/>
            <w:vAlign w:val="bottom"/>
            <w:vMerge w:val="restart"/>
            <w:shd w:val="clear" w:color="auto" w:fill="F1F3F9"/>
          </w:tcPr>
          <w:p>
            <w:pPr>
              <w:jc w:val="center"/>
              <w:spacing w:after="0"/>
              <w:rPr>
                <w:sz w:val="20"/>
                <w:szCs w:val="20"/>
                <w:color w:val="auto"/>
              </w:rPr>
            </w:pPr>
            <w:r>
              <w:rPr>
                <w:rFonts w:ascii="Arial" w:cs="Arial" w:eastAsia="Arial" w:hAnsi="Arial"/>
                <w:sz w:val="10"/>
                <w:szCs w:val="10"/>
                <w:color w:val="auto"/>
                <w:w w:val="79"/>
              </w:rPr>
              <w:t>—</w:t>
            </w:r>
          </w:p>
        </w:tc>
        <w:tc>
          <w:tcPr>
            <w:tcW w:w="520" w:type="dxa"/>
            <w:vAlign w:val="bottom"/>
            <w:vMerge w:val="restart"/>
            <w:shd w:val="clear" w:color="auto" w:fill="F1F3F9"/>
          </w:tcPr>
          <w:p>
            <w:pPr>
              <w:jc w:val="right"/>
              <w:spacing w:after="0"/>
              <w:rPr>
                <w:sz w:val="20"/>
                <w:szCs w:val="20"/>
                <w:color w:val="auto"/>
              </w:rPr>
            </w:pPr>
            <w:r>
              <w:rPr>
                <w:rFonts w:ascii="Arial" w:cs="Arial" w:eastAsia="Arial" w:hAnsi="Arial"/>
                <w:sz w:val="10"/>
                <w:szCs w:val="10"/>
                <w:color w:val="auto"/>
                <w:w w:val="99"/>
              </w:rPr>
              <w:t>11,362,428</w:t>
            </w:r>
          </w:p>
        </w:tc>
        <w:tc>
          <w:tcPr>
            <w:tcW w:w="0" w:type="dxa"/>
            <w:vAlign w:val="bottom"/>
          </w:tcPr>
          <w:p>
            <w:pPr>
              <w:spacing w:after="0"/>
              <w:rPr>
                <w:sz w:val="1"/>
                <w:szCs w:val="1"/>
                <w:color w:val="auto"/>
              </w:rPr>
            </w:pPr>
          </w:p>
        </w:tc>
      </w:tr>
      <w:tr>
        <w:trPr>
          <w:trHeight w:val="54"/>
        </w:trPr>
        <w:tc>
          <w:tcPr>
            <w:tcW w:w="4820" w:type="dxa"/>
            <w:vAlign w:val="bottom"/>
            <w:tcBorders>
              <w:bottom w:val="single" w:sz="8" w:color="auto"/>
            </w:tcBorders>
            <w:shd w:val="clear" w:color="auto" w:fill="F1F3F9"/>
          </w:tcPr>
          <w:p>
            <w:pPr>
              <w:spacing w:after="0"/>
              <w:rPr>
                <w:sz w:val="4"/>
                <w:szCs w:val="4"/>
                <w:color w:val="auto"/>
              </w:rPr>
            </w:pPr>
          </w:p>
        </w:tc>
        <w:tc>
          <w:tcPr>
            <w:tcW w:w="2900" w:type="dxa"/>
            <w:vAlign w:val="bottom"/>
            <w:tcBorders>
              <w:bottom w:val="single" w:sz="8" w:color="auto"/>
            </w:tcBorders>
            <w:vMerge w:val="continue"/>
            <w:shd w:val="clear" w:color="auto" w:fill="F1F3F9"/>
          </w:tcPr>
          <w:p>
            <w:pPr>
              <w:spacing w:after="0"/>
              <w:rPr>
                <w:sz w:val="4"/>
                <w:szCs w:val="4"/>
                <w:color w:val="auto"/>
              </w:rPr>
            </w:pPr>
          </w:p>
        </w:tc>
        <w:tc>
          <w:tcPr>
            <w:tcW w:w="80" w:type="dxa"/>
            <w:vAlign w:val="bottom"/>
            <w:tcBorders>
              <w:bottom w:val="single" w:sz="8" w:color="auto"/>
            </w:tcBorders>
            <w:shd w:val="clear" w:color="auto" w:fill="F1F3F9"/>
          </w:tcPr>
          <w:p>
            <w:pPr>
              <w:spacing w:after="0"/>
              <w:rPr>
                <w:sz w:val="4"/>
                <w:szCs w:val="4"/>
                <w:color w:val="auto"/>
              </w:rPr>
            </w:pPr>
          </w:p>
        </w:tc>
        <w:tc>
          <w:tcPr>
            <w:tcW w:w="680" w:type="dxa"/>
            <w:vAlign w:val="bottom"/>
            <w:tcBorders>
              <w:bottom w:val="single" w:sz="8" w:color="auto"/>
            </w:tcBorders>
            <w:shd w:val="clear" w:color="auto" w:fill="F1F3F9"/>
          </w:tcPr>
          <w:p>
            <w:pPr>
              <w:jc w:val="right"/>
              <w:ind w:right="117"/>
              <w:spacing w:after="0" w:line="54" w:lineRule="exact"/>
              <w:rPr>
                <w:sz w:val="20"/>
                <w:szCs w:val="20"/>
                <w:color w:val="auto"/>
              </w:rPr>
            </w:pPr>
            <w:r>
              <w:rPr>
                <w:rFonts w:ascii="Arial" w:cs="Arial" w:eastAsia="Arial" w:hAnsi="Arial"/>
                <w:sz w:val="6"/>
                <w:szCs w:val="6"/>
                <w:color w:val="auto"/>
              </w:rPr>
              <w:t>247,928</w:t>
            </w:r>
          </w:p>
        </w:tc>
        <w:tc>
          <w:tcPr>
            <w:tcW w:w="500" w:type="dxa"/>
            <w:vAlign w:val="bottom"/>
            <w:tcBorders>
              <w:bottom w:val="single" w:sz="8" w:color="auto"/>
            </w:tcBorders>
            <w:vMerge w:val="continue"/>
            <w:shd w:val="clear" w:color="auto" w:fill="F1F3F9"/>
          </w:tcPr>
          <w:p>
            <w:pPr>
              <w:spacing w:after="0"/>
              <w:rPr>
                <w:sz w:val="4"/>
                <w:szCs w:val="4"/>
                <w:color w:val="auto"/>
              </w:rPr>
            </w:pPr>
          </w:p>
        </w:tc>
        <w:tc>
          <w:tcPr>
            <w:tcW w:w="560" w:type="dxa"/>
            <w:vAlign w:val="bottom"/>
            <w:tcBorders>
              <w:bottom w:val="single" w:sz="8" w:color="auto"/>
            </w:tcBorders>
            <w:vMerge w:val="continue"/>
            <w:shd w:val="clear" w:color="auto" w:fill="F1F3F9"/>
          </w:tcPr>
          <w:p>
            <w:pPr>
              <w:spacing w:after="0"/>
              <w:rPr>
                <w:sz w:val="4"/>
                <w:szCs w:val="4"/>
                <w:color w:val="auto"/>
              </w:rPr>
            </w:pPr>
          </w:p>
        </w:tc>
        <w:tc>
          <w:tcPr>
            <w:tcW w:w="440" w:type="dxa"/>
            <w:vAlign w:val="bottom"/>
            <w:tcBorders>
              <w:bottom w:val="single" w:sz="8" w:color="auto"/>
            </w:tcBorders>
            <w:vMerge w:val="continue"/>
            <w:shd w:val="clear" w:color="auto" w:fill="F1F3F9"/>
          </w:tcPr>
          <w:p>
            <w:pPr>
              <w:spacing w:after="0"/>
              <w:rPr>
                <w:sz w:val="4"/>
                <w:szCs w:val="4"/>
                <w:color w:val="auto"/>
              </w:rPr>
            </w:pPr>
          </w:p>
        </w:tc>
        <w:tc>
          <w:tcPr>
            <w:tcW w:w="320" w:type="dxa"/>
            <w:vAlign w:val="bottom"/>
            <w:tcBorders>
              <w:bottom w:val="single" w:sz="8" w:color="auto"/>
            </w:tcBorders>
            <w:shd w:val="clear" w:color="auto" w:fill="F1F3F9"/>
          </w:tcPr>
          <w:p>
            <w:pPr>
              <w:spacing w:after="0"/>
              <w:rPr>
                <w:sz w:val="4"/>
                <w:szCs w:val="4"/>
                <w:color w:val="auto"/>
              </w:rPr>
            </w:pPr>
          </w:p>
        </w:tc>
        <w:tc>
          <w:tcPr>
            <w:tcW w:w="520" w:type="dxa"/>
            <w:vAlign w:val="bottom"/>
            <w:tcBorders>
              <w:bottom w:val="single" w:sz="8" w:color="auto"/>
            </w:tcBorders>
            <w:vMerge w:val="continue"/>
            <w:shd w:val="clear" w:color="auto" w:fill="F1F3F9"/>
          </w:tcPr>
          <w:p>
            <w:pPr>
              <w:spacing w:after="0"/>
              <w:rPr>
                <w:sz w:val="4"/>
                <w:szCs w:val="4"/>
                <w:color w:val="auto"/>
              </w:rPr>
            </w:pPr>
          </w:p>
        </w:tc>
        <w:tc>
          <w:tcPr>
            <w:tcW w:w="520" w:type="dxa"/>
            <w:vAlign w:val="bottom"/>
            <w:tcBorders>
              <w:bottom w:val="single" w:sz="8" w:color="auto"/>
            </w:tcBorders>
            <w:vMerge w:val="continue"/>
            <w:shd w:val="clear" w:color="auto" w:fill="F1F3F9"/>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Involuntary Termination</w:t>
            </w:r>
          </w:p>
        </w:tc>
        <w:tc>
          <w:tcPr>
            <w:tcW w:w="2980" w:type="dxa"/>
            <w:vAlign w:val="bottom"/>
            <w:tcBorders>
              <w:bottom w:val="single" w:sz="8" w:color="auto"/>
            </w:tcBorders>
            <w:gridSpan w:val="2"/>
            <w:shd w:val="clear" w:color="auto" w:fill="D6DAEE"/>
          </w:tcPr>
          <w:p>
            <w:pPr>
              <w:jc w:val="right"/>
              <w:ind w:right="16"/>
              <w:spacing w:after="0" w:line="115" w:lineRule="exact"/>
              <w:rPr>
                <w:sz w:val="20"/>
                <w:szCs w:val="20"/>
                <w:color w:val="auto"/>
              </w:rPr>
            </w:pPr>
            <w:r>
              <w:rPr>
                <w:rFonts w:ascii="Arial" w:cs="Arial" w:eastAsia="Arial" w:hAnsi="Arial"/>
                <w:sz w:val="9"/>
                <w:szCs w:val="9"/>
                <w:color w:val="auto"/>
              </w:rPr>
              <w:t>4,631,042</w:t>
            </w:r>
            <w:r>
              <w:rPr>
                <w:rFonts w:ascii="Arial" w:cs="Arial" w:eastAsia="Arial" w:hAnsi="Arial"/>
                <w:sz w:val="13"/>
                <w:szCs w:val="13"/>
                <w:color w:val="auto"/>
                <w:vertAlign w:val="superscript"/>
              </w:rPr>
              <w:t>7</w:t>
            </w:r>
          </w:p>
        </w:tc>
        <w:tc>
          <w:tcPr>
            <w:tcW w:w="680" w:type="dxa"/>
            <w:vAlign w:val="bottom"/>
            <w:tcBorders>
              <w:bottom w:val="single" w:sz="8" w:color="auto"/>
            </w:tcBorders>
            <w:shd w:val="clear" w:color="auto" w:fill="D6DAEE"/>
          </w:tcPr>
          <w:p>
            <w:pPr>
              <w:jc w:val="right"/>
              <w:ind w:right="77"/>
              <w:spacing w:after="0" w:line="115" w:lineRule="exact"/>
              <w:rPr>
                <w:sz w:val="20"/>
                <w:szCs w:val="20"/>
                <w:color w:val="auto"/>
              </w:rPr>
            </w:pPr>
            <w:r>
              <w:rPr>
                <w:rFonts w:ascii="Arial" w:cs="Arial" w:eastAsia="Arial" w:hAnsi="Arial"/>
                <w:sz w:val="9"/>
                <w:szCs w:val="9"/>
                <w:color w:val="auto"/>
              </w:rPr>
              <w:t>119,864</w:t>
            </w:r>
            <w:r>
              <w:rPr>
                <w:rFonts w:ascii="Arial" w:cs="Arial" w:eastAsia="Arial" w:hAnsi="Arial"/>
                <w:sz w:val="13"/>
                <w:szCs w:val="13"/>
                <w:color w:val="auto"/>
                <w:vertAlign w:val="superscript"/>
              </w:rPr>
              <w:t>8</w:t>
            </w:r>
          </w:p>
        </w:tc>
        <w:tc>
          <w:tcPr>
            <w:tcW w:w="50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auto"/>
            </w:tcBorders>
            <w:shd w:val="clear" w:color="auto" w:fill="D6DAEE"/>
          </w:tcPr>
          <w:p>
            <w:pPr>
              <w:ind w:left="3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auto"/>
            </w:tcBorders>
            <w:shd w:val="clear" w:color="auto" w:fill="D6DAEE"/>
          </w:tcPr>
          <w:p>
            <w:pPr>
              <w:ind w:left="340"/>
              <w:spacing w:after="0"/>
              <w:rPr>
                <w:sz w:val="20"/>
                <w:szCs w:val="20"/>
                <w:color w:val="auto"/>
              </w:rPr>
            </w:pPr>
            <w:r>
              <w:rPr>
                <w:rFonts w:ascii="Arial" w:cs="Arial" w:eastAsia="Arial" w:hAnsi="Arial"/>
                <w:sz w:val="10"/>
                <w:szCs w:val="10"/>
                <w:color w:val="auto"/>
                <w:w w:val="79"/>
              </w:rPr>
              <w:t>—</w:t>
            </w:r>
          </w:p>
        </w:tc>
        <w:tc>
          <w:tcPr>
            <w:tcW w:w="320" w:type="dxa"/>
            <w:vAlign w:val="bottom"/>
            <w:tcBorders>
              <w:bottom w:val="single" w:sz="8" w:color="auto"/>
            </w:tcBorders>
            <w:shd w:val="clear" w:color="auto" w:fill="D6DAEE"/>
          </w:tcPr>
          <w:p>
            <w:pPr>
              <w:spacing w:after="0"/>
              <w:rPr>
                <w:sz w:val="10"/>
                <w:szCs w:val="10"/>
                <w:color w:val="auto"/>
              </w:rPr>
            </w:pPr>
          </w:p>
        </w:tc>
        <w:tc>
          <w:tcPr>
            <w:tcW w:w="520" w:type="dxa"/>
            <w:vAlign w:val="bottom"/>
            <w:tcBorders>
              <w:bottom w:val="single" w:sz="8" w:color="auto"/>
            </w:tcBorders>
            <w:shd w:val="clear" w:color="auto" w:fill="D6DAEE"/>
          </w:tcPr>
          <w:p>
            <w:pPr>
              <w:jc w:val="center"/>
              <w:spacing w:after="0"/>
              <w:rPr>
                <w:sz w:val="20"/>
                <w:szCs w:val="20"/>
                <w:color w:val="auto"/>
              </w:rPr>
            </w:pPr>
            <w:r>
              <w:rPr>
                <w:rFonts w:ascii="Arial" w:cs="Arial" w:eastAsia="Arial" w:hAnsi="Arial"/>
                <w:sz w:val="10"/>
                <w:szCs w:val="10"/>
                <w:color w:val="auto"/>
                <w:w w:val="79"/>
              </w:rPr>
              <w:t>—</w:t>
            </w:r>
          </w:p>
        </w:tc>
        <w:tc>
          <w:tcPr>
            <w:tcW w:w="520" w:type="dxa"/>
            <w:vAlign w:val="bottom"/>
            <w:tcBorders>
              <w:bottom w:val="single" w:sz="8" w:color="auto"/>
            </w:tcBorders>
            <w:shd w:val="clear" w:color="auto" w:fill="D6DAEE"/>
          </w:tcPr>
          <w:p>
            <w:pPr>
              <w:jc w:val="right"/>
              <w:spacing w:after="0"/>
              <w:rPr>
                <w:sz w:val="20"/>
                <w:szCs w:val="20"/>
                <w:color w:val="auto"/>
              </w:rPr>
            </w:pPr>
            <w:r>
              <w:rPr>
                <w:rFonts w:ascii="Arial" w:cs="Arial" w:eastAsia="Arial" w:hAnsi="Arial"/>
                <w:sz w:val="10"/>
                <w:szCs w:val="10"/>
                <w:color w:val="auto"/>
              </w:rPr>
              <w:t>4,750,906</w:t>
            </w: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shd w:val="clear" w:color="auto" w:fill="F1F3F9"/>
          </w:tcPr>
          <w:p>
            <w:pPr>
              <w:ind w:left="60"/>
              <w:spacing w:after="0"/>
              <w:rPr>
                <w:sz w:val="20"/>
                <w:szCs w:val="20"/>
                <w:color w:val="auto"/>
              </w:rPr>
            </w:pPr>
            <w:r>
              <w:rPr>
                <w:rFonts w:ascii="Arial" w:cs="Arial" w:eastAsia="Arial" w:hAnsi="Arial"/>
                <w:sz w:val="10"/>
                <w:szCs w:val="10"/>
                <w:color w:val="auto"/>
              </w:rPr>
              <w:t>Death</w:t>
            </w:r>
          </w:p>
        </w:tc>
        <w:tc>
          <w:tcPr>
            <w:tcW w:w="290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shd w:val="clear" w:color="auto" w:fill="F1F3F9"/>
          </w:tcPr>
          <w:p>
            <w:pPr>
              <w:spacing w:after="0"/>
              <w:rPr>
                <w:sz w:val="10"/>
                <w:szCs w:val="10"/>
                <w:color w:val="auto"/>
              </w:rPr>
            </w:pPr>
          </w:p>
        </w:tc>
        <w:tc>
          <w:tcPr>
            <w:tcW w:w="680" w:type="dxa"/>
            <w:vAlign w:val="bottom"/>
            <w:tcBorders>
              <w:bottom w:val="single" w:sz="8" w:color="auto"/>
            </w:tcBorders>
            <w:shd w:val="clear" w:color="auto" w:fill="F1F3F9"/>
          </w:tcPr>
          <w:p>
            <w:pPr>
              <w:jc w:val="right"/>
              <w:ind w:right="77"/>
              <w:spacing w:after="0" w:line="115" w:lineRule="exact"/>
              <w:rPr>
                <w:sz w:val="20"/>
                <w:szCs w:val="20"/>
                <w:color w:val="auto"/>
              </w:rPr>
            </w:pPr>
            <w:r>
              <w:rPr>
                <w:rFonts w:ascii="Arial" w:cs="Arial" w:eastAsia="Arial" w:hAnsi="Arial"/>
                <w:sz w:val="9"/>
                <w:szCs w:val="9"/>
                <w:color w:val="auto"/>
              </w:rPr>
              <w:t>88,778</w:t>
            </w:r>
            <w:r>
              <w:rPr>
                <w:rFonts w:ascii="Arial" w:cs="Arial" w:eastAsia="Arial" w:hAnsi="Arial"/>
                <w:sz w:val="13"/>
                <w:szCs w:val="13"/>
                <w:color w:val="auto"/>
                <w:vertAlign w:val="superscript"/>
              </w:rPr>
              <w:t>8</w:t>
            </w:r>
          </w:p>
        </w:tc>
        <w:tc>
          <w:tcPr>
            <w:tcW w:w="50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auto"/>
            </w:tcBorders>
            <w:shd w:val="clear" w:color="auto" w:fill="F1F3F9"/>
          </w:tcPr>
          <w:p>
            <w:pPr>
              <w:ind w:left="3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gridSpan w:val="2"/>
            <w:shd w:val="clear" w:color="auto" w:fill="F1F3F9"/>
          </w:tcPr>
          <w:p>
            <w:pPr>
              <w:ind w:left="340"/>
              <w:spacing w:after="0" w:line="115" w:lineRule="exact"/>
              <w:rPr>
                <w:sz w:val="20"/>
                <w:szCs w:val="20"/>
                <w:color w:val="auto"/>
              </w:rPr>
            </w:pPr>
            <w:r>
              <w:rPr>
                <w:rFonts w:ascii="Arial" w:cs="Arial" w:eastAsia="Arial" w:hAnsi="Arial"/>
                <w:sz w:val="9"/>
                <w:szCs w:val="9"/>
                <w:color w:val="auto"/>
              </w:rPr>
              <w:t>—</w:t>
            </w:r>
            <w:r>
              <w:rPr>
                <w:rFonts w:ascii="Arial" w:cs="Arial" w:eastAsia="Arial" w:hAnsi="Arial"/>
                <w:sz w:val="13"/>
                <w:szCs w:val="13"/>
                <w:color w:val="auto"/>
                <w:vertAlign w:val="superscript"/>
              </w:rPr>
              <w:t>9</w:t>
            </w:r>
          </w:p>
        </w:tc>
        <w:tc>
          <w:tcPr>
            <w:tcW w:w="520" w:type="dxa"/>
            <w:vAlign w:val="bottom"/>
            <w:tcBorders>
              <w:bottom w:val="single" w:sz="8" w:color="auto"/>
            </w:tcBorders>
            <w:shd w:val="clear" w:color="auto" w:fill="F1F3F9"/>
          </w:tcPr>
          <w:p>
            <w:pPr>
              <w:jc w:val="center"/>
              <w:spacing w:after="0"/>
              <w:rPr>
                <w:sz w:val="20"/>
                <w:szCs w:val="20"/>
                <w:color w:val="auto"/>
              </w:rPr>
            </w:pPr>
            <w:r>
              <w:rPr>
                <w:rFonts w:ascii="Arial" w:cs="Arial" w:eastAsia="Arial" w:hAnsi="Arial"/>
                <w:sz w:val="10"/>
                <w:szCs w:val="10"/>
                <w:color w:val="auto"/>
                <w:w w:val="79"/>
              </w:rPr>
              <w:t>—</w:t>
            </w:r>
          </w:p>
        </w:tc>
        <w:tc>
          <w:tcPr>
            <w:tcW w:w="520" w:type="dxa"/>
            <w:vAlign w:val="bottom"/>
            <w:tcBorders>
              <w:bottom w:val="single" w:sz="8" w:color="auto"/>
            </w:tcBorders>
            <w:shd w:val="clear" w:color="auto" w:fill="F1F3F9"/>
          </w:tcPr>
          <w:p>
            <w:pPr>
              <w:jc w:val="right"/>
              <w:spacing w:after="0"/>
              <w:rPr>
                <w:sz w:val="20"/>
                <w:szCs w:val="20"/>
                <w:color w:val="auto"/>
              </w:rPr>
            </w:pPr>
            <w:r>
              <w:rPr>
                <w:rFonts w:ascii="Arial" w:cs="Arial" w:eastAsia="Arial" w:hAnsi="Arial"/>
                <w:sz w:val="10"/>
                <w:szCs w:val="10"/>
                <w:color w:val="auto"/>
              </w:rPr>
              <w:t>88,778</w:t>
            </w:r>
          </w:p>
        </w:tc>
        <w:tc>
          <w:tcPr>
            <w:tcW w:w="0" w:type="dxa"/>
            <w:vAlign w:val="bottom"/>
          </w:tcPr>
          <w:p>
            <w:pPr>
              <w:spacing w:after="0"/>
              <w:rPr>
                <w:sz w:val="1"/>
                <w:szCs w:val="1"/>
                <w:color w:val="auto"/>
              </w:rPr>
            </w:pPr>
          </w:p>
        </w:tc>
      </w:tr>
      <w:tr>
        <w:trPr>
          <w:trHeight w:val="104"/>
        </w:trPr>
        <w:tc>
          <w:tcPr>
            <w:tcW w:w="4820" w:type="dxa"/>
            <w:vAlign w:val="bottom"/>
          </w:tcPr>
          <w:p>
            <w:pPr>
              <w:ind w:left="60"/>
              <w:spacing w:after="0" w:line="104" w:lineRule="exact"/>
              <w:rPr>
                <w:sz w:val="20"/>
                <w:szCs w:val="20"/>
                <w:color w:val="auto"/>
              </w:rPr>
            </w:pPr>
            <w:r>
              <w:rPr>
                <w:rFonts w:ascii="Arial" w:cs="Arial" w:eastAsia="Arial" w:hAnsi="Arial"/>
                <w:sz w:val="10"/>
                <w:szCs w:val="10"/>
                <w:color w:val="auto"/>
              </w:rPr>
              <w:t>Disability</w:t>
            </w:r>
          </w:p>
        </w:tc>
        <w:tc>
          <w:tcPr>
            <w:tcW w:w="29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80" w:type="dxa"/>
            <w:vAlign w:val="bottom"/>
          </w:tcPr>
          <w:p>
            <w:pPr>
              <w:jc w:val="right"/>
              <w:ind w:right="77"/>
              <w:spacing w:after="0" w:line="104" w:lineRule="exact"/>
              <w:rPr>
                <w:sz w:val="20"/>
                <w:szCs w:val="20"/>
                <w:color w:val="auto"/>
              </w:rPr>
            </w:pPr>
            <w:r>
              <w:rPr>
                <w:rFonts w:ascii="Arial" w:cs="Arial" w:eastAsia="Arial" w:hAnsi="Arial"/>
                <w:sz w:val="8"/>
                <w:szCs w:val="8"/>
                <w:color w:val="auto"/>
              </w:rPr>
              <w:t>119,864</w:t>
            </w:r>
            <w:r>
              <w:rPr>
                <w:rFonts w:ascii="Arial" w:cs="Arial" w:eastAsia="Arial" w:hAnsi="Arial"/>
                <w:sz w:val="12"/>
                <w:szCs w:val="12"/>
                <w:color w:val="auto"/>
                <w:vertAlign w:val="superscript"/>
              </w:rPr>
              <w:t>8</w:t>
            </w:r>
          </w:p>
        </w:tc>
        <w:tc>
          <w:tcPr>
            <w:tcW w:w="500" w:type="dxa"/>
            <w:vAlign w:val="bottom"/>
          </w:tcPr>
          <w:p>
            <w:pPr>
              <w:jc w:val="center"/>
              <w:spacing w:after="0" w:line="104" w:lineRule="exact"/>
              <w:rPr>
                <w:sz w:val="20"/>
                <w:szCs w:val="20"/>
                <w:color w:val="auto"/>
              </w:rPr>
            </w:pPr>
            <w:r>
              <w:rPr>
                <w:rFonts w:ascii="Arial" w:cs="Arial" w:eastAsia="Arial" w:hAnsi="Arial"/>
                <w:sz w:val="10"/>
                <w:szCs w:val="10"/>
                <w:color w:val="auto"/>
                <w:w w:val="79"/>
              </w:rPr>
              <w:t>—</w:t>
            </w:r>
          </w:p>
        </w:tc>
        <w:tc>
          <w:tcPr>
            <w:tcW w:w="560" w:type="dxa"/>
            <w:vAlign w:val="bottom"/>
          </w:tcPr>
          <w:p>
            <w:pPr>
              <w:jc w:val="right"/>
              <w:ind w:right="13"/>
              <w:spacing w:after="0" w:line="104" w:lineRule="exact"/>
              <w:rPr>
                <w:sz w:val="20"/>
                <w:szCs w:val="20"/>
                <w:color w:val="auto"/>
              </w:rPr>
            </w:pPr>
            <w:r>
              <w:rPr>
                <w:rFonts w:ascii="Arial" w:cs="Arial" w:eastAsia="Arial" w:hAnsi="Arial"/>
                <w:sz w:val="8"/>
                <w:szCs w:val="8"/>
                <w:color w:val="auto"/>
              </w:rPr>
              <w:t>674,888</w:t>
            </w:r>
            <w:r>
              <w:rPr>
                <w:rFonts w:ascii="Arial" w:cs="Arial" w:eastAsia="Arial" w:hAnsi="Arial"/>
                <w:sz w:val="12"/>
                <w:szCs w:val="12"/>
                <w:color w:val="auto"/>
                <w:vertAlign w:val="superscript"/>
              </w:rPr>
              <w:t>10</w:t>
            </w:r>
          </w:p>
        </w:tc>
        <w:tc>
          <w:tcPr>
            <w:tcW w:w="440" w:type="dxa"/>
            <w:vAlign w:val="bottom"/>
          </w:tcPr>
          <w:p>
            <w:pPr>
              <w:ind w:left="340"/>
              <w:spacing w:after="0" w:line="104" w:lineRule="exact"/>
              <w:rPr>
                <w:sz w:val="20"/>
                <w:szCs w:val="20"/>
                <w:color w:val="auto"/>
              </w:rPr>
            </w:pPr>
            <w:r>
              <w:rPr>
                <w:rFonts w:ascii="Arial" w:cs="Arial" w:eastAsia="Arial" w:hAnsi="Arial"/>
                <w:sz w:val="10"/>
                <w:szCs w:val="10"/>
                <w:color w:val="auto"/>
                <w:w w:val="79"/>
              </w:rPr>
              <w:t>—</w:t>
            </w:r>
          </w:p>
        </w:tc>
        <w:tc>
          <w:tcPr>
            <w:tcW w:w="320" w:type="dxa"/>
            <w:vAlign w:val="bottom"/>
          </w:tcPr>
          <w:p>
            <w:pPr>
              <w:spacing w:after="0"/>
              <w:rPr>
                <w:sz w:val="9"/>
                <w:szCs w:val="9"/>
                <w:color w:val="auto"/>
              </w:rPr>
            </w:pPr>
          </w:p>
        </w:tc>
        <w:tc>
          <w:tcPr>
            <w:tcW w:w="520" w:type="dxa"/>
            <w:vAlign w:val="bottom"/>
          </w:tcPr>
          <w:p>
            <w:pPr>
              <w:jc w:val="center"/>
              <w:spacing w:after="0" w:line="104" w:lineRule="exact"/>
              <w:rPr>
                <w:sz w:val="20"/>
                <w:szCs w:val="20"/>
                <w:color w:val="auto"/>
              </w:rPr>
            </w:pPr>
            <w:r>
              <w:rPr>
                <w:rFonts w:ascii="Arial" w:cs="Arial" w:eastAsia="Arial" w:hAnsi="Arial"/>
                <w:sz w:val="10"/>
                <w:szCs w:val="10"/>
                <w:color w:val="auto"/>
                <w:w w:val="79"/>
              </w:rPr>
              <w:t>—</w:t>
            </w:r>
          </w:p>
        </w:tc>
        <w:tc>
          <w:tcPr>
            <w:tcW w:w="520" w:type="dxa"/>
            <w:vAlign w:val="bottom"/>
          </w:tcPr>
          <w:p>
            <w:pPr>
              <w:jc w:val="right"/>
              <w:spacing w:after="0" w:line="104" w:lineRule="exact"/>
              <w:rPr>
                <w:sz w:val="20"/>
                <w:szCs w:val="20"/>
                <w:color w:val="auto"/>
              </w:rPr>
            </w:pPr>
            <w:r>
              <w:rPr>
                <w:rFonts w:ascii="Arial" w:cs="Arial" w:eastAsia="Arial" w:hAnsi="Arial"/>
                <w:sz w:val="10"/>
                <w:szCs w:val="10"/>
                <w:color w:val="auto"/>
              </w:rPr>
              <w:t>794,752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200900" cy="857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00900" cy="85725"/>
                    </a:xfrm>
                    <a:prstGeom prst="rect">
                      <a:avLst/>
                    </a:prstGeom>
                    <a:noFill/>
                  </pic:spPr>
                </pic:pic>
              </a:graphicData>
            </a:graphic>
          </wp:anchor>
        </w:drawing>
      </w:r>
    </w:p>
    <w:p>
      <w:pPr>
        <w:spacing w:after="0" w:line="3" w:lineRule="exact"/>
        <w:rPr>
          <w:sz w:val="20"/>
          <w:szCs w:val="20"/>
          <w:color w:val="auto"/>
        </w:rPr>
      </w:pPr>
    </w:p>
    <w:p>
      <w:pPr>
        <w:ind w:left="208" w:hanging="208"/>
        <w:spacing w:after="0" w:line="225" w:lineRule="auto"/>
        <w:tabs>
          <w:tab w:leader="none" w:pos="208" w:val="left"/>
        </w:tabs>
        <w:numPr>
          <w:ilvl w:val="0"/>
          <w:numId w:val="86"/>
        </w:numPr>
        <w:rPr>
          <w:rFonts w:ascii="Arial" w:cs="Arial" w:eastAsia="Arial" w:hAnsi="Arial"/>
          <w:sz w:val="13"/>
          <w:szCs w:val="13"/>
          <w:color w:val="105BAB"/>
          <w:vertAlign w:val="superscript"/>
        </w:rPr>
      </w:pPr>
      <w:r>
        <w:rPr>
          <w:rFonts w:ascii="Arial" w:cs="Arial" w:eastAsia="Arial" w:hAnsi="Arial"/>
          <w:sz w:val="9"/>
          <w:szCs w:val="9"/>
          <w:color w:val="auto"/>
        </w:rPr>
        <w:t>For purposes of these calculations, (i) we used Dr. Schleifer's 2017 base salary and the annual cash incentives paid to Dr. Schleifer for performance in 2014, 2015, and 2016, respectively; (ii) we assumed that Dr. Schleifer received his annual cash incentive that was earned in 2017 and paid in 2018 (described in the Summary Compensation Table above);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 7% annual increase in medical premiums, 5% annual increase in dental premiums, and no increase in annual disability or life insurance premiums; (v) we assumed that the medical and dental insurance benefits received in 2018, 2019, and 2020 would be taxable and that Dr. Schleifer would be eligible for a tax</w:t>
      </w:r>
    </w:p>
    <w:tbl>
      <w:tblPr>
        <w:tblLayout w:type="fixed"/>
        <w:tblInd w:w="8" w:type="dxa"/>
        <w:tblCellMar>
          <w:top w:w="0" w:type="dxa"/>
          <w:left w:w="0" w:type="dxa"/>
          <w:bottom w:w="0" w:type="dxa"/>
          <w:right w:w="0" w:type="dxa"/>
        </w:tblCellMar>
      </w:tblPr>
      <w:tr>
        <w:trPr>
          <w:trHeight w:val="109"/>
        </w:trPr>
        <w:tc>
          <w:tcPr>
            <w:tcW w:w="140" w:type="dxa"/>
            <w:vAlign w:val="bottom"/>
          </w:tcPr>
          <w:p>
            <w:pPr>
              <w:spacing w:after="0"/>
              <w:rPr>
                <w:sz w:val="9"/>
                <w:szCs w:val="9"/>
                <w:color w:val="auto"/>
              </w:rPr>
            </w:pPr>
          </w:p>
        </w:tc>
        <w:tc>
          <w:tcPr>
            <w:tcW w:w="11240" w:type="dxa"/>
            <w:vAlign w:val="bottom"/>
          </w:tcPr>
          <w:p>
            <w:pPr>
              <w:ind w:left="60"/>
              <w:spacing w:after="0" w:line="109" w:lineRule="exact"/>
              <w:rPr>
                <w:sz w:val="20"/>
                <w:szCs w:val="20"/>
                <w:color w:val="auto"/>
              </w:rPr>
            </w:pPr>
            <w:r>
              <w:rPr>
                <w:rFonts w:ascii="Arial" w:cs="Arial" w:eastAsia="Arial" w:hAnsi="Arial"/>
                <w:sz w:val="10"/>
                <w:szCs w:val="10"/>
                <w:color w:val="auto"/>
                <w:w w:val="95"/>
              </w:rPr>
              <w:t>gross-up for these benefits under the terms of his employment agreement; (vi) although Dr. Schleifer's employment agreement provides for restrictive covenants, including a six-month non-compete obligation, no specific value has been ascribed to these covenants</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w w:val="96"/>
              </w:rPr>
              <w:t>solely for purposes of this calculation; and (vii) although certain payments to Dr. Schleifer would be subject to potential delays upon separation of service under Section 409A of the Internal Revenue Code, we did not attempt to determine which, if any, payments</w:t>
            </w:r>
          </w:p>
        </w:tc>
        <w:tc>
          <w:tcPr>
            <w:tcW w:w="0" w:type="dxa"/>
            <w:vAlign w:val="bottom"/>
          </w:tcPr>
          <w:p>
            <w:pPr>
              <w:spacing w:after="0"/>
              <w:rPr>
                <w:sz w:val="1"/>
                <w:szCs w:val="1"/>
                <w:color w:val="auto"/>
              </w:rPr>
            </w:pPr>
          </w:p>
        </w:tc>
      </w:tr>
      <w:tr>
        <w:trPr>
          <w:trHeight w:val="108"/>
        </w:trPr>
        <w:tc>
          <w:tcPr>
            <w:tcW w:w="140" w:type="dxa"/>
            <w:vAlign w:val="bottom"/>
            <w:vMerge w:val="restart"/>
          </w:tcPr>
          <w:p>
            <w:pPr>
              <w:spacing w:after="0"/>
              <w:rPr>
                <w:sz w:val="20"/>
                <w:szCs w:val="20"/>
                <w:color w:val="auto"/>
              </w:rPr>
            </w:pPr>
            <w:r>
              <w:rPr>
                <w:rFonts w:ascii="Arial" w:cs="Arial" w:eastAsia="Arial" w:hAnsi="Arial"/>
                <w:sz w:val="7"/>
                <w:szCs w:val="7"/>
                <w:color w:val="105BAB"/>
              </w:rPr>
              <w:t>2</w:t>
            </w: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rPr>
              <w:t>would be delayed.</w:t>
            </w: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w w:val="96"/>
              </w:rPr>
              <w:t>Equal to three times the sum of (a) Dr. Schleifer's 2017 base salary and (b) the average annual cash incentive paid to Dr. Schleifer for performance in the three completed years prior to the termination date. For purposes of this calculation, we used Dr. Schleifer's</w:t>
            </w:r>
          </w:p>
        </w:tc>
        <w:tc>
          <w:tcPr>
            <w:tcW w:w="0" w:type="dxa"/>
            <w:vAlign w:val="bottom"/>
          </w:tcPr>
          <w:p>
            <w:pPr>
              <w:spacing w:after="0"/>
              <w:rPr>
                <w:sz w:val="1"/>
                <w:szCs w:val="1"/>
                <w:color w:val="auto"/>
              </w:rPr>
            </w:pPr>
          </w:p>
        </w:tc>
      </w:tr>
      <w:tr>
        <w:trPr>
          <w:trHeight w:val="46"/>
        </w:trPr>
        <w:tc>
          <w:tcPr>
            <w:tcW w:w="140" w:type="dxa"/>
            <w:vAlign w:val="bottom"/>
          </w:tcPr>
          <w:p>
            <w:pPr>
              <w:spacing w:after="0"/>
              <w:rPr>
                <w:sz w:val="4"/>
                <w:szCs w:val="4"/>
                <w:color w:val="auto"/>
              </w:rPr>
            </w:pP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 w:type="dxa"/>
            <w:vAlign w:val="bottom"/>
            <w:vMerge w:val="restart"/>
          </w:tcPr>
          <w:p>
            <w:pPr>
              <w:spacing w:after="0"/>
              <w:rPr>
                <w:sz w:val="20"/>
                <w:szCs w:val="20"/>
                <w:color w:val="auto"/>
              </w:rPr>
            </w:pPr>
            <w:r>
              <w:rPr>
                <w:rFonts w:ascii="Arial" w:cs="Arial" w:eastAsia="Arial" w:hAnsi="Arial"/>
                <w:sz w:val="7"/>
                <w:szCs w:val="7"/>
                <w:color w:val="105BAB"/>
              </w:rPr>
              <w:t>3</w:t>
            </w: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rPr>
              <w:t>annual cash incentives for performance in 2014, 2015, and 2016.</w:t>
            </w: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rPr>
              <w:t>Equal to the estimated cost of providing Dr. Schleifer and his dependents medical, dental, and life insurance benefits for thirty-six months.</w:t>
            </w:r>
          </w:p>
        </w:tc>
        <w:tc>
          <w:tcPr>
            <w:tcW w:w="0" w:type="dxa"/>
            <w:vAlign w:val="bottom"/>
          </w:tcPr>
          <w:p>
            <w:pPr>
              <w:spacing w:after="0"/>
              <w:rPr>
                <w:sz w:val="1"/>
                <w:szCs w:val="1"/>
                <w:color w:val="auto"/>
              </w:rPr>
            </w:pPr>
          </w:p>
        </w:tc>
      </w:tr>
      <w:tr>
        <w:trPr>
          <w:trHeight w:val="46"/>
        </w:trPr>
        <w:tc>
          <w:tcPr>
            <w:tcW w:w="140" w:type="dxa"/>
            <w:vAlign w:val="bottom"/>
            <w:vMerge w:val="restart"/>
          </w:tcPr>
          <w:p>
            <w:pPr>
              <w:spacing w:after="0"/>
              <w:rPr>
                <w:sz w:val="20"/>
                <w:szCs w:val="20"/>
                <w:color w:val="auto"/>
              </w:rPr>
            </w:pPr>
            <w:r>
              <w:rPr>
                <w:rFonts w:ascii="Arial" w:cs="Arial" w:eastAsia="Arial" w:hAnsi="Arial"/>
                <w:sz w:val="7"/>
                <w:szCs w:val="7"/>
                <w:color w:val="105BAB"/>
              </w:rPr>
              <w:t>4</w:t>
            </w: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rPr>
              <w:t>We maintain $1 million of term life insurance covering Dr. Schleifer payable to his designated beneficiary.</w:t>
            </w:r>
          </w:p>
        </w:tc>
        <w:tc>
          <w:tcPr>
            <w:tcW w:w="0" w:type="dxa"/>
            <w:vAlign w:val="bottom"/>
          </w:tcPr>
          <w:p>
            <w:pPr>
              <w:spacing w:after="0"/>
              <w:rPr>
                <w:sz w:val="1"/>
                <w:szCs w:val="1"/>
                <w:color w:val="auto"/>
              </w:rPr>
            </w:pPr>
          </w:p>
        </w:tc>
      </w:tr>
      <w:tr>
        <w:trPr>
          <w:trHeight w:val="46"/>
        </w:trPr>
        <w:tc>
          <w:tcPr>
            <w:tcW w:w="140" w:type="dxa"/>
            <w:vAlign w:val="bottom"/>
            <w:vMerge w:val="restart"/>
          </w:tcPr>
          <w:p>
            <w:pPr>
              <w:spacing w:after="0"/>
              <w:rPr>
                <w:sz w:val="20"/>
                <w:szCs w:val="20"/>
                <w:color w:val="auto"/>
              </w:rPr>
            </w:pPr>
            <w:r>
              <w:rPr>
                <w:rFonts w:ascii="Arial" w:cs="Arial" w:eastAsia="Arial" w:hAnsi="Arial"/>
                <w:sz w:val="7"/>
                <w:szCs w:val="7"/>
                <w:color w:val="105BAB"/>
              </w:rPr>
              <w:t>5</w:t>
            </w: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w w:val="96"/>
              </w:rPr>
              <w:t>No amount is included for the value of accelerated stock options as all unvested options held by Dr. Schleifer as of December 31, 2017 had an exercise price that exceeded the closing sales price per share of the Company's common stock on the NASDAQ Global</w:t>
            </w:r>
          </w:p>
        </w:tc>
        <w:tc>
          <w:tcPr>
            <w:tcW w:w="0" w:type="dxa"/>
            <w:vAlign w:val="bottom"/>
          </w:tcPr>
          <w:p>
            <w:pPr>
              <w:spacing w:after="0"/>
              <w:rPr>
                <w:sz w:val="1"/>
                <w:szCs w:val="1"/>
                <w:color w:val="auto"/>
              </w:rPr>
            </w:pPr>
          </w:p>
        </w:tc>
      </w:tr>
      <w:tr>
        <w:trPr>
          <w:trHeight w:val="46"/>
        </w:trPr>
        <w:tc>
          <w:tcPr>
            <w:tcW w:w="140" w:type="dxa"/>
            <w:vAlign w:val="bottom"/>
          </w:tcPr>
          <w:p>
            <w:pPr>
              <w:spacing w:after="0"/>
              <w:rPr>
                <w:sz w:val="4"/>
                <w:szCs w:val="4"/>
                <w:color w:val="auto"/>
              </w:rPr>
            </w:pP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 w:type="dxa"/>
            <w:vAlign w:val="bottom"/>
            <w:vMerge w:val="restart"/>
          </w:tcPr>
          <w:p>
            <w:pPr>
              <w:spacing w:after="0"/>
              <w:rPr>
                <w:sz w:val="20"/>
                <w:szCs w:val="20"/>
                <w:color w:val="auto"/>
              </w:rPr>
            </w:pPr>
            <w:r>
              <w:rPr>
                <w:rFonts w:ascii="Arial" w:cs="Arial" w:eastAsia="Arial" w:hAnsi="Arial"/>
                <w:sz w:val="7"/>
                <w:szCs w:val="7"/>
                <w:color w:val="105BAB"/>
              </w:rPr>
              <w:t>6</w:t>
            </w: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rPr>
              <w:t>Select Market on December 29, 2017, the last business day of 2017, of $375.96.</w:t>
            </w: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w w:val="96"/>
              </w:rPr>
              <w:t>Under Dr. Schleifer's employment agreement, if payments due in connection with a change of control are subject to excise taxes under Section 280G of the Internal Revenue Code, we will cut back the payments if the excise tax can be eliminated by reducing his</w:t>
            </w:r>
          </w:p>
        </w:tc>
        <w:tc>
          <w:tcPr>
            <w:tcW w:w="0" w:type="dxa"/>
            <w:vAlign w:val="bottom"/>
          </w:tcPr>
          <w:p>
            <w:pPr>
              <w:spacing w:after="0"/>
              <w:rPr>
                <w:sz w:val="1"/>
                <w:szCs w:val="1"/>
                <w:color w:val="auto"/>
              </w:rPr>
            </w:pPr>
          </w:p>
        </w:tc>
      </w:tr>
      <w:tr>
        <w:trPr>
          <w:trHeight w:val="46"/>
        </w:trPr>
        <w:tc>
          <w:tcPr>
            <w:tcW w:w="140" w:type="dxa"/>
            <w:vAlign w:val="bottom"/>
          </w:tcPr>
          <w:p>
            <w:pPr>
              <w:spacing w:after="0"/>
              <w:rPr>
                <w:sz w:val="4"/>
                <w:szCs w:val="4"/>
                <w:color w:val="auto"/>
              </w:rPr>
            </w:pP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w w:val="96"/>
              </w:rPr>
              <w:t>cash severance payments and benefits by less than ten percent. Otherwise, we will pay him an additional "gross up" amount so that his after-tax benefits are the same as though no excise tax had been applied. We have determined that Dr. Schleifer would not be</w:t>
            </w:r>
          </w:p>
        </w:tc>
        <w:tc>
          <w:tcPr>
            <w:tcW w:w="0" w:type="dxa"/>
            <w:vAlign w:val="bottom"/>
          </w:tcPr>
          <w:p>
            <w:pPr>
              <w:spacing w:after="0"/>
              <w:rPr>
                <w:sz w:val="1"/>
                <w:szCs w:val="1"/>
                <w:color w:val="auto"/>
              </w:rPr>
            </w:pPr>
          </w:p>
        </w:tc>
      </w:tr>
      <w:tr>
        <w:trPr>
          <w:trHeight w:val="108"/>
        </w:trPr>
        <w:tc>
          <w:tcPr>
            <w:tcW w:w="140" w:type="dxa"/>
            <w:vAlign w:val="bottom"/>
            <w:vMerge w:val="restart"/>
          </w:tcPr>
          <w:p>
            <w:pPr>
              <w:spacing w:after="0"/>
              <w:rPr>
                <w:sz w:val="20"/>
                <w:szCs w:val="20"/>
                <w:color w:val="auto"/>
              </w:rPr>
            </w:pPr>
            <w:r>
              <w:rPr>
                <w:rFonts w:ascii="Arial" w:cs="Arial" w:eastAsia="Arial" w:hAnsi="Arial"/>
                <w:sz w:val="7"/>
                <w:szCs w:val="7"/>
                <w:color w:val="105BAB"/>
              </w:rPr>
              <w:t>7</w:t>
            </w: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rPr>
              <w:t>subject to excise taxes if he had been terminated on December 31, 2017 as a result of a change of control.</w:t>
            </w: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w w:val="96"/>
              </w:rPr>
              <w:t>Equal to 1.25 times the sum of (a) Dr. Schleifer's 2017 base salary and (b) the average annual cash incentive paid to Dr. Schleifer for performance in the three completed years prior to the termination date. For purposes of this calculation, we used Dr. Schleifer's</w:t>
            </w:r>
          </w:p>
        </w:tc>
        <w:tc>
          <w:tcPr>
            <w:tcW w:w="0" w:type="dxa"/>
            <w:vAlign w:val="bottom"/>
          </w:tcPr>
          <w:p>
            <w:pPr>
              <w:spacing w:after="0"/>
              <w:rPr>
                <w:sz w:val="1"/>
                <w:szCs w:val="1"/>
                <w:color w:val="auto"/>
              </w:rPr>
            </w:pPr>
          </w:p>
        </w:tc>
      </w:tr>
      <w:tr>
        <w:trPr>
          <w:trHeight w:val="46"/>
        </w:trPr>
        <w:tc>
          <w:tcPr>
            <w:tcW w:w="140" w:type="dxa"/>
            <w:vAlign w:val="bottom"/>
          </w:tcPr>
          <w:p>
            <w:pPr>
              <w:spacing w:after="0"/>
              <w:rPr>
                <w:sz w:val="4"/>
                <w:szCs w:val="4"/>
                <w:color w:val="auto"/>
              </w:rPr>
            </w:pP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0" w:type="dxa"/>
            <w:vAlign w:val="bottom"/>
            <w:vMerge w:val="restart"/>
          </w:tcPr>
          <w:p>
            <w:pPr>
              <w:spacing w:after="0"/>
              <w:rPr>
                <w:sz w:val="20"/>
                <w:szCs w:val="20"/>
                <w:color w:val="auto"/>
              </w:rPr>
            </w:pPr>
            <w:r>
              <w:rPr>
                <w:rFonts w:ascii="Arial" w:cs="Arial" w:eastAsia="Arial" w:hAnsi="Arial"/>
                <w:sz w:val="7"/>
                <w:szCs w:val="7"/>
                <w:color w:val="105BAB"/>
              </w:rPr>
              <w:t>8</w:t>
            </w:r>
          </w:p>
        </w:tc>
        <w:tc>
          <w:tcPr>
            <w:tcW w:w="11240" w:type="dxa"/>
            <w:vAlign w:val="bottom"/>
          </w:tcPr>
          <w:p>
            <w:pPr>
              <w:ind w:left="60"/>
              <w:spacing w:after="0" w:line="108" w:lineRule="exact"/>
              <w:rPr>
                <w:sz w:val="20"/>
                <w:szCs w:val="20"/>
                <w:color w:val="auto"/>
              </w:rPr>
            </w:pPr>
            <w:r>
              <w:rPr>
                <w:rFonts w:ascii="Arial" w:cs="Arial" w:eastAsia="Arial" w:hAnsi="Arial"/>
                <w:sz w:val="10"/>
                <w:szCs w:val="10"/>
                <w:color w:val="auto"/>
              </w:rPr>
              <w:t>year-end cash incentive awards for performance in 2014, 2015, and 2016.</w:t>
            </w: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rPr>
              <w:t>Equal to the estimated cost of providing Dr. Schleifer and his dependents medical, dental, and life insurance benefits for eighteen months.</w:t>
            </w:r>
          </w:p>
        </w:tc>
        <w:tc>
          <w:tcPr>
            <w:tcW w:w="0" w:type="dxa"/>
            <w:vAlign w:val="bottom"/>
          </w:tcPr>
          <w:p>
            <w:pPr>
              <w:spacing w:after="0"/>
              <w:rPr>
                <w:sz w:val="1"/>
                <w:szCs w:val="1"/>
                <w:color w:val="auto"/>
              </w:rPr>
            </w:pPr>
          </w:p>
        </w:tc>
      </w:tr>
      <w:tr>
        <w:trPr>
          <w:trHeight w:val="46"/>
        </w:trPr>
        <w:tc>
          <w:tcPr>
            <w:tcW w:w="140" w:type="dxa"/>
            <w:vAlign w:val="bottom"/>
            <w:vMerge w:val="restart"/>
          </w:tcPr>
          <w:p>
            <w:pPr>
              <w:spacing w:after="0"/>
              <w:rPr>
                <w:sz w:val="20"/>
                <w:szCs w:val="20"/>
                <w:color w:val="auto"/>
              </w:rPr>
            </w:pPr>
            <w:r>
              <w:rPr>
                <w:rFonts w:ascii="Arial" w:cs="Arial" w:eastAsia="Arial" w:hAnsi="Arial"/>
                <w:sz w:val="7"/>
                <w:szCs w:val="7"/>
                <w:color w:val="105BAB"/>
              </w:rPr>
              <w:t>9</w:t>
            </w: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line="108" w:lineRule="exact"/>
              <w:rPr>
                <w:sz w:val="20"/>
                <w:szCs w:val="20"/>
                <w:color w:val="auto"/>
              </w:rPr>
            </w:pPr>
            <w:r>
              <w:rPr>
                <w:rFonts w:ascii="Arial" w:cs="Arial" w:eastAsia="Arial" w:hAnsi="Arial"/>
                <w:sz w:val="10"/>
                <w:szCs w:val="10"/>
                <w:color w:val="auto"/>
              </w:rPr>
              <w:t>As discussed in "Compensation Dashboard—Additional Compensation Information—Potential Severance Payments," unvested stock options held by any employee (including Dr. Schleifer) become immediately exercisable upon his or her death.</w:t>
            </w:r>
          </w:p>
        </w:tc>
        <w:tc>
          <w:tcPr>
            <w:tcW w:w="0" w:type="dxa"/>
            <w:vAlign w:val="bottom"/>
          </w:tcPr>
          <w:p>
            <w:pPr>
              <w:spacing w:after="0"/>
              <w:rPr>
                <w:sz w:val="1"/>
                <w:szCs w:val="1"/>
                <w:color w:val="auto"/>
              </w:rPr>
            </w:pPr>
          </w:p>
        </w:tc>
      </w:tr>
      <w:tr>
        <w:trPr>
          <w:trHeight w:val="46"/>
        </w:trPr>
        <w:tc>
          <w:tcPr>
            <w:tcW w:w="140" w:type="dxa"/>
            <w:vAlign w:val="bottom"/>
            <w:vMerge w:val="restart"/>
          </w:tcPr>
          <w:p>
            <w:pPr>
              <w:spacing w:after="0"/>
              <w:rPr>
                <w:sz w:val="20"/>
                <w:szCs w:val="20"/>
                <w:color w:val="auto"/>
              </w:rPr>
            </w:pPr>
            <w:r>
              <w:rPr>
                <w:rFonts w:ascii="Arial" w:cs="Arial" w:eastAsia="Arial" w:hAnsi="Arial"/>
                <w:sz w:val="7"/>
                <w:szCs w:val="7"/>
                <w:color w:val="105BAB"/>
              </w:rPr>
              <w:t>10</w:t>
            </w: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1240" w:type="dxa"/>
            <w:vAlign w:val="bottom"/>
            <w:vMerge w:val="restart"/>
          </w:tcPr>
          <w:p>
            <w:pPr>
              <w:ind w:left="60"/>
              <w:spacing w:after="0"/>
              <w:rPr>
                <w:sz w:val="20"/>
                <w:szCs w:val="20"/>
                <w:color w:val="auto"/>
              </w:rPr>
            </w:pPr>
            <w:r>
              <w:rPr>
                <w:rFonts w:ascii="Arial" w:cs="Arial" w:eastAsia="Arial" w:hAnsi="Arial"/>
                <w:sz w:val="10"/>
                <w:szCs w:val="10"/>
                <w:color w:val="auto"/>
              </w:rPr>
              <w:t>Represents 35% of Dr. Schleifer's 2017 salary over a period of 18 months. We have assumed long-term disability coverage exists pursuant to Dr. Schleifer's employment agreement for the remaining 65% of Dr. Schleifer's salary.</w:t>
            </w:r>
          </w:p>
        </w:tc>
        <w:tc>
          <w:tcPr>
            <w:tcW w:w="0" w:type="dxa"/>
            <w:vAlign w:val="bottom"/>
          </w:tcPr>
          <w:p>
            <w:pPr>
              <w:spacing w:after="0"/>
              <w:rPr>
                <w:sz w:val="1"/>
                <w:szCs w:val="1"/>
                <w:color w:val="auto"/>
              </w:rPr>
            </w:pPr>
          </w:p>
        </w:tc>
      </w:tr>
      <w:tr>
        <w:trPr>
          <w:trHeight w:val="53"/>
        </w:trPr>
        <w:tc>
          <w:tcPr>
            <w:tcW w:w="140" w:type="dxa"/>
            <w:vAlign w:val="bottom"/>
          </w:tcPr>
          <w:p>
            <w:pPr>
              <w:spacing w:after="0"/>
              <w:rPr>
                <w:sz w:val="4"/>
                <w:szCs w:val="4"/>
                <w:color w:val="auto"/>
              </w:rPr>
            </w:pPr>
          </w:p>
        </w:tc>
        <w:tc>
          <w:tcPr>
            <w:tcW w:w="1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105BAB"/>
        </w:rPr>
        <w:t>Change in Control Severance Plan</w:t>
      </w:r>
    </w:p>
    <w:p>
      <w:pPr>
        <w:spacing w:after="0" w:line="155" w:lineRule="exact"/>
        <w:rPr>
          <w:sz w:val="20"/>
          <w:szCs w:val="20"/>
          <w:color w:val="auto"/>
        </w:rPr>
      </w:pPr>
    </w:p>
    <w:p>
      <w:pPr>
        <w:ind w:left="8" w:right="80"/>
        <w:spacing w:after="0" w:line="237" w:lineRule="auto"/>
        <w:rPr>
          <w:sz w:val="20"/>
          <w:szCs w:val="20"/>
          <w:color w:val="auto"/>
        </w:rPr>
      </w:pPr>
      <w:r>
        <w:rPr>
          <w:rFonts w:ascii="Arial" w:cs="Arial" w:eastAsia="Arial" w:hAnsi="Arial"/>
          <w:sz w:val="12"/>
          <w:szCs w:val="12"/>
          <w:color w:val="auto"/>
        </w:rPr>
        <w:t>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39" w:lineRule="exact"/>
        <w:rPr>
          <w:sz w:val="20"/>
          <w:szCs w:val="20"/>
          <w:color w:val="auto"/>
        </w:rPr>
      </w:pPr>
    </w:p>
    <w:p>
      <w:pPr>
        <w:ind w:left="8" w:right="240"/>
        <w:spacing w:after="0" w:line="239" w:lineRule="auto"/>
        <w:rPr>
          <w:sz w:val="20"/>
          <w:szCs w:val="20"/>
          <w:color w:val="auto"/>
        </w:rPr>
      </w:pPr>
      <w:r>
        <w:rPr>
          <w:rFonts w:ascii="Arial" w:cs="Arial" w:eastAsia="Arial" w:hAnsi="Arial"/>
          <w:sz w:val="12"/>
          <w:szCs w:val="12"/>
          <w:color w:val="auto"/>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w:t>
      </w:r>
    </w:p>
    <w:p>
      <w:pPr>
        <w:spacing w:after="0" w:line="129" w:lineRule="exact"/>
        <w:rPr>
          <w:sz w:val="20"/>
          <w:szCs w:val="20"/>
          <w:color w:val="auto"/>
        </w:rPr>
      </w:pPr>
    </w:p>
    <w:p>
      <w:pPr>
        <w:ind w:left="11028"/>
        <w:spacing w:after="0"/>
        <w:rPr>
          <w:sz w:val="20"/>
          <w:szCs w:val="20"/>
          <w:color w:val="auto"/>
        </w:rPr>
      </w:pPr>
      <w:r>
        <w:rPr>
          <w:rFonts w:ascii="Arial" w:cs="Arial" w:eastAsia="Arial" w:hAnsi="Arial"/>
          <w:sz w:val="10"/>
          <w:szCs w:val="10"/>
          <w:b w:val="1"/>
          <w:bCs w:val="1"/>
          <w:color w:val="FFFFFE"/>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-66675</wp:posOffset>
            </wp:positionV>
            <wp:extent cx="285750" cy="685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89535</wp:posOffset>
            </wp:positionV>
            <wp:extent cx="7299325" cy="184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42" w:right="21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39"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41"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41"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The following table shows the potential payments to our NEOs (other than our CEO), upon their hypothetical termination (other than for Cause) or resignation for Good Reason, in the two years following, or the six months prior to, a change in control. The information in the table below assumes an effective termination or resignation date of December 31, 2017 and is further based on the assumptions set forth in the footnotes to the table; actual values and amounts may differ from those presented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Potential Payments under Change in Control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20090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00900" cy="571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105BAB"/>
                <w:w w:val="97"/>
              </w:rPr>
              <w:t>Value of</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Accelerated</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3"/>
              </w:rPr>
              <w:t>Stock Options/</w:t>
            </w: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Pr>
          <w:p>
            <w:pPr>
              <w:spacing w:after="0"/>
              <w:rPr>
                <w:sz w:val="9"/>
                <w:szCs w:val="9"/>
                <w:color w:val="auto"/>
              </w:rPr>
            </w:pPr>
          </w:p>
        </w:tc>
        <w:tc>
          <w:tcPr>
            <w:tcW w:w="3820" w:type="dxa"/>
            <w:vAlign w:val="bottom"/>
          </w:tcPr>
          <w:p>
            <w:pPr>
              <w:jc w:val="right"/>
              <w:ind w:right="173"/>
              <w:spacing w:after="0" w:line="107" w:lineRule="exact"/>
              <w:rPr>
                <w:sz w:val="20"/>
                <w:szCs w:val="20"/>
                <w:color w:val="auto"/>
              </w:rPr>
            </w:pPr>
            <w:r>
              <w:rPr>
                <w:rFonts w:ascii="Arial" w:cs="Arial" w:eastAsia="Arial" w:hAnsi="Arial"/>
                <w:sz w:val="10"/>
                <w:szCs w:val="10"/>
                <w:b w:val="1"/>
                <w:bCs w:val="1"/>
                <w:color w:val="105BAB"/>
              </w:rPr>
              <w:t>Cash</w:t>
            </w:r>
          </w:p>
        </w:tc>
        <w:tc>
          <w:tcPr>
            <w:tcW w:w="780" w:type="dxa"/>
            <w:vAlign w:val="bottom"/>
          </w:tcPr>
          <w:p>
            <w:pPr>
              <w:jc w:val="center"/>
              <w:spacing w:after="0" w:line="107" w:lineRule="exact"/>
              <w:rPr>
                <w:sz w:val="20"/>
                <w:szCs w:val="20"/>
                <w:color w:val="auto"/>
              </w:rPr>
            </w:pPr>
            <w:r>
              <w:rPr>
                <w:rFonts w:ascii="Arial" w:cs="Arial" w:eastAsia="Arial" w:hAnsi="Arial"/>
                <w:sz w:val="10"/>
                <w:szCs w:val="10"/>
                <w:b w:val="1"/>
                <w:bCs w:val="1"/>
                <w:color w:val="105BAB"/>
                <w:w w:val="96"/>
              </w:rPr>
              <w:t>Benefits</w:t>
            </w:r>
          </w:p>
        </w:tc>
        <w:tc>
          <w:tcPr>
            <w:tcW w:w="860" w:type="dxa"/>
            <w:vAlign w:val="bottom"/>
          </w:tcPr>
          <w:p>
            <w:pPr>
              <w:jc w:val="center"/>
              <w:spacing w:after="0" w:line="107" w:lineRule="exact"/>
              <w:rPr>
                <w:sz w:val="20"/>
                <w:szCs w:val="20"/>
                <w:color w:val="auto"/>
              </w:rPr>
            </w:pPr>
            <w:r>
              <w:rPr>
                <w:rFonts w:ascii="Arial" w:cs="Arial" w:eastAsia="Arial" w:hAnsi="Arial"/>
                <w:sz w:val="10"/>
                <w:szCs w:val="10"/>
                <w:b w:val="1"/>
                <w:bCs w:val="1"/>
                <w:color w:val="105BAB"/>
                <w:w w:val="93"/>
              </w:rPr>
              <w:t>Restricted</w:t>
            </w:r>
          </w:p>
        </w:tc>
        <w:tc>
          <w:tcPr>
            <w:tcW w:w="580" w:type="dxa"/>
            <w:vAlign w:val="bottom"/>
          </w:tcPr>
          <w:p>
            <w:pPr>
              <w:spacing w:after="0"/>
              <w:rPr>
                <w:sz w:val="9"/>
                <w:szCs w:val="9"/>
                <w:color w:val="auto"/>
              </w:rPr>
            </w:pPr>
          </w:p>
        </w:tc>
        <w:tc>
          <w:tcPr>
            <w:tcW w:w="520" w:type="dxa"/>
            <w:vAlign w:val="bottom"/>
          </w:tcPr>
          <w:p>
            <w:pPr>
              <w:jc w:val="center"/>
              <w:ind w:left="13"/>
              <w:spacing w:after="0" w:line="107" w:lineRule="exact"/>
              <w:rPr>
                <w:sz w:val="20"/>
                <w:szCs w:val="20"/>
                <w:color w:val="auto"/>
              </w:rPr>
            </w:pPr>
            <w:r>
              <w:rPr>
                <w:rFonts w:ascii="Arial" w:cs="Arial" w:eastAsia="Arial" w:hAnsi="Arial"/>
                <w:sz w:val="10"/>
                <w:szCs w:val="10"/>
                <w:b w:val="1"/>
                <w:bCs w:val="1"/>
                <w:color w:val="105BAB"/>
                <w:w w:val="91"/>
              </w:rPr>
              <w:t>Total</w:t>
            </w: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3820" w:type="dxa"/>
            <w:vAlign w:val="bottom"/>
          </w:tcPr>
          <w:p>
            <w:pPr>
              <w:jc w:val="right"/>
              <w:ind w:right="33"/>
              <w:spacing w:after="0" w:line="127" w:lineRule="exact"/>
              <w:rPr>
                <w:sz w:val="20"/>
                <w:szCs w:val="20"/>
                <w:color w:val="auto"/>
              </w:rPr>
            </w:pPr>
            <w:r>
              <w:rPr>
                <w:rFonts w:ascii="Arial" w:cs="Arial" w:eastAsia="Arial" w:hAnsi="Arial"/>
                <w:sz w:val="10"/>
                <w:szCs w:val="10"/>
                <w:b w:val="1"/>
                <w:bCs w:val="1"/>
                <w:color w:val="105BAB"/>
              </w:rPr>
              <w:t>Severance</w:t>
            </w:r>
            <w:r>
              <w:rPr>
                <w:rFonts w:ascii="Arial" w:cs="Arial" w:eastAsia="Arial" w:hAnsi="Arial"/>
                <w:sz w:val="14"/>
                <w:szCs w:val="14"/>
                <w:b w:val="1"/>
                <w:bCs w:val="1"/>
                <w:color w:val="105BAB"/>
                <w:vertAlign w:val="superscript"/>
              </w:rPr>
              <w:t>1</w:t>
            </w:r>
          </w:p>
        </w:tc>
        <w:tc>
          <w:tcPr>
            <w:tcW w:w="780" w:type="dxa"/>
            <w:vAlign w:val="bottom"/>
          </w:tcPr>
          <w:p>
            <w:pPr>
              <w:jc w:val="center"/>
              <w:spacing w:after="0" w:line="127" w:lineRule="exact"/>
              <w:rPr>
                <w:sz w:val="20"/>
                <w:szCs w:val="20"/>
                <w:color w:val="auto"/>
              </w:rPr>
            </w:pPr>
            <w:r>
              <w:rPr>
                <w:rFonts w:ascii="Arial" w:cs="Arial" w:eastAsia="Arial" w:hAnsi="Arial"/>
                <w:sz w:val="10"/>
                <w:szCs w:val="10"/>
                <w:b w:val="1"/>
                <w:bCs w:val="1"/>
                <w:color w:val="105BAB"/>
                <w:w w:val="95"/>
              </w:rPr>
              <w:t>Continuation</w:t>
            </w:r>
            <w:r>
              <w:rPr>
                <w:rFonts w:ascii="Arial" w:cs="Arial" w:eastAsia="Arial" w:hAnsi="Arial"/>
                <w:sz w:val="14"/>
                <w:szCs w:val="14"/>
                <w:b w:val="1"/>
                <w:bCs w:val="1"/>
                <w:color w:val="105BAB"/>
                <w:w w:val="95"/>
                <w:vertAlign w:val="superscript"/>
              </w:rPr>
              <w:t>2</w:t>
            </w:r>
          </w:p>
        </w:tc>
        <w:tc>
          <w:tcPr>
            <w:tcW w:w="860" w:type="dxa"/>
            <w:vAlign w:val="bottom"/>
          </w:tcPr>
          <w:p>
            <w:pPr>
              <w:jc w:val="center"/>
              <w:spacing w:after="0" w:line="127" w:lineRule="exact"/>
              <w:rPr>
                <w:sz w:val="20"/>
                <w:szCs w:val="20"/>
                <w:color w:val="auto"/>
              </w:rPr>
            </w:pPr>
            <w:r>
              <w:rPr>
                <w:rFonts w:ascii="Arial" w:cs="Arial" w:eastAsia="Arial" w:hAnsi="Arial"/>
                <w:sz w:val="10"/>
                <w:szCs w:val="10"/>
                <w:b w:val="1"/>
                <w:bCs w:val="1"/>
                <w:color w:val="105BAB"/>
                <w:w w:val="92"/>
              </w:rPr>
              <w:t>Stock</w:t>
            </w:r>
            <w:r>
              <w:rPr>
                <w:rFonts w:ascii="Arial" w:cs="Arial" w:eastAsia="Arial" w:hAnsi="Arial"/>
                <w:sz w:val="14"/>
                <w:szCs w:val="14"/>
                <w:b w:val="1"/>
                <w:bCs w:val="1"/>
                <w:color w:val="105BAB"/>
                <w:w w:val="92"/>
                <w:vertAlign w:val="superscript"/>
              </w:rPr>
              <w:t>3</w:t>
            </w:r>
          </w:p>
        </w:tc>
        <w:tc>
          <w:tcPr>
            <w:tcW w:w="580" w:type="dxa"/>
            <w:vAlign w:val="bottom"/>
            <w:vMerge w:val="restart"/>
          </w:tcPr>
          <w:p>
            <w:pPr>
              <w:jc w:val="center"/>
              <w:spacing w:after="0"/>
              <w:rPr>
                <w:sz w:val="20"/>
                <w:szCs w:val="20"/>
                <w:color w:val="auto"/>
              </w:rPr>
            </w:pPr>
            <w:r>
              <w:rPr>
                <w:rFonts w:ascii="Arial" w:cs="Arial" w:eastAsia="Arial" w:hAnsi="Arial"/>
                <w:sz w:val="10"/>
                <w:szCs w:val="10"/>
                <w:b w:val="1"/>
                <w:bCs w:val="1"/>
                <w:color w:val="105BAB"/>
                <w:w w:val="93"/>
              </w:rPr>
              <w:t>Cutback</w:t>
            </w:r>
            <w:r>
              <w:rPr>
                <w:rFonts w:ascii="Arial" w:cs="Arial" w:eastAsia="Arial" w:hAnsi="Arial"/>
                <w:sz w:val="14"/>
                <w:szCs w:val="14"/>
                <w:b w:val="1"/>
                <w:bCs w:val="1"/>
                <w:color w:val="105BAB"/>
                <w:w w:val="93"/>
                <w:vertAlign w:val="superscript"/>
              </w:rPr>
              <w:t>4</w:t>
            </w:r>
          </w:p>
        </w:tc>
        <w:tc>
          <w:tcPr>
            <w:tcW w:w="520" w:type="dxa"/>
            <w:vAlign w:val="bottom"/>
          </w:tcPr>
          <w:p>
            <w:pPr>
              <w:jc w:val="center"/>
              <w:spacing w:after="0" w:line="127" w:lineRule="exact"/>
              <w:rPr>
                <w:sz w:val="20"/>
                <w:szCs w:val="20"/>
                <w:color w:val="auto"/>
              </w:rPr>
            </w:pPr>
            <w:r>
              <w:rPr>
                <w:rFonts w:ascii="Arial" w:cs="Arial" w:eastAsia="Arial" w:hAnsi="Arial"/>
                <w:sz w:val="10"/>
                <w:szCs w:val="10"/>
                <w:b w:val="1"/>
                <w:bCs w:val="1"/>
                <w:color w:val="105BAB"/>
                <w:w w:val="92"/>
              </w:rPr>
              <w:t>Amount</w:t>
            </w:r>
            <w:r>
              <w:rPr>
                <w:rFonts w:ascii="Arial" w:cs="Arial" w:eastAsia="Arial" w:hAnsi="Arial"/>
                <w:sz w:val="14"/>
                <w:szCs w:val="14"/>
                <w:b w:val="1"/>
                <w:bCs w:val="1"/>
                <w:color w:val="105BAB"/>
                <w:w w:val="92"/>
                <w:vertAlign w:val="superscript"/>
              </w:rPr>
              <w:t>5</w:t>
            </w:r>
          </w:p>
        </w:tc>
        <w:tc>
          <w:tcPr>
            <w:tcW w:w="0" w:type="dxa"/>
            <w:vAlign w:val="bottom"/>
          </w:tcPr>
          <w:p>
            <w:pPr>
              <w:spacing w:after="0"/>
              <w:rPr>
                <w:sz w:val="1"/>
                <w:szCs w:val="1"/>
                <w:color w:val="auto"/>
              </w:rPr>
            </w:pPr>
          </w:p>
        </w:tc>
      </w:tr>
      <w:tr>
        <w:trPr>
          <w:trHeight w:val="117"/>
        </w:trPr>
        <w:tc>
          <w:tcPr>
            <w:tcW w:w="4780" w:type="dxa"/>
            <w:vAlign w:val="bottom"/>
            <w:tcBorders>
              <w:bottom w:val="single" w:sz="8" w:color="105BAB"/>
            </w:tcBorders>
          </w:tcPr>
          <w:p>
            <w:pPr>
              <w:spacing w:after="0"/>
              <w:rPr>
                <w:sz w:val="20"/>
                <w:szCs w:val="20"/>
                <w:color w:val="auto"/>
              </w:rPr>
            </w:pPr>
            <w:r>
              <w:rPr>
                <w:rFonts w:ascii="Arial" w:cs="Arial" w:eastAsia="Arial" w:hAnsi="Arial"/>
                <w:sz w:val="10"/>
                <w:szCs w:val="10"/>
                <w:b w:val="1"/>
                <w:bCs w:val="1"/>
                <w:color w:val="105BAB"/>
              </w:rPr>
              <w:t>Name</w:t>
            </w:r>
          </w:p>
        </w:tc>
        <w:tc>
          <w:tcPr>
            <w:tcW w:w="3820" w:type="dxa"/>
            <w:vAlign w:val="bottom"/>
            <w:tcBorders>
              <w:bottom w:val="single" w:sz="8" w:color="105BAB"/>
            </w:tcBorders>
          </w:tcPr>
          <w:p>
            <w:pPr>
              <w:jc w:val="right"/>
              <w:ind w:right="233"/>
              <w:spacing w:after="0"/>
              <w:rPr>
                <w:sz w:val="20"/>
                <w:szCs w:val="20"/>
                <w:color w:val="auto"/>
              </w:rPr>
            </w:pPr>
            <w:r>
              <w:rPr>
                <w:rFonts w:ascii="Arial" w:cs="Arial" w:eastAsia="Arial" w:hAnsi="Arial"/>
                <w:sz w:val="10"/>
                <w:szCs w:val="10"/>
                <w:b w:val="1"/>
                <w:bCs w:val="1"/>
                <w:color w:val="105BAB"/>
              </w:rPr>
              <w:t>($)</w:t>
            </w:r>
          </w:p>
        </w:tc>
        <w:tc>
          <w:tcPr>
            <w:tcW w:w="78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w:t>
            </w:r>
          </w:p>
        </w:tc>
        <w:tc>
          <w:tcPr>
            <w:tcW w:w="86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81"/>
              </w:rPr>
              <w:t>($)</w:t>
            </w:r>
          </w:p>
        </w:tc>
        <w:tc>
          <w:tcPr>
            <w:tcW w:w="580" w:type="dxa"/>
            <w:vAlign w:val="bottom"/>
            <w:tcBorders>
              <w:bottom w:val="single" w:sz="8" w:color="105BAB"/>
            </w:tcBorders>
            <w:vMerge w:val="continue"/>
          </w:tcPr>
          <w:p>
            <w:pPr>
              <w:spacing w:after="0"/>
              <w:rPr>
                <w:sz w:val="10"/>
                <w:szCs w:val="10"/>
                <w:color w:val="auto"/>
              </w:rPr>
            </w:pPr>
          </w:p>
        </w:tc>
        <w:tc>
          <w:tcPr>
            <w:tcW w:w="520" w:type="dxa"/>
            <w:vAlign w:val="bottom"/>
            <w:tcBorders>
              <w:bottom w:val="single" w:sz="8" w:color="105BAB"/>
            </w:tcBorders>
          </w:tcPr>
          <w:p>
            <w:pPr>
              <w:jc w:val="center"/>
              <w:spacing w:after="0"/>
              <w:rPr>
                <w:sz w:val="20"/>
                <w:szCs w:val="20"/>
                <w:color w:val="auto"/>
              </w:rPr>
            </w:pPr>
            <w:r>
              <w:rPr>
                <w:rFonts w:ascii="Arial" w:cs="Arial" w:eastAsia="Arial" w:hAnsi="Arial"/>
                <w:sz w:val="10"/>
                <w:szCs w:val="10"/>
                <w:b w:val="1"/>
                <w:bCs w:val="1"/>
                <w:color w:val="105BAB"/>
                <w:w w:val="97"/>
              </w:rPr>
              <w:t>($)</w:t>
            </w:r>
          </w:p>
        </w:tc>
        <w:tc>
          <w:tcPr>
            <w:tcW w:w="0" w:type="dxa"/>
            <w:vAlign w:val="bottom"/>
          </w:tcPr>
          <w:p>
            <w:pPr>
              <w:spacing w:after="0"/>
              <w:rPr>
                <w:sz w:val="1"/>
                <w:szCs w:val="1"/>
                <w:color w:val="auto"/>
              </w:rPr>
            </w:pPr>
          </w:p>
        </w:tc>
      </w:tr>
      <w:tr>
        <w:trPr>
          <w:trHeight w:val="97"/>
        </w:trPr>
        <w:tc>
          <w:tcPr>
            <w:tcW w:w="4780" w:type="dxa"/>
            <w:vAlign w:val="bottom"/>
            <w:tcBorders>
              <w:bottom w:val="single" w:sz="8" w:color="auto"/>
            </w:tcBorders>
            <w:shd w:val="clear" w:color="auto" w:fill="F1F3F9"/>
          </w:tcPr>
          <w:p>
            <w:pPr>
              <w:spacing w:after="0" w:line="97" w:lineRule="exact"/>
              <w:rPr>
                <w:sz w:val="20"/>
                <w:szCs w:val="20"/>
                <w:color w:val="auto"/>
              </w:rPr>
            </w:pPr>
            <w:r>
              <w:rPr>
                <w:rFonts w:ascii="Arial" w:cs="Arial" w:eastAsia="Arial" w:hAnsi="Arial"/>
                <w:sz w:val="10"/>
                <w:szCs w:val="10"/>
                <w:color w:val="auto"/>
              </w:rPr>
              <w:t>George D. Yancopoulos, M.D., Ph.D.</w:t>
            </w:r>
          </w:p>
        </w:tc>
        <w:tc>
          <w:tcPr>
            <w:tcW w:w="3820" w:type="dxa"/>
            <w:vAlign w:val="bottom"/>
            <w:tcBorders>
              <w:bottom w:val="single" w:sz="8" w:color="auto"/>
            </w:tcBorders>
            <w:shd w:val="clear" w:color="auto" w:fill="F1F3F9"/>
          </w:tcPr>
          <w:p>
            <w:pPr>
              <w:jc w:val="right"/>
              <w:ind w:right="33"/>
              <w:spacing w:after="0" w:line="97" w:lineRule="exact"/>
              <w:rPr>
                <w:sz w:val="20"/>
                <w:szCs w:val="20"/>
                <w:color w:val="auto"/>
              </w:rPr>
            </w:pPr>
            <w:r>
              <w:rPr>
                <w:rFonts w:ascii="Arial" w:cs="Arial" w:eastAsia="Arial" w:hAnsi="Arial"/>
                <w:sz w:val="10"/>
                <w:szCs w:val="10"/>
                <w:color w:val="auto"/>
              </w:rPr>
              <w:t>6,298,267</w:t>
            </w:r>
          </w:p>
        </w:tc>
        <w:tc>
          <w:tcPr>
            <w:tcW w:w="780" w:type="dxa"/>
            <w:vAlign w:val="bottom"/>
            <w:tcBorders>
              <w:bottom w:val="single" w:sz="8" w:color="auto"/>
            </w:tcBorders>
            <w:shd w:val="clear" w:color="auto" w:fill="F1F3F9"/>
          </w:tcPr>
          <w:p>
            <w:pPr>
              <w:jc w:val="right"/>
              <w:ind w:right="73"/>
              <w:spacing w:after="0" w:line="97" w:lineRule="exact"/>
              <w:rPr>
                <w:sz w:val="20"/>
                <w:szCs w:val="20"/>
                <w:color w:val="auto"/>
              </w:rPr>
            </w:pPr>
            <w:r>
              <w:rPr>
                <w:rFonts w:ascii="Arial" w:cs="Arial" w:eastAsia="Arial" w:hAnsi="Arial"/>
                <w:sz w:val="10"/>
                <w:szCs w:val="10"/>
                <w:color w:val="auto"/>
              </w:rPr>
              <w:t>115,140</w:t>
            </w:r>
          </w:p>
        </w:tc>
        <w:tc>
          <w:tcPr>
            <w:tcW w:w="8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79"/>
              </w:rPr>
              <w:t>—</w:t>
            </w:r>
          </w:p>
        </w:tc>
        <w:tc>
          <w:tcPr>
            <w:tcW w:w="520" w:type="dxa"/>
            <w:vAlign w:val="bottom"/>
            <w:tcBorders>
              <w:bottom w:val="single" w:sz="8" w:color="auto"/>
            </w:tcBorders>
            <w:shd w:val="clear" w:color="auto" w:fill="F1F3F9"/>
          </w:tcPr>
          <w:p>
            <w:pPr>
              <w:jc w:val="center"/>
              <w:ind w:left="33"/>
              <w:spacing w:after="0" w:line="97" w:lineRule="exact"/>
              <w:rPr>
                <w:sz w:val="20"/>
                <w:szCs w:val="20"/>
                <w:color w:val="auto"/>
              </w:rPr>
            </w:pPr>
            <w:r>
              <w:rPr>
                <w:rFonts w:ascii="Arial" w:cs="Arial" w:eastAsia="Arial" w:hAnsi="Arial"/>
                <w:sz w:val="10"/>
                <w:szCs w:val="10"/>
                <w:color w:val="auto"/>
                <w:w w:val="98"/>
              </w:rPr>
              <w:t>6,413,407</w:t>
            </w:r>
          </w:p>
        </w:tc>
        <w:tc>
          <w:tcPr>
            <w:tcW w:w="0" w:type="dxa"/>
            <w:vAlign w:val="bottom"/>
          </w:tcPr>
          <w:p>
            <w:pPr>
              <w:spacing w:after="0"/>
              <w:rPr>
                <w:sz w:val="1"/>
                <w:szCs w:val="1"/>
                <w:color w:val="auto"/>
              </w:rPr>
            </w:pPr>
          </w:p>
        </w:tc>
      </w:tr>
      <w:tr>
        <w:trPr>
          <w:trHeight w:val="97"/>
        </w:trPr>
        <w:tc>
          <w:tcPr>
            <w:tcW w:w="4780" w:type="dxa"/>
            <w:vAlign w:val="bottom"/>
            <w:tcBorders>
              <w:bottom w:val="single" w:sz="8" w:color="auto"/>
            </w:tcBorders>
            <w:shd w:val="clear" w:color="auto" w:fill="D6DAEE"/>
          </w:tcPr>
          <w:p>
            <w:pPr>
              <w:spacing w:after="0" w:line="97" w:lineRule="exact"/>
              <w:rPr>
                <w:sz w:val="20"/>
                <w:szCs w:val="20"/>
                <w:color w:val="auto"/>
              </w:rPr>
            </w:pPr>
            <w:r>
              <w:rPr>
                <w:rFonts w:ascii="Arial" w:cs="Arial" w:eastAsia="Arial" w:hAnsi="Arial"/>
                <w:sz w:val="10"/>
                <w:szCs w:val="10"/>
                <w:color w:val="auto"/>
              </w:rPr>
              <w:t>Robert E. Landry</w:t>
            </w:r>
          </w:p>
        </w:tc>
        <w:tc>
          <w:tcPr>
            <w:tcW w:w="3820" w:type="dxa"/>
            <w:vAlign w:val="bottom"/>
            <w:tcBorders>
              <w:bottom w:val="single" w:sz="8" w:color="auto"/>
            </w:tcBorders>
            <w:shd w:val="clear" w:color="auto" w:fill="D6DAEE"/>
          </w:tcPr>
          <w:p>
            <w:pPr>
              <w:jc w:val="right"/>
              <w:ind w:right="33"/>
              <w:spacing w:after="0" w:line="97" w:lineRule="exact"/>
              <w:rPr>
                <w:sz w:val="20"/>
                <w:szCs w:val="20"/>
                <w:color w:val="auto"/>
              </w:rPr>
            </w:pPr>
            <w:r>
              <w:rPr>
                <w:rFonts w:ascii="Arial" w:cs="Arial" w:eastAsia="Arial" w:hAnsi="Arial"/>
                <w:sz w:val="10"/>
                <w:szCs w:val="10"/>
                <w:color w:val="auto"/>
              </w:rPr>
              <w:t>2,109,300</w:t>
            </w:r>
          </w:p>
        </w:tc>
        <w:tc>
          <w:tcPr>
            <w:tcW w:w="780" w:type="dxa"/>
            <w:vAlign w:val="bottom"/>
            <w:tcBorders>
              <w:bottom w:val="single" w:sz="8" w:color="auto"/>
            </w:tcBorders>
            <w:shd w:val="clear" w:color="auto" w:fill="D6DAEE"/>
          </w:tcPr>
          <w:p>
            <w:pPr>
              <w:jc w:val="right"/>
              <w:ind w:right="73"/>
              <w:spacing w:after="0" w:line="97" w:lineRule="exact"/>
              <w:rPr>
                <w:sz w:val="20"/>
                <w:szCs w:val="20"/>
                <w:color w:val="auto"/>
              </w:rPr>
            </w:pPr>
            <w:r>
              <w:rPr>
                <w:rFonts w:ascii="Arial" w:cs="Arial" w:eastAsia="Arial" w:hAnsi="Arial"/>
                <w:sz w:val="10"/>
                <w:szCs w:val="10"/>
                <w:color w:val="auto"/>
              </w:rPr>
              <w:t>109,783</w:t>
            </w:r>
          </w:p>
        </w:tc>
        <w:tc>
          <w:tcPr>
            <w:tcW w:w="86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94"/>
              </w:rPr>
              <w:t>1,879,800</w:t>
            </w:r>
          </w:p>
        </w:tc>
        <w:tc>
          <w:tcPr>
            <w:tcW w:w="580" w:type="dxa"/>
            <w:vAlign w:val="bottom"/>
            <w:tcBorders>
              <w:bottom w:val="single" w:sz="8" w:color="auto"/>
            </w:tcBorders>
            <w:shd w:val="clear" w:color="auto" w:fill="D6DAEE"/>
          </w:tcPr>
          <w:p>
            <w:pPr>
              <w:jc w:val="center"/>
              <w:spacing w:after="0" w:line="97" w:lineRule="exact"/>
              <w:rPr>
                <w:sz w:val="20"/>
                <w:szCs w:val="20"/>
                <w:color w:val="auto"/>
              </w:rPr>
            </w:pPr>
            <w:r>
              <w:rPr>
                <w:rFonts w:ascii="Arial" w:cs="Arial" w:eastAsia="Arial" w:hAnsi="Arial"/>
                <w:sz w:val="10"/>
                <w:szCs w:val="10"/>
                <w:color w:val="auto"/>
                <w:w w:val="79"/>
              </w:rPr>
              <w:t>—</w:t>
            </w:r>
          </w:p>
        </w:tc>
        <w:tc>
          <w:tcPr>
            <w:tcW w:w="520" w:type="dxa"/>
            <w:vAlign w:val="bottom"/>
            <w:tcBorders>
              <w:bottom w:val="single" w:sz="8" w:color="auto"/>
            </w:tcBorders>
            <w:shd w:val="clear" w:color="auto" w:fill="D6DAEE"/>
          </w:tcPr>
          <w:p>
            <w:pPr>
              <w:jc w:val="center"/>
              <w:ind w:left="33"/>
              <w:spacing w:after="0" w:line="97" w:lineRule="exact"/>
              <w:rPr>
                <w:sz w:val="20"/>
                <w:szCs w:val="20"/>
                <w:color w:val="auto"/>
              </w:rPr>
            </w:pPr>
            <w:r>
              <w:rPr>
                <w:rFonts w:ascii="Arial" w:cs="Arial" w:eastAsia="Arial" w:hAnsi="Arial"/>
                <w:sz w:val="10"/>
                <w:szCs w:val="10"/>
                <w:color w:val="auto"/>
                <w:w w:val="98"/>
              </w:rPr>
              <w:t>4,098,883</w:t>
            </w:r>
          </w:p>
        </w:tc>
        <w:tc>
          <w:tcPr>
            <w:tcW w:w="0" w:type="dxa"/>
            <w:vAlign w:val="bottom"/>
          </w:tcPr>
          <w:p>
            <w:pPr>
              <w:spacing w:after="0"/>
              <w:rPr>
                <w:sz w:val="1"/>
                <w:szCs w:val="1"/>
                <w:color w:val="auto"/>
              </w:rPr>
            </w:pPr>
          </w:p>
        </w:tc>
      </w:tr>
      <w:tr>
        <w:trPr>
          <w:trHeight w:val="97"/>
        </w:trPr>
        <w:tc>
          <w:tcPr>
            <w:tcW w:w="4780" w:type="dxa"/>
            <w:vAlign w:val="bottom"/>
            <w:tcBorders>
              <w:bottom w:val="single" w:sz="8" w:color="auto"/>
            </w:tcBorders>
            <w:shd w:val="clear" w:color="auto" w:fill="F1F3F9"/>
          </w:tcPr>
          <w:p>
            <w:pPr>
              <w:spacing w:after="0" w:line="97" w:lineRule="exact"/>
              <w:rPr>
                <w:sz w:val="20"/>
                <w:szCs w:val="20"/>
                <w:color w:val="auto"/>
              </w:rPr>
            </w:pPr>
            <w:r>
              <w:rPr>
                <w:rFonts w:ascii="Arial" w:cs="Arial" w:eastAsia="Arial" w:hAnsi="Arial"/>
                <w:sz w:val="10"/>
                <w:szCs w:val="10"/>
                <w:color w:val="auto"/>
              </w:rPr>
              <w:t>Neil Stahl, Ph.D.</w:t>
            </w:r>
          </w:p>
        </w:tc>
        <w:tc>
          <w:tcPr>
            <w:tcW w:w="3820" w:type="dxa"/>
            <w:vAlign w:val="bottom"/>
            <w:tcBorders>
              <w:bottom w:val="single" w:sz="8" w:color="auto"/>
            </w:tcBorders>
            <w:shd w:val="clear" w:color="auto" w:fill="F1F3F9"/>
          </w:tcPr>
          <w:p>
            <w:pPr>
              <w:jc w:val="right"/>
              <w:ind w:right="33"/>
              <w:spacing w:after="0" w:line="97" w:lineRule="exact"/>
              <w:rPr>
                <w:sz w:val="20"/>
                <w:szCs w:val="20"/>
                <w:color w:val="auto"/>
              </w:rPr>
            </w:pPr>
            <w:r>
              <w:rPr>
                <w:rFonts w:ascii="Arial" w:cs="Arial" w:eastAsia="Arial" w:hAnsi="Arial"/>
                <w:sz w:val="10"/>
                <w:szCs w:val="10"/>
                <w:color w:val="auto"/>
              </w:rPr>
              <w:t>2,404,900</w:t>
            </w:r>
          </w:p>
        </w:tc>
        <w:tc>
          <w:tcPr>
            <w:tcW w:w="780" w:type="dxa"/>
            <w:vAlign w:val="bottom"/>
            <w:tcBorders>
              <w:bottom w:val="single" w:sz="8" w:color="auto"/>
            </w:tcBorders>
            <w:shd w:val="clear" w:color="auto" w:fill="F1F3F9"/>
          </w:tcPr>
          <w:p>
            <w:pPr>
              <w:jc w:val="right"/>
              <w:ind w:right="73"/>
              <w:spacing w:after="0" w:line="97" w:lineRule="exact"/>
              <w:rPr>
                <w:sz w:val="20"/>
                <w:szCs w:val="20"/>
                <w:color w:val="auto"/>
              </w:rPr>
            </w:pPr>
            <w:r>
              <w:rPr>
                <w:rFonts w:ascii="Arial" w:cs="Arial" w:eastAsia="Arial" w:hAnsi="Arial"/>
                <w:sz w:val="10"/>
                <w:szCs w:val="10"/>
                <w:color w:val="auto"/>
              </w:rPr>
              <w:t>54,417</w:t>
            </w:r>
          </w:p>
        </w:tc>
        <w:tc>
          <w:tcPr>
            <w:tcW w:w="86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99"/>
              </w:rPr>
              <w:t>—</w:t>
            </w:r>
          </w:p>
        </w:tc>
        <w:tc>
          <w:tcPr>
            <w:tcW w:w="580" w:type="dxa"/>
            <w:vAlign w:val="bottom"/>
            <w:tcBorders>
              <w:bottom w:val="single" w:sz="8" w:color="auto"/>
            </w:tcBorders>
            <w:shd w:val="clear" w:color="auto" w:fill="F1F3F9"/>
          </w:tcPr>
          <w:p>
            <w:pPr>
              <w:jc w:val="center"/>
              <w:spacing w:after="0" w:line="97" w:lineRule="exact"/>
              <w:rPr>
                <w:sz w:val="20"/>
                <w:szCs w:val="20"/>
                <w:color w:val="auto"/>
              </w:rPr>
            </w:pPr>
            <w:r>
              <w:rPr>
                <w:rFonts w:ascii="Arial" w:cs="Arial" w:eastAsia="Arial" w:hAnsi="Arial"/>
                <w:sz w:val="10"/>
                <w:szCs w:val="10"/>
                <w:color w:val="auto"/>
                <w:w w:val="79"/>
              </w:rPr>
              <w:t>—</w:t>
            </w:r>
          </w:p>
        </w:tc>
        <w:tc>
          <w:tcPr>
            <w:tcW w:w="520" w:type="dxa"/>
            <w:vAlign w:val="bottom"/>
            <w:tcBorders>
              <w:bottom w:val="single" w:sz="8" w:color="auto"/>
            </w:tcBorders>
            <w:shd w:val="clear" w:color="auto" w:fill="F1F3F9"/>
          </w:tcPr>
          <w:p>
            <w:pPr>
              <w:jc w:val="center"/>
              <w:ind w:left="33"/>
              <w:spacing w:after="0" w:line="97" w:lineRule="exact"/>
              <w:rPr>
                <w:sz w:val="20"/>
                <w:szCs w:val="20"/>
                <w:color w:val="auto"/>
              </w:rPr>
            </w:pPr>
            <w:r>
              <w:rPr>
                <w:rFonts w:ascii="Arial" w:cs="Arial" w:eastAsia="Arial" w:hAnsi="Arial"/>
                <w:sz w:val="10"/>
                <w:szCs w:val="10"/>
                <w:color w:val="auto"/>
                <w:w w:val="98"/>
              </w:rPr>
              <w:t>2,459,317</w:t>
            </w:r>
          </w:p>
        </w:tc>
        <w:tc>
          <w:tcPr>
            <w:tcW w:w="0" w:type="dxa"/>
            <w:vAlign w:val="bottom"/>
          </w:tcPr>
          <w:p>
            <w:pPr>
              <w:spacing w:after="0"/>
              <w:rPr>
                <w:sz w:val="1"/>
                <w:szCs w:val="1"/>
                <w:color w:val="auto"/>
              </w:rPr>
            </w:pPr>
          </w:p>
        </w:tc>
      </w:tr>
      <w:tr>
        <w:trPr>
          <w:trHeight w:val="86"/>
        </w:trPr>
        <w:tc>
          <w:tcPr>
            <w:tcW w:w="4780" w:type="dxa"/>
            <w:vAlign w:val="bottom"/>
          </w:tcPr>
          <w:p>
            <w:pPr>
              <w:spacing w:after="0" w:line="86" w:lineRule="exact"/>
              <w:rPr>
                <w:sz w:val="20"/>
                <w:szCs w:val="20"/>
                <w:color w:val="auto"/>
              </w:rPr>
            </w:pPr>
            <w:r>
              <w:rPr>
                <w:rFonts w:ascii="Arial" w:cs="Arial" w:eastAsia="Arial" w:hAnsi="Arial"/>
                <w:sz w:val="8"/>
                <w:szCs w:val="8"/>
                <w:color w:val="auto"/>
              </w:rPr>
              <w:t>Daniel P. Van Plew</w:t>
            </w:r>
          </w:p>
        </w:tc>
        <w:tc>
          <w:tcPr>
            <w:tcW w:w="3820" w:type="dxa"/>
            <w:vAlign w:val="bottom"/>
          </w:tcPr>
          <w:p>
            <w:pPr>
              <w:jc w:val="right"/>
              <w:ind w:right="33"/>
              <w:spacing w:after="0" w:line="86" w:lineRule="exact"/>
              <w:rPr>
                <w:sz w:val="20"/>
                <w:szCs w:val="20"/>
                <w:color w:val="auto"/>
              </w:rPr>
            </w:pPr>
            <w:r>
              <w:rPr>
                <w:rFonts w:ascii="Arial" w:cs="Arial" w:eastAsia="Arial" w:hAnsi="Arial"/>
                <w:sz w:val="8"/>
                <w:szCs w:val="8"/>
                <w:color w:val="auto"/>
              </w:rPr>
              <w:t>1,951,720</w:t>
            </w:r>
          </w:p>
        </w:tc>
        <w:tc>
          <w:tcPr>
            <w:tcW w:w="780" w:type="dxa"/>
            <w:vAlign w:val="bottom"/>
          </w:tcPr>
          <w:p>
            <w:pPr>
              <w:jc w:val="right"/>
              <w:ind w:right="73"/>
              <w:spacing w:after="0" w:line="86" w:lineRule="exact"/>
              <w:rPr>
                <w:sz w:val="20"/>
                <w:szCs w:val="20"/>
                <w:color w:val="auto"/>
              </w:rPr>
            </w:pPr>
            <w:r>
              <w:rPr>
                <w:rFonts w:ascii="Arial" w:cs="Arial" w:eastAsia="Arial" w:hAnsi="Arial"/>
                <w:sz w:val="8"/>
                <w:szCs w:val="8"/>
                <w:color w:val="auto"/>
              </w:rPr>
              <w:t>97,826</w:t>
            </w:r>
          </w:p>
        </w:tc>
        <w:tc>
          <w:tcPr>
            <w:tcW w:w="860" w:type="dxa"/>
            <w:vAlign w:val="bottom"/>
          </w:tcPr>
          <w:p>
            <w:pPr>
              <w:jc w:val="center"/>
              <w:spacing w:after="0" w:line="86" w:lineRule="exact"/>
              <w:rPr>
                <w:sz w:val="20"/>
                <w:szCs w:val="20"/>
                <w:color w:val="auto"/>
              </w:rPr>
            </w:pPr>
            <w:r>
              <w:rPr>
                <w:rFonts w:ascii="Arial" w:cs="Arial" w:eastAsia="Arial" w:hAnsi="Arial"/>
                <w:sz w:val="8"/>
                <w:szCs w:val="8"/>
                <w:color w:val="auto"/>
              </w:rPr>
              <w:t>—</w:t>
            </w:r>
          </w:p>
        </w:tc>
        <w:tc>
          <w:tcPr>
            <w:tcW w:w="580" w:type="dxa"/>
            <w:vAlign w:val="bottom"/>
          </w:tcPr>
          <w:p>
            <w:pPr>
              <w:jc w:val="center"/>
              <w:spacing w:after="0" w:line="86" w:lineRule="exact"/>
              <w:rPr>
                <w:sz w:val="20"/>
                <w:szCs w:val="20"/>
                <w:color w:val="auto"/>
              </w:rPr>
            </w:pPr>
            <w:r>
              <w:rPr>
                <w:rFonts w:ascii="Arial" w:cs="Arial" w:eastAsia="Arial" w:hAnsi="Arial"/>
                <w:sz w:val="8"/>
                <w:szCs w:val="8"/>
                <w:color w:val="auto"/>
                <w:w w:val="99"/>
              </w:rPr>
              <w:t>—</w:t>
            </w:r>
          </w:p>
        </w:tc>
        <w:tc>
          <w:tcPr>
            <w:tcW w:w="520" w:type="dxa"/>
            <w:vAlign w:val="bottom"/>
          </w:tcPr>
          <w:p>
            <w:pPr>
              <w:jc w:val="center"/>
              <w:ind w:left="33"/>
              <w:spacing w:after="0" w:line="86" w:lineRule="exact"/>
              <w:rPr>
                <w:sz w:val="20"/>
                <w:szCs w:val="20"/>
                <w:color w:val="auto"/>
              </w:rPr>
            </w:pPr>
            <w:r>
              <w:rPr>
                <w:rFonts w:ascii="Arial" w:cs="Arial" w:eastAsia="Arial" w:hAnsi="Arial"/>
                <w:sz w:val="8"/>
                <w:szCs w:val="8"/>
                <w:color w:val="auto"/>
              </w:rPr>
              <w:t>2,049,546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200900" cy="742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00900" cy="742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5"/>
        </w:trPr>
        <w:tc>
          <w:tcPr>
            <w:tcW w:w="20" w:type="dxa"/>
            <w:vAlign w:val="bottom"/>
          </w:tcPr>
          <w:p>
            <w:pPr>
              <w:spacing w:after="0"/>
              <w:rPr>
                <w:sz w:val="7"/>
                <w:szCs w:val="7"/>
                <w:color w:val="auto"/>
              </w:rPr>
            </w:pPr>
          </w:p>
        </w:tc>
        <w:tc>
          <w:tcPr>
            <w:tcW w:w="100" w:type="dxa"/>
            <w:vAlign w:val="bottom"/>
            <w:tcBorders>
              <w:top w:val="single" w:sz="8" w:color="105BAB"/>
            </w:tcBorders>
          </w:tcPr>
          <w:p>
            <w:pPr>
              <w:jc w:val="right"/>
              <w:ind w:right="74"/>
              <w:spacing w:after="0"/>
              <w:rPr>
                <w:sz w:val="20"/>
                <w:szCs w:val="20"/>
                <w:color w:val="auto"/>
              </w:rPr>
            </w:pPr>
            <w:r>
              <w:rPr>
                <w:rFonts w:ascii="Arial" w:cs="Arial" w:eastAsia="Arial" w:hAnsi="Arial"/>
                <w:sz w:val="1"/>
                <w:szCs w:val="1"/>
                <w:color w:val="105BAB"/>
                <w:w w:val="4294967288"/>
              </w:rPr>
              <w:t>1</w:t>
            </w:r>
          </w:p>
        </w:tc>
        <w:tc>
          <w:tcPr>
            <w:tcW w:w="11220" w:type="dxa"/>
            <w:vAlign w:val="bottom"/>
            <w:tcBorders>
              <w:top w:val="single" w:sz="8" w:color="105BAB"/>
            </w:tcBorders>
            <w:vMerge w:val="restart"/>
          </w:tcPr>
          <w:p>
            <w:pPr>
              <w:ind w:left="80"/>
              <w:spacing w:after="0" w:line="112" w:lineRule="exact"/>
              <w:rPr>
                <w:sz w:val="20"/>
                <w:szCs w:val="20"/>
                <w:color w:val="auto"/>
              </w:rPr>
            </w:pPr>
            <w:r>
              <w:rPr>
                <w:rFonts w:ascii="Arial" w:cs="Arial" w:eastAsia="Arial" w:hAnsi="Arial"/>
                <w:sz w:val="10"/>
                <w:szCs w:val="10"/>
                <w:color w:val="auto"/>
              </w:rPr>
              <w:t>Equal to two times the sum of (a) the NEO's 2017 base salary and (b) the average annual cash incentives paid to the NEO over the prior three years.</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20" w:type="dxa"/>
            <w:vAlign w:val="bottom"/>
            <w:gridSpan w:val="2"/>
            <w:vMerge w:val="restart"/>
          </w:tcPr>
          <w:p>
            <w:pPr>
              <w:jc w:val="right"/>
              <w:ind w:right="74"/>
              <w:spacing w:after="0"/>
              <w:rPr>
                <w:sz w:val="20"/>
                <w:szCs w:val="20"/>
                <w:color w:val="auto"/>
              </w:rPr>
            </w:pPr>
            <w:r>
              <w:rPr>
                <w:rFonts w:ascii="Arial" w:cs="Arial" w:eastAsia="Arial" w:hAnsi="Arial"/>
                <w:sz w:val="5"/>
                <w:szCs w:val="5"/>
                <w:color w:val="105BAB"/>
                <w:w w:val="70"/>
              </w:rPr>
              <w:t>2</w:t>
            </w:r>
          </w:p>
        </w:tc>
        <w:tc>
          <w:tcPr>
            <w:tcW w:w="112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
        </w:trPr>
        <w:tc>
          <w:tcPr>
            <w:tcW w:w="120" w:type="dxa"/>
            <w:vAlign w:val="bottom"/>
            <w:gridSpan w:val="2"/>
            <w:vMerge w:val="continue"/>
          </w:tcPr>
          <w:p>
            <w:pPr>
              <w:spacing w:after="0"/>
              <w:rPr>
                <w:sz w:val="5"/>
                <w:szCs w:val="5"/>
                <w:color w:val="auto"/>
              </w:rPr>
            </w:pPr>
          </w:p>
        </w:tc>
        <w:tc>
          <w:tcPr>
            <w:tcW w:w="1132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w w:val="96"/>
              </w:rPr>
              <w:t>Equal to the estimated cost of providing each NEO and his dependents medical, dental, vision, disability, and life insurance coverage for twenty-four months, plus the estimated cost of providing each NEO tax and financial planning advisory services for twenty-four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gridSpan w:val="2"/>
            <w:vMerge w:val="restart"/>
          </w:tcPr>
          <w:p>
            <w:pPr>
              <w:jc w:val="right"/>
              <w:ind w:right="74"/>
              <w:spacing w:after="0"/>
              <w:rPr>
                <w:sz w:val="20"/>
                <w:szCs w:val="20"/>
                <w:color w:val="auto"/>
              </w:rPr>
            </w:pPr>
            <w:r>
              <w:rPr>
                <w:rFonts w:ascii="Arial" w:cs="Arial" w:eastAsia="Arial" w:hAnsi="Arial"/>
                <w:sz w:val="5"/>
                <w:szCs w:val="5"/>
                <w:color w:val="105BAB"/>
                <w:w w:val="70"/>
              </w:rPr>
              <w:t>3</w:t>
            </w:r>
          </w:p>
        </w:tc>
        <w:tc>
          <w:tcPr>
            <w:tcW w:w="1132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months.</w:t>
            </w:r>
          </w:p>
        </w:tc>
        <w:tc>
          <w:tcPr>
            <w:tcW w:w="0" w:type="dxa"/>
            <w:vAlign w:val="bottom"/>
          </w:tcPr>
          <w:p>
            <w:pPr>
              <w:spacing w:after="0"/>
              <w:rPr>
                <w:sz w:val="1"/>
                <w:szCs w:val="1"/>
                <w:color w:val="auto"/>
              </w:rPr>
            </w:pPr>
          </w:p>
        </w:tc>
      </w:tr>
      <w:tr>
        <w:trPr>
          <w:trHeight w:val="62"/>
        </w:trPr>
        <w:tc>
          <w:tcPr>
            <w:tcW w:w="120" w:type="dxa"/>
            <w:vAlign w:val="bottom"/>
            <w:gridSpan w:val="2"/>
            <w:vMerge w:val="continue"/>
          </w:tcPr>
          <w:p>
            <w:pPr>
              <w:spacing w:after="0"/>
              <w:rPr>
                <w:sz w:val="5"/>
                <w:szCs w:val="5"/>
                <w:color w:val="auto"/>
              </w:rPr>
            </w:pPr>
          </w:p>
        </w:tc>
        <w:tc>
          <w:tcPr>
            <w:tcW w:w="1132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w w:val="95"/>
              </w:rPr>
              <w:t>For Mr. Landry, the amount consists of the value of unvested restricted stock held by Mr. Landry as of December 31, 2017 based on the closing sales price per share of the Company's common stock on the NASDAQ Global Select Market on December 29, 2017, the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gridSpan w:val="2"/>
            <w:vMerge w:val="restart"/>
          </w:tcPr>
          <w:p>
            <w:pPr>
              <w:jc w:val="right"/>
              <w:ind w:right="74"/>
              <w:spacing w:after="0"/>
              <w:rPr>
                <w:sz w:val="20"/>
                <w:szCs w:val="20"/>
                <w:color w:val="auto"/>
              </w:rPr>
            </w:pPr>
            <w:r>
              <w:rPr>
                <w:rFonts w:ascii="Arial" w:cs="Arial" w:eastAsia="Arial" w:hAnsi="Arial"/>
                <w:sz w:val="5"/>
                <w:szCs w:val="5"/>
                <w:color w:val="105BAB"/>
                <w:w w:val="70"/>
              </w:rPr>
              <w:t>4</w:t>
            </w:r>
          </w:p>
        </w:tc>
        <w:tc>
          <w:tcPr>
            <w:tcW w:w="1132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last business day of 2017, of $375.96. No amounts are included for the value of accelerated stock options as all unvested options held by the NEOs as of December 31, 2017 had an exercise price that exceeded the December 29, 2017 closing sales price.</w:t>
            </w:r>
          </w:p>
        </w:tc>
        <w:tc>
          <w:tcPr>
            <w:tcW w:w="0" w:type="dxa"/>
            <w:vAlign w:val="bottom"/>
          </w:tcPr>
          <w:p>
            <w:pPr>
              <w:spacing w:after="0"/>
              <w:rPr>
                <w:sz w:val="1"/>
                <w:szCs w:val="1"/>
                <w:color w:val="auto"/>
              </w:rPr>
            </w:pPr>
          </w:p>
        </w:tc>
      </w:tr>
      <w:tr>
        <w:trPr>
          <w:trHeight w:val="62"/>
        </w:trPr>
        <w:tc>
          <w:tcPr>
            <w:tcW w:w="120" w:type="dxa"/>
            <w:vAlign w:val="bottom"/>
            <w:gridSpan w:val="2"/>
            <w:vMerge w:val="continue"/>
          </w:tcPr>
          <w:p>
            <w:pPr>
              <w:spacing w:after="0"/>
              <w:rPr>
                <w:sz w:val="5"/>
                <w:szCs w:val="5"/>
                <w:color w:val="auto"/>
              </w:rPr>
            </w:pPr>
          </w:p>
        </w:tc>
        <w:tc>
          <w:tcPr>
            <w:tcW w:w="1132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rPr>
              <w:t>We have determined that all of the NEOs listed in the table above would have been under their applicable "golden parachute" safe harbor limits and not subject to any cutbacks or excise taxes if terminated on December 31, 2017.</w:t>
            </w:r>
          </w:p>
        </w:tc>
        <w:tc>
          <w:tcPr>
            <w:tcW w:w="0" w:type="dxa"/>
            <w:vAlign w:val="bottom"/>
          </w:tcPr>
          <w:p>
            <w:pPr>
              <w:spacing w:after="0"/>
              <w:rPr>
                <w:sz w:val="1"/>
                <w:szCs w:val="1"/>
                <w:color w:val="auto"/>
              </w:rPr>
            </w:pPr>
          </w:p>
        </w:tc>
      </w:tr>
      <w:tr>
        <w:trPr>
          <w:trHeight w:val="46"/>
        </w:trPr>
        <w:tc>
          <w:tcPr>
            <w:tcW w:w="120" w:type="dxa"/>
            <w:vAlign w:val="bottom"/>
            <w:gridSpan w:val="2"/>
            <w:vMerge w:val="restart"/>
          </w:tcPr>
          <w:p>
            <w:pPr>
              <w:jc w:val="right"/>
              <w:ind w:right="74"/>
              <w:spacing w:after="0"/>
              <w:rPr>
                <w:sz w:val="20"/>
                <w:szCs w:val="20"/>
                <w:color w:val="auto"/>
              </w:rPr>
            </w:pPr>
            <w:r>
              <w:rPr>
                <w:rFonts w:ascii="Arial" w:cs="Arial" w:eastAsia="Arial" w:hAnsi="Arial"/>
                <w:sz w:val="5"/>
                <w:szCs w:val="5"/>
                <w:color w:val="105BAB"/>
                <w:w w:val="70"/>
              </w:rPr>
              <w:t>5</w:t>
            </w:r>
          </w:p>
        </w:tc>
        <w:tc>
          <w:tcPr>
            <w:tcW w:w="1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120" w:type="dxa"/>
            <w:vAlign w:val="bottom"/>
            <w:gridSpan w:val="2"/>
            <w:vMerge w:val="continue"/>
          </w:tcPr>
          <w:p>
            <w:pPr>
              <w:spacing w:after="0"/>
              <w:rPr>
                <w:sz w:val="5"/>
                <w:szCs w:val="5"/>
                <w:color w:val="auto"/>
              </w:rPr>
            </w:pPr>
          </w:p>
        </w:tc>
        <w:tc>
          <w:tcPr>
            <w:tcW w:w="11320" w:type="dxa"/>
            <w:vAlign w:val="bottom"/>
            <w:gridSpan w:val="2"/>
            <w:vMerge w:val="restart"/>
          </w:tcPr>
          <w:p>
            <w:pPr>
              <w:ind w:left="80"/>
              <w:spacing w:after="0" w:line="108" w:lineRule="exact"/>
              <w:rPr>
                <w:sz w:val="20"/>
                <w:szCs w:val="20"/>
                <w:color w:val="auto"/>
              </w:rPr>
            </w:pPr>
            <w:r>
              <w:rPr>
                <w:rFonts w:ascii="Arial" w:cs="Arial" w:eastAsia="Arial" w:hAnsi="Arial"/>
                <w:sz w:val="10"/>
                <w:szCs w:val="10"/>
                <w:color w:val="auto"/>
                <w:w w:val="96"/>
              </w:rPr>
              <w:t>For purposes of these calculations, (i) we used base salaries as of December 31, 2017 and annual cash incentives paid to the NEOs for performance in 2014, 2015, and 2016, respectively; (ii) we assumed that each NEO received his annual cash incentive that was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200"/>
        <w:spacing w:after="0" w:line="296" w:lineRule="auto"/>
        <w:rPr>
          <w:sz w:val="20"/>
          <w:szCs w:val="20"/>
          <w:color w:val="auto"/>
        </w:rPr>
      </w:pPr>
      <w:r>
        <w:rPr>
          <w:rFonts w:ascii="Arial" w:cs="Arial" w:eastAsia="Arial" w:hAnsi="Arial"/>
          <w:sz w:val="8"/>
          <w:szCs w:val="8"/>
          <w:color w:val="auto"/>
        </w:rPr>
        <w:t>earned in 2017 and paid in 2018 (described in the Summary Compensation Table above); (iii) we took into consideration, for purposes of determining whether each NEO was subject to a reduction under the terms of the change in control severance plan, the fact that each NEO's stock options vest in full following an involuntary termination without Cause or termination for Good Reason following a change in control (parachute payments for time vesting stock options and restricted stock were valued using Internal Revenue Code Treas. Reg. Section 1.28G-1 Q&amp;A 24(c)); (iv) we assumed a 7% annual increase in medical premiums, 5% annual increase in dental premiums, 4% increase in vision premiums, and no increase in disability or life insurance premiums or employer cost of tax and financial planning advisory services for 2018 and 2019; (v) we assumed that the medical insurance benefits received in 2018 and 2019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NEOs would be subject to potential delays upon separation of service under Section 409A of the Internal Revenue Code, we did not attempt to determine which, if any, payments would be delayed.</w:t>
      </w:r>
    </w:p>
    <w:p>
      <w:pPr>
        <w:spacing w:after="0" w:line="213"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1" w:right="21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7"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8"/>
          <w:szCs w:val="28"/>
          <w:color w:val="FFFFFE"/>
        </w:rPr>
        <w:t>ADDITIONAL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2923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line="259" w:lineRule="auto"/>
        <w:rPr>
          <w:sz w:val="20"/>
          <w:szCs w:val="20"/>
          <w:color w:val="auto"/>
        </w:rPr>
      </w:pPr>
      <w:r>
        <w:rPr>
          <w:rFonts w:ascii="Arial" w:cs="Arial" w:eastAsia="Arial" w:hAnsi="Arial"/>
          <w:sz w:val="21"/>
          <w:szCs w:val="21"/>
          <w:color w:val="105BAB"/>
        </w:rPr>
        <w:t>ANNUAL CASH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For 2017 annual cash incentives for the NEOs, we set up a cash incentive pool and a R&amp;D-related performance goal consisting of the submission of one or more Investigational New Drug Applications with the FDA (or its equivalent outside the United States). The Compensation Committee determined that Regeneron's performance in 2017 exceeded the established goal, thus enabling the funding of the cash incentive pool. The Compensation Committee then exercised "negative discretion" (as permitted under the Plan) to reduce the annual cash incentive amounts otherwise payable to the NEOs according to the cash incentive pool formula. This negative discretion was exercised based on the Compensation Committee's analysis of all of the relevant facts and circumstances, including the NEOs respective target cash incentive amounts and individual performance in 2017.</w:t>
      </w:r>
    </w:p>
    <w:p>
      <w:pPr>
        <w:spacing w:after="0" w:line="131"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The targets for the 2017 annual cash incentives for the NEOs were set as percentages of their respective base salaries as follows: Dr. Schleifer—120%; Dr. Yancopoulos—120%; Mr. Landry— 50%; Dr. Stahl—60%; and Mr. Van Plew—60%. For 2017, Dr. Schleifer's target cash compensation was set to remain below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base salary and cash incentive for 2017 would be set at 85% of Dr. Schleifer's. In determining the cash incentive targets for 2017 for Mr. Landry, Dr. Stahl, and Mr. Van Plew, the Compensation Committee took into consideration the compensation of similarly situated executive officers at companies in the Peer Group.</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The cash incentives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NEO based on the Committee's assessment of the Company's performance relative to the general corporate goals described below and, in the case of each of Mr. Landry, Dr. Stahl, and Mr. Van Plew, the NEO's personal performance during the year.</w:t>
      </w:r>
    </w:p>
    <w:p>
      <w:pPr>
        <w:spacing w:after="0" w:line="130"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The pipeline-related factors that contributed most to the Compensation Committee's determination of the Company performance multiplier (which was set at 1.6 for 2017) are summarized in the subsection "Compensation Discussion and Analysis—Components of Named Executive Officer Pay and Reasons for Using Them: What We Pay and Why We Pay It—Annual Cash Incentive."</w:t>
      </w:r>
    </w:p>
    <w:p>
      <w:pPr>
        <w:spacing w:after="0" w:line="107" w:lineRule="exact"/>
        <w:rPr>
          <w:sz w:val="20"/>
          <w:szCs w:val="20"/>
          <w:color w:val="auto"/>
        </w:rPr>
      </w:pPr>
    </w:p>
    <w:p>
      <w:pPr>
        <w:sectPr>
          <w:pgSz w:w="11900" w:h="16838" w:orient="portrait"/>
          <w:cols w:equalWidth="0" w:num="2">
            <w:col w:w="1140" w:space="380"/>
            <w:col w:w="9960"/>
          </w:cols>
          <w:pgMar w:left="220" w:top="142" w:right="199" w:bottom="1440" w:gutter="0" w:footer="0" w:header="0"/>
          <w:type w:val="continuous"/>
        </w:sectPr>
      </w:pPr>
    </w:p>
    <w:p>
      <w:pPr>
        <w:ind w:left="340"/>
        <w:spacing w:after="0"/>
        <w:rPr>
          <w:sz w:val="20"/>
          <w:szCs w:val="20"/>
          <w:color w:val="auto"/>
        </w:rPr>
      </w:pPr>
      <w:r>
        <w:rPr>
          <w:rFonts w:ascii="Arial" w:cs="Arial" w:eastAsia="Arial" w:hAnsi="Arial"/>
          <w:sz w:val="8"/>
          <w:szCs w:val="8"/>
          <w:b w:val="1"/>
          <w:bCs w:val="1"/>
          <w:color w:val="FFFFFE"/>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85750" cy="685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7299325" cy="184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91" w:name="page92"/>
    <w:bookmarkEnd w:id="91"/>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105BAB"/>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92646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26465" cy="571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105BAB"/>
        </w:rPr>
        <w:t>AND</w:t>
      </w:r>
    </w:p>
    <w:p>
      <w:pPr>
        <w:spacing w:after="0"/>
        <w:rPr>
          <w:sz w:val="20"/>
          <w:szCs w:val="20"/>
          <w:color w:val="auto"/>
        </w:rPr>
      </w:pPr>
      <w:r>
        <w:rPr>
          <w:rFonts w:ascii="Arial" w:cs="Arial" w:eastAsia="Arial" w:hAnsi="Arial"/>
          <w:sz w:val="22"/>
          <w:szCs w:val="22"/>
          <w:color w:val="105BAB"/>
        </w:rPr>
        <w:t>PERSONAL</w:t>
      </w:r>
    </w:p>
    <w:p>
      <w:pPr>
        <w:spacing w:after="0"/>
        <w:rPr>
          <w:sz w:val="20"/>
          <w:szCs w:val="20"/>
          <w:color w:val="auto"/>
        </w:rPr>
      </w:pPr>
      <w:r>
        <w:rPr>
          <w:rFonts w:ascii="Arial" w:cs="Arial" w:eastAsia="Arial" w:hAnsi="Arial"/>
          <w:sz w:val="22"/>
          <w:szCs w:val="22"/>
          <w:color w:val="105BAB"/>
        </w:rPr>
        <w:t>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spacing w:after="0" w:line="236" w:lineRule="auto"/>
        <w:rPr>
          <w:sz w:val="20"/>
          <w:szCs w:val="20"/>
          <w:color w:val="auto"/>
        </w:rPr>
      </w:pPr>
      <w:r>
        <w:rPr>
          <w:rFonts w:ascii="Arial" w:cs="Arial" w:eastAsia="Arial" w:hAnsi="Arial"/>
          <w:sz w:val="12"/>
          <w:szCs w:val="12"/>
          <w:color w:val="auto"/>
        </w:rPr>
        <w:t>With respect to 2017, the Compensation Committee approved a personal performance multiplier of 1.5 for each of Mr. Landry, Dr. Stahl, and Mr. Van Plew. The personal performance component accounted for 40% of these NEOs' cash incentives. The Company component was based on a Company performance multiplier that was determined based on the Company's overall corporate performance (as described above) against 2017 goals that were approved by the board of directors in January 2017. This Company performance component accounted for 60% of the cash incentives awarded to Mr. Landry, Dr. Stahl, and Mr. Van Plew. In the case of Drs. Schleifer and Yancopoulos, the Compensation Committee focused exclusively on overall Company performance in 2017 (as described above) when determining their cash incentives and did not utilize a personal performance multiplier.</w:t>
      </w:r>
    </w:p>
    <w:p>
      <w:pPr>
        <w:spacing w:after="0" w:line="132"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In determining the personal performance multiplier for Mr. Landry, the Compensation Committee gave special consideration to Mr. Landry's leadership of and accomplishments in the Company's accounting and finance functions and across his other responsibilities, including the successful completion of the lease financing transaction relating to Regeneron's Tarrytown, New York facility and acquisition of additional office space to support the growth of our existing Tarrytown facilities. In the case of Dr. Stahl, the Compensation Committee focused on the progress and continued expansion of the Company's preclinical and clinical development pipeline, including the regulatory approvals and positive results from the Company's clinical trials reported in 2017, as summarized in the subsection "Compensation Discussion and Analysis—Components of Named Executive Officer Pay and Reasons for Using Them: What We Pay and Why We Pay It—Annual Cash Incentive" above. In the case of Mr. Van Plew, the Compensation Committee focused primarily on Mr. Van Plew's leadership of and accomplishments in the Company's Industrial Operations and Product Supply organization, including with respect to expanded manufacturing capacities, preparations for new product launches, successful technology transfer of commercial manufacturing of certain Company products between Regeneron's Rensselaer, New York and Raheen, Ireland facilities, and successful completion of all regulatory audits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629729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97295" cy="5715"/>
                    </a:xfrm>
                    <a:prstGeom prst="rect">
                      <a:avLst/>
                    </a:prstGeom>
                    <a:noFill/>
                  </pic:spPr>
                </pic:pic>
              </a:graphicData>
            </a:graphic>
          </wp:anchor>
        </w:drawing>
      </w:r>
    </w:p>
    <w:p>
      <w:pPr>
        <w:spacing w:after="0" w:line="259"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8% with respect to 2015, 2016, and 2017), up to a maximum level established under the Internal Revenue Code. Each of our NEOs participated in our 401(k) Savings Plan during 2017 and received a matching contribution in the aggregate amount of $10,800 ($9,000 in the case of Mr. Van Plew) in the form of shares of our common stock. The contribution was paid in February 2018 and is included in the compensation amounts reported for each of our NEOs in the Summary Compensation Table included in this proxy statement. As with all employees, the number of shares of common stock that each NEO received was determined using the average market price per share of our common stock during the 401(k) Savings Plan year, which for 2017 was $422.46.</w:t>
      </w:r>
    </w:p>
    <w:p>
      <w:pPr>
        <w:spacing w:after="0" w:line="192" w:lineRule="exact"/>
        <w:rPr>
          <w:sz w:val="20"/>
          <w:szCs w:val="20"/>
          <w:color w:val="auto"/>
        </w:rPr>
      </w:pPr>
    </w:p>
    <w:p>
      <w:pPr>
        <w:ind w:left="9460"/>
        <w:spacing w:after="0"/>
        <w:rPr>
          <w:sz w:val="20"/>
          <w:szCs w:val="20"/>
          <w:color w:val="auto"/>
        </w:rPr>
      </w:pPr>
      <w:r>
        <w:rPr>
          <w:rFonts w:ascii="Arial" w:cs="Arial" w:eastAsia="Arial" w:hAnsi="Arial"/>
          <w:sz w:val="10"/>
          <w:szCs w:val="10"/>
          <w:b w:val="1"/>
          <w:bCs w:val="1"/>
          <w:color w:val="FFFFFE"/>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-66675</wp:posOffset>
            </wp:positionV>
            <wp:extent cx="285750" cy="685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89535</wp:posOffset>
            </wp:positionV>
            <wp:extent cx="7299325" cy="184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1440" w:space="120"/>
            <w:col w:w="9900"/>
          </w:cols>
          <w:pgMar w:left="220" w:top="142" w:right="219" w:bottom="1440" w:gutter="0" w:footer="0" w:header="0"/>
          <w:type w:val="continuous"/>
        </w:sectPr>
      </w:pPr>
    </w:p>
    <w:bookmarkStart w:id="92" w:name="page93"/>
    <w:bookmarkEnd w:id="92"/>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20"/>
        <w:spacing w:after="0" w:line="236" w:lineRule="auto"/>
        <w:rPr>
          <w:sz w:val="20"/>
          <w:szCs w:val="20"/>
          <w:color w:val="auto"/>
        </w:rPr>
      </w:pPr>
      <w:r>
        <w:rPr>
          <w:rFonts w:ascii="Arial" w:cs="Arial" w:eastAsia="Arial" w:hAnsi="Arial"/>
          <w:sz w:val="12"/>
          <w:szCs w:val="12"/>
          <w:color w:val="auto"/>
        </w:rPr>
        <w:t>In order to ensure increased efficiencies and to provide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$250,000 in incremental cost (as defined below) annually for each of Drs. Schleifer and Yancopoulos. Family members or other guests may accompany our NEOs and directors during Company-provided air business travel, space permitting, so long as they cover any incremental cost related to such guests (other than with respect to the family members of Drs. Schleifer and Yancopoulos as described above). In addition, in limited circumstances personal use of Company-provided air travel by our other NEOs or directors may be permitted if authorized by the Chairman and any incremental cost is paid by the lead passenger. Any required reimbursement or other payment of the incremental cost is made to the extent permitted by applicable Federal Aviation Administration rules.</w:t>
      </w:r>
    </w:p>
    <w:p>
      <w:pPr>
        <w:spacing w:after="0" w:line="130" w:lineRule="exact"/>
        <w:rPr>
          <w:sz w:val="20"/>
          <w:szCs w:val="20"/>
          <w:color w:val="auto"/>
        </w:rPr>
      </w:pPr>
    </w:p>
    <w:p>
      <w:pPr>
        <w:ind w:left="1520" w:right="40"/>
        <w:spacing w:after="0" w:line="236" w:lineRule="auto"/>
        <w:rPr>
          <w:sz w:val="20"/>
          <w:szCs w:val="20"/>
          <w:color w:val="auto"/>
        </w:rPr>
      </w:pPr>
      <w:r>
        <w:rPr>
          <w:rFonts w:ascii="Arial" w:cs="Arial" w:eastAsia="Arial" w:hAnsi="Arial"/>
          <w:sz w:val="12"/>
          <w:szCs w:val="12"/>
          <w:color w:val="auto"/>
        </w:rPr>
        <w:t>We determine the incremental cost of any Company-provided personal or guest air travel based on the direct variable operating cost. Items included in the calculation include (as applicable) fuel costs; landing, hangar or aircraft parking, and ground handling fees; in-flight catering; travel, lodging, and other expenses for flight crew; and other trip-related variable cost, including per hour accruals for maintenance service plans and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incremental cost calculation.</w:t>
      </w:r>
    </w:p>
    <w:p>
      <w:pPr>
        <w:spacing w:after="0" w:line="130" w:lineRule="exact"/>
        <w:rPr>
          <w:sz w:val="20"/>
          <w:szCs w:val="20"/>
          <w:color w:val="auto"/>
        </w:rPr>
      </w:pPr>
    </w:p>
    <w:p>
      <w:pPr>
        <w:ind w:left="1520" w:right="60"/>
        <w:spacing w:after="0" w:line="237" w:lineRule="auto"/>
        <w:rPr>
          <w:sz w:val="20"/>
          <w:szCs w:val="20"/>
          <w:color w:val="auto"/>
        </w:rPr>
      </w:pPr>
      <w:r>
        <w:rPr>
          <w:rFonts w:ascii="Arial" w:cs="Arial" w:eastAsia="Arial" w:hAnsi="Arial"/>
          <w:sz w:val="12"/>
          <w:szCs w:val="12"/>
          <w:color w:val="auto"/>
        </w:rPr>
        <w:t>We calculate the incremental costs of the secure car transportation provided by Regeneron as the average fuel cost per mile times total personal use miles plus the contractor rate (if any), salary, taxes, and benefits of drivers attributed to personal use based on the number of personal hours driven. Fixed lease costs and routine maintenance that would have been incurred in any event are not included.</w:t>
      </w:r>
    </w:p>
    <w:p>
      <w:pPr>
        <w:spacing w:after="0" w:line="132" w:lineRule="exact"/>
        <w:rPr>
          <w:sz w:val="20"/>
          <w:szCs w:val="20"/>
          <w:color w:val="auto"/>
        </w:rPr>
      </w:pPr>
    </w:p>
    <w:p>
      <w:pPr>
        <w:ind w:left="1520" w:right="180"/>
        <w:spacing w:after="0" w:line="239" w:lineRule="auto"/>
        <w:rPr>
          <w:sz w:val="20"/>
          <w:szCs w:val="20"/>
          <w:color w:val="auto"/>
        </w:rPr>
      </w:pPr>
      <w:r>
        <w:rPr>
          <w:rFonts w:ascii="Arial" w:cs="Arial" w:eastAsia="Arial" w:hAnsi="Arial"/>
          <w:sz w:val="12"/>
          <w:szCs w:val="12"/>
          <w:color w:val="auto"/>
        </w:rPr>
        <w:t>Amounts associated with personal or guest Company-provided air and secure car transportation are imputed as income to the NEOs to the extent required by applicable tax regulations. The NEOs do not receive a tax gross-up from us to cover their personal income tax obligations in respect of any such imputed income.</w:t>
      </w:r>
    </w:p>
    <w:p>
      <w:pPr>
        <w:spacing w:after="0" w:line="130" w:lineRule="exact"/>
        <w:rPr>
          <w:sz w:val="20"/>
          <w:szCs w:val="20"/>
          <w:color w:val="auto"/>
        </w:rPr>
      </w:pPr>
    </w:p>
    <w:p>
      <w:pPr>
        <w:ind w:left="1520" w:right="80"/>
        <w:spacing w:after="0" w:line="281" w:lineRule="auto"/>
        <w:rPr>
          <w:sz w:val="20"/>
          <w:szCs w:val="20"/>
          <w:color w:val="auto"/>
        </w:rPr>
      </w:pPr>
      <w:r>
        <w:rPr>
          <w:rFonts w:ascii="Arial" w:cs="Arial" w:eastAsia="Arial" w:hAnsi="Arial"/>
          <w:sz w:val="11"/>
          <w:szCs w:val="11"/>
          <w:color w:val="auto"/>
        </w:rPr>
        <w:t>The amounts disclosed in the "All other compensation" column of the Summary Compensation Table relating to personal and guest use of Company-provided air and secure car transportation in accordance with our security policy attributable to Drs. Schleifer and Yancopoulos are based on the incremental cost resulting from such transportation as described above.</w:t>
      </w:r>
    </w:p>
    <w:p>
      <w:pPr>
        <w:spacing w:after="0" w:line="109" w:lineRule="exact"/>
        <w:rPr>
          <w:sz w:val="20"/>
          <w:szCs w:val="20"/>
          <w:color w:val="auto"/>
        </w:rPr>
      </w:pPr>
    </w:p>
    <w:p>
      <w:pPr>
        <w:ind w:left="1520"/>
        <w:spacing w:after="0"/>
        <w:rPr>
          <w:sz w:val="20"/>
          <w:szCs w:val="20"/>
          <w:color w:val="auto"/>
        </w:rPr>
      </w:pPr>
      <w:r>
        <w:rPr>
          <w:rFonts w:ascii="Arial" w:cs="Arial" w:eastAsia="Arial" w:hAnsi="Arial"/>
          <w:sz w:val="12"/>
          <w:szCs w:val="12"/>
          <w:color w:val="auto"/>
        </w:rPr>
        <w:t>The Corporate Governance and Compliance Committee monitors business and any personal or guest Company-provided air travel on a periodic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20"/>
        <w:spacing w:after="0" w:line="236" w:lineRule="auto"/>
        <w:rPr>
          <w:sz w:val="20"/>
          <w:szCs w:val="20"/>
          <w:color w:val="auto"/>
        </w:rPr>
      </w:pPr>
      <w:r>
        <w:rPr>
          <w:rFonts w:ascii="Arial" w:cs="Arial" w:eastAsia="Arial" w:hAnsi="Arial"/>
          <w:sz w:val="12"/>
          <w:szCs w:val="12"/>
          <w:color w:val="auto"/>
        </w:rPr>
        <w:t>In 2017, we paid a $280,000 filing fee relating to the Hart-Scott-Rodino ("HSR") filing for Dr. Schleifer, as well as a tax "gross-up" payment of $243,618 to Dr. Schleifer to cover Dr. Schleifer's imputed income associated with the filing fee payment. The filing and the associated filing fee were triggered under the HSR regulations as a result of Dr. Schleifer's then-current and anticipated future total holdings of Regeneron stock exceeding a specified threshold. The Compensation Committee determined it appropriate to pay these amounts because the HSR filing obligation resulted from equity awards granted to Dr. Schleifer under the Company's compensation program and the price appreciation in Regeneron stock acquired by Dr. Schleifer over a period of time during which he made substantial contributions toward such appreciation. The Compensation Committee also recognized that Regeneron had required Dr. Schleifer (as well as other senior executives) to hold Regeneron stock under the Company's stock ownership guidelines and encouraged alignment of his interests with those of Regeneron's shareholders through share ownership.</w:t>
      </w:r>
    </w:p>
    <w:p>
      <w:pPr>
        <w:spacing w:after="0" w:line="131" w:lineRule="exact"/>
        <w:rPr>
          <w:sz w:val="20"/>
          <w:szCs w:val="20"/>
          <w:color w:val="auto"/>
        </w:rPr>
      </w:pPr>
    </w:p>
    <w:p>
      <w:pPr>
        <w:ind w:left="1520" w:right="100"/>
        <w:spacing w:after="0" w:line="239" w:lineRule="auto"/>
        <w:rPr>
          <w:sz w:val="20"/>
          <w:szCs w:val="20"/>
          <w:color w:val="auto"/>
        </w:rPr>
      </w:pPr>
      <w:r>
        <w:rPr>
          <w:rFonts w:ascii="Arial" w:cs="Arial" w:eastAsia="Arial" w:hAnsi="Arial"/>
          <w:sz w:val="12"/>
          <w:szCs w:val="12"/>
          <w:color w:val="auto"/>
        </w:rPr>
        <w:t>Additional information regarding perquisites and other personal benefits provided to our NEOs in, or with respect to, 2017 is given in the applicable footnotes to the Summary Compensation Table included in this proxy statement.</w:t>
      </w:r>
    </w:p>
    <w:p>
      <w:pPr>
        <w:spacing w:after="0" w:line="129"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142" w:right="319" w:bottom="1440" w:gutter="0" w:footer="0" w:header="0"/>
        </w:sectPr>
      </w:pPr>
    </w:p>
    <w:bookmarkStart w:id="94" w:name="page95"/>
    <w:bookmarkEnd w:id="94"/>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2923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21"/>
          <w:szCs w:val="21"/>
          <w:color w:val="105BAB"/>
        </w:rPr>
        <w:t>POTENTIAL SEVERANCE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37" w:lineRule="auto"/>
        <w:rPr>
          <w:sz w:val="20"/>
          <w:szCs w:val="20"/>
          <w:color w:val="auto"/>
        </w:rPr>
      </w:pPr>
      <w:r>
        <w:rPr>
          <w:rFonts w:ascii="Arial" w:cs="Arial" w:eastAsia="Arial" w:hAnsi="Arial"/>
          <w:sz w:val="12"/>
          <w:szCs w:val="12"/>
          <w:color w:val="auto"/>
        </w:rPr>
        <w:t>Except for Dr. Vagelos, outstanding stock option award agreements for all employees, as well as outstanding restricted stock award agreements, include a "double trigger" provision for the acceleration of vesting of unvested stock options or restricted stock upon a termination by the Company without cause or by the employee for good reason within two years following a change in control. Dr. Vagelos's stock option awards contain change-of-control provisions consistent with those of non-employee director stock option awards, as described under "Corporate Governance—Compensation of Directors" above.</w:t>
      </w:r>
    </w:p>
    <w:p>
      <w:pPr>
        <w:spacing w:after="0" w:line="347"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and restricted stock award agreements applicable to his awards granted since December 2015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"2017 Compensation Tables—Post-Employment Compensation."</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Except as provided in our employment agreement with our CEO and in our change in control severance plan, our NEOs will forfeit any unvested time-based stock options or restricted stock upon the termination of their employment for any reason (including disability or retirement) other than death. In the event of the death of an employee, any unvested stock options held by such employee become immediately exercisable, and any shares of restricted stock will become fully vested. For information regarding the value of accelerated stock options and shares of restricted stock held by our CEO and other NEOs as of December 31, 2017, see the subsection "2017 Compensation Tables—Post-Employment Compensation" under "Value of Accelerated Stock Options" in the table entitled "Potential Severance Payments under Dr. Schleifer's Employment Agreement" (for our CEO) and under "Value of Accelerated Stock Options/Restricted Stock" in the table entitled "Potential Payments under Change in Control Severance Plan" (for other NEOs).</w:t>
      </w:r>
    </w:p>
    <w:p>
      <w:pPr>
        <w:spacing w:after="0" w:line="132"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When employees (other than our CEO) retire, they forfeit all unvested time-based stock options and restricted stock. For all stock options granted prior to 2007, an employee (other than our CEO) who retires has up to two years to exercise stock options that are vested as of the date of his or her retirement. Commencing in 2007, we amended our forms of stock option agreement to allow an employee considered "retirement eligible" upon separation under our employee policies as in effect from time to time the remaining life of the 10-year stock option term to exercise stock options that are vested as of the date of his or her retirement.</w:t>
      </w:r>
    </w:p>
    <w:p>
      <w:pPr>
        <w:spacing w:after="0" w:line="130" w:lineRule="exact"/>
        <w:rPr>
          <w:sz w:val="20"/>
          <w:szCs w:val="20"/>
          <w:color w:val="auto"/>
        </w:rPr>
      </w:pPr>
    </w:p>
    <w:p>
      <w:pPr>
        <w:jc w:val="both"/>
        <w:ind w:right="140"/>
        <w:spacing w:after="0" w:line="237" w:lineRule="auto"/>
        <w:rPr>
          <w:sz w:val="20"/>
          <w:szCs w:val="20"/>
          <w:color w:val="auto"/>
        </w:rPr>
      </w:pPr>
      <w:r>
        <w:rPr>
          <w:rFonts w:ascii="Arial" w:cs="Arial" w:eastAsia="Arial" w:hAnsi="Arial"/>
          <w:sz w:val="12"/>
          <w:szCs w:val="12"/>
          <w:color w:val="auto"/>
        </w:rPr>
        <w:t>The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 severance benefits were established following a review of comparable practices at the Company's peer companies and with the advice of the Compensation Committee's consultant.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We have no pension, deferred compensation, or retirement plans, other than our 401(k) Savings Plan described above.</w:t>
      </w:r>
    </w:p>
    <w:p>
      <w:pPr>
        <w:spacing w:after="0" w:line="130" w:lineRule="exact"/>
        <w:rPr>
          <w:sz w:val="20"/>
          <w:szCs w:val="20"/>
          <w:color w:val="auto"/>
        </w:rPr>
      </w:pPr>
    </w:p>
    <w:p>
      <w:pPr>
        <w:sectPr>
          <w:pgSz w:w="11900" w:h="16838" w:orient="portrait"/>
          <w:cols w:equalWidth="0" w:num="2">
            <w:col w:w="1320" w:space="200"/>
            <w:col w:w="9940"/>
          </w:cols>
          <w:pgMar w:left="220" w:top="142" w:right="219" w:bottom="1440" w:gutter="0" w:footer="0" w:header="0"/>
          <w:type w:val="continuous"/>
        </w:sectPr>
      </w:pPr>
    </w:p>
    <w:p>
      <w:pPr>
        <w:ind w:left="340"/>
        <w:spacing w:after="0"/>
        <w:rPr>
          <w:sz w:val="20"/>
          <w:szCs w:val="20"/>
          <w:color w:val="auto"/>
        </w:rPr>
      </w:pPr>
      <w:r>
        <w:rPr>
          <w:rFonts w:ascii="Arial" w:cs="Arial" w:eastAsia="Arial" w:hAnsi="Arial"/>
          <w:sz w:val="8"/>
          <w:szCs w:val="8"/>
          <w:b w:val="1"/>
          <w:bCs w:val="1"/>
          <w:color w:val="FFFFFE"/>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85750" cy="685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104140</wp:posOffset>
            </wp:positionV>
            <wp:extent cx="7299325" cy="184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type w:val="continuous"/>
        </w:sectPr>
      </w:pPr>
    </w:p>
    <w:bookmarkStart w:id="95" w:name="page96"/>
    <w:bookmarkEnd w:id="95"/>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483235</wp:posOffset>
            </wp:positionV>
            <wp:extent cx="72923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00" w:type="dxa"/>
            <w:vAlign w:val="bottom"/>
            <w:vMerge w:val="restart"/>
          </w:tcPr>
          <w:p>
            <w:pPr>
              <w:spacing w:after="0"/>
              <w:rPr>
                <w:sz w:val="20"/>
                <w:szCs w:val="20"/>
                <w:color w:val="auto"/>
              </w:rPr>
            </w:pPr>
            <w:r>
              <w:rPr>
                <w:rFonts w:ascii="Arial" w:cs="Arial" w:eastAsia="Arial" w:hAnsi="Arial"/>
                <w:sz w:val="22"/>
                <w:szCs w:val="22"/>
                <w:color w:val="105BAB"/>
              </w:rPr>
              <w:t>PAY RATIO</w:t>
            </w: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w w:val="97"/>
              </w:rPr>
              <w:t>As required by Section 953(b) of the Dodd-Frank Wall Street Reform and Consumer Protection Act and Item 402(u) of Regulation S-K, we are required to disclose the median of the annual total</w:t>
            </w:r>
          </w:p>
        </w:tc>
        <w:tc>
          <w:tcPr>
            <w:tcW w:w="0" w:type="dxa"/>
            <w:vAlign w:val="bottom"/>
          </w:tcPr>
          <w:p>
            <w:pPr>
              <w:spacing w:after="0"/>
              <w:rPr>
                <w:sz w:val="1"/>
                <w:szCs w:val="1"/>
                <w:color w:val="auto"/>
              </w:rPr>
            </w:pPr>
          </w:p>
        </w:tc>
      </w:tr>
      <w:tr>
        <w:trPr>
          <w:trHeight w:val="140"/>
        </w:trPr>
        <w:tc>
          <w:tcPr>
            <w:tcW w:w="1300" w:type="dxa"/>
            <w:vAlign w:val="bottom"/>
            <w:vMerge w:val="continue"/>
          </w:tcPr>
          <w:p>
            <w:pPr>
              <w:spacing w:after="0"/>
              <w:rPr>
                <w:sz w:val="12"/>
                <w:szCs w:val="12"/>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w w:val="99"/>
              </w:rPr>
              <w:t>compensation of our employees (excluding our principal executive officer), the annual total compensation of our principal executive officer, Dr. Schleifer, and the ratio of these two amounts.</w:t>
            </w: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3"/>
                <w:szCs w:val="23"/>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w w:val="98"/>
              </w:rPr>
              <w:t>We have determined the total compensation of our median employee (based on the 2017 annual total compensation of our employees, excluding Dr. Schleifer) to be $123,418. The total 2017</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180" w:type="dxa"/>
            <w:vAlign w:val="bottom"/>
            <w:gridSpan w:val="2"/>
          </w:tcPr>
          <w:p>
            <w:pPr>
              <w:ind w:left="220"/>
              <w:spacing w:after="0" w:line="135" w:lineRule="exact"/>
              <w:rPr>
                <w:sz w:val="20"/>
                <w:szCs w:val="20"/>
                <w:color w:val="auto"/>
              </w:rPr>
            </w:pPr>
            <w:r>
              <w:rPr>
                <w:rFonts w:ascii="Arial" w:cs="Arial" w:eastAsia="Arial" w:hAnsi="Arial"/>
                <w:sz w:val="12"/>
                <w:szCs w:val="12"/>
                <w:color w:val="auto"/>
                <w:w w:val="99"/>
              </w:rPr>
              <w:t>compensation of Dr. Schleifer, as reported in the Summary Compensation Table above, was $26,508,058. Accordingly, the ratio of the 2017 annual total compensation of Dr. Schleifer to the</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rPr>
              <w:t>median of the 2017 annual total compensation of our employees was approximately 215 to 1.</w:t>
            </w: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3"/>
                <w:szCs w:val="23"/>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w w:val="97"/>
              </w:rPr>
              <w:t>We identified the median employee as of December 31, 2017 by (i) aggregating for each applicable employee (a) annual base salary for salaried employees (or wages plus overtime, based on</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18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annual work schedule, for permanent hourly employees), (b) the annual cash incentive, and (c) the grant date fair value of any equity awards granted during 2017, and (ii) ranking this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18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compensation measure from lowest to highest. This calculation was performed for all employees, excluding Dr. Schleifer, whether employed on a full-time, part-time, or seasonal basis. For</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rPr>
              <w:t>purposes of identifying the median employee, we converted amounts paid in foreign currencies to U.S. dollars based on the applicable 2017 average exchange rate.</w:t>
            </w: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3"/>
                <w:szCs w:val="23"/>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w w:val="99"/>
              </w:rPr>
              <w:t>We believe that the pay ratio reported above is a reasonable estimate calculated in a manner consistent with SEC rules based on our internal records and the methodology described above.</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180" w:type="dxa"/>
            <w:vAlign w:val="bottom"/>
            <w:gridSpan w:val="2"/>
          </w:tcPr>
          <w:p>
            <w:pPr>
              <w:ind w:left="220"/>
              <w:spacing w:after="0" w:line="135" w:lineRule="exact"/>
              <w:rPr>
                <w:sz w:val="20"/>
                <w:szCs w:val="20"/>
                <w:color w:val="auto"/>
              </w:rPr>
            </w:pPr>
            <w:r>
              <w:rPr>
                <w:rFonts w:ascii="Arial" w:cs="Arial" w:eastAsia="Arial" w:hAnsi="Arial"/>
                <w:sz w:val="12"/>
                <w:szCs w:val="12"/>
                <w:color w:val="auto"/>
                <w:w w:val="97"/>
              </w:rPr>
              <w:t>Because the SEC rules for identifying the median compensated employee and calculating the pay ratio based on that employee's annual total compensation allow companies to adopt a variety</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180" w:type="dxa"/>
            <w:vAlign w:val="bottom"/>
            <w:gridSpan w:val="2"/>
          </w:tcPr>
          <w:p>
            <w:pPr>
              <w:ind w:left="220"/>
              <w:spacing w:after="0" w:line="135" w:lineRule="exact"/>
              <w:rPr>
                <w:sz w:val="20"/>
                <w:szCs w:val="20"/>
                <w:color w:val="auto"/>
              </w:rPr>
            </w:pPr>
            <w:r>
              <w:rPr>
                <w:rFonts w:ascii="Arial" w:cs="Arial" w:eastAsia="Arial" w:hAnsi="Arial"/>
                <w:sz w:val="12"/>
                <w:szCs w:val="12"/>
                <w:color w:val="auto"/>
                <w:w w:val="97"/>
              </w:rPr>
              <w:t>of methodologies, to apply certain exclusions, and to make reasonable estimates and assumptions that reflect their employee populations and compensation practices, the pay ratio reported by</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180" w:type="dxa"/>
            <w:vAlign w:val="bottom"/>
            <w:gridSpan w:val="2"/>
          </w:tcPr>
          <w:p>
            <w:pPr>
              <w:ind w:left="220"/>
              <w:spacing w:after="0" w:line="135" w:lineRule="exact"/>
              <w:rPr>
                <w:sz w:val="20"/>
                <w:szCs w:val="20"/>
                <w:color w:val="auto"/>
              </w:rPr>
            </w:pPr>
            <w:r>
              <w:rPr>
                <w:rFonts w:ascii="Arial" w:cs="Arial" w:eastAsia="Arial" w:hAnsi="Arial"/>
                <w:sz w:val="12"/>
                <w:szCs w:val="12"/>
                <w:color w:val="auto"/>
              </w:rPr>
              <w:t>other companies may not be comparable to the pay ratio reported above, as other companies have different employee populations and compensation practices and may utilize different</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10180" w:type="dxa"/>
            <w:vAlign w:val="bottom"/>
            <w:gridSpan w:val="2"/>
          </w:tcPr>
          <w:p>
            <w:pPr>
              <w:ind w:left="220"/>
              <w:spacing w:after="0"/>
              <w:rPr>
                <w:sz w:val="20"/>
                <w:szCs w:val="20"/>
                <w:color w:val="auto"/>
              </w:rPr>
            </w:pPr>
            <w:r>
              <w:rPr>
                <w:rFonts w:ascii="Arial" w:cs="Arial" w:eastAsia="Arial" w:hAnsi="Arial"/>
                <w:sz w:val="12"/>
                <w:szCs w:val="12"/>
                <w:color w:val="auto"/>
              </w:rPr>
              <w:t>methodologies, exclusions, estimates, and assumptions in calculating their own pay ratios.</w:t>
            </w:r>
          </w:p>
        </w:tc>
        <w:tc>
          <w:tcPr>
            <w:tcW w:w="0" w:type="dxa"/>
            <w:vAlign w:val="bottom"/>
          </w:tcPr>
          <w:p>
            <w:pPr>
              <w:spacing w:after="0"/>
              <w:rPr>
                <w:sz w:val="1"/>
                <w:szCs w:val="1"/>
                <w:color w:val="auto"/>
              </w:rPr>
            </w:pPr>
          </w:p>
        </w:tc>
      </w:tr>
      <w:tr>
        <w:trPr>
          <w:trHeight w:val="137"/>
        </w:trPr>
        <w:tc>
          <w:tcPr>
            <w:tcW w:w="1300" w:type="dxa"/>
            <w:vAlign w:val="bottom"/>
          </w:tcPr>
          <w:p>
            <w:pPr>
              <w:spacing w:after="0"/>
              <w:rPr>
                <w:sz w:val="11"/>
                <w:szCs w:val="11"/>
                <w:color w:val="auto"/>
              </w:rPr>
            </w:pPr>
          </w:p>
        </w:tc>
        <w:tc>
          <w:tcPr>
            <w:tcW w:w="97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9720" w:type="dxa"/>
            <w:vAlign w:val="bottom"/>
            <w:vMerge w:val="continue"/>
          </w:tcPr>
          <w:p>
            <w:pPr>
              <w:spacing w:after="0"/>
              <w:rPr>
                <w:sz w:val="9"/>
                <w:szCs w:val="9"/>
                <w:color w:val="auto"/>
              </w:rPr>
            </w:pPr>
          </w:p>
        </w:tc>
        <w:tc>
          <w:tcPr>
            <w:tcW w:w="460" w:type="dxa"/>
            <w:vAlign w:val="bottom"/>
            <w:shd w:val="clear" w:color="auto" w:fill="105BAB"/>
          </w:tcPr>
          <w:p>
            <w:pPr>
              <w:jc w:val="right"/>
              <w:ind w:right="292"/>
              <w:spacing w:after="0" w:line="108" w:lineRule="exact"/>
              <w:rPr>
                <w:sz w:val="20"/>
                <w:szCs w:val="20"/>
                <w:color w:val="auto"/>
              </w:rPr>
            </w:pPr>
            <w:r>
              <w:rPr>
                <w:rFonts w:ascii="Arial" w:cs="Arial" w:eastAsia="Arial" w:hAnsi="Arial"/>
                <w:sz w:val="10"/>
                <w:szCs w:val="10"/>
                <w:b w:val="1"/>
                <w:bCs w:val="1"/>
                <w:color w:val="FFFFFE"/>
                <w:w w:val="89"/>
              </w:rPr>
              <w:t>85</w:t>
            </w:r>
          </w:p>
        </w:tc>
        <w:tc>
          <w:tcPr>
            <w:tcW w:w="0" w:type="dxa"/>
            <w:vAlign w:val="bottom"/>
          </w:tcPr>
          <w:p>
            <w:pPr>
              <w:spacing w:after="0"/>
              <w:rPr>
                <w:sz w:val="1"/>
                <w:szCs w:val="1"/>
                <w:color w:val="auto"/>
              </w:rPr>
            </w:pPr>
          </w:p>
        </w:tc>
      </w:tr>
      <w:tr>
        <w:trPr>
          <w:trHeight w:val="148"/>
        </w:trPr>
        <w:tc>
          <w:tcPr>
            <w:tcW w:w="1300" w:type="dxa"/>
            <w:vAlign w:val="bottom"/>
            <w:tcBorders>
              <w:bottom w:val="single" w:sz="8" w:color="808080"/>
            </w:tcBorders>
          </w:tcPr>
          <w:p>
            <w:pPr>
              <w:spacing w:after="0"/>
              <w:rPr>
                <w:sz w:val="12"/>
                <w:szCs w:val="12"/>
                <w:color w:val="auto"/>
              </w:rPr>
            </w:pPr>
          </w:p>
        </w:tc>
        <w:tc>
          <w:tcPr>
            <w:tcW w:w="97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96" w:name="page97"/>
    <w:bookmarkEnd w:id="96"/>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29234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05BAB"/>
        </w:rPr>
        <w:t>EQUITY</w:t>
      </w:r>
    </w:p>
    <w:p>
      <w:pPr>
        <w:spacing w:after="0"/>
        <w:rPr>
          <w:sz w:val="20"/>
          <w:szCs w:val="20"/>
          <w:color w:val="auto"/>
        </w:rPr>
      </w:pPr>
      <w:r>
        <w:rPr>
          <w:rFonts w:ascii="Arial" w:cs="Arial" w:eastAsia="Arial" w:hAnsi="Arial"/>
          <w:sz w:val="21"/>
          <w:szCs w:val="21"/>
          <w:color w:val="105BAB"/>
        </w:rPr>
        <w:t>COMPENSATION</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105BAB"/>
        </w:rPr>
        <w:t>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Corporate Governance Aspects of the Amended &amp; Restated Regeneron Pharmaceuticals, Inc. 2014 Long-Term Incentive Plan</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The Amended and Restated Regeneron Pharmaceuticals, Inc. 2014 Long-Term Incentive Plan (referred to in this subsection as the "Plan") is the only plan currently used by the Company to grant equity awards. The Plan was designed to promote best practices by reinforcing the alignment between equity compensation arrangements for employees and non-employee directors and the interests of shareholders. The provisions that promote such best practices include:</w:t>
      </w:r>
    </w:p>
    <w:p>
      <w:pPr>
        <w:spacing w:after="0" w:line="219" w:lineRule="exact"/>
        <w:rPr>
          <w:sz w:val="20"/>
          <w:szCs w:val="20"/>
          <w:color w:val="auto"/>
        </w:rPr>
      </w:pPr>
    </w:p>
    <w:p>
      <w:pPr>
        <w:sectPr>
          <w:pgSz w:w="11900" w:h="16838" w:orient="portrait"/>
          <w:cols w:equalWidth="0" w:num="2">
            <w:col w:w="1720" w:space="120"/>
            <w:col w:w="9640"/>
          </w:cols>
          <w:pgMar w:left="220" w:top="142" w:right="199" w:bottom="1440" w:gutter="0" w:footer="0" w:header="0"/>
          <w:type w:val="continuous"/>
        </w:sectPr>
      </w:pPr>
    </w:p>
    <w:tbl>
      <w:tblPr>
        <w:tblLayout w:type="fixed"/>
        <w:tblInd w:w="1840" w:type="dxa"/>
        <w:tblCellMar>
          <w:top w:w="0" w:type="dxa"/>
          <w:left w:w="0" w:type="dxa"/>
          <w:bottom w:w="0" w:type="dxa"/>
          <w:right w:w="0" w:type="dxa"/>
        </w:tblCellMar>
      </w:tblPr>
      <w:tr>
        <w:trPr>
          <w:trHeight w:val="117"/>
        </w:trPr>
        <w:tc>
          <w:tcPr>
            <w:tcW w:w="1200" w:type="dxa"/>
            <w:vAlign w:val="bottom"/>
            <w:tcBorders>
              <w:bottom w:val="single" w:sz="8" w:color="105BAB"/>
            </w:tcBorders>
          </w:tcPr>
          <w:p>
            <w:pPr>
              <w:ind w:left="360"/>
              <w:spacing w:after="0"/>
              <w:rPr>
                <w:sz w:val="20"/>
                <w:szCs w:val="20"/>
                <w:color w:val="auto"/>
              </w:rPr>
            </w:pPr>
            <w:r>
              <w:rPr>
                <w:rFonts w:ascii="Arial" w:cs="Arial" w:eastAsia="Arial" w:hAnsi="Arial"/>
                <w:sz w:val="10"/>
                <w:szCs w:val="10"/>
                <w:b w:val="1"/>
                <w:bCs w:val="1"/>
                <w:color w:val="105BAB"/>
              </w:rPr>
              <w:t>Provision</w:t>
            </w:r>
          </w:p>
        </w:tc>
        <w:tc>
          <w:tcPr>
            <w:tcW w:w="8440" w:type="dxa"/>
            <w:vAlign w:val="bottom"/>
            <w:tcBorders>
              <w:bottom w:val="single" w:sz="8" w:color="105BAB"/>
            </w:tcBorders>
          </w:tcPr>
          <w:p>
            <w:pPr>
              <w:ind w:left="3980"/>
              <w:spacing w:after="0"/>
              <w:rPr>
                <w:sz w:val="20"/>
                <w:szCs w:val="20"/>
                <w:color w:val="auto"/>
              </w:rPr>
            </w:pPr>
            <w:r>
              <w:rPr>
                <w:rFonts w:ascii="Arial" w:cs="Arial" w:eastAsia="Arial" w:hAnsi="Arial"/>
                <w:sz w:val="10"/>
                <w:szCs w:val="10"/>
                <w:b w:val="1"/>
                <w:bCs w:val="1"/>
                <w:color w:val="105BAB"/>
              </w:rPr>
              <w:t>Description</w:t>
            </w:r>
          </w:p>
        </w:tc>
        <w:tc>
          <w:tcPr>
            <w:tcW w:w="0" w:type="dxa"/>
            <w:vAlign w:val="bottom"/>
          </w:tcPr>
          <w:p>
            <w:pPr>
              <w:spacing w:after="0"/>
              <w:rPr>
                <w:sz w:val="1"/>
                <w:szCs w:val="1"/>
                <w:color w:val="auto"/>
              </w:rPr>
            </w:pPr>
          </w:p>
        </w:tc>
      </w:tr>
      <w:tr>
        <w:trPr>
          <w:trHeight w:val="208"/>
        </w:trPr>
        <w:tc>
          <w:tcPr>
            <w:tcW w:w="1200" w:type="dxa"/>
            <w:vAlign w:val="bottom"/>
            <w:shd w:val="clear" w:color="auto" w:fill="F1F3F9"/>
          </w:tcPr>
          <w:p>
            <w:pPr>
              <w:ind w:left="40"/>
              <w:spacing w:after="0"/>
              <w:rPr>
                <w:sz w:val="20"/>
                <w:szCs w:val="20"/>
                <w:color w:val="auto"/>
              </w:rPr>
            </w:pPr>
            <w:r>
              <w:rPr>
                <w:rFonts w:ascii="Arial" w:cs="Arial" w:eastAsia="Arial" w:hAnsi="Arial"/>
                <w:sz w:val="10"/>
                <w:szCs w:val="10"/>
                <w:color w:val="auto"/>
              </w:rPr>
              <w:t>No Discounted Stock</w:t>
            </w:r>
          </w:p>
        </w:tc>
        <w:tc>
          <w:tcPr>
            <w:tcW w:w="8440" w:type="dxa"/>
            <w:vAlign w:val="bottom"/>
            <w:vMerge w:val="restart"/>
            <w:shd w:val="clear" w:color="auto" w:fill="F1F3F9"/>
          </w:tcPr>
          <w:p>
            <w:pPr>
              <w:ind w:left="60"/>
              <w:spacing w:after="0"/>
              <w:rPr>
                <w:sz w:val="20"/>
                <w:szCs w:val="20"/>
                <w:color w:val="auto"/>
              </w:rPr>
            </w:pPr>
            <w:r>
              <w:rPr>
                <w:rFonts w:ascii="Arial" w:cs="Arial" w:eastAsia="Arial" w:hAnsi="Arial"/>
                <w:sz w:val="10"/>
                <w:szCs w:val="10"/>
                <w:color w:val="auto"/>
              </w:rPr>
              <w:t>Stock options and stock appreciation rights are not granted with an exercise or base price less than the fair market value of common stock (as defined in the Plan) on the date of grant.</w:t>
            </w:r>
          </w:p>
        </w:tc>
        <w:tc>
          <w:tcPr>
            <w:tcW w:w="0" w:type="dxa"/>
            <w:vAlign w:val="bottom"/>
          </w:tcPr>
          <w:p>
            <w:pPr>
              <w:spacing w:after="0"/>
              <w:rPr>
                <w:sz w:val="1"/>
                <w:szCs w:val="1"/>
                <w:color w:val="auto"/>
              </w:rPr>
            </w:pPr>
          </w:p>
        </w:tc>
      </w:tr>
      <w:tr>
        <w:trPr>
          <w:trHeight w:val="61"/>
        </w:trPr>
        <w:tc>
          <w:tcPr>
            <w:tcW w:w="1200" w:type="dxa"/>
            <w:vAlign w:val="bottom"/>
            <w:vMerge w:val="restart"/>
            <w:shd w:val="clear" w:color="auto" w:fill="F1F3F9"/>
          </w:tcPr>
          <w:p>
            <w:pPr>
              <w:ind w:left="40"/>
              <w:spacing w:after="0" w:line="108" w:lineRule="exact"/>
              <w:rPr>
                <w:sz w:val="20"/>
                <w:szCs w:val="20"/>
                <w:color w:val="auto"/>
              </w:rPr>
            </w:pPr>
            <w:r>
              <w:rPr>
                <w:rFonts w:ascii="Arial" w:cs="Arial" w:eastAsia="Arial" w:hAnsi="Arial"/>
                <w:sz w:val="10"/>
                <w:szCs w:val="10"/>
                <w:color w:val="auto"/>
              </w:rPr>
              <w:t>Options or Stock</w:t>
            </w:r>
          </w:p>
        </w:tc>
        <w:tc>
          <w:tcPr>
            <w:tcW w:w="8440" w:type="dxa"/>
            <w:vAlign w:val="bottom"/>
            <w:vMerge w:val="continue"/>
            <w:shd w:val="clear" w:color="auto" w:fill="F1F3F9"/>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200" w:type="dxa"/>
            <w:vAlign w:val="bottom"/>
            <w:vMerge w:val="continue"/>
            <w:shd w:val="clear" w:color="auto" w:fill="F1F3F9"/>
          </w:tcPr>
          <w:p>
            <w:pPr>
              <w:spacing w:after="0"/>
              <w:rPr>
                <w:sz w:val="4"/>
                <w:szCs w:val="4"/>
                <w:color w:val="auto"/>
              </w:rPr>
            </w:pPr>
          </w:p>
        </w:tc>
        <w:tc>
          <w:tcPr>
            <w:tcW w:w="8440" w:type="dxa"/>
            <w:vAlign w:val="bottom"/>
            <w:shd w:val="clear" w:color="auto" w:fill="F1F3F9"/>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200" w:type="dxa"/>
            <w:vAlign w:val="bottom"/>
            <w:tcBorders>
              <w:bottom w:val="single" w:sz="8" w:color="auto"/>
            </w:tcBorders>
            <w:shd w:val="clear" w:color="auto" w:fill="F1F3F9"/>
          </w:tcPr>
          <w:p>
            <w:pPr>
              <w:ind w:left="40"/>
              <w:spacing w:after="0" w:line="105" w:lineRule="exact"/>
              <w:rPr>
                <w:sz w:val="20"/>
                <w:szCs w:val="20"/>
                <w:color w:val="auto"/>
              </w:rPr>
            </w:pPr>
            <w:r>
              <w:rPr>
                <w:rFonts w:ascii="Arial" w:cs="Arial" w:eastAsia="Arial" w:hAnsi="Arial"/>
                <w:sz w:val="10"/>
                <w:szCs w:val="10"/>
                <w:color w:val="auto"/>
              </w:rPr>
              <w:t>Appreciation Rights</w:t>
            </w:r>
          </w:p>
        </w:tc>
        <w:tc>
          <w:tcPr>
            <w:tcW w:w="8440" w:type="dxa"/>
            <w:vAlign w:val="bottom"/>
            <w:tcBorders>
              <w:bottom w:val="single" w:sz="8" w:color="auto"/>
            </w:tcBorders>
            <w:shd w:val="clear" w:color="auto" w:fill="F1F3F9"/>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200" w:type="dxa"/>
            <w:vAlign w:val="bottom"/>
            <w:shd w:val="clear" w:color="auto" w:fill="D6DAEE"/>
          </w:tcPr>
          <w:p>
            <w:pPr>
              <w:ind w:left="40"/>
              <w:spacing w:after="0"/>
              <w:rPr>
                <w:sz w:val="20"/>
                <w:szCs w:val="20"/>
                <w:color w:val="auto"/>
              </w:rPr>
            </w:pPr>
            <w:r>
              <w:rPr>
                <w:rFonts w:ascii="Arial" w:cs="Arial" w:eastAsia="Arial" w:hAnsi="Arial"/>
                <w:sz w:val="10"/>
                <w:szCs w:val="10"/>
                <w:color w:val="auto"/>
              </w:rPr>
              <w:t>No Stock Option or Stock</w:t>
            </w:r>
          </w:p>
        </w:tc>
        <w:tc>
          <w:tcPr>
            <w:tcW w:w="8440" w:type="dxa"/>
            <w:vAlign w:val="bottom"/>
            <w:vMerge w:val="restart"/>
            <w:shd w:val="clear" w:color="auto" w:fill="D6DAEE"/>
          </w:tcPr>
          <w:p>
            <w:pPr>
              <w:ind w:left="60"/>
              <w:spacing w:after="0"/>
              <w:rPr>
                <w:sz w:val="20"/>
                <w:szCs w:val="20"/>
                <w:color w:val="auto"/>
              </w:rPr>
            </w:pPr>
            <w:r>
              <w:rPr>
                <w:rFonts w:ascii="Arial" w:cs="Arial" w:eastAsia="Arial" w:hAnsi="Arial"/>
                <w:sz w:val="10"/>
                <w:szCs w:val="10"/>
                <w:color w:val="auto"/>
                <w:w w:val="97"/>
              </w:rPr>
              <w:t>Except for equitable adjustments in connection with specific corporate transactions (such as stock splits, recapitalizations, reorganizations, mergers, consolidations, and similar transactions), the</w:t>
            </w:r>
          </w:p>
        </w:tc>
        <w:tc>
          <w:tcPr>
            <w:tcW w:w="0" w:type="dxa"/>
            <w:vAlign w:val="bottom"/>
          </w:tcPr>
          <w:p>
            <w:pPr>
              <w:spacing w:after="0"/>
              <w:rPr>
                <w:sz w:val="1"/>
                <w:szCs w:val="1"/>
                <w:color w:val="auto"/>
              </w:rPr>
            </w:pPr>
          </w:p>
        </w:tc>
      </w:tr>
      <w:tr>
        <w:trPr>
          <w:trHeight w:val="54"/>
        </w:trPr>
        <w:tc>
          <w:tcPr>
            <w:tcW w:w="1200" w:type="dxa"/>
            <w:vAlign w:val="bottom"/>
            <w:vMerge w:val="restart"/>
            <w:shd w:val="clear" w:color="auto" w:fill="D6DAEE"/>
          </w:tcPr>
          <w:p>
            <w:pPr>
              <w:ind w:left="40"/>
              <w:spacing w:after="0" w:line="108" w:lineRule="exact"/>
              <w:rPr>
                <w:sz w:val="20"/>
                <w:szCs w:val="20"/>
                <w:color w:val="auto"/>
              </w:rPr>
            </w:pPr>
            <w:r>
              <w:rPr>
                <w:rFonts w:ascii="Arial" w:cs="Arial" w:eastAsia="Arial" w:hAnsi="Arial"/>
                <w:sz w:val="10"/>
                <w:szCs w:val="10"/>
                <w:color w:val="auto"/>
              </w:rPr>
              <w:t>Appreciation Right Re-</w:t>
            </w:r>
          </w:p>
        </w:tc>
        <w:tc>
          <w:tcPr>
            <w:tcW w:w="8440" w:type="dxa"/>
            <w:vAlign w:val="bottom"/>
            <w:vMerge w:val="continue"/>
            <w:shd w:val="clear" w:color="auto" w:fill="D6DAE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200" w:type="dxa"/>
            <w:vAlign w:val="bottom"/>
            <w:vMerge w:val="continue"/>
            <w:shd w:val="clear" w:color="auto" w:fill="D6DAEE"/>
          </w:tcPr>
          <w:p>
            <w:pPr>
              <w:spacing w:after="0"/>
              <w:rPr>
                <w:sz w:val="4"/>
                <w:szCs w:val="4"/>
                <w:color w:val="auto"/>
              </w:rPr>
            </w:pPr>
          </w:p>
        </w:tc>
        <w:tc>
          <w:tcPr>
            <w:tcW w:w="8440" w:type="dxa"/>
            <w:vAlign w:val="bottom"/>
            <w:vMerge w:val="restart"/>
            <w:shd w:val="clear" w:color="auto" w:fill="D6DAEE"/>
          </w:tcPr>
          <w:p>
            <w:pPr>
              <w:ind w:left="60"/>
              <w:spacing w:after="0" w:line="108" w:lineRule="exact"/>
              <w:rPr>
                <w:sz w:val="20"/>
                <w:szCs w:val="20"/>
                <w:color w:val="auto"/>
              </w:rPr>
            </w:pPr>
            <w:r>
              <w:rPr>
                <w:rFonts w:ascii="Arial" w:cs="Arial" w:eastAsia="Arial" w:hAnsi="Arial"/>
                <w:sz w:val="10"/>
                <w:szCs w:val="10"/>
                <w:color w:val="auto"/>
              </w:rPr>
              <w:t>Plan does not permit a decrease in the exercise price or base price of a stock option or stock appreciation right granted under the Plan through settlement, cancellation, forfeiture, exchange,</w:t>
            </w:r>
          </w:p>
        </w:tc>
        <w:tc>
          <w:tcPr>
            <w:tcW w:w="0" w:type="dxa"/>
            <w:vAlign w:val="bottom"/>
          </w:tcPr>
          <w:p>
            <w:pPr>
              <w:spacing w:after="0"/>
              <w:rPr>
                <w:sz w:val="1"/>
                <w:szCs w:val="1"/>
                <w:color w:val="auto"/>
              </w:rPr>
            </w:pPr>
          </w:p>
        </w:tc>
      </w:tr>
      <w:tr>
        <w:trPr>
          <w:trHeight w:val="54"/>
        </w:trPr>
        <w:tc>
          <w:tcPr>
            <w:tcW w:w="1200" w:type="dxa"/>
            <w:vAlign w:val="bottom"/>
            <w:vMerge w:val="restart"/>
            <w:shd w:val="clear" w:color="auto" w:fill="D6DAEE"/>
          </w:tcPr>
          <w:p>
            <w:pPr>
              <w:ind w:left="40"/>
              <w:spacing w:after="0"/>
              <w:rPr>
                <w:sz w:val="20"/>
                <w:szCs w:val="20"/>
                <w:color w:val="auto"/>
              </w:rPr>
            </w:pPr>
            <w:r>
              <w:rPr>
                <w:rFonts w:ascii="Arial" w:cs="Arial" w:eastAsia="Arial" w:hAnsi="Arial"/>
                <w:sz w:val="10"/>
                <w:szCs w:val="10"/>
                <w:color w:val="auto"/>
              </w:rPr>
              <w:t>pricing or Exchange</w:t>
            </w:r>
          </w:p>
        </w:tc>
        <w:tc>
          <w:tcPr>
            <w:tcW w:w="8440" w:type="dxa"/>
            <w:vAlign w:val="bottom"/>
            <w:vMerge w:val="continue"/>
            <w:shd w:val="clear" w:color="auto" w:fill="D6DAE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200" w:type="dxa"/>
            <w:vAlign w:val="bottom"/>
            <w:tcBorders>
              <w:bottom w:val="single" w:sz="8" w:color="D6DAEE"/>
            </w:tcBorders>
            <w:vMerge w:val="continue"/>
            <w:shd w:val="clear" w:color="auto" w:fill="D6DAEE"/>
          </w:tcPr>
          <w:p>
            <w:pPr>
              <w:spacing w:after="0"/>
              <w:rPr>
                <w:sz w:val="9"/>
                <w:szCs w:val="9"/>
                <w:color w:val="auto"/>
              </w:rPr>
            </w:pPr>
          </w:p>
        </w:tc>
        <w:tc>
          <w:tcPr>
            <w:tcW w:w="8440" w:type="dxa"/>
            <w:vAlign w:val="bottom"/>
            <w:tcBorders>
              <w:bottom w:val="single" w:sz="8" w:color="D6DAEE"/>
            </w:tcBorders>
            <w:shd w:val="clear" w:color="auto" w:fill="D6DAEE"/>
          </w:tcPr>
          <w:p>
            <w:pPr>
              <w:ind w:left="60"/>
              <w:spacing w:after="0" w:line="105" w:lineRule="exact"/>
              <w:rPr>
                <w:sz w:val="20"/>
                <w:szCs w:val="20"/>
                <w:color w:val="auto"/>
              </w:rPr>
            </w:pPr>
            <w:r>
              <w:rPr>
                <w:rFonts w:ascii="Arial" w:cs="Arial" w:eastAsia="Arial" w:hAnsi="Arial"/>
                <w:sz w:val="10"/>
                <w:szCs w:val="10"/>
                <w:color w:val="auto"/>
              </w:rPr>
              <w:t>surrender, or otherwise below the fair market value of common stock (as defined in the Plan) on the date of grant.</w:t>
            </w:r>
          </w:p>
        </w:tc>
        <w:tc>
          <w:tcPr>
            <w:tcW w:w="0" w:type="dxa"/>
            <w:vAlign w:val="bottom"/>
          </w:tcPr>
          <w:p>
            <w:pPr>
              <w:spacing w:after="0"/>
              <w:rPr>
                <w:sz w:val="1"/>
                <w:szCs w:val="1"/>
                <w:color w:val="auto"/>
              </w:rPr>
            </w:pPr>
          </w:p>
        </w:tc>
      </w:tr>
      <w:tr>
        <w:trPr>
          <w:trHeight w:val="208"/>
        </w:trPr>
        <w:tc>
          <w:tcPr>
            <w:tcW w:w="1200" w:type="dxa"/>
            <w:vAlign w:val="bottom"/>
            <w:tcBorders>
              <w:top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Recoupment (Clawback)</w:t>
            </w:r>
          </w:p>
        </w:tc>
        <w:tc>
          <w:tcPr>
            <w:tcW w:w="8440" w:type="dxa"/>
            <w:vAlign w:val="bottom"/>
            <w:tcBorders>
              <w:top w:val="single" w:sz="8" w:color="auto"/>
            </w:tcBorders>
            <w:vMerge w:val="restart"/>
            <w:shd w:val="clear" w:color="auto" w:fill="F1F3F9"/>
          </w:tcPr>
          <w:p>
            <w:pPr>
              <w:ind w:left="60"/>
              <w:spacing w:after="0"/>
              <w:rPr>
                <w:sz w:val="20"/>
                <w:szCs w:val="20"/>
                <w:color w:val="auto"/>
              </w:rPr>
            </w:pPr>
            <w:r>
              <w:rPr>
                <w:rFonts w:ascii="Arial" w:cs="Arial" w:eastAsia="Arial" w:hAnsi="Arial"/>
                <w:sz w:val="10"/>
                <w:szCs w:val="10"/>
                <w:color w:val="auto"/>
                <w:w w:val="96"/>
              </w:rPr>
              <w:t>Awards granted to our officers and other employees under the Plan are subject to recoupment or reduction in accordance with the terms of our policy regarding recoupment or reduction of incentive</w:t>
            </w:r>
          </w:p>
        </w:tc>
        <w:tc>
          <w:tcPr>
            <w:tcW w:w="0" w:type="dxa"/>
            <w:vAlign w:val="bottom"/>
          </w:tcPr>
          <w:p>
            <w:pPr>
              <w:spacing w:after="0"/>
              <w:rPr>
                <w:sz w:val="1"/>
                <w:szCs w:val="1"/>
                <w:color w:val="auto"/>
              </w:rPr>
            </w:pPr>
          </w:p>
        </w:tc>
      </w:tr>
      <w:tr>
        <w:trPr>
          <w:trHeight w:val="54"/>
        </w:trPr>
        <w:tc>
          <w:tcPr>
            <w:tcW w:w="1200" w:type="dxa"/>
            <w:vAlign w:val="bottom"/>
            <w:vMerge w:val="restart"/>
            <w:shd w:val="clear" w:color="auto" w:fill="F1F3F9"/>
          </w:tcPr>
          <w:p>
            <w:pPr>
              <w:ind w:left="40"/>
              <w:spacing w:after="0"/>
              <w:rPr>
                <w:sz w:val="20"/>
                <w:szCs w:val="20"/>
                <w:color w:val="auto"/>
              </w:rPr>
            </w:pPr>
            <w:r>
              <w:rPr>
                <w:rFonts w:ascii="Arial" w:cs="Arial" w:eastAsia="Arial" w:hAnsi="Arial"/>
                <w:sz w:val="10"/>
                <w:szCs w:val="10"/>
                <w:color w:val="auto"/>
              </w:rPr>
              <w:t>Policy</w:t>
            </w:r>
          </w:p>
        </w:tc>
        <w:tc>
          <w:tcPr>
            <w:tcW w:w="8440" w:type="dxa"/>
            <w:vAlign w:val="bottom"/>
            <w:vMerge w:val="continue"/>
            <w:shd w:val="clear" w:color="auto" w:fill="F1F3F9"/>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200" w:type="dxa"/>
            <w:vAlign w:val="bottom"/>
            <w:tcBorders>
              <w:bottom w:val="single" w:sz="8" w:color="F1F3F9"/>
            </w:tcBorders>
            <w:vMerge w:val="continue"/>
            <w:shd w:val="clear" w:color="auto" w:fill="F1F3F9"/>
          </w:tcPr>
          <w:p>
            <w:pPr>
              <w:spacing w:after="0"/>
              <w:rPr>
                <w:sz w:val="9"/>
                <w:szCs w:val="9"/>
                <w:color w:val="auto"/>
              </w:rPr>
            </w:pPr>
          </w:p>
        </w:tc>
        <w:tc>
          <w:tcPr>
            <w:tcW w:w="8440" w:type="dxa"/>
            <w:vAlign w:val="bottom"/>
            <w:tcBorders>
              <w:bottom w:val="single" w:sz="8" w:color="F1F3F9"/>
            </w:tcBorders>
            <w:shd w:val="clear" w:color="auto" w:fill="F1F3F9"/>
          </w:tcPr>
          <w:p>
            <w:pPr>
              <w:ind w:left="60"/>
              <w:spacing w:after="0" w:line="105" w:lineRule="exact"/>
              <w:rPr>
                <w:sz w:val="20"/>
                <w:szCs w:val="20"/>
                <w:color w:val="auto"/>
              </w:rPr>
            </w:pPr>
            <w:r>
              <w:rPr>
                <w:rFonts w:ascii="Arial" w:cs="Arial" w:eastAsia="Arial" w:hAnsi="Arial"/>
                <w:sz w:val="10"/>
                <w:szCs w:val="10"/>
                <w:color w:val="auto"/>
              </w:rPr>
              <w:t>compensation (sometime referred to as our "clawback policy").</w:t>
            </w:r>
          </w:p>
        </w:tc>
        <w:tc>
          <w:tcPr>
            <w:tcW w:w="0" w:type="dxa"/>
            <w:vAlign w:val="bottom"/>
          </w:tcPr>
          <w:p>
            <w:pPr>
              <w:spacing w:after="0"/>
              <w:rPr>
                <w:sz w:val="1"/>
                <w:szCs w:val="1"/>
                <w:color w:val="auto"/>
              </w:rPr>
            </w:pPr>
          </w:p>
        </w:tc>
      </w:tr>
      <w:tr>
        <w:trPr>
          <w:trHeight w:val="208"/>
        </w:trPr>
        <w:tc>
          <w:tcPr>
            <w:tcW w:w="1200" w:type="dxa"/>
            <w:vAlign w:val="bottom"/>
            <w:tcBorders>
              <w:top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Independent</w:t>
            </w:r>
          </w:p>
        </w:tc>
        <w:tc>
          <w:tcPr>
            <w:tcW w:w="8440" w:type="dxa"/>
            <w:vAlign w:val="bottom"/>
            <w:tcBorders>
              <w:top w:val="single" w:sz="8" w:color="auto"/>
            </w:tcBorders>
            <w:vMerge w:val="restart"/>
            <w:shd w:val="clear" w:color="auto" w:fill="D6DAEE"/>
          </w:tcPr>
          <w:p>
            <w:pPr>
              <w:ind w:left="60"/>
              <w:spacing w:after="0"/>
              <w:rPr>
                <w:sz w:val="20"/>
                <w:szCs w:val="20"/>
                <w:color w:val="auto"/>
              </w:rPr>
            </w:pPr>
            <w:r>
              <w:rPr>
                <w:rFonts w:ascii="Arial" w:cs="Arial" w:eastAsia="Arial" w:hAnsi="Arial"/>
                <w:sz w:val="10"/>
                <w:szCs w:val="10"/>
                <w:color w:val="auto"/>
                <w:w w:val="96"/>
              </w:rPr>
              <w:t>The Plan is administered by the Compensation Committee, which is intended to be comprised solely of non-employee directors each of whom meets the additional independence criteria applicable</w:t>
            </w:r>
          </w:p>
        </w:tc>
        <w:tc>
          <w:tcPr>
            <w:tcW w:w="0" w:type="dxa"/>
            <w:vAlign w:val="bottom"/>
          </w:tcPr>
          <w:p>
            <w:pPr>
              <w:spacing w:after="0"/>
              <w:rPr>
                <w:sz w:val="1"/>
                <w:szCs w:val="1"/>
                <w:color w:val="auto"/>
              </w:rPr>
            </w:pPr>
          </w:p>
        </w:tc>
      </w:tr>
      <w:tr>
        <w:trPr>
          <w:trHeight w:val="54"/>
        </w:trPr>
        <w:tc>
          <w:tcPr>
            <w:tcW w:w="1200" w:type="dxa"/>
            <w:vAlign w:val="bottom"/>
            <w:vMerge w:val="restart"/>
            <w:shd w:val="clear" w:color="auto" w:fill="D6DAEE"/>
          </w:tcPr>
          <w:p>
            <w:pPr>
              <w:ind w:left="40"/>
              <w:spacing w:after="0"/>
              <w:rPr>
                <w:sz w:val="20"/>
                <w:szCs w:val="20"/>
                <w:color w:val="auto"/>
              </w:rPr>
            </w:pPr>
            <w:r>
              <w:rPr>
                <w:rFonts w:ascii="Arial" w:cs="Arial" w:eastAsia="Arial" w:hAnsi="Arial"/>
                <w:sz w:val="10"/>
                <w:szCs w:val="10"/>
                <w:color w:val="auto"/>
              </w:rPr>
              <w:t>Administration</w:t>
            </w:r>
          </w:p>
        </w:tc>
        <w:tc>
          <w:tcPr>
            <w:tcW w:w="8440" w:type="dxa"/>
            <w:vAlign w:val="bottom"/>
            <w:vMerge w:val="continue"/>
            <w:shd w:val="clear" w:color="auto" w:fill="D6DAE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200" w:type="dxa"/>
            <w:vAlign w:val="bottom"/>
            <w:vMerge w:val="continue"/>
            <w:shd w:val="clear" w:color="auto" w:fill="D6DAEE"/>
          </w:tcPr>
          <w:p>
            <w:pPr>
              <w:spacing w:after="0"/>
              <w:rPr>
                <w:sz w:val="5"/>
                <w:szCs w:val="5"/>
                <w:color w:val="auto"/>
              </w:rPr>
            </w:pPr>
          </w:p>
        </w:tc>
        <w:tc>
          <w:tcPr>
            <w:tcW w:w="8440" w:type="dxa"/>
            <w:vAlign w:val="bottom"/>
            <w:vMerge w:val="restart"/>
            <w:shd w:val="clear" w:color="auto" w:fill="D6DAEE"/>
          </w:tcPr>
          <w:p>
            <w:pPr>
              <w:ind w:left="60"/>
              <w:spacing w:after="0" w:line="108" w:lineRule="exact"/>
              <w:rPr>
                <w:sz w:val="20"/>
                <w:szCs w:val="20"/>
                <w:color w:val="auto"/>
              </w:rPr>
            </w:pPr>
            <w:r>
              <w:rPr>
                <w:rFonts w:ascii="Arial" w:cs="Arial" w:eastAsia="Arial" w:hAnsi="Arial"/>
                <w:sz w:val="10"/>
                <w:szCs w:val="10"/>
                <w:color w:val="auto"/>
                <w:w w:val="97"/>
              </w:rPr>
              <w:t>to compensation committee members under the listing standards of The NASDAQ Stock Market LLC, qualifies as a "Non-Employee Director" pursuant to Rule 16b-3 under the Exchange Act, and</w:t>
            </w:r>
          </w:p>
        </w:tc>
        <w:tc>
          <w:tcPr>
            <w:tcW w:w="0" w:type="dxa"/>
            <w:vAlign w:val="bottom"/>
          </w:tcPr>
          <w:p>
            <w:pPr>
              <w:spacing w:after="0"/>
              <w:rPr>
                <w:sz w:val="1"/>
                <w:szCs w:val="1"/>
                <w:color w:val="auto"/>
              </w:rPr>
            </w:pPr>
          </w:p>
        </w:tc>
      </w:tr>
      <w:tr>
        <w:trPr>
          <w:trHeight w:val="47"/>
        </w:trPr>
        <w:tc>
          <w:tcPr>
            <w:tcW w:w="1200" w:type="dxa"/>
            <w:vAlign w:val="bottom"/>
            <w:shd w:val="clear" w:color="auto" w:fill="D6DAEE"/>
          </w:tcPr>
          <w:p>
            <w:pPr>
              <w:spacing w:after="0"/>
              <w:rPr>
                <w:sz w:val="4"/>
                <w:szCs w:val="4"/>
                <w:color w:val="auto"/>
              </w:rPr>
            </w:pPr>
          </w:p>
        </w:tc>
        <w:tc>
          <w:tcPr>
            <w:tcW w:w="8440" w:type="dxa"/>
            <w:vAlign w:val="bottom"/>
            <w:vMerge w:val="continue"/>
            <w:shd w:val="clear" w:color="auto" w:fill="D6DAE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200" w:type="dxa"/>
            <w:vAlign w:val="bottom"/>
            <w:tcBorders>
              <w:bottom w:val="single" w:sz="8" w:color="auto"/>
            </w:tcBorders>
            <w:shd w:val="clear" w:color="auto" w:fill="D6DAEE"/>
          </w:tcPr>
          <w:p>
            <w:pPr>
              <w:spacing w:after="0"/>
              <w:rPr>
                <w:sz w:val="9"/>
                <w:szCs w:val="9"/>
                <w:color w:val="auto"/>
              </w:rPr>
            </w:pPr>
          </w:p>
        </w:tc>
        <w:tc>
          <w:tcPr>
            <w:tcW w:w="8440" w:type="dxa"/>
            <w:vAlign w:val="bottom"/>
            <w:tcBorders>
              <w:bottom w:val="single" w:sz="8" w:color="auto"/>
            </w:tcBorders>
            <w:shd w:val="clear" w:color="auto" w:fill="D6DAEE"/>
          </w:tcPr>
          <w:p>
            <w:pPr>
              <w:ind w:left="60"/>
              <w:spacing w:after="0" w:line="105" w:lineRule="exact"/>
              <w:rPr>
                <w:sz w:val="20"/>
                <w:szCs w:val="20"/>
                <w:color w:val="auto"/>
              </w:rPr>
            </w:pPr>
            <w:r>
              <w:rPr>
                <w:rFonts w:ascii="Arial" w:cs="Arial" w:eastAsia="Arial" w:hAnsi="Arial"/>
                <w:sz w:val="10"/>
                <w:szCs w:val="10"/>
                <w:color w:val="auto"/>
              </w:rPr>
              <w:t>meets the requirements for an "outside director" within the meaning of Section 162(m) of the Internal Revenue Code.</w:t>
            </w:r>
          </w:p>
        </w:tc>
        <w:tc>
          <w:tcPr>
            <w:tcW w:w="0" w:type="dxa"/>
            <w:vAlign w:val="bottom"/>
          </w:tcPr>
          <w:p>
            <w:pPr>
              <w:spacing w:after="0"/>
              <w:rPr>
                <w:sz w:val="1"/>
                <w:szCs w:val="1"/>
                <w:color w:val="auto"/>
              </w:rPr>
            </w:pPr>
          </w:p>
        </w:tc>
      </w:tr>
      <w:tr>
        <w:trPr>
          <w:trHeight w:val="264"/>
        </w:trPr>
        <w:tc>
          <w:tcPr>
            <w:tcW w:w="1200" w:type="dxa"/>
            <w:vAlign w:val="bottom"/>
            <w:tcBorders>
              <w:bottom w:val="single" w:sz="8" w:color="F1F3F9"/>
            </w:tcBorders>
            <w:shd w:val="clear" w:color="auto" w:fill="F1F3F9"/>
          </w:tcPr>
          <w:p>
            <w:pPr>
              <w:ind w:left="40"/>
              <w:spacing w:after="0"/>
              <w:rPr>
                <w:sz w:val="20"/>
                <w:szCs w:val="20"/>
                <w:color w:val="auto"/>
              </w:rPr>
            </w:pPr>
            <w:r>
              <w:rPr>
                <w:rFonts w:ascii="Arial" w:cs="Arial" w:eastAsia="Arial" w:hAnsi="Arial"/>
                <w:sz w:val="10"/>
                <w:szCs w:val="10"/>
                <w:color w:val="auto"/>
              </w:rPr>
              <w:t>No "Evergreen" Provision</w:t>
            </w:r>
          </w:p>
        </w:tc>
        <w:tc>
          <w:tcPr>
            <w:tcW w:w="8440" w:type="dxa"/>
            <w:vAlign w:val="bottom"/>
            <w:tcBorders>
              <w:bottom w:val="single" w:sz="8" w:color="F1F3F9"/>
            </w:tcBorders>
            <w:shd w:val="clear" w:color="auto" w:fill="F1F3F9"/>
          </w:tcPr>
          <w:p>
            <w:pPr>
              <w:ind w:left="60"/>
              <w:spacing w:after="0"/>
              <w:rPr>
                <w:sz w:val="20"/>
                <w:szCs w:val="20"/>
                <w:color w:val="auto"/>
              </w:rPr>
            </w:pPr>
            <w:r>
              <w:rPr>
                <w:rFonts w:ascii="Arial" w:cs="Arial" w:eastAsia="Arial" w:hAnsi="Arial"/>
                <w:sz w:val="10"/>
                <w:szCs w:val="10"/>
                <w:color w:val="auto"/>
              </w:rPr>
              <w:t>The Plan does not contain an "evergreen" feature pursuant to which the shares authorized for issuance thereunder can be automatically replenished.</w:t>
            </w:r>
          </w:p>
        </w:tc>
        <w:tc>
          <w:tcPr>
            <w:tcW w:w="0" w:type="dxa"/>
            <w:vAlign w:val="bottom"/>
          </w:tcPr>
          <w:p>
            <w:pPr>
              <w:spacing w:after="0"/>
              <w:rPr>
                <w:sz w:val="1"/>
                <w:szCs w:val="1"/>
                <w:color w:val="auto"/>
              </w:rPr>
            </w:pPr>
          </w:p>
        </w:tc>
      </w:tr>
      <w:tr>
        <w:trPr>
          <w:trHeight w:val="239"/>
        </w:trPr>
        <w:tc>
          <w:tcPr>
            <w:tcW w:w="1200" w:type="dxa"/>
            <w:vAlign w:val="bottom"/>
            <w:tcBorders>
              <w:top w:val="single" w:sz="8" w:color="auto"/>
              <w:bottom w:val="single" w:sz="8" w:color="D6DAEE"/>
            </w:tcBorders>
            <w:shd w:val="clear" w:color="auto" w:fill="D6DAEE"/>
          </w:tcPr>
          <w:p>
            <w:pPr>
              <w:ind w:left="40"/>
              <w:spacing w:after="0"/>
              <w:rPr>
                <w:sz w:val="20"/>
                <w:szCs w:val="20"/>
                <w:color w:val="auto"/>
              </w:rPr>
            </w:pPr>
            <w:r>
              <w:rPr>
                <w:rFonts w:ascii="Arial" w:cs="Arial" w:eastAsia="Arial" w:hAnsi="Arial"/>
                <w:sz w:val="10"/>
                <w:szCs w:val="10"/>
                <w:color w:val="auto"/>
              </w:rPr>
              <w:t>No Tax Gross-ups</w:t>
            </w:r>
          </w:p>
        </w:tc>
        <w:tc>
          <w:tcPr>
            <w:tcW w:w="8440" w:type="dxa"/>
            <w:vAlign w:val="bottom"/>
            <w:tcBorders>
              <w:top w:val="single" w:sz="8" w:color="auto"/>
              <w:bottom w:val="single" w:sz="8" w:color="auto"/>
            </w:tcBorders>
            <w:shd w:val="clear" w:color="auto" w:fill="D6DAEE"/>
          </w:tcPr>
          <w:p>
            <w:pPr>
              <w:ind w:left="60"/>
              <w:spacing w:after="0"/>
              <w:rPr>
                <w:sz w:val="20"/>
                <w:szCs w:val="20"/>
                <w:color w:val="auto"/>
              </w:rPr>
            </w:pPr>
            <w:r>
              <w:rPr>
                <w:rFonts w:ascii="Arial" w:cs="Arial" w:eastAsia="Arial" w:hAnsi="Arial"/>
                <w:sz w:val="10"/>
                <w:szCs w:val="10"/>
                <w:color w:val="auto"/>
              </w:rPr>
              <w:t>The Plan does not provide for any tax gross-ups.</w:t>
            </w:r>
          </w:p>
        </w:tc>
        <w:tc>
          <w:tcPr>
            <w:tcW w:w="0" w:type="dxa"/>
            <w:vAlign w:val="bottom"/>
          </w:tcPr>
          <w:p>
            <w:pPr>
              <w:spacing w:after="0"/>
              <w:rPr>
                <w:sz w:val="1"/>
                <w:szCs w:val="1"/>
                <w:color w:val="auto"/>
              </w:rPr>
            </w:pPr>
          </w:p>
        </w:tc>
      </w:tr>
      <w:tr>
        <w:trPr>
          <w:trHeight w:val="20"/>
        </w:trPr>
        <w:tc>
          <w:tcPr>
            <w:tcW w:w="1200" w:type="dxa"/>
            <w:vAlign w:val="bottom"/>
            <w:shd w:val="clear" w:color="auto" w:fill="105BAB"/>
          </w:tcPr>
          <w:p>
            <w:pPr>
              <w:spacing w:after="0" w:line="20" w:lineRule="exact"/>
              <w:rPr>
                <w:sz w:val="1"/>
                <w:szCs w:val="1"/>
                <w:color w:val="auto"/>
              </w:rPr>
            </w:pPr>
          </w:p>
        </w:tc>
        <w:tc>
          <w:tcPr>
            <w:tcW w:w="8440" w:type="dxa"/>
            <w:vAlign w:val="bottom"/>
            <w:shd w:val="clear" w:color="auto" w:fill="105B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type w:val="continuous"/>
        </w:sectPr>
      </w:pPr>
    </w:p>
    <w:bookmarkStart w:id="97" w:name="page98"/>
    <w:bookmarkEnd w:id="97"/>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500380</wp:posOffset>
            </wp:positionV>
            <wp:extent cx="628586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2858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105BAB"/>
        </w:rPr>
        <w:t>Key Equity Metrics</w:t>
      </w:r>
    </w:p>
    <w:p>
      <w:pPr>
        <w:spacing w:after="0" w:line="11"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The following table summarizes some key metrics relating to the equity component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82550</wp:posOffset>
            </wp:positionV>
            <wp:extent cx="628586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285865" cy="5715"/>
                    </a:xfrm>
                    <a:prstGeom prst="rect">
                      <a:avLst/>
                    </a:prstGeom>
                    <a:noFill/>
                  </pic:spPr>
                </pic:pic>
              </a:graphicData>
            </a:graphic>
          </wp:anchor>
        </w:drawing>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17"/>
        </w:trPr>
        <w:tc>
          <w:tcPr>
            <w:tcW w:w="4120" w:type="dxa"/>
            <w:vAlign w:val="bottom"/>
            <w:tcBorders>
              <w:bottom w:val="single" w:sz="8" w:color="105BAB"/>
            </w:tcBorders>
          </w:tcPr>
          <w:p>
            <w:pPr>
              <w:spacing w:after="0"/>
              <w:rPr>
                <w:sz w:val="10"/>
                <w:szCs w:val="10"/>
                <w:color w:val="auto"/>
              </w:rPr>
            </w:pPr>
          </w:p>
        </w:tc>
        <w:tc>
          <w:tcPr>
            <w:tcW w:w="4080" w:type="dxa"/>
            <w:vAlign w:val="bottom"/>
            <w:tcBorders>
              <w:bottom w:val="single" w:sz="8" w:color="105BAB"/>
            </w:tcBorders>
          </w:tcPr>
          <w:p>
            <w:pPr>
              <w:jc w:val="right"/>
              <w:ind w:right="12"/>
              <w:spacing w:after="0"/>
              <w:rPr>
                <w:sz w:val="20"/>
                <w:szCs w:val="20"/>
                <w:color w:val="auto"/>
              </w:rPr>
            </w:pPr>
            <w:r>
              <w:rPr>
                <w:rFonts w:ascii="Arial" w:cs="Arial" w:eastAsia="Arial" w:hAnsi="Arial"/>
                <w:sz w:val="10"/>
                <w:szCs w:val="10"/>
                <w:b w:val="1"/>
                <w:bCs w:val="1"/>
                <w:color w:val="105BAB"/>
              </w:rPr>
              <w:t>2017 (%)</w:t>
            </w:r>
          </w:p>
        </w:tc>
        <w:tc>
          <w:tcPr>
            <w:tcW w:w="720" w:type="dxa"/>
            <w:vAlign w:val="bottom"/>
            <w:tcBorders>
              <w:bottom w:val="single" w:sz="8" w:color="105BAB"/>
            </w:tcBorders>
          </w:tcPr>
          <w:p>
            <w:pPr>
              <w:jc w:val="right"/>
              <w:ind w:right="192"/>
              <w:spacing w:after="0"/>
              <w:rPr>
                <w:sz w:val="20"/>
                <w:szCs w:val="20"/>
                <w:color w:val="auto"/>
              </w:rPr>
            </w:pPr>
            <w:r>
              <w:rPr>
                <w:rFonts w:ascii="Arial" w:cs="Arial" w:eastAsia="Arial" w:hAnsi="Arial"/>
                <w:sz w:val="10"/>
                <w:szCs w:val="10"/>
                <w:b w:val="1"/>
                <w:bCs w:val="1"/>
                <w:color w:val="105BAB"/>
              </w:rPr>
              <w:t>2016 (%)</w:t>
            </w:r>
          </w:p>
        </w:tc>
        <w:tc>
          <w:tcPr>
            <w:tcW w:w="980" w:type="dxa"/>
            <w:vAlign w:val="bottom"/>
            <w:tcBorders>
              <w:bottom w:val="single" w:sz="8" w:color="105BAB"/>
            </w:tcBorders>
          </w:tcPr>
          <w:p>
            <w:pPr>
              <w:jc w:val="right"/>
              <w:ind w:right="292"/>
              <w:spacing w:after="0"/>
              <w:rPr>
                <w:sz w:val="20"/>
                <w:szCs w:val="20"/>
                <w:color w:val="auto"/>
              </w:rPr>
            </w:pPr>
            <w:r>
              <w:rPr>
                <w:rFonts w:ascii="Arial" w:cs="Arial" w:eastAsia="Arial" w:hAnsi="Arial"/>
                <w:sz w:val="10"/>
                <w:szCs w:val="10"/>
                <w:b w:val="1"/>
                <w:bCs w:val="1"/>
                <w:color w:val="105BAB"/>
              </w:rPr>
              <w:t>2015 (%)</w:t>
            </w:r>
          </w:p>
        </w:tc>
      </w:tr>
      <w:tr>
        <w:trPr>
          <w:trHeight w:val="228"/>
        </w:trPr>
        <w:tc>
          <w:tcPr>
            <w:tcW w:w="4120" w:type="dxa"/>
            <w:vAlign w:val="bottom"/>
            <w:tcBorders>
              <w:bottom w:val="single" w:sz="8" w:color="auto"/>
            </w:tcBorders>
            <w:shd w:val="clear" w:color="auto" w:fill="F1F3F9"/>
          </w:tcPr>
          <w:p>
            <w:pPr>
              <w:ind w:left="40"/>
              <w:spacing w:after="0"/>
              <w:rPr>
                <w:sz w:val="20"/>
                <w:szCs w:val="20"/>
                <w:color w:val="auto"/>
              </w:rPr>
            </w:pPr>
            <w:r>
              <w:rPr>
                <w:rFonts w:ascii="Arial" w:cs="Arial" w:eastAsia="Arial" w:hAnsi="Arial"/>
                <w:sz w:val="10"/>
                <w:szCs w:val="10"/>
                <w:color w:val="auto"/>
              </w:rPr>
              <w:t>Burn Rate</w:t>
            </w:r>
            <w:r>
              <w:rPr>
                <w:rFonts w:ascii="Arial" w:cs="Arial" w:eastAsia="Arial" w:hAnsi="Arial"/>
                <w:sz w:val="7"/>
                <w:szCs w:val="7"/>
                <w:color w:val="auto"/>
              </w:rPr>
              <w:t>1</w:t>
            </w:r>
          </w:p>
        </w:tc>
        <w:tc>
          <w:tcPr>
            <w:tcW w:w="4080" w:type="dxa"/>
            <w:vAlign w:val="bottom"/>
            <w:tcBorders>
              <w:bottom w:val="single" w:sz="8" w:color="auto"/>
            </w:tcBorders>
            <w:shd w:val="clear" w:color="auto" w:fill="F1F3F9"/>
          </w:tcPr>
          <w:p>
            <w:pPr>
              <w:jc w:val="right"/>
              <w:ind w:right="12"/>
              <w:spacing w:after="0"/>
              <w:rPr>
                <w:sz w:val="20"/>
                <w:szCs w:val="20"/>
                <w:color w:val="auto"/>
              </w:rPr>
            </w:pPr>
            <w:r>
              <w:rPr>
                <w:rFonts w:ascii="Arial" w:cs="Arial" w:eastAsia="Arial" w:hAnsi="Arial"/>
                <w:sz w:val="10"/>
                <w:szCs w:val="10"/>
                <w:color w:val="auto"/>
              </w:rPr>
              <w:t>4.08</w:t>
            </w:r>
          </w:p>
        </w:tc>
        <w:tc>
          <w:tcPr>
            <w:tcW w:w="720" w:type="dxa"/>
            <w:vAlign w:val="bottom"/>
            <w:tcBorders>
              <w:bottom w:val="single" w:sz="8" w:color="auto"/>
            </w:tcBorders>
            <w:shd w:val="clear" w:color="auto" w:fill="F1F3F9"/>
          </w:tcPr>
          <w:p>
            <w:pPr>
              <w:jc w:val="right"/>
              <w:ind w:right="192"/>
              <w:spacing w:after="0"/>
              <w:rPr>
                <w:sz w:val="20"/>
                <w:szCs w:val="20"/>
                <w:color w:val="auto"/>
              </w:rPr>
            </w:pPr>
            <w:r>
              <w:rPr>
                <w:rFonts w:ascii="Arial" w:cs="Arial" w:eastAsia="Arial" w:hAnsi="Arial"/>
                <w:sz w:val="10"/>
                <w:szCs w:val="10"/>
                <w:color w:val="auto"/>
              </w:rPr>
              <w:t>4.02</w:t>
            </w:r>
          </w:p>
        </w:tc>
        <w:tc>
          <w:tcPr>
            <w:tcW w:w="980" w:type="dxa"/>
            <w:vAlign w:val="bottom"/>
            <w:tcBorders>
              <w:bottom w:val="single" w:sz="8" w:color="auto"/>
            </w:tcBorders>
            <w:shd w:val="clear" w:color="auto" w:fill="F1F3F9"/>
          </w:tcPr>
          <w:p>
            <w:pPr>
              <w:jc w:val="right"/>
              <w:ind w:right="372"/>
              <w:spacing w:after="0"/>
              <w:rPr>
                <w:sz w:val="20"/>
                <w:szCs w:val="20"/>
                <w:color w:val="auto"/>
              </w:rPr>
            </w:pPr>
            <w:r>
              <w:rPr>
                <w:rFonts w:ascii="Arial" w:cs="Arial" w:eastAsia="Arial" w:hAnsi="Arial"/>
                <w:sz w:val="10"/>
                <w:szCs w:val="10"/>
                <w:color w:val="auto"/>
              </w:rPr>
              <w:t>4.39</w:t>
            </w:r>
          </w:p>
        </w:tc>
      </w:tr>
      <w:tr>
        <w:trPr>
          <w:trHeight w:val="227"/>
        </w:trPr>
        <w:tc>
          <w:tcPr>
            <w:tcW w:w="4120" w:type="dxa"/>
            <w:vAlign w:val="bottom"/>
            <w:tcBorders>
              <w:bottom w:val="single" w:sz="8" w:color="auto"/>
            </w:tcBorders>
            <w:shd w:val="clear" w:color="auto" w:fill="D6DAEE"/>
          </w:tcPr>
          <w:p>
            <w:pPr>
              <w:ind w:left="40"/>
              <w:spacing w:after="0"/>
              <w:rPr>
                <w:sz w:val="20"/>
                <w:szCs w:val="20"/>
                <w:color w:val="auto"/>
              </w:rPr>
            </w:pPr>
            <w:r>
              <w:rPr>
                <w:rFonts w:ascii="Arial" w:cs="Arial" w:eastAsia="Arial" w:hAnsi="Arial"/>
                <w:sz w:val="10"/>
                <w:szCs w:val="10"/>
                <w:color w:val="auto"/>
              </w:rPr>
              <w:t>Overhang</w:t>
            </w:r>
            <w:r>
              <w:rPr>
                <w:rFonts w:ascii="Arial" w:cs="Arial" w:eastAsia="Arial" w:hAnsi="Arial"/>
                <w:sz w:val="14"/>
                <w:szCs w:val="14"/>
                <w:color w:val="auto"/>
                <w:vertAlign w:val="superscript"/>
              </w:rPr>
              <w:t>2</w:t>
            </w:r>
          </w:p>
        </w:tc>
        <w:tc>
          <w:tcPr>
            <w:tcW w:w="4080" w:type="dxa"/>
            <w:vAlign w:val="bottom"/>
            <w:tcBorders>
              <w:bottom w:val="single" w:sz="8" w:color="auto"/>
            </w:tcBorders>
            <w:shd w:val="clear" w:color="auto" w:fill="D6DAEE"/>
          </w:tcPr>
          <w:p>
            <w:pPr>
              <w:jc w:val="right"/>
              <w:ind w:right="12"/>
              <w:spacing w:after="0"/>
              <w:rPr>
                <w:sz w:val="20"/>
                <w:szCs w:val="20"/>
                <w:color w:val="auto"/>
              </w:rPr>
            </w:pPr>
            <w:r>
              <w:rPr>
                <w:rFonts w:ascii="Arial" w:cs="Arial" w:eastAsia="Arial" w:hAnsi="Arial"/>
                <w:sz w:val="10"/>
                <w:szCs w:val="10"/>
                <w:color w:val="auto"/>
              </w:rPr>
              <w:t>31.44</w:t>
            </w:r>
          </w:p>
        </w:tc>
        <w:tc>
          <w:tcPr>
            <w:tcW w:w="720" w:type="dxa"/>
            <w:vAlign w:val="bottom"/>
            <w:tcBorders>
              <w:bottom w:val="single" w:sz="8" w:color="auto"/>
            </w:tcBorders>
            <w:shd w:val="clear" w:color="auto" w:fill="D6DAEE"/>
          </w:tcPr>
          <w:p>
            <w:pPr>
              <w:jc w:val="right"/>
              <w:ind w:right="192"/>
              <w:spacing w:after="0"/>
              <w:rPr>
                <w:sz w:val="20"/>
                <w:szCs w:val="20"/>
                <w:color w:val="auto"/>
              </w:rPr>
            </w:pPr>
            <w:r>
              <w:rPr>
                <w:rFonts w:ascii="Arial" w:cs="Arial" w:eastAsia="Arial" w:hAnsi="Arial"/>
                <w:sz w:val="10"/>
                <w:szCs w:val="10"/>
                <w:color w:val="auto"/>
              </w:rPr>
              <w:t>24.47</w:t>
            </w:r>
          </w:p>
        </w:tc>
        <w:tc>
          <w:tcPr>
            <w:tcW w:w="980" w:type="dxa"/>
            <w:vAlign w:val="bottom"/>
            <w:tcBorders>
              <w:bottom w:val="single" w:sz="8" w:color="auto"/>
            </w:tcBorders>
            <w:shd w:val="clear" w:color="auto" w:fill="D6DAEE"/>
          </w:tcPr>
          <w:p>
            <w:pPr>
              <w:jc w:val="right"/>
              <w:ind w:right="372"/>
              <w:spacing w:after="0"/>
              <w:rPr>
                <w:sz w:val="20"/>
                <w:szCs w:val="20"/>
                <w:color w:val="auto"/>
              </w:rPr>
            </w:pPr>
            <w:r>
              <w:rPr>
                <w:rFonts w:ascii="Arial" w:cs="Arial" w:eastAsia="Arial" w:hAnsi="Arial"/>
                <w:sz w:val="10"/>
                <w:szCs w:val="10"/>
                <w:color w:val="auto"/>
              </w:rPr>
              <w:t>26.15</w:t>
            </w:r>
          </w:p>
        </w:tc>
      </w:tr>
      <w:tr>
        <w:trPr>
          <w:trHeight w:val="223"/>
        </w:trPr>
        <w:tc>
          <w:tcPr>
            <w:tcW w:w="4120" w:type="dxa"/>
            <w:vAlign w:val="bottom"/>
            <w:tcBorders>
              <w:bottom w:val="single" w:sz="8" w:color="105BAB"/>
            </w:tcBorders>
            <w:shd w:val="clear" w:color="auto" w:fill="F1F3F9"/>
          </w:tcPr>
          <w:p>
            <w:pPr>
              <w:ind w:left="40"/>
              <w:spacing w:after="0"/>
              <w:rPr>
                <w:sz w:val="20"/>
                <w:szCs w:val="20"/>
                <w:color w:val="auto"/>
              </w:rPr>
            </w:pPr>
            <w:r>
              <w:rPr>
                <w:rFonts w:ascii="Arial" w:cs="Arial" w:eastAsia="Arial" w:hAnsi="Arial"/>
                <w:sz w:val="10"/>
                <w:szCs w:val="10"/>
                <w:color w:val="auto"/>
              </w:rPr>
              <w:t>Dilution</w:t>
            </w:r>
            <w:r>
              <w:rPr>
                <w:rFonts w:ascii="Arial" w:cs="Arial" w:eastAsia="Arial" w:hAnsi="Arial"/>
                <w:sz w:val="14"/>
                <w:szCs w:val="14"/>
                <w:color w:val="auto"/>
                <w:vertAlign w:val="superscript"/>
              </w:rPr>
              <w:t>3</w:t>
            </w:r>
          </w:p>
        </w:tc>
        <w:tc>
          <w:tcPr>
            <w:tcW w:w="4080" w:type="dxa"/>
            <w:vAlign w:val="bottom"/>
            <w:tcBorders>
              <w:bottom w:val="single" w:sz="8" w:color="105BAB"/>
            </w:tcBorders>
            <w:shd w:val="clear" w:color="auto" w:fill="F1F3F9"/>
          </w:tcPr>
          <w:p>
            <w:pPr>
              <w:jc w:val="right"/>
              <w:ind w:right="12"/>
              <w:spacing w:after="0"/>
              <w:rPr>
                <w:sz w:val="20"/>
                <w:szCs w:val="20"/>
                <w:color w:val="auto"/>
              </w:rPr>
            </w:pPr>
            <w:r>
              <w:rPr>
                <w:rFonts w:ascii="Arial" w:cs="Arial" w:eastAsia="Arial" w:hAnsi="Arial"/>
                <w:sz w:val="10"/>
                <w:szCs w:val="10"/>
                <w:color w:val="auto"/>
              </w:rPr>
              <w:t>19.66</w:t>
            </w:r>
          </w:p>
        </w:tc>
        <w:tc>
          <w:tcPr>
            <w:tcW w:w="720" w:type="dxa"/>
            <w:vAlign w:val="bottom"/>
            <w:tcBorders>
              <w:bottom w:val="single" w:sz="8" w:color="105BAB"/>
            </w:tcBorders>
            <w:shd w:val="clear" w:color="auto" w:fill="F1F3F9"/>
          </w:tcPr>
          <w:p>
            <w:pPr>
              <w:jc w:val="right"/>
              <w:ind w:right="192"/>
              <w:spacing w:after="0"/>
              <w:rPr>
                <w:sz w:val="20"/>
                <w:szCs w:val="20"/>
                <w:color w:val="auto"/>
              </w:rPr>
            </w:pPr>
            <w:r>
              <w:rPr>
                <w:rFonts w:ascii="Arial" w:cs="Arial" w:eastAsia="Arial" w:hAnsi="Arial"/>
                <w:sz w:val="10"/>
                <w:szCs w:val="10"/>
                <w:color w:val="auto"/>
              </w:rPr>
              <w:t>19.58</w:t>
            </w:r>
          </w:p>
        </w:tc>
        <w:tc>
          <w:tcPr>
            <w:tcW w:w="980" w:type="dxa"/>
            <w:vAlign w:val="bottom"/>
            <w:tcBorders>
              <w:bottom w:val="single" w:sz="8" w:color="105BAB"/>
            </w:tcBorders>
            <w:shd w:val="clear" w:color="auto" w:fill="F1F3F9"/>
          </w:tcPr>
          <w:p>
            <w:pPr>
              <w:jc w:val="right"/>
              <w:ind w:right="372"/>
              <w:spacing w:after="0"/>
              <w:rPr>
                <w:sz w:val="20"/>
                <w:szCs w:val="20"/>
                <w:color w:val="auto"/>
              </w:rPr>
            </w:pPr>
            <w:r>
              <w:rPr>
                <w:rFonts w:ascii="Arial" w:cs="Arial" w:eastAsia="Arial" w:hAnsi="Arial"/>
                <w:sz w:val="10"/>
                <w:szCs w:val="10"/>
                <w:color w:val="auto"/>
              </w:rPr>
              <w:t>18.55</w:t>
            </w:r>
          </w:p>
        </w:tc>
      </w:tr>
    </w:tbl>
    <w:p>
      <w:pPr>
        <w:spacing w:after="0" w:line="3" w:lineRule="exact"/>
        <w:rPr>
          <w:sz w:val="20"/>
          <w:szCs w:val="20"/>
          <w:color w:val="auto"/>
        </w:rPr>
      </w:pPr>
    </w:p>
    <w:p>
      <w:pPr>
        <w:ind w:left="1860" w:right="400" w:hanging="427"/>
        <w:spacing w:after="0" w:line="225" w:lineRule="auto"/>
        <w:tabs>
          <w:tab w:leader="none" w:pos="1860" w:val="left"/>
        </w:tabs>
        <w:numPr>
          <w:ilvl w:val="0"/>
          <w:numId w:val="87"/>
        </w:numPr>
        <w:rPr>
          <w:rFonts w:ascii="Arial" w:cs="Arial" w:eastAsia="Arial" w:hAnsi="Arial"/>
          <w:sz w:val="10"/>
          <w:szCs w:val="10"/>
          <w:color w:val="105BAB"/>
        </w:rPr>
      </w:pPr>
      <w:r>
        <w:rPr>
          <w:rFonts w:ascii="Arial" w:cs="Arial" w:eastAsia="Arial" w:hAnsi="Arial"/>
          <w:sz w:val="10"/>
          <w:szCs w:val="10"/>
          <w:color w:val="auto"/>
        </w:rPr>
        <w:t>Calculated by dividing the number of shares subject to equity awards (time-based vesting and performance-based vesting stock options and restricted stock) granted during the year by the weighted-average number of shares of common stock (including unvested restricted stock) and Class A stock outstanding during the year. A multiplier of 2 is applied to restricted stock awards.</w:t>
      </w:r>
    </w:p>
    <w:p>
      <w:pPr>
        <w:spacing w:after="0" w:line="1" w:lineRule="exact"/>
        <w:rPr>
          <w:sz w:val="20"/>
          <w:szCs w:val="20"/>
          <w:color w:val="auto"/>
        </w:rPr>
      </w:pPr>
    </w:p>
    <w:p>
      <w:pPr>
        <w:jc w:val="both"/>
        <w:ind w:left="1860" w:right="160" w:hanging="427"/>
        <w:spacing w:after="0" w:line="225" w:lineRule="auto"/>
        <w:tabs>
          <w:tab w:leader="none" w:pos="1860" w:val="left"/>
        </w:tabs>
        <w:numPr>
          <w:ilvl w:val="0"/>
          <w:numId w:val="88"/>
        </w:numPr>
        <w:rPr>
          <w:rFonts w:ascii="Arial" w:cs="Arial" w:eastAsia="Arial" w:hAnsi="Arial"/>
          <w:sz w:val="10"/>
          <w:szCs w:val="10"/>
          <w:color w:val="105BAB"/>
        </w:rPr>
      </w:pPr>
      <w:r>
        <w:rPr>
          <w:rFonts w:ascii="Arial" w:cs="Arial" w:eastAsia="Arial" w:hAnsi="Arial"/>
          <w:sz w:val="10"/>
          <w:szCs w:val="10"/>
          <w:color w:val="auto"/>
        </w:rPr>
        <w:t>Calculated by dividing (a) the sum of (i) the number of shares subject to equity awards (time-based vesting and performance-based vesting stock options and unvested restricted stock) outstanding at the end of the year and (ii) the number of shares available for future grants at the end of the year, by (b) the sum of (i) the number of shares of common stock and Class A stock outstanding at the end of the year and (ii) the shares subject to equity awards outstanding at the end of the year.</w:t>
      </w:r>
    </w:p>
    <w:p>
      <w:pPr>
        <w:spacing w:after="0" w:line="1" w:lineRule="exact"/>
        <w:rPr>
          <w:sz w:val="20"/>
          <w:szCs w:val="20"/>
          <w:color w:val="auto"/>
        </w:rPr>
      </w:pPr>
    </w:p>
    <w:p>
      <w:pPr>
        <w:ind w:left="1860" w:right="200" w:hanging="427"/>
        <w:spacing w:after="0" w:line="232" w:lineRule="auto"/>
        <w:tabs>
          <w:tab w:leader="none" w:pos="1860" w:val="left"/>
        </w:tabs>
        <w:numPr>
          <w:ilvl w:val="0"/>
          <w:numId w:val="89"/>
        </w:numPr>
        <w:rPr>
          <w:rFonts w:ascii="Arial" w:cs="Arial" w:eastAsia="Arial" w:hAnsi="Arial"/>
          <w:sz w:val="10"/>
          <w:szCs w:val="10"/>
          <w:color w:val="105BAB"/>
        </w:rPr>
      </w:pPr>
      <w:r>
        <w:rPr>
          <w:rFonts w:ascii="Arial" w:cs="Arial" w:eastAsia="Arial" w:hAnsi="Arial"/>
          <w:sz w:val="10"/>
          <w:szCs w:val="10"/>
          <w:color w:val="auto"/>
        </w:rPr>
        <w:t>Calculated by dividing the number of shares subject to equity awards (time-based vesting and performance-based vesting stock options and unvested restricted stock) outstanding at the end of the year by the sum of (i) the number of shares of common stock and Class A stock outstanding at the end of the year and (ii) the shares subject to equity awards outstanding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80010</wp:posOffset>
            </wp:positionV>
            <wp:extent cx="637730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377305" cy="5715"/>
                    </a:xfrm>
                    <a:prstGeom prst="rect">
                      <a:avLst/>
                    </a:prstGeom>
                    <a:noFill/>
                  </pic:spPr>
                </pic:pic>
              </a:graphicData>
            </a:graphic>
          </wp:anchor>
        </w:drawing>
      </w:r>
    </w:p>
    <w:p>
      <w:pPr>
        <w:spacing w:after="0" w:line="400"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105BAB"/>
        </w:rPr>
        <w:t>Equity Compensation Plan Information</w:t>
      </w:r>
    </w:p>
    <w:p>
      <w:pPr>
        <w:spacing w:after="0" w:line="11"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The following table shows information with respect to securities authorized for issuance under the equity compensation plans maintained by the Company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82550</wp:posOffset>
            </wp:positionV>
            <wp:extent cx="637730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377305" cy="5715"/>
                    </a:xfrm>
                    <a:prstGeom prst="rect">
                      <a:avLst/>
                    </a:prstGeom>
                    <a:noFill/>
                  </pic:spPr>
                </pic:pic>
              </a:graphicData>
            </a:graphic>
          </wp:anchor>
        </w:drawing>
      </w:r>
    </w:p>
    <w:p>
      <w:pPr>
        <w:spacing w:after="0" w:line="137" w:lineRule="exact"/>
        <w:rPr>
          <w:sz w:val="20"/>
          <w:szCs w:val="20"/>
          <w:color w:val="auto"/>
        </w:rPr>
      </w:pPr>
    </w:p>
    <w:p>
      <w:pPr>
        <w:ind w:left="8280"/>
        <w:spacing w:after="0"/>
        <w:tabs>
          <w:tab w:leader="none" w:pos="9360" w:val="left"/>
          <w:tab w:leader="none" w:pos="10660" w:val="left"/>
        </w:tabs>
        <w:rPr>
          <w:sz w:val="20"/>
          <w:szCs w:val="20"/>
          <w:color w:val="auto"/>
        </w:rPr>
      </w:pPr>
      <w:r>
        <w:rPr>
          <w:rFonts w:ascii="Arial" w:cs="Arial" w:eastAsia="Arial" w:hAnsi="Arial"/>
          <w:sz w:val="10"/>
          <w:szCs w:val="10"/>
          <w:b w:val="1"/>
          <w:bCs w:val="1"/>
          <w:color w:val="105BAB"/>
        </w:rPr>
        <w:t>A</w:t>
      </w:r>
      <w:r>
        <w:rPr>
          <w:sz w:val="20"/>
          <w:szCs w:val="20"/>
          <w:color w:val="auto"/>
        </w:rPr>
        <w:tab/>
      </w:r>
      <w:r>
        <w:rPr>
          <w:rFonts w:ascii="Arial" w:cs="Arial" w:eastAsia="Arial" w:hAnsi="Arial"/>
          <w:sz w:val="10"/>
          <w:szCs w:val="10"/>
          <w:b w:val="1"/>
          <w:bCs w:val="1"/>
          <w:color w:val="105BAB"/>
        </w:rPr>
        <w:t>B</w:t>
      </w:r>
      <w:r>
        <w:rPr>
          <w:sz w:val="20"/>
          <w:szCs w:val="20"/>
          <w:color w:val="auto"/>
        </w:rPr>
        <w:tab/>
      </w:r>
      <w:r>
        <w:rPr>
          <w:rFonts w:ascii="Arial" w:cs="Arial" w:eastAsia="Arial" w:hAnsi="Arial"/>
          <w:sz w:val="10"/>
          <w:szCs w:val="10"/>
          <w:b w:val="1"/>
          <w:bCs w:val="1"/>
          <w:color w:val="105BAB"/>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1270</wp:posOffset>
            </wp:positionV>
            <wp:extent cx="637730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377305" cy="57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480"/>
        <w:spacing w:after="0"/>
        <w:rPr>
          <w:sz w:val="20"/>
          <w:szCs w:val="20"/>
          <w:color w:val="auto"/>
        </w:rPr>
      </w:pPr>
      <w:r>
        <w:rPr>
          <w:rFonts w:ascii="Arial" w:cs="Arial" w:eastAsia="Arial" w:hAnsi="Arial"/>
          <w:sz w:val="10"/>
          <w:szCs w:val="10"/>
          <w:b w:val="1"/>
          <w:bCs w:val="1"/>
          <w:color w:val="105BAB"/>
        </w:rPr>
        <w:t>Plan Category</w:t>
      </w:r>
    </w:p>
    <w:p>
      <w:pPr>
        <w:spacing w:after="0" w:line="124" w:lineRule="exact"/>
        <w:rPr>
          <w:sz w:val="20"/>
          <w:szCs w:val="20"/>
          <w:color w:val="auto"/>
        </w:rPr>
      </w:pPr>
    </w:p>
    <w:p>
      <w:pPr>
        <w:ind w:left="1480"/>
        <w:spacing w:after="0"/>
        <w:rPr>
          <w:sz w:val="20"/>
          <w:szCs w:val="20"/>
          <w:color w:val="auto"/>
        </w:rPr>
      </w:pPr>
      <w:r>
        <w:rPr>
          <w:rFonts w:ascii="Arial" w:cs="Arial" w:eastAsia="Arial" w:hAnsi="Arial"/>
          <w:sz w:val="10"/>
          <w:szCs w:val="10"/>
          <w:color w:val="auto"/>
        </w:rPr>
        <w:t>Equity compensation plans</w:t>
      </w:r>
    </w:p>
    <w:p>
      <w:pPr>
        <w:ind w:left="1480"/>
        <w:spacing w:after="0"/>
        <w:rPr>
          <w:sz w:val="20"/>
          <w:szCs w:val="20"/>
          <w:color w:val="auto"/>
        </w:rPr>
      </w:pPr>
      <w:r>
        <w:rPr>
          <w:rFonts w:ascii="Arial" w:cs="Arial" w:eastAsia="Arial" w:hAnsi="Arial"/>
          <w:sz w:val="8"/>
          <w:szCs w:val="8"/>
          <w:color w:val="auto"/>
        </w:rPr>
        <w:t>approved by security holders</w:t>
      </w:r>
      <w:r>
        <w:rPr>
          <w:rFonts w:ascii="Arial" w:cs="Arial" w:eastAsia="Arial" w:hAnsi="Arial"/>
          <w:sz w:val="6"/>
          <w:szCs w:val="6"/>
          <w:color w:val="auto"/>
        </w:rPr>
        <w:t>1</w:t>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8"/>
          <w:szCs w:val="8"/>
          <w:color w:val="auto"/>
        </w:rPr>
        <w:t>Equity compensation plans not</w:t>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9"/>
          <w:szCs w:val="9"/>
          <w:color w:val="auto"/>
        </w:rPr>
        <w:t>approved by security holders</w:t>
      </w:r>
      <w:r>
        <w:rPr>
          <w:rFonts w:ascii="Arial" w:cs="Arial" w:eastAsia="Arial" w:hAnsi="Arial"/>
          <w:sz w:val="13"/>
          <w:szCs w:val="13"/>
          <w:color w:val="auto"/>
          <w:vertAlign w:val="superscript"/>
        </w:rPr>
        <w:t>2</w:t>
      </w:r>
    </w:p>
    <w:p>
      <w:pPr>
        <w:spacing w:after="0" w:line="202" w:lineRule="exact"/>
        <w:rPr>
          <w:sz w:val="20"/>
          <w:szCs w:val="20"/>
          <w:color w:val="auto"/>
        </w:rPr>
      </w:pPr>
    </w:p>
    <w:p>
      <w:pPr>
        <w:ind w:left="1480"/>
        <w:spacing w:after="0"/>
        <w:rPr>
          <w:sz w:val="20"/>
          <w:szCs w:val="20"/>
          <w:color w:val="auto"/>
        </w:rPr>
      </w:pPr>
      <w:r>
        <w:rPr>
          <w:rFonts w:ascii="Arial" w:cs="Arial" w:eastAsia="Arial" w:hAnsi="Arial"/>
          <w:sz w:val="10"/>
          <w:szCs w:val="10"/>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0"/>
        </w:trPr>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20" w:type="dxa"/>
            <w:vAlign w:val="bottom"/>
          </w:tcPr>
          <w:p>
            <w:pPr>
              <w:jc w:val="center"/>
              <w:spacing w:after="0" w:line="110" w:lineRule="exact"/>
              <w:rPr>
                <w:sz w:val="20"/>
                <w:szCs w:val="20"/>
                <w:color w:val="auto"/>
              </w:rPr>
            </w:pPr>
            <w:r>
              <w:rPr>
                <w:rFonts w:ascii="Arial" w:cs="Arial" w:eastAsia="Arial" w:hAnsi="Arial"/>
                <w:sz w:val="10"/>
                <w:szCs w:val="10"/>
                <w:b w:val="1"/>
                <w:bCs w:val="1"/>
                <w:color w:val="105BAB"/>
                <w:w w:val="95"/>
              </w:rPr>
              <w:t>Number of securities remaining</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available for</w:t>
            </w:r>
          </w:p>
        </w:tc>
        <w:tc>
          <w:tcPr>
            <w:tcW w:w="0" w:type="dxa"/>
            <w:vAlign w:val="bottom"/>
          </w:tcPr>
          <w:p>
            <w:pPr>
              <w:spacing w:after="0"/>
              <w:rPr>
                <w:sz w:val="1"/>
                <w:szCs w:val="1"/>
                <w:color w:val="auto"/>
              </w:rPr>
            </w:pPr>
          </w:p>
        </w:tc>
      </w:tr>
      <w:tr>
        <w:trPr>
          <w:trHeight w:val="108"/>
        </w:trPr>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Number of securities to</w:t>
            </w:r>
          </w:p>
        </w:tc>
        <w:tc>
          <w:tcPr>
            <w:tcW w:w="10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105BAB"/>
                <w:w w:val="97"/>
              </w:rPr>
              <w:t>Weighted-average</w:t>
            </w: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future issuance under</w:t>
            </w:r>
          </w:p>
        </w:tc>
        <w:tc>
          <w:tcPr>
            <w:tcW w:w="0" w:type="dxa"/>
            <w:vAlign w:val="bottom"/>
          </w:tcPr>
          <w:p>
            <w:pPr>
              <w:spacing w:after="0"/>
              <w:rPr>
                <w:sz w:val="1"/>
                <w:szCs w:val="1"/>
                <w:color w:val="auto"/>
              </w:rPr>
            </w:pPr>
          </w:p>
        </w:tc>
      </w:tr>
      <w:tr>
        <w:trPr>
          <w:trHeight w:val="108"/>
        </w:trPr>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be issued upon exercise</w:t>
            </w:r>
          </w:p>
        </w:tc>
        <w:tc>
          <w:tcPr>
            <w:tcW w:w="10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105BAB"/>
                <w:w w:val="96"/>
              </w:rPr>
              <w:t>exercise price of</w:t>
            </w: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equity compensation</w:t>
            </w:r>
          </w:p>
        </w:tc>
        <w:tc>
          <w:tcPr>
            <w:tcW w:w="0" w:type="dxa"/>
            <w:vAlign w:val="bottom"/>
          </w:tcPr>
          <w:p>
            <w:pPr>
              <w:spacing w:after="0"/>
              <w:rPr>
                <w:sz w:val="1"/>
                <w:szCs w:val="1"/>
                <w:color w:val="auto"/>
              </w:rPr>
            </w:pPr>
          </w:p>
        </w:tc>
      </w:tr>
      <w:tr>
        <w:trPr>
          <w:trHeight w:val="108"/>
        </w:trPr>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5"/>
              </w:rPr>
              <w:t>of outstanding options,</w:t>
            </w:r>
          </w:p>
        </w:tc>
        <w:tc>
          <w:tcPr>
            <w:tcW w:w="10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105BAB"/>
                <w:w w:val="97"/>
              </w:rPr>
              <w:t>outstanding options,</w:t>
            </w: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105BAB"/>
                <w:w w:val="96"/>
              </w:rPr>
              <w:t>plans (excluding</w:t>
            </w:r>
          </w:p>
        </w:tc>
        <w:tc>
          <w:tcPr>
            <w:tcW w:w="0" w:type="dxa"/>
            <w:vAlign w:val="bottom"/>
          </w:tcPr>
          <w:p>
            <w:pPr>
              <w:spacing w:after="0"/>
              <w:rPr>
                <w:sz w:val="1"/>
                <w:szCs w:val="1"/>
                <w:color w:val="auto"/>
              </w:rPr>
            </w:pPr>
          </w:p>
        </w:tc>
      </w:tr>
      <w:tr>
        <w:trPr>
          <w:trHeight w:val="127"/>
        </w:trPr>
        <w:tc>
          <w:tcPr>
            <w:tcW w:w="1140" w:type="dxa"/>
            <w:vAlign w:val="bottom"/>
          </w:tcPr>
          <w:p>
            <w:pPr>
              <w:jc w:val="center"/>
              <w:spacing w:after="0"/>
              <w:rPr>
                <w:sz w:val="20"/>
                <w:szCs w:val="20"/>
                <w:color w:val="auto"/>
              </w:rPr>
            </w:pPr>
            <w:r>
              <w:rPr>
                <w:rFonts w:ascii="Arial" w:cs="Arial" w:eastAsia="Arial" w:hAnsi="Arial"/>
                <w:sz w:val="10"/>
                <w:szCs w:val="10"/>
                <w:b w:val="1"/>
                <w:bCs w:val="1"/>
                <w:color w:val="105BAB"/>
                <w:w w:val="96"/>
              </w:rPr>
              <w:t>warrants, and rights</w:t>
            </w: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105BAB"/>
                <w:w w:val="96"/>
              </w:rPr>
              <w:t>warrants, and rights</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105BAB"/>
                <w:w w:val="95"/>
              </w:rPr>
              <w:t>securities reflected in column A)</w:t>
            </w:r>
          </w:p>
        </w:tc>
        <w:tc>
          <w:tcPr>
            <w:tcW w:w="0" w:type="dxa"/>
            <w:vAlign w:val="bottom"/>
          </w:tcPr>
          <w:p>
            <w:pPr>
              <w:spacing w:after="0"/>
              <w:rPr>
                <w:sz w:val="1"/>
                <w:szCs w:val="1"/>
                <w:color w:val="auto"/>
              </w:rPr>
            </w:pPr>
          </w:p>
        </w:tc>
      </w:tr>
      <w:tr>
        <w:trPr>
          <w:trHeight w:val="227"/>
        </w:trPr>
        <w:tc>
          <w:tcPr>
            <w:tcW w:w="1140" w:type="dxa"/>
            <w:vAlign w:val="bottom"/>
          </w:tcPr>
          <w:p>
            <w:pPr>
              <w:jc w:val="center"/>
              <w:spacing w:after="0"/>
              <w:rPr>
                <w:sz w:val="20"/>
                <w:szCs w:val="20"/>
                <w:color w:val="auto"/>
              </w:rPr>
            </w:pPr>
            <w:r>
              <w:rPr>
                <w:rFonts w:ascii="Arial" w:cs="Arial" w:eastAsia="Arial" w:hAnsi="Arial"/>
                <w:sz w:val="10"/>
                <w:szCs w:val="10"/>
                <w:color w:val="auto"/>
                <w:w w:val="95"/>
              </w:rPr>
              <w:t>26,205,373</w:t>
            </w: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252"/>
              <w:spacing w:after="0"/>
              <w:rPr>
                <w:sz w:val="20"/>
                <w:szCs w:val="20"/>
                <w:color w:val="auto"/>
              </w:rPr>
            </w:pPr>
            <w:r>
              <w:rPr>
                <w:rFonts w:ascii="Arial" w:cs="Arial" w:eastAsia="Arial" w:hAnsi="Arial"/>
                <w:sz w:val="10"/>
                <w:szCs w:val="10"/>
                <w:color w:val="auto"/>
              </w:rPr>
              <w:t>295.98</w:t>
            </w:r>
          </w:p>
        </w:tc>
        <w:tc>
          <w:tcPr>
            <w:tcW w:w="1520" w:type="dxa"/>
            <w:vAlign w:val="bottom"/>
          </w:tcPr>
          <w:p>
            <w:pPr>
              <w:jc w:val="center"/>
              <w:spacing w:after="0"/>
              <w:rPr>
                <w:sz w:val="20"/>
                <w:szCs w:val="20"/>
                <w:color w:val="auto"/>
              </w:rPr>
            </w:pPr>
            <w:r>
              <w:rPr>
                <w:rFonts w:ascii="Arial" w:cs="Arial" w:eastAsia="Arial" w:hAnsi="Arial"/>
                <w:sz w:val="10"/>
                <w:szCs w:val="10"/>
                <w:color w:val="auto"/>
                <w:w w:val="95"/>
              </w:rPr>
              <w:t>15,768,378</w:t>
            </w:r>
          </w:p>
        </w:tc>
        <w:tc>
          <w:tcPr>
            <w:tcW w:w="0" w:type="dxa"/>
            <w:vAlign w:val="bottom"/>
          </w:tcPr>
          <w:p>
            <w:pPr>
              <w:spacing w:after="0"/>
              <w:rPr>
                <w:sz w:val="1"/>
                <w:szCs w:val="1"/>
                <w:color w:val="auto"/>
              </w:rPr>
            </w:pPr>
          </w:p>
        </w:tc>
      </w:tr>
      <w:tr>
        <w:trPr>
          <w:trHeight w:val="61"/>
        </w:trPr>
        <w:tc>
          <w:tcPr>
            <w:tcW w:w="1140" w:type="dxa"/>
            <w:vAlign w:val="bottom"/>
            <w:vMerge w:val="restart"/>
          </w:tcPr>
          <w:p>
            <w:pPr>
              <w:jc w:val="center"/>
              <w:spacing w:after="0"/>
              <w:rPr>
                <w:sz w:val="20"/>
                <w:szCs w:val="20"/>
                <w:color w:val="auto"/>
              </w:rPr>
            </w:pPr>
            <w:r>
              <w:rPr>
                <w:rFonts w:ascii="Arial" w:cs="Arial" w:eastAsia="Arial" w:hAnsi="Arial"/>
                <w:sz w:val="10"/>
                <w:szCs w:val="10"/>
                <w:color w:val="auto"/>
                <w:w w:val="95"/>
              </w:rPr>
              <w:t>shares of common stock</w:t>
            </w:r>
          </w:p>
        </w:tc>
        <w:tc>
          <w:tcPr>
            <w:tcW w:w="4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color w:val="auto"/>
                <w:w w:val="96"/>
              </w:rPr>
              <w:t>shares of common stock</w:t>
            </w:r>
            <w:r>
              <w:rPr>
                <w:rFonts w:ascii="Arial" w:cs="Arial" w:eastAsia="Arial" w:hAnsi="Arial"/>
                <w:sz w:val="7"/>
                <w:szCs w:val="7"/>
                <w:color w:val="auto"/>
                <w:w w:val="96"/>
              </w:rPr>
              <w:t>3</w:t>
            </w:r>
          </w:p>
        </w:tc>
        <w:tc>
          <w:tcPr>
            <w:tcW w:w="0" w:type="dxa"/>
            <w:vAlign w:val="bottom"/>
          </w:tcPr>
          <w:p>
            <w:pPr>
              <w:spacing w:after="0"/>
              <w:rPr>
                <w:sz w:val="1"/>
                <w:szCs w:val="1"/>
                <w:color w:val="auto"/>
              </w:rPr>
            </w:pPr>
          </w:p>
        </w:tc>
      </w:tr>
      <w:tr>
        <w:trPr>
          <w:trHeight w:val="63"/>
        </w:trPr>
        <w:tc>
          <w:tcPr>
            <w:tcW w:w="11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14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400" w:type="dxa"/>
            <w:vAlign w:val="bottom"/>
          </w:tcPr>
          <w:p>
            <w:pPr>
              <w:spacing w:after="0"/>
              <w:rPr>
                <w:sz w:val="20"/>
                <w:szCs w:val="20"/>
                <w:color w:val="auto"/>
              </w:rPr>
            </w:pPr>
          </w:p>
        </w:tc>
        <w:tc>
          <w:tcPr>
            <w:tcW w:w="640" w:type="dxa"/>
            <w:vAlign w:val="bottom"/>
          </w:tcPr>
          <w:p>
            <w:pPr>
              <w:jc w:val="center"/>
              <w:ind w:right="352"/>
              <w:spacing w:after="0"/>
              <w:rPr>
                <w:sz w:val="20"/>
                <w:szCs w:val="20"/>
                <w:color w:val="auto"/>
              </w:rPr>
            </w:pPr>
            <w:r>
              <w:rPr>
                <w:rFonts w:ascii="Arial" w:cs="Arial" w:eastAsia="Arial" w:hAnsi="Arial"/>
                <w:sz w:val="10"/>
                <w:szCs w:val="10"/>
                <w:color w:val="auto"/>
              </w:rPr>
              <w:t>$—</w:t>
            </w:r>
          </w:p>
        </w:tc>
        <w:tc>
          <w:tcPr>
            <w:tcW w:w="1520" w:type="dxa"/>
            <w:vAlign w:val="bottom"/>
          </w:tcPr>
          <w:p>
            <w:pPr>
              <w:jc w:val="center"/>
              <w:ind w:left="12"/>
              <w:spacing w:after="0"/>
              <w:rPr>
                <w:sz w:val="20"/>
                <w:szCs w:val="20"/>
                <w:color w:val="auto"/>
              </w:rPr>
            </w:pPr>
            <w:r>
              <w:rPr>
                <w:rFonts w:ascii="Arial" w:cs="Arial" w:eastAsia="Arial" w:hAnsi="Arial"/>
                <w:sz w:val="10"/>
                <w:szCs w:val="10"/>
                <w:color w:val="auto"/>
                <w:w w:val="97"/>
              </w:rPr>
              <w:t>44,246</w:t>
            </w:r>
          </w:p>
        </w:tc>
        <w:tc>
          <w:tcPr>
            <w:tcW w:w="0" w:type="dxa"/>
            <w:vAlign w:val="bottom"/>
          </w:tcPr>
          <w:p>
            <w:pPr>
              <w:spacing w:after="0"/>
              <w:rPr>
                <w:sz w:val="1"/>
                <w:szCs w:val="1"/>
                <w:color w:val="auto"/>
              </w:rPr>
            </w:pPr>
          </w:p>
        </w:tc>
      </w:tr>
      <w:tr>
        <w:trPr>
          <w:trHeight w:val="61"/>
        </w:trPr>
        <w:tc>
          <w:tcPr>
            <w:tcW w:w="11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color w:val="auto"/>
                <w:w w:val="95"/>
              </w:rPr>
              <w:t>shares of Class A stock</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140" w:type="dxa"/>
            <w:vAlign w:val="bottom"/>
            <w:vMerge w:val="restart"/>
          </w:tcPr>
          <w:p>
            <w:pPr>
              <w:jc w:val="center"/>
              <w:spacing w:after="0"/>
              <w:rPr>
                <w:sz w:val="20"/>
                <w:szCs w:val="20"/>
                <w:color w:val="auto"/>
              </w:rPr>
            </w:pPr>
            <w:r>
              <w:rPr>
                <w:rFonts w:ascii="Arial" w:cs="Arial" w:eastAsia="Arial" w:hAnsi="Arial"/>
                <w:sz w:val="10"/>
                <w:szCs w:val="10"/>
                <w:color w:val="auto"/>
                <w:w w:val="95"/>
              </w:rPr>
              <w:t>26,205,373</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0"/>
                <w:szCs w:val="10"/>
                <w:color w:val="auto"/>
                <w:w w:val="95"/>
              </w:rPr>
              <w:t>15,812,624</w:t>
            </w: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400" w:type="dxa"/>
            <w:vAlign w:val="bottom"/>
            <w:vMerge w:val="restart"/>
          </w:tcPr>
          <w:p>
            <w:pPr>
              <w:jc w:val="right"/>
              <w:spacing w:after="0" w:line="108"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252"/>
              <w:spacing w:after="0" w:line="108" w:lineRule="exact"/>
              <w:rPr>
                <w:sz w:val="20"/>
                <w:szCs w:val="20"/>
                <w:color w:val="auto"/>
              </w:rPr>
            </w:pPr>
            <w:r>
              <w:rPr>
                <w:rFonts w:ascii="Arial" w:cs="Arial" w:eastAsia="Arial" w:hAnsi="Arial"/>
                <w:sz w:val="10"/>
                <w:szCs w:val="10"/>
                <w:color w:val="auto"/>
              </w:rPr>
              <w:t>295.98</w:t>
            </w:r>
          </w:p>
        </w:tc>
        <w:tc>
          <w:tcPr>
            <w:tcW w:w="1520" w:type="dxa"/>
            <w:vAlign w:val="bottom"/>
            <w:vMerge w:val="restart"/>
          </w:tcPr>
          <w:p>
            <w:pPr>
              <w:jc w:val="center"/>
              <w:spacing w:after="0" w:line="108" w:lineRule="exact"/>
              <w:rPr>
                <w:sz w:val="20"/>
                <w:szCs w:val="20"/>
                <w:color w:val="auto"/>
              </w:rPr>
            </w:pPr>
            <w:r>
              <w:rPr>
                <w:rFonts w:ascii="Arial" w:cs="Arial" w:eastAsia="Arial" w:hAnsi="Arial"/>
                <w:sz w:val="10"/>
                <w:szCs w:val="10"/>
                <w:color w:val="auto"/>
                <w:w w:val="95"/>
              </w:rPr>
              <w:t>shares of common stock</w:t>
            </w:r>
          </w:p>
        </w:tc>
        <w:tc>
          <w:tcPr>
            <w:tcW w:w="0" w:type="dxa"/>
            <w:vAlign w:val="bottom"/>
          </w:tcPr>
          <w:p>
            <w:pPr>
              <w:spacing w:after="0"/>
              <w:rPr>
                <w:sz w:val="1"/>
                <w:szCs w:val="1"/>
                <w:color w:val="auto"/>
              </w:rPr>
            </w:pPr>
          </w:p>
        </w:tc>
      </w:tr>
      <w:tr>
        <w:trPr>
          <w:trHeight w:val="54"/>
        </w:trPr>
        <w:tc>
          <w:tcPr>
            <w:tcW w:w="1140" w:type="dxa"/>
            <w:vAlign w:val="bottom"/>
            <w:vMerge w:val="restart"/>
          </w:tcPr>
          <w:p>
            <w:pPr>
              <w:jc w:val="center"/>
              <w:spacing w:after="0"/>
              <w:rPr>
                <w:sz w:val="20"/>
                <w:szCs w:val="20"/>
                <w:color w:val="auto"/>
              </w:rPr>
            </w:pPr>
            <w:r>
              <w:rPr>
                <w:rFonts w:ascii="Arial" w:cs="Arial" w:eastAsia="Arial" w:hAnsi="Arial"/>
                <w:sz w:val="10"/>
                <w:szCs w:val="10"/>
                <w:color w:val="auto"/>
                <w:w w:val="95"/>
              </w:rPr>
              <w:t>shares of common stock</w:t>
            </w:r>
          </w:p>
        </w:tc>
        <w:tc>
          <w:tcPr>
            <w:tcW w:w="4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1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color w:val="auto"/>
                <w:w w:val="94"/>
              </w:rPr>
              <w:t>and Class A stock</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-737870</wp:posOffset>
            </wp:positionV>
            <wp:extent cx="6377305" cy="7378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377305" cy="73787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7040" w:space="720"/>
            <w:col w:w="3700"/>
          </w:cols>
          <w:pgMar w:left="220" w:top="142" w:right="219" w:bottom="1440" w:gutter="0" w:footer="0" w:header="0"/>
          <w:type w:val="continuous"/>
        </w:sectPr>
      </w:pPr>
    </w:p>
    <w:p>
      <w:pPr>
        <w:ind w:left="1960" w:hanging="527"/>
        <w:spacing w:after="0"/>
        <w:tabs>
          <w:tab w:leader="none" w:pos="1960" w:val="left"/>
        </w:tabs>
        <w:numPr>
          <w:ilvl w:val="0"/>
          <w:numId w:val="90"/>
        </w:numPr>
        <w:rPr>
          <w:rFonts w:ascii="Arial" w:cs="Arial" w:eastAsia="Arial" w:hAnsi="Arial"/>
          <w:sz w:val="8"/>
          <w:szCs w:val="8"/>
          <w:color w:val="105BAB"/>
        </w:rPr>
      </w:pPr>
      <w:r>
        <w:rPr>
          <w:rFonts w:ascii="Arial" w:cs="Arial" w:eastAsia="Arial" w:hAnsi="Arial"/>
          <w:sz w:val="8"/>
          <w:szCs w:val="8"/>
          <w:color w:val="auto"/>
        </w:rPr>
        <w:t>The equity compensation plans approved by the security holders are the Regeneron Pharmaceuticals, Inc. Second Amended and Restated 2000 Long-Term Incentive Plan; the Regeneron Pharmaceuticals, Inc. 2014 Long-</w:t>
      </w:r>
    </w:p>
    <w:p>
      <w:pPr>
        <w:spacing w:after="0" w:line="16" w:lineRule="exact"/>
        <w:rPr>
          <w:sz w:val="20"/>
          <w:szCs w:val="20"/>
          <w:color w:val="auto"/>
        </w:rPr>
      </w:pPr>
    </w:p>
    <w:p>
      <w:pPr>
        <w:ind w:left="1960" w:right="140"/>
        <w:spacing w:after="0" w:line="225" w:lineRule="auto"/>
        <w:rPr>
          <w:sz w:val="20"/>
          <w:szCs w:val="20"/>
          <w:color w:val="auto"/>
        </w:rPr>
      </w:pPr>
      <w:r>
        <w:rPr>
          <w:rFonts w:ascii="Arial" w:cs="Arial" w:eastAsia="Arial" w:hAnsi="Arial"/>
          <w:sz w:val="10"/>
          <w:szCs w:val="10"/>
          <w:color w:val="auto"/>
        </w:rPr>
        <w:t>Term Incentive Plan; and the Amended and Restated Regeneron Pharmaceuticals, Inc. 2014 Long-Term Incentive Plan. The Amended and Restated Regeneron Pharmaceuticals, Inc. 2014 Long-Term Incentive Plan is the only plan currently used by the Company to grant equity awards.</w:t>
      </w:r>
    </w:p>
    <w:p>
      <w:pPr>
        <w:spacing w:after="0" w:line="1" w:lineRule="exact"/>
        <w:rPr>
          <w:sz w:val="20"/>
          <w:szCs w:val="20"/>
          <w:color w:val="auto"/>
        </w:rPr>
      </w:pPr>
    </w:p>
    <w:p>
      <w:pPr>
        <w:ind w:left="1960" w:right="40" w:hanging="527"/>
        <w:spacing w:after="0" w:line="225" w:lineRule="auto"/>
        <w:tabs>
          <w:tab w:leader="none" w:pos="1960" w:val="left"/>
        </w:tabs>
        <w:numPr>
          <w:ilvl w:val="0"/>
          <w:numId w:val="91"/>
        </w:numPr>
        <w:rPr>
          <w:rFonts w:ascii="Arial" w:cs="Arial" w:eastAsia="Arial" w:hAnsi="Arial"/>
          <w:sz w:val="10"/>
          <w:szCs w:val="10"/>
          <w:color w:val="105BAB"/>
        </w:rPr>
      </w:pPr>
      <w:r>
        <w:rPr>
          <w:rFonts w:ascii="Arial" w:cs="Arial" w:eastAsia="Arial" w:hAnsi="Arial"/>
          <w:sz w:val="10"/>
          <w:szCs w:val="10"/>
          <w:color w:val="auto"/>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2017, there were no unvested shares and 44,246 shares of Class A stock available for future grants under the Plan.</w:t>
      </w:r>
    </w:p>
    <w:p>
      <w:pPr>
        <w:spacing w:after="0" w:line="1" w:lineRule="exact"/>
        <w:rPr>
          <w:sz w:val="20"/>
          <w:szCs w:val="20"/>
          <w:color w:val="auto"/>
        </w:rPr>
      </w:pPr>
    </w:p>
    <w:p>
      <w:pPr>
        <w:ind w:left="1960" w:hanging="527"/>
        <w:spacing w:after="0"/>
        <w:tabs>
          <w:tab w:leader="none" w:pos="1960" w:val="left"/>
        </w:tabs>
        <w:numPr>
          <w:ilvl w:val="0"/>
          <w:numId w:val="92"/>
        </w:numPr>
        <w:rPr>
          <w:rFonts w:ascii="Arial" w:cs="Arial" w:eastAsia="Arial" w:hAnsi="Arial"/>
          <w:sz w:val="10"/>
          <w:szCs w:val="10"/>
          <w:color w:val="105BAB"/>
        </w:rPr>
      </w:pPr>
      <w:r>
        <w:rPr>
          <w:rFonts w:ascii="Arial" w:cs="Arial" w:eastAsia="Arial" w:hAnsi="Arial"/>
          <w:sz w:val="10"/>
          <w:szCs w:val="10"/>
          <w:color w:val="auto"/>
        </w:rPr>
        <w:t>This amount is net of 106,260 outstanding shares of restricted stock. As these shares are considered issued and outstanding upon grant, they are not included in the amounts reported in column (a).</w:t>
      </w:r>
    </w:p>
    <w:p>
      <w:pPr>
        <w:spacing w:after="0" w:line="125"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FFFFFE"/>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type w:val="continuous"/>
        </w:sectPr>
      </w:pPr>
    </w:p>
    <w:bookmarkStart w:id="98" w:name="page99"/>
    <w:bookmarkEnd w:id="98"/>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88265</wp:posOffset>
            </wp:positionV>
            <wp:extent cx="4787265" cy="12357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787265" cy="12357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1483995</wp:posOffset>
            </wp:positionV>
            <wp:extent cx="72923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gridSpan w:val="3"/>
          </w:tcPr>
          <w:p>
            <w:pPr>
              <w:spacing w:after="0"/>
              <w:rPr>
                <w:sz w:val="20"/>
                <w:szCs w:val="20"/>
                <w:color w:val="auto"/>
              </w:rPr>
            </w:pPr>
            <w:r>
              <w:rPr>
                <w:rFonts w:ascii="Arial" w:cs="Arial" w:eastAsia="Arial" w:hAnsi="Arial"/>
                <w:sz w:val="12"/>
                <w:szCs w:val="12"/>
                <w:b w:val="1"/>
                <w:bCs w:val="1"/>
                <w:color w:val="105BAB"/>
              </w:rPr>
              <w:t>When are</w:t>
            </w: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rPr>
              <w:t>A shareholder wishing to present a proposal at the 2019 Annual Meeting of Shareholders must submit the proposal in writing and it must be received by the Company at its principal</w:t>
            </w:r>
          </w:p>
        </w:tc>
        <w:tc>
          <w:tcPr>
            <w:tcW w:w="0" w:type="dxa"/>
            <w:vAlign w:val="bottom"/>
          </w:tcPr>
          <w:p>
            <w:pPr>
              <w:spacing w:after="0"/>
              <w:rPr>
                <w:sz w:val="1"/>
                <w:szCs w:val="1"/>
                <w:color w:val="auto"/>
              </w:rPr>
            </w:pPr>
          </w:p>
        </w:tc>
      </w:tr>
      <w:tr>
        <w:trPr>
          <w:trHeight w:val="135"/>
        </w:trPr>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105BAB"/>
              </w:rPr>
              <w:t>shareholder</w:t>
            </w: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7"/>
              </w:rPr>
              <w:t>executive offices at 777 Old Saw Mill River Road, Tarrytown, New York 10591-6707 by December 24, 2018, and must satisfy the other conditions established by the SEC, in order for such</w:t>
            </w:r>
          </w:p>
        </w:tc>
        <w:tc>
          <w:tcPr>
            <w:tcW w:w="0" w:type="dxa"/>
            <w:vAlign w:val="bottom"/>
          </w:tcPr>
          <w:p>
            <w:pPr>
              <w:spacing w:after="0"/>
              <w:rPr>
                <w:sz w:val="1"/>
                <w:szCs w:val="1"/>
                <w:color w:val="auto"/>
              </w:rPr>
            </w:pPr>
          </w:p>
        </w:tc>
      </w:tr>
      <w:tr>
        <w:trPr>
          <w:trHeight w:val="135"/>
        </w:trPr>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105BAB"/>
              </w:rPr>
              <w:t>proposals due</w:t>
            </w: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proposal to be considered for inclusion in the Company's proxy statement and form of proxy relating to that meeting.</w:t>
            </w:r>
          </w:p>
        </w:tc>
        <w:tc>
          <w:tcPr>
            <w:tcW w:w="0" w:type="dxa"/>
            <w:vAlign w:val="bottom"/>
          </w:tcPr>
          <w:p>
            <w:pPr>
              <w:spacing w:after="0"/>
              <w:rPr>
                <w:sz w:val="1"/>
                <w:szCs w:val="1"/>
                <w:color w:val="auto"/>
              </w:rPr>
            </w:pPr>
          </w:p>
        </w:tc>
      </w:tr>
      <w:tr>
        <w:trPr>
          <w:trHeight w:val="135"/>
        </w:trPr>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105BAB"/>
              </w:rPr>
              <w:t>for the 2019</w:t>
            </w:r>
          </w:p>
        </w:tc>
        <w:tc>
          <w:tcPr>
            <w:tcW w:w="10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105BAB"/>
              </w:rPr>
              <w:t>Annual Meeting of</w:t>
            </w: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8"/>
              </w:rPr>
              <w:t>Under our by-laws, proposals of shareholders intended to be submitted for a formal vote (other than proposals to be included in our proxy statement) at the 2019 Annual Meeting may be</w:t>
            </w:r>
          </w:p>
        </w:tc>
        <w:tc>
          <w:tcPr>
            <w:tcW w:w="0" w:type="dxa"/>
            <w:vAlign w:val="bottom"/>
          </w:tcPr>
          <w:p>
            <w:pPr>
              <w:spacing w:after="0"/>
              <w:rPr>
                <w:sz w:val="1"/>
                <w:szCs w:val="1"/>
                <w:color w:val="auto"/>
              </w:rPr>
            </w:pPr>
          </w:p>
        </w:tc>
      </w:tr>
      <w:tr>
        <w:trPr>
          <w:trHeight w:val="158"/>
        </w:trPr>
        <w:tc>
          <w:tcPr>
            <w:tcW w:w="1680" w:type="dxa"/>
            <w:vAlign w:val="bottom"/>
            <w:gridSpan w:val="3"/>
          </w:tcPr>
          <w:p>
            <w:pPr>
              <w:spacing w:after="0"/>
              <w:rPr>
                <w:sz w:val="20"/>
                <w:szCs w:val="20"/>
                <w:color w:val="auto"/>
              </w:rPr>
            </w:pPr>
            <w:r>
              <w:rPr>
                <w:rFonts w:ascii="Arial" w:cs="Arial" w:eastAsia="Arial" w:hAnsi="Arial"/>
                <w:sz w:val="12"/>
                <w:szCs w:val="12"/>
                <w:b w:val="1"/>
                <w:bCs w:val="1"/>
                <w:color w:val="105BAB"/>
              </w:rPr>
              <w:t>Shareholders?</w:t>
            </w: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rPr>
              <w:t>made only by a shareholder of record who has given notice of the proposal to the Secretary of the Company at our principal executive offices no earlier than 90 days and no later than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60 days prior to the meeting; provided that if less than 70 days' notice or public disclosure of the date of the 2019 Annual Meeting is given or made to shareholders, notice by the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shareholder in order to be timely must be received no later than the close of business on the tenth day following the day on which such notice of the annual meeting was first mailed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7"/>
              </w:rPr>
              <w:t>such public disclosure of the annual meeting was made, whichever first occurs. The notice must contain certain information as specified in our by-laws. Assuming our 2019 Annual Meeting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7"/>
              </w:rPr>
              <w:t>is held on June 14, 2019 in accordance with the Company's past practice, and at least 70 days' notice or prior public disclosure of the date of the 2019 Annual Meeting is given or made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9"/>
              </w:rPr>
              <w:t>shareholders, notice of such proposals would need to be given no earlier than March 16, 2019 and no later than April 15, 2019. Any proposal received outside of such dates will not be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rPr>
              <w:t>considered "timely" under the federal proxy rules for purposes of determining whether we may use discretionary authority to vote on such proposal.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60" w:type="dxa"/>
            <w:vAlign w:val="bottom"/>
            <w:tcBorders>
              <w:bottom w:val="single" w:sz="8" w:color="105BAB"/>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9700" w:type="dxa"/>
            <w:vAlign w:val="bottom"/>
            <w:tcBorders>
              <w:bottom w:val="single" w:sz="8" w:color="105BAB"/>
            </w:tcBorders>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1680" w:type="dxa"/>
            <w:vAlign w:val="bottom"/>
            <w:gridSpan w:val="3"/>
          </w:tcPr>
          <w:p>
            <w:pPr>
              <w:spacing w:after="0"/>
              <w:rPr>
                <w:sz w:val="20"/>
                <w:szCs w:val="20"/>
                <w:color w:val="auto"/>
              </w:rPr>
            </w:pPr>
            <w:r>
              <w:rPr>
                <w:rFonts w:ascii="Arial" w:cs="Arial" w:eastAsia="Arial" w:hAnsi="Arial"/>
                <w:sz w:val="12"/>
                <w:szCs w:val="12"/>
                <w:b w:val="1"/>
                <w:bCs w:val="1"/>
                <w:color w:val="105BAB"/>
              </w:rPr>
              <w:t>What happens</w:t>
            </w: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rPr>
              <w:t>Applicable rules permit brokerage firms and the Company to send one Notice of Internet Availability of Proxy Materials (or one annual report, proxy statement, and Notice of Internet</w:t>
            </w:r>
          </w:p>
        </w:tc>
        <w:tc>
          <w:tcPr>
            <w:tcW w:w="0" w:type="dxa"/>
            <w:vAlign w:val="bottom"/>
          </w:tcPr>
          <w:p>
            <w:pPr>
              <w:spacing w:after="0"/>
              <w:rPr>
                <w:sz w:val="1"/>
                <w:szCs w:val="1"/>
                <w:color w:val="auto"/>
              </w:rPr>
            </w:pPr>
          </w:p>
        </w:tc>
      </w:tr>
      <w:tr>
        <w:trPr>
          <w:trHeight w:val="135"/>
        </w:trPr>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105BAB"/>
              </w:rPr>
              <w:t>if multiple</w:t>
            </w: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9"/>
              </w:rPr>
              <w:t>Availability of Proxy Materials in the case of shareholders who have elected to receive paper copies of our proxy materials) to multiple shareholders who share the same address under</w:t>
            </w:r>
          </w:p>
        </w:tc>
        <w:tc>
          <w:tcPr>
            <w:tcW w:w="0" w:type="dxa"/>
            <w:vAlign w:val="bottom"/>
          </w:tcPr>
          <w:p>
            <w:pPr>
              <w:spacing w:after="0"/>
              <w:rPr>
                <w:sz w:val="1"/>
                <w:szCs w:val="1"/>
                <w:color w:val="auto"/>
              </w:rPr>
            </w:pPr>
          </w:p>
        </w:tc>
      </w:tr>
      <w:tr>
        <w:trPr>
          <w:trHeight w:val="135"/>
        </w:trPr>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105BAB"/>
              </w:rPr>
              <w:t>shareholders share</w:t>
            </w: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9"/>
              </w:rPr>
              <w:t>certain circumstances. This practice is known as "householding." We believe that householding will provide greater convenience for our shareholders, as well as cost savings for us, by</w:t>
            </w:r>
          </w:p>
        </w:tc>
        <w:tc>
          <w:tcPr>
            <w:tcW w:w="0" w:type="dxa"/>
            <w:vAlign w:val="bottom"/>
          </w:tcPr>
          <w:p>
            <w:pPr>
              <w:spacing w:after="0"/>
              <w:rPr>
                <w:sz w:val="1"/>
                <w:szCs w:val="1"/>
                <w:color w:val="auto"/>
              </w:rPr>
            </w:pPr>
          </w:p>
        </w:tc>
      </w:tr>
      <w:tr>
        <w:trPr>
          <w:trHeight w:val="149"/>
        </w:trPr>
        <w:tc>
          <w:tcPr>
            <w:tcW w:w="1680" w:type="dxa"/>
            <w:vAlign w:val="bottom"/>
            <w:gridSpan w:val="3"/>
          </w:tcPr>
          <w:p>
            <w:pPr>
              <w:spacing w:after="0"/>
              <w:rPr>
                <w:sz w:val="20"/>
                <w:szCs w:val="20"/>
                <w:color w:val="auto"/>
              </w:rPr>
            </w:pPr>
            <w:r>
              <w:rPr>
                <w:rFonts w:ascii="Arial" w:cs="Arial" w:eastAsia="Arial" w:hAnsi="Arial"/>
                <w:sz w:val="12"/>
                <w:szCs w:val="12"/>
                <w:b w:val="1"/>
                <w:bCs w:val="1"/>
                <w:color w:val="105BAB"/>
              </w:rPr>
              <w:t>an address?</w:t>
            </w: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w w:val="98"/>
              </w:rPr>
              <w:t>reducing the number of duplicate documents that are sent to your home. Consequently, we have implemented the practice of householding for shares held in "street name" and intend to</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deliver only one copy of the applicable proxy materials to multiple shareholders sharing the same address. If you wish to receive separate copies of the proxy statement for the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w w:val="98"/>
              </w:rPr>
              <w:t>Annual Meeting, the 2017 Annual Report, or the Notice of Internet Availability of Proxy Materials, you may find these materials at our internet website (</w:t>
            </w:r>
            <w:r>
              <w:rPr>
                <w:rFonts w:ascii="Arial" w:cs="Arial" w:eastAsia="Arial" w:hAnsi="Arial"/>
                <w:sz w:val="12"/>
                <w:szCs w:val="12"/>
                <w:b w:val="1"/>
                <w:bCs w:val="1"/>
                <w:color w:val="auto"/>
                <w:w w:val="98"/>
              </w:rPr>
              <w:t>www.regeneron.com</w:t>
            </w:r>
            <w:r>
              <w:rPr>
                <w:rFonts w:ascii="Arial" w:cs="Arial" w:eastAsia="Arial" w:hAnsi="Arial"/>
                <w:sz w:val="12"/>
                <w:szCs w:val="12"/>
                <w:color w:val="auto"/>
                <w:w w:val="98"/>
              </w:rPr>
              <w:t>) or you may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8"/>
              </w:rPr>
              <w:t>stop householding for your account and receive separate printed copies of these materials by contacting our Investor Relations Department, at Regeneron Pharmaceuticals, Inc., 777 Old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7"/>
              </w:rPr>
              <w:t>Saw Mill River Road, Tarrytown, New York 10591-6707, or by calling us at 914-847-7000, and these materials will be promptly delivered to you. If you hold shares registered in your name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8"/>
              </w:rPr>
              <w:t>(sometimes called a shareholder of record), you can elect householding for your account by contacting us in the same manner described above. Any shareholder may stop householding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for your account by contacting our Investor Relations Department at the address and/or phone number included above. If you revoke your consent, you will be removed from the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0" w:type="dxa"/>
            <w:vAlign w:val="bottom"/>
            <w:gridSpan w:val="2"/>
          </w:tcPr>
          <w:p>
            <w:pPr>
              <w:ind w:left="100"/>
              <w:spacing w:after="0"/>
              <w:rPr>
                <w:sz w:val="20"/>
                <w:szCs w:val="20"/>
                <w:color w:val="auto"/>
              </w:rPr>
            </w:pPr>
            <w:r>
              <w:rPr>
                <w:rFonts w:ascii="Arial" w:cs="Arial" w:eastAsia="Arial" w:hAnsi="Arial"/>
                <w:sz w:val="12"/>
                <w:szCs w:val="12"/>
                <w:color w:val="auto"/>
              </w:rPr>
              <w:t>householding program within 30 days of receipt of your revocation and each shareholder at your address will receive individual copies of our disclosure documents.</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20" w:type="dxa"/>
            <w:vAlign w:val="bottom"/>
            <w:shd w:val="clear" w:color="auto" w:fill="105BAB"/>
          </w:tcPr>
          <w:p>
            <w:pPr>
              <w:jc w:val="right"/>
              <w:spacing w:after="0" w:line="108" w:lineRule="exact"/>
              <w:rPr>
                <w:sz w:val="20"/>
                <w:szCs w:val="20"/>
                <w:color w:val="auto"/>
              </w:rPr>
            </w:pPr>
            <w:r>
              <w:rPr>
                <w:rFonts w:ascii="Arial" w:cs="Arial" w:eastAsia="Arial" w:hAnsi="Arial"/>
                <w:sz w:val="10"/>
                <w:szCs w:val="10"/>
                <w:b w:val="1"/>
                <w:bCs w:val="1"/>
                <w:color w:val="FFFFFE"/>
              </w:rPr>
              <w:t>88</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7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1" w:right="199" w:bottom="1440" w:gutter="0" w:footer="0" w:header="0"/>
        </w:sectPr>
      </w:pPr>
    </w:p>
    <w:bookmarkStart w:id="99" w:name="page100"/>
    <w:bookmarkEnd w:id="99"/>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292340" cy="457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2340" cy="45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490220</wp:posOffset>
            </wp:positionV>
            <wp:extent cx="72923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0"/>
          </w:cols>
          <w:pgMar w:left="220" w:top="14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3" w:lineRule="auto"/>
        <w:rPr>
          <w:sz w:val="20"/>
          <w:szCs w:val="20"/>
          <w:color w:val="auto"/>
        </w:rPr>
      </w:pPr>
      <w:r>
        <w:rPr>
          <w:rFonts w:ascii="Arial" w:cs="Arial" w:eastAsia="Arial" w:hAnsi="Arial"/>
          <w:sz w:val="11"/>
          <w:szCs w:val="11"/>
          <w:b w:val="1"/>
          <w:bCs w:val="1"/>
          <w:color w:val="105BAB"/>
        </w:rPr>
        <w:t>Are there any other matters to be addressed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106934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69340" cy="5715"/>
                    </a:xfrm>
                    <a:prstGeom prst="rect">
                      <a:avLst/>
                    </a:prstGeom>
                    <a:noFill/>
                  </pic:spPr>
                </pic:pic>
              </a:graphicData>
            </a:graphic>
          </wp:anchor>
        </w:drawing>
      </w:r>
    </w:p>
    <w:p>
      <w:pPr>
        <w:spacing w:after="0" w:line="224" w:lineRule="exact"/>
        <w:rPr>
          <w:sz w:val="20"/>
          <w:szCs w:val="20"/>
          <w:color w:val="auto"/>
        </w:rPr>
      </w:pPr>
    </w:p>
    <w:p>
      <w:pPr>
        <w:ind w:right="140"/>
        <w:spacing w:after="0" w:line="269" w:lineRule="auto"/>
        <w:rPr>
          <w:sz w:val="20"/>
          <w:szCs w:val="20"/>
          <w:color w:val="auto"/>
        </w:rPr>
      </w:pPr>
      <w:r>
        <w:rPr>
          <w:rFonts w:ascii="Arial" w:cs="Arial" w:eastAsia="Arial" w:hAnsi="Arial"/>
          <w:sz w:val="11"/>
          <w:szCs w:val="11"/>
          <w:b w:val="1"/>
          <w:bCs w:val="1"/>
          <w:color w:val="105BAB"/>
        </w:rPr>
        <w:t>How can you receive a printed copy of the Company's 2017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106934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69340" cy="5715"/>
                    </a:xfrm>
                    <a:prstGeom prst="rect">
                      <a:avLst/>
                    </a:prstGeom>
                    <a:noFill/>
                  </pic:spPr>
                </pic:pic>
              </a:graphicData>
            </a:graphic>
          </wp:anchor>
        </w:drawing>
      </w:r>
    </w:p>
    <w:p>
      <w:pPr>
        <w:spacing w:after="0" w:line="226" w:lineRule="exact"/>
        <w:rPr>
          <w:sz w:val="20"/>
          <w:szCs w:val="20"/>
          <w:color w:val="auto"/>
        </w:rPr>
      </w:pPr>
    </w:p>
    <w:p>
      <w:pPr>
        <w:ind w:right="100"/>
        <w:spacing w:after="0" w:line="273" w:lineRule="auto"/>
        <w:rPr>
          <w:sz w:val="20"/>
          <w:szCs w:val="20"/>
          <w:color w:val="auto"/>
        </w:rPr>
      </w:pPr>
      <w:r>
        <w:rPr>
          <w:rFonts w:ascii="Arial" w:cs="Arial" w:eastAsia="Arial" w:hAnsi="Arial"/>
          <w:sz w:val="11"/>
          <w:szCs w:val="11"/>
          <w:b w:val="1"/>
          <w:bCs w:val="1"/>
          <w:color w:val="105BAB"/>
        </w:rPr>
        <w:t>How do you elect to receive future proxy materials electronically?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37" w:lineRule="auto"/>
        <w:rPr>
          <w:sz w:val="20"/>
          <w:szCs w:val="20"/>
          <w:color w:val="auto"/>
        </w:rPr>
      </w:pPr>
      <w:r>
        <w:rPr>
          <w:rFonts w:ascii="Arial" w:cs="Arial" w:eastAsia="Arial" w:hAnsi="Arial"/>
          <w:sz w:val="12"/>
          <w:szCs w:val="12"/>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615442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pacing w:after="0" w:line="377" w:lineRule="exact"/>
        <w:rPr>
          <w:sz w:val="20"/>
          <w:szCs w:val="20"/>
          <w:color w:val="auto"/>
        </w:rPr>
      </w:pPr>
    </w:p>
    <w:p>
      <w:pPr>
        <w:jc w:val="both"/>
        <w:ind w:right="100"/>
        <w:spacing w:after="0" w:line="248" w:lineRule="auto"/>
        <w:rPr>
          <w:sz w:val="20"/>
          <w:szCs w:val="20"/>
          <w:color w:val="auto"/>
        </w:rPr>
      </w:pPr>
      <w:r>
        <w:rPr>
          <w:rFonts w:ascii="Arial" w:cs="Arial" w:eastAsia="Arial" w:hAnsi="Arial"/>
          <w:sz w:val="12"/>
          <w:szCs w:val="12"/>
          <w:b w:val="1"/>
          <w:bCs w:val="1"/>
          <w:color w:val="auto"/>
        </w:rPr>
        <w:t>Interested shareholders may obtain without charge a copy of our 2017 Annual Report (without exhibits), which includes our audited financial statements for the fiscal year ended December 31, 2017,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250825</wp:posOffset>
            </wp:positionV>
            <wp:extent cx="615442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154420" cy="571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line="264" w:lineRule="auto"/>
        <w:rPr>
          <w:sz w:val="20"/>
          <w:szCs w:val="20"/>
          <w:color w:val="auto"/>
        </w:rPr>
      </w:pPr>
      <w:r>
        <w:rPr>
          <w:rFonts w:ascii="Arial" w:cs="Arial" w:eastAsia="Arial" w:hAnsi="Arial"/>
          <w:sz w:val="11"/>
          <w:szCs w:val="11"/>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28" w:lineRule="exact"/>
        <w:rPr>
          <w:sz w:val="20"/>
          <w:szCs w:val="20"/>
          <w:color w:val="auto"/>
        </w:rPr>
      </w:pPr>
    </w:p>
    <w:p>
      <w:pPr>
        <w:ind w:right="60"/>
        <w:spacing w:after="0" w:line="237" w:lineRule="auto"/>
        <w:rPr>
          <w:sz w:val="20"/>
          <w:szCs w:val="20"/>
          <w:color w:val="auto"/>
        </w:rPr>
      </w:pPr>
      <w:r>
        <w:rPr>
          <w:rFonts w:ascii="Arial" w:cs="Arial" w:eastAsia="Arial" w:hAnsi="Arial"/>
          <w:sz w:val="12"/>
          <w:szCs w:val="12"/>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2"/>
          <w:szCs w:val="12"/>
          <w:b w:val="1"/>
          <w:bCs w:val="1"/>
          <w:color w:val="auto"/>
        </w:rPr>
        <w:t>www.proxyvote.com</w:t>
      </w:r>
      <w:r>
        <w:rPr>
          <w:rFonts w:ascii="Arial" w:cs="Arial" w:eastAsia="Arial" w:hAnsi="Arial"/>
          <w:sz w:val="12"/>
          <w:szCs w:val="12"/>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29" w:lineRule="exact"/>
        <w:rPr>
          <w:sz w:val="20"/>
          <w:szCs w:val="20"/>
          <w:color w:val="auto"/>
        </w:rPr>
      </w:pPr>
    </w:p>
    <w:p>
      <w:pPr>
        <w:sectPr>
          <w:pgSz w:w="11900" w:h="16838" w:orient="portrait"/>
          <w:cols w:equalWidth="0" w:num="2">
            <w:col w:w="1060" w:space="720"/>
            <w:col w:w="9600"/>
          </w:cols>
          <w:pgMar w:left="220" w:top="141" w:right="299" w:bottom="1440" w:gutter="0" w:footer="0" w:header="0"/>
          <w:type w:val="continuous"/>
        </w:sectPr>
      </w:pPr>
    </w:p>
    <w:p>
      <w:pPr>
        <w:ind w:left="11020"/>
        <w:spacing w:after="0"/>
        <w:rPr>
          <w:sz w:val="20"/>
          <w:szCs w:val="20"/>
          <w:color w:val="auto"/>
        </w:rPr>
      </w:pPr>
      <w:r>
        <w:rPr>
          <w:rFonts w:ascii="Arial" w:cs="Arial" w:eastAsia="Arial" w:hAnsi="Arial"/>
          <w:sz w:val="10"/>
          <w:szCs w:val="10"/>
          <w:b w:val="1"/>
          <w:bCs w:val="1"/>
          <w:color w:val="FFFFFE"/>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7001510</wp:posOffset>
            </wp:positionH>
            <wp:positionV relativeFrom="paragraph">
              <wp:posOffset>-66675</wp:posOffset>
            </wp:positionV>
            <wp:extent cx="285750" cy="685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141" w:right="299" w:bottom="1440" w:gutter="0" w:footer="0" w:header="0"/>
          <w:type w:val="continuous"/>
        </w:sectPr>
      </w:pPr>
    </w:p>
    <w:bookmarkStart w:id="100" w:name="page101"/>
    <w:bookmarkEnd w:id="100"/>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292340" cy="6578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2340" cy="657860"/>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sz w:val="1"/>
          <w:szCs w:val="1"/>
          <w:color w:val="auto"/>
        </w:rPr>
        <w:drawing>
          <wp:inline distT="0" distB="0" distL="0" distR="0">
            <wp:extent cx="68580" cy="46926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469265"/>
                    </a:xfrm>
                    <a:prstGeom prst="rect">
                      <a:avLst/>
                    </a:prstGeom>
                    <a:noFill/>
                    <a:ln>
                      <a:noFill/>
                    </a:ln>
                  </pic:spPr>
                </pic:pic>
              </a:graphicData>
            </a:graphic>
          </wp:inline>
        </w:drawing>
      </w:r>
      <w:r>
        <w:rPr>
          <w:rFonts w:ascii="Arial" w:cs="Arial" w:eastAsia="Arial" w:hAnsi="Arial"/>
          <w:sz w:val="29"/>
          <w:szCs w:val="29"/>
          <w:color w:val="FFFFFE"/>
        </w:rPr>
        <w:t>APPENDIX A</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Note Regarding Forward-Looking Statements and Non-GAAP Financial Measures</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1"/>
          <w:szCs w:val="11"/>
          <w:color w:val="auto"/>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 (aflibercept) Injection, DUPIXENT® (dupilumab) Injection, PRALUENT® (alirocumab) Injection, KEVZARA® (sarilumab) Injection, cemiplimab, fasinumab, and evinacumab; the likelihood and timing of achieving any of Regeneron's anticipated clinical development milestones;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 DUPIXENT, PRALUENT, KEVZARA, cemiplimab, fasinumab, and evinacumab; the extent to which the results from the research and development programs conducted by Regeneron or its collaborators may be replicated in other studies and lead to therapeutic applications; ongoing regulatory obligations and oversight impacting Regeneron's marketed products (such as EYLEA, DUPIXENT, 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others and pending or future litigation relating thereto, including without limitation the patent litigation proceedings relating to PRALUENT,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2017,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any forward-looking statement, whether as a result of new information, future events, or otherwise.</w:t>
      </w:r>
    </w:p>
    <w:p>
      <w:pPr>
        <w:spacing w:after="0" w:line="272"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This proxy statement uses non-GAAP net income, non-GAAP net income per share, and free cash flow,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Free cash flow is calculated as cash flows from operating activities as presented in the statement of cash flows under GAAP, less capital expenditures.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FFFFFE"/>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85750" cy="685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5750" cy="685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89535</wp:posOffset>
            </wp:positionV>
            <wp:extent cx="7299325" cy="184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10">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292340" cy="457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92340" cy="4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2"/>
          <w:szCs w:val="12"/>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Reconciliation of GAAP Net Income to Non-GAAP Net Income</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(Unaudited)</w:t>
      </w:r>
    </w:p>
    <w:p>
      <w:pPr>
        <w:spacing w:after="0"/>
        <w:rPr>
          <w:sz w:val="20"/>
          <w:szCs w:val="20"/>
          <w:color w:val="auto"/>
        </w:rPr>
      </w:pPr>
      <w:r>
        <w:rPr>
          <w:rFonts w:ascii="Arial" w:cs="Arial" w:eastAsia="Arial" w:hAnsi="Arial"/>
          <w:sz w:val="12"/>
          <w:szCs w:val="12"/>
          <w:b w:val="1"/>
          <w:bCs w:val="1"/>
          <w:color w:val="105BAB"/>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22376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23760" cy="5715"/>
                    </a:xfrm>
                    <a:prstGeom prst="rect">
                      <a:avLst/>
                    </a:prstGeom>
                    <a:noFill/>
                  </pic:spPr>
                </pic:pic>
              </a:graphicData>
            </a:graphic>
          </wp:anchor>
        </w:drawing>
      </w:r>
    </w:p>
    <w:p>
      <w:pPr>
        <w:spacing w:after="0" w:line="227" w:lineRule="exact"/>
        <w:rPr>
          <w:sz w:val="20"/>
          <w:szCs w:val="20"/>
          <w:color w:val="auto"/>
        </w:rPr>
      </w:pPr>
    </w:p>
    <w:p>
      <w:pPr>
        <w:jc w:val="center"/>
        <w:ind w:left="10100"/>
        <w:spacing w:after="0"/>
        <w:rPr>
          <w:sz w:val="20"/>
          <w:szCs w:val="20"/>
          <w:color w:val="auto"/>
        </w:rPr>
      </w:pPr>
      <w:r>
        <w:rPr>
          <w:rFonts w:ascii="Arial" w:cs="Arial" w:eastAsia="Arial" w:hAnsi="Arial"/>
          <w:sz w:val="10"/>
          <w:szCs w:val="10"/>
          <w:b w:val="1"/>
          <w:bCs w:val="1"/>
          <w:color w:val="105BAB"/>
        </w:rPr>
        <w:t>Year Ended</w:t>
      </w:r>
    </w:p>
    <w:p>
      <w:pPr>
        <w:spacing w:after="0" w:line="5" w:lineRule="exact"/>
        <w:rPr>
          <w:sz w:val="20"/>
          <w:szCs w:val="20"/>
          <w:color w:val="auto"/>
        </w:rPr>
      </w:pPr>
    </w:p>
    <w:p>
      <w:pPr>
        <w:jc w:val="center"/>
        <w:ind w:left="10100"/>
        <w:spacing w:after="0"/>
        <w:rPr>
          <w:sz w:val="20"/>
          <w:szCs w:val="20"/>
          <w:color w:val="auto"/>
        </w:rPr>
      </w:pPr>
      <w:r>
        <w:rPr>
          <w:rFonts w:ascii="Arial" w:cs="Arial" w:eastAsia="Arial" w:hAnsi="Arial"/>
          <w:sz w:val="10"/>
          <w:szCs w:val="10"/>
          <w:b w:val="1"/>
          <w:bCs w:val="1"/>
          <w:color w:val="105BA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6440805</wp:posOffset>
            </wp:positionH>
            <wp:positionV relativeFrom="paragraph">
              <wp:posOffset>-5715</wp:posOffset>
            </wp:positionV>
            <wp:extent cx="77787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7875" cy="571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140" w:type="dxa"/>
            <w:vAlign w:val="bottom"/>
            <w:tcBorders>
              <w:bottom w:val="single" w:sz="8" w:color="105BAB"/>
            </w:tcBorders>
          </w:tcPr>
          <w:p>
            <w:pPr>
              <w:spacing w:after="0"/>
              <w:rPr>
                <w:sz w:val="10"/>
                <w:szCs w:val="10"/>
                <w:color w:val="auto"/>
              </w:rPr>
            </w:pPr>
          </w:p>
        </w:tc>
        <w:tc>
          <w:tcPr>
            <w:tcW w:w="60" w:type="dxa"/>
            <w:vAlign w:val="bottom"/>
            <w:tcBorders>
              <w:bottom w:val="single" w:sz="8" w:color="105BAB"/>
            </w:tcBorders>
          </w:tcPr>
          <w:p>
            <w:pPr>
              <w:spacing w:after="0"/>
              <w:rPr>
                <w:sz w:val="10"/>
                <w:szCs w:val="10"/>
                <w:color w:val="auto"/>
              </w:rPr>
            </w:pPr>
          </w:p>
        </w:tc>
        <w:tc>
          <w:tcPr>
            <w:tcW w:w="440" w:type="dxa"/>
            <w:vAlign w:val="bottom"/>
            <w:tcBorders>
              <w:bottom w:val="single" w:sz="8" w:color="105BAB"/>
            </w:tcBorders>
          </w:tcPr>
          <w:p>
            <w:pPr>
              <w:jc w:val="right"/>
              <w:ind w:right="72"/>
              <w:spacing w:after="0"/>
              <w:rPr>
                <w:sz w:val="20"/>
                <w:szCs w:val="20"/>
                <w:color w:val="auto"/>
              </w:rPr>
            </w:pPr>
            <w:r>
              <w:rPr>
                <w:rFonts w:ascii="Arial" w:cs="Arial" w:eastAsia="Arial" w:hAnsi="Arial"/>
                <w:sz w:val="10"/>
                <w:szCs w:val="10"/>
                <w:b w:val="1"/>
                <w:bCs w:val="1"/>
                <w:color w:val="105BAB"/>
              </w:rPr>
              <w:t>2017</w:t>
            </w:r>
          </w:p>
        </w:tc>
        <w:tc>
          <w:tcPr>
            <w:tcW w:w="140" w:type="dxa"/>
            <w:vAlign w:val="bottom"/>
            <w:tcBorders>
              <w:bottom w:val="single" w:sz="8" w:color="105BAB"/>
            </w:tcBorders>
          </w:tcPr>
          <w:p>
            <w:pPr>
              <w:spacing w:after="0"/>
              <w:rPr>
                <w:sz w:val="10"/>
                <w:szCs w:val="10"/>
                <w:color w:val="auto"/>
              </w:rPr>
            </w:pPr>
          </w:p>
        </w:tc>
        <w:tc>
          <w:tcPr>
            <w:tcW w:w="140" w:type="dxa"/>
            <w:vAlign w:val="bottom"/>
            <w:tcBorders>
              <w:bottom w:val="single" w:sz="8" w:color="105BAB"/>
            </w:tcBorders>
          </w:tcPr>
          <w:p>
            <w:pPr>
              <w:spacing w:after="0"/>
              <w:rPr>
                <w:sz w:val="10"/>
                <w:szCs w:val="10"/>
                <w:color w:val="auto"/>
              </w:rPr>
            </w:pPr>
          </w:p>
        </w:tc>
        <w:tc>
          <w:tcPr>
            <w:tcW w:w="440" w:type="dxa"/>
            <w:vAlign w:val="bottom"/>
            <w:tcBorders>
              <w:bottom w:val="single" w:sz="8" w:color="105BAB"/>
            </w:tcBorders>
          </w:tcPr>
          <w:p>
            <w:pPr>
              <w:jc w:val="right"/>
              <w:ind w:right="72"/>
              <w:spacing w:after="0"/>
              <w:rPr>
                <w:sz w:val="20"/>
                <w:szCs w:val="20"/>
                <w:color w:val="auto"/>
              </w:rPr>
            </w:pPr>
            <w:r>
              <w:rPr>
                <w:rFonts w:ascii="Arial" w:cs="Arial" w:eastAsia="Arial" w:hAnsi="Arial"/>
                <w:sz w:val="10"/>
                <w:szCs w:val="10"/>
                <w:b w:val="1"/>
                <w:bCs w:val="1"/>
                <w:color w:val="105BAB"/>
              </w:rPr>
              <w:t>2016</w:t>
            </w:r>
          </w:p>
        </w:tc>
        <w:tc>
          <w:tcPr>
            <w:tcW w:w="40" w:type="dxa"/>
            <w:vAlign w:val="bottom"/>
          </w:tcPr>
          <w:p>
            <w:pPr>
              <w:spacing w:after="0"/>
              <w:rPr>
                <w:sz w:val="10"/>
                <w:szCs w:val="10"/>
                <w:color w:val="auto"/>
              </w:rPr>
            </w:pPr>
          </w:p>
        </w:tc>
      </w:tr>
      <w:tr>
        <w:trPr>
          <w:trHeight w:val="97"/>
        </w:trPr>
        <w:tc>
          <w:tcPr>
            <w:tcW w:w="10140" w:type="dxa"/>
            <w:vAlign w:val="bottom"/>
            <w:shd w:val="clear" w:color="auto" w:fill="F1F3F9"/>
          </w:tcPr>
          <w:p>
            <w:pPr>
              <w:ind w:left="40"/>
              <w:spacing w:after="0" w:line="97" w:lineRule="exact"/>
              <w:rPr>
                <w:sz w:val="20"/>
                <w:szCs w:val="20"/>
                <w:color w:val="auto"/>
              </w:rPr>
            </w:pPr>
            <w:r>
              <w:rPr>
                <w:rFonts w:ascii="Arial" w:cs="Arial" w:eastAsia="Arial" w:hAnsi="Arial"/>
                <w:sz w:val="10"/>
                <w:szCs w:val="10"/>
                <w:color w:val="auto"/>
              </w:rPr>
              <w:t>GAAP net income</w:t>
            </w:r>
          </w:p>
        </w:tc>
        <w:tc>
          <w:tcPr>
            <w:tcW w:w="60" w:type="dxa"/>
            <w:vAlign w:val="bottom"/>
            <w:shd w:val="clear" w:color="auto" w:fill="F1F3F9"/>
          </w:tcPr>
          <w:p>
            <w:pPr>
              <w:jc w:val="right"/>
              <w:spacing w:after="0" w:line="97"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F1F3F9"/>
          </w:tcPr>
          <w:p>
            <w:pPr>
              <w:jc w:val="right"/>
              <w:ind w:right="140"/>
              <w:spacing w:after="0" w:line="97" w:lineRule="exact"/>
              <w:rPr>
                <w:sz w:val="20"/>
                <w:szCs w:val="20"/>
                <w:color w:val="auto"/>
              </w:rPr>
            </w:pPr>
            <w:r>
              <w:rPr>
                <w:rFonts w:ascii="Arial" w:cs="Arial" w:eastAsia="Arial" w:hAnsi="Arial"/>
                <w:sz w:val="10"/>
                <w:szCs w:val="10"/>
                <w:color w:val="auto"/>
                <w:w w:val="94"/>
              </w:rPr>
              <w:t>1,198,511</w:t>
            </w:r>
          </w:p>
        </w:tc>
        <w:tc>
          <w:tcPr>
            <w:tcW w:w="140" w:type="dxa"/>
            <w:vAlign w:val="bottom"/>
            <w:tcBorders>
              <w:right w:val="single" w:sz="8" w:color="F1F3F9"/>
            </w:tcBorders>
            <w:shd w:val="clear" w:color="auto" w:fill="F1F3F9"/>
          </w:tcPr>
          <w:p>
            <w:pPr>
              <w:jc w:val="right"/>
              <w:spacing w:after="0" w:line="97" w:lineRule="exact"/>
              <w:rPr>
                <w:sz w:val="20"/>
                <w:szCs w:val="20"/>
                <w:color w:val="auto"/>
              </w:rPr>
            </w:pPr>
            <w:r>
              <w:rPr>
                <w:rFonts w:ascii="Arial" w:cs="Arial" w:eastAsia="Arial" w:hAnsi="Arial"/>
                <w:sz w:val="10"/>
                <w:szCs w:val="10"/>
                <w:color w:val="auto"/>
              </w:rPr>
              <w:t>$</w:t>
            </w:r>
          </w:p>
        </w:tc>
        <w:tc>
          <w:tcPr>
            <w:tcW w:w="440" w:type="dxa"/>
            <w:vAlign w:val="bottom"/>
            <w:shd w:val="clear" w:color="auto" w:fill="F1F3F9"/>
          </w:tcPr>
          <w:p>
            <w:pPr>
              <w:jc w:val="right"/>
              <w:spacing w:after="0" w:line="97" w:lineRule="exact"/>
              <w:rPr>
                <w:sz w:val="20"/>
                <w:szCs w:val="20"/>
                <w:color w:val="auto"/>
              </w:rPr>
            </w:pPr>
            <w:r>
              <w:rPr>
                <w:rFonts w:ascii="Arial" w:cs="Arial" w:eastAsia="Arial" w:hAnsi="Arial"/>
                <w:sz w:val="10"/>
                <w:szCs w:val="10"/>
                <w:color w:val="auto"/>
              </w:rPr>
              <w:t>895,522</w:t>
            </w:r>
          </w:p>
        </w:tc>
        <w:tc>
          <w:tcPr>
            <w:tcW w:w="40" w:type="dxa"/>
            <w:vAlign w:val="bottom"/>
          </w:tcPr>
          <w:p>
            <w:pPr>
              <w:spacing w:after="0"/>
              <w:rPr>
                <w:sz w:val="8"/>
                <w:szCs w:val="8"/>
                <w:color w:val="auto"/>
              </w:rPr>
            </w:pPr>
          </w:p>
        </w:tc>
      </w:tr>
      <w:tr>
        <w:trPr>
          <w:trHeight w:val="108"/>
        </w:trPr>
        <w:tc>
          <w:tcPr>
            <w:tcW w:w="10140" w:type="dxa"/>
            <w:vAlign w:val="bottom"/>
            <w:shd w:val="clear" w:color="auto" w:fill="D6DAEE"/>
          </w:tcPr>
          <w:p>
            <w:pPr>
              <w:ind w:left="40"/>
              <w:spacing w:after="0" w:line="108" w:lineRule="exact"/>
              <w:rPr>
                <w:sz w:val="20"/>
                <w:szCs w:val="20"/>
                <w:color w:val="auto"/>
              </w:rPr>
            </w:pPr>
            <w:r>
              <w:rPr>
                <w:rFonts w:ascii="Arial" w:cs="Arial" w:eastAsia="Arial" w:hAnsi="Arial"/>
                <w:sz w:val="10"/>
                <w:szCs w:val="10"/>
                <w:i w:val="1"/>
                <w:iCs w:val="1"/>
                <w:color w:val="auto"/>
              </w:rPr>
              <w:t>Adjustments:</w:t>
            </w:r>
          </w:p>
        </w:tc>
        <w:tc>
          <w:tcPr>
            <w:tcW w:w="60" w:type="dxa"/>
            <w:vAlign w:val="bottom"/>
            <w:shd w:val="clear" w:color="auto" w:fill="D6DAEE"/>
          </w:tcPr>
          <w:p>
            <w:pPr>
              <w:spacing w:after="0"/>
              <w:rPr>
                <w:sz w:val="9"/>
                <w:szCs w:val="9"/>
                <w:color w:val="auto"/>
              </w:rPr>
            </w:pPr>
          </w:p>
        </w:tc>
        <w:tc>
          <w:tcPr>
            <w:tcW w:w="440" w:type="dxa"/>
            <w:vAlign w:val="bottom"/>
            <w:shd w:val="clear" w:color="auto" w:fill="D6DAEE"/>
          </w:tcPr>
          <w:p>
            <w:pPr>
              <w:spacing w:after="0"/>
              <w:rPr>
                <w:sz w:val="9"/>
                <w:szCs w:val="9"/>
                <w:color w:val="auto"/>
              </w:rPr>
            </w:pPr>
          </w:p>
        </w:tc>
        <w:tc>
          <w:tcPr>
            <w:tcW w:w="140" w:type="dxa"/>
            <w:vAlign w:val="bottom"/>
            <w:shd w:val="clear" w:color="auto" w:fill="D6DAEE"/>
          </w:tcPr>
          <w:p>
            <w:pPr>
              <w:spacing w:after="0"/>
              <w:rPr>
                <w:sz w:val="9"/>
                <w:szCs w:val="9"/>
                <w:color w:val="auto"/>
              </w:rPr>
            </w:pPr>
          </w:p>
        </w:tc>
        <w:tc>
          <w:tcPr>
            <w:tcW w:w="140" w:type="dxa"/>
            <w:vAlign w:val="bottom"/>
            <w:tcBorders>
              <w:right w:val="single" w:sz="8" w:color="D6DAEE"/>
            </w:tcBorders>
            <w:shd w:val="clear" w:color="auto" w:fill="D6DAEE"/>
          </w:tcPr>
          <w:p>
            <w:pPr>
              <w:spacing w:after="0"/>
              <w:rPr>
                <w:sz w:val="9"/>
                <w:szCs w:val="9"/>
                <w:color w:val="auto"/>
              </w:rPr>
            </w:pPr>
          </w:p>
        </w:tc>
        <w:tc>
          <w:tcPr>
            <w:tcW w:w="440" w:type="dxa"/>
            <w:vAlign w:val="bottom"/>
            <w:shd w:val="clear" w:color="auto" w:fill="D6DAEE"/>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10140" w:type="dxa"/>
            <w:vAlign w:val="bottom"/>
            <w:shd w:val="clear" w:color="auto" w:fill="F1F3F9"/>
          </w:tcPr>
          <w:p>
            <w:pPr>
              <w:ind w:left="80"/>
              <w:spacing w:after="0" w:line="108" w:lineRule="exact"/>
              <w:rPr>
                <w:sz w:val="20"/>
                <w:szCs w:val="20"/>
                <w:color w:val="auto"/>
              </w:rPr>
            </w:pPr>
            <w:r>
              <w:rPr>
                <w:rFonts w:ascii="Arial" w:cs="Arial" w:eastAsia="Arial" w:hAnsi="Arial"/>
                <w:sz w:val="10"/>
                <w:szCs w:val="10"/>
                <w:color w:val="auto"/>
              </w:rPr>
              <w:t>R&amp;D: Non-cash share-based compensation expense</w:t>
            </w:r>
          </w:p>
        </w:tc>
        <w:tc>
          <w:tcPr>
            <w:tcW w:w="60" w:type="dxa"/>
            <w:vAlign w:val="bottom"/>
            <w:shd w:val="clear" w:color="auto" w:fill="F1F3F9"/>
          </w:tcPr>
          <w:p>
            <w:pPr>
              <w:spacing w:after="0"/>
              <w:rPr>
                <w:sz w:val="9"/>
                <w:szCs w:val="9"/>
                <w:color w:val="auto"/>
              </w:rPr>
            </w:pPr>
          </w:p>
        </w:tc>
        <w:tc>
          <w:tcPr>
            <w:tcW w:w="580" w:type="dxa"/>
            <w:vAlign w:val="bottom"/>
            <w:gridSpan w:val="2"/>
            <w:shd w:val="clear" w:color="auto" w:fill="F1F3F9"/>
          </w:tcPr>
          <w:p>
            <w:pPr>
              <w:jc w:val="right"/>
              <w:ind w:right="140"/>
              <w:spacing w:after="0" w:line="108" w:lineRule="exact"/>
              <w:rPr>
                <w:sz w:val="20"/>
                <w:szCs w:val="20"/>
                <w:color w:val="auto"/>
              </w:rPr>
            </w:pPr>
            <w:r>
              <w:rPr>
                <w:rFonts w:ascii="Arial" w:cs="Arial" w:eastAsia="Arial" w:hAnsi="Arial"/>
                <w:sz w:val="10"/>
                <w:szCs w:val="10"/>
                <w:color w:val="auto"/>
              </w:rPr>
              <w:t>271,878</w:t>
            </w:r>
          </w:p>
        </w:tc>
        <w:tc>
          <w:tcPr>
            <w:tcW w:w="140" w:type="dxa"/>
            <w:vAlign w:val="bottom"/>
            <w:tcBorders>
              <w:right w:val="single" w:sz="8" w:color="F1F3F9"/>
            </w:tcBorders>
            <w:shd w:val="clear" w:color="auto" w:fill="F1F3F9"/>
          </w:tcPr>
          <w:p>
            <w:pPr>
              <w:spacing w:after="0"/>
              <w:rPr>
                <w:sz w:val="9"/>
                <w:szCs w:val="9"/>
                <w:color w:val="auto"/>
              </w:rPr>
            </w:pPr>
          </w:p>
        </w:tc>
        <w:tc>
          <w:tcPr>
            <w:tcW w:w="440" w:type="dxa"/>
            <w:vAlign w:val="bottom"/>
            <w:shd w:val="clear" w:color="auto" w:fill="F1F3F9"/>
          </w:tcPr>
          <w:p>
            <w:pPr>
              <w:jc w:val="right"/>
              <w:spacing w:after="0" w:line="108" w:lineRule="exact"/>
              <w:rPr>
                <w:sz w:val="20"/>
                <w:szCs w:val="20"/>
                <w:color w:val="auto"/>
              </w:rPr>
            </w:pPr>
            <w:r>
              <w:rPr>
                <w:rFonts w:ascii="Arial" w:cs="Arial" w:eastAsia="Arial" w:hAnsi="Arial"/>
                <w:sz w:val="10"/>
                <w:szCs w:val="10"/>
                <w:color w:val="auto"/>
              </w:rPr>
              <w:t>313,048</w:t>
            </w:r>
          </w:p>
        </w:tc>
        <w:tc>
          <w:tcPr>
            <w:tcW w:w="40" w:type="dxa"/>
            <w:vAlign w:val="bottom"/>
          </w:tcPr>
          <w:p>
            <w:pPr>
              <w:spacing w:after="0"/>
              <w:rPr>
                <w:sz w:val="9"/>
                <w:szCs w:val="9"/>
                <w:color w:val="auto"/>
              </w:rPr>
            </w:pPr>
          </w:p>
        </w:tc>
      </w:tr>
      <w:tr>
        <w:trPr>
          <w:trHeight w:val="108"/>
        </w:trPr>
        <w:tc>
          <w:tcPr>
            <w:tcW w:w="10140" w:type="dxa"/>
            <w:vAlign w:val="bottom"/>
            <w:shd w:val="clear" w:color="auto" w:fill="D6DAEE"/>
          </w:tcPr>
          <w:p>
            <w:pPr>
              <w:ind w:left="80"/>
              <w:spacing w:after="0" w:line="108" w:lineRule="exact"/>
              <w:rPr>
                <w:sz w:val="20"/>
                <w:szCs w:val="20"/>
                <w:color w:val="auto"/>
              </w:rPr>
            </w:pPr>
            <w:r>
              <w:rPr>
                <w:rFonts w:ascii="Arial" w:cs="Arial" w:eastAsia="Arial" w:hAnsi="Arial"/>
                <w:sz w:val="10"/>
                <w:szCs w:val="10"/>
                <w:color w:val="auto"/>
              </w:rPr>
              <w:t>R&amp;D: Up-front payments related to license and collaboration agreements</w:t>
            </w:r>
          </w:p>
        </w:tc>
        <w:tc>
          <w:tcPr>
            <w:tcW w:w="60" w:type="dxa"/>
            <w:vAlign w:val="bottom"/>
            <w:shd w:val="clear" w:color="auto" w:fill="D6DAEE"/>
          </w:tcPr>
          <w:p>
            <w:pPr>
              <w:spacing w:after="0"/>
              <w:rPr>
                <w:sz w:val="9"/>
                <w:szCs w:val="9"/>
                <w:color w:val="auto"/>
              </w:rPr>
            </w:pPr>
          </w:p>
        </w:tc>
        <w:tc>
          <w:tcPr>
            <w:tcW w:w="580" w:type="dxa"/>
            <w:vAlign w:val="bottom"/>
            <w:gridSpan w:val="2"/>
            <w:shd w:val="clear" w:color="auto" w:fill="D6DAEE"/>
          </w:tcPr>
          <w:p>
            <w:pPr>
              <w:jc w:val="right"/>
              <w:ind w:right="140"/>
              <w:spacing w:after="0" w:line="108" w:lineRule="exact"/>
              <w:rPr>
                <w:sz w:val="20"/>
                <w:szCs w:val="20"/>
                <w:color w:val="auto"/>
              </w:rPr>
            </w:pPr>
            <w:r>
              <w:rPr>
                <w:rFonts w:ascii="Arial" w:cs="Arial" w:eastAsia="Arial" w:hAnsi="Arial"/>
                <w:sz w:val="10"/>
                <w:szCs w:val="10"/>
                <w:color w:val="auto"/>
              </w:rPr>
              <w:t>25,000</w:t>
            </w:r>
          </w:p>
        </w:tc>
        <w:tc>
          <w:tcPr>
            <w:tcW w:w="140" w:type="dxa"/>
            <w:vAlign w:val="bottom"/>
            <w:tcBorders>
              <w:right w:val="single" w:sz="8" w:color="D6DAEE"/>
            </w:tcBorders>
            <w:shd w:val="clear" w:color="auto" w:fill="D6DAEE"/>
          </w:tcPr>
          <w:p>
            <w:pPr>
              <w:spacing w:after="0"/>
              <w:rPr>
                <w:sz w:val="9"/>
                <w:szCs w:val="9"/>
                <w:color w:val="auto"/>
              </w:rPr>
            </w:pPr>
          </w:p>
        </w:tc>
        <w:tc>
          <w:tcPr>
            <w:tcW w:w="440" w:type="dxa"/>
            <w:vAlign w:val="bottom"/>
            <w:shd w:val="clear" w:color="auto" w:fill="D6DAEE"/>
          </w:tcPr>
          <w:p>
            <w:pPr>
              <w:jc w:val="right"/>
              <w:spacing w:after="0" w:line="108" w:lineRule="exact"/>
              <w:rPr>
                <w:sz w:val="20"/>
                <w:szCs w:val="20"/>
                <w:color w:val="auto"/>
              </w:rPr>
            </w:pPr>
            <w:r>
              <w:rPr>
                <w:rFonts w:ascii="Arial" w:cs="Arial" w:eastAsia="Arial" w:hAnsi="Arial"/>
                <w:sz w:val="10"/>
                <w:szCs w:val="10"/>
                <w:color w:val="auto"/>
              </w:rPr>
              <w:t>100,000</w:t>
            </w:r>
          </w:p>
        </w:tc>
        <w:tc>
          <w:tcPr>
            <w:tcW w:w="40" w:type="dxa"/>
            <w:vAlign w:val="bottom"/>
          </w:tcPr>
          <w:p>
            <w:pPr>
              <w:spacing w:after="0"/>
              <w:rPr>
                <w:sz w:val="9"/>
                <w:szCs w:val="9"/>
                <w:color w:val="auto"/>
              </w:rPr>
            </w:pPr>
          </w:p>
        </w:tc>
      </w:tr>
      <w:tr>
        <w:trPr>
          <w:trHeight w:val="108"/>
        </w:trPr>
        <w:tc>
          <w:tcPr>
            <w:tcW w:w="10140" w:type="dxa"/>
            <w:vAlign w:val="bottom"/>
            <w:shd w:val="clear" w:color="auto" w:fill="F1F3F9"/>
          </w:tcPr>
          <w:p>
            <w:pPr>
              <w:ind w:left="80"/>
              <w:spacing w:after="0" w:line="108" w:lineRule="exact"/>
              <w:rPr>
                <w:sz w:val="20"/>
                <w:szCs w:val="20"/>
                <w:color w:val="auto"/>
              </w:rPr>
            </w:pPr>
            <w:r>
              <w:rPr>
                <w:rFonts w:ascii="Arial" w:cs="Arial" w:eastAsia="Arial" w:hAnsi="Arial"/>
                <w:sz w:val="10"/>
                <w:szCs w:val="10"/>
                <w:color w:val="auto"/>
              </w:rPr>
              <w:t>SG&amp;A: Non-cash share-based compensation expense</w:t>
            </w:r>
          </w:p>
        </w:tc>
        <w:tc>
          <w:tcPr>
            <w:tcW w:w="60" w:type="dxa"/>
            <w:vAlign w:val="bottom"/>
            <w:shd w:val="clear" w:color="auto" w:fill="F1F3F9"/>
          </w:tcPr>
          <w:p>
            <w:pPr>
              <w:spacing w:after="0"/>
              <w:rPr>
                <w:sz w:val="9"/>
                <w:szCs w:val="9"/>
                <w:color w:val="auto"/>
              </w:rPr>
            </w:pPr>
          </w:p>
        </w:tc>
        <w:tc>
          <w:tcPr>
            <w:tcW w:w="580" w:type="dxa"/>
            <w:vAlign w:val="bottom"/>
            <w:gridSpan w:val="2"/>
            <w:shd w:val="clear" w:color="auto" w:fill="F1F3F9"/>
          </w:tcPr>
          <w:p>
            <w:pPr>
              <w:jc w:val="right"/>
              <w:ind w:right="140"/>
              <w:spacing w:after="0" w:line="108" w:lineRule="exact"/>
              <w:rPr>
                <w:sz w:val="20"/>
                <w:szCs w:val="20"/>
                <w:color w:val="auto"/>
              </w:rPr>
            </w:pPr>
            <w:r>
              <w:rPr>
                <w:rFonts w:ascii="Arial" w:cs="Arial" w:eastAsia="Arial" w:hAnsi="Arial"/>
                <w:sz w:val="10"/>
                <w:szCs w:val="10"/>
                <w:color w:val="auto"/>
              </w:rPr>
              <w:t>208,395</w:t>
            </w:r>
          </w:p>
        </w:tc>
        <w:tc>
          <w:tcPr>
            <w:tcW w:w="140" w:type="dxa"/>
            <w:vAlign w:val="bottom"/>
            <w:tcBorders>
              <w:right w:val="single" w:sz="8" w:color="F1F3F9"/>
            </w:tcBorders>
            <w:shd w:val="clear" w:color="auto" w:fill="F1F3F9"/>
          </w:tcPr>
          <w:p>
            <w:pPr>
              <w:spacing w:after="0"/>
              <w:rPr>
                <w:sz w:val="9"/>
                <w:szCs w:val="9"/>
                <w:color w:val="auto"/>
              </w:rPr>
            </w:pPr>
          </w:p>
        </w:tc>
        <w:tc>
          <w:tcPr>
            <w:tcW w:w="440" w:type="dxa"/>
            <w:vAlign w:val="bottom"/>
            <w:shd w:val="clear" w:color="auto" w:fill="F1F3F9"/>
          </w:tcPr>
          <w:p>
            <w:pPr>
              <w:jc w:val="right"/>
              <w:spacing w:after="0" w:line="108" w:lineRule="exact"/>
              <w:rPr>
                <w:sz w:val="20"/>
                <w:szCs w:val="20"/>
                <w:color w:val="auto"/>
              </w:rPr>
            </w:pPr>
            <w:r>
              <w:rPr>
                <w:rFonts w:ascii="Arial" w:cs="Arial" w:eastAsia="Arial" w:hAnsi="Arial"/>
                <w:sz w:val="10"/>
                <w:szCs w:val="10"/>
                <w:color w:val="auto"/>
              </w:rPr>
              <w:t>231,183</w:t>
            </w:r>
          </w:p>
        </w:tc>
        <w:tc>
          <w:tcPr>
            <w:tcW w:w="40" w:type="dxa"/>
            <w:vAlign w:val="bottom"/>
          </w:tcPr>
          <w:p>
            <w:pPr>
              <w:spacing w:after="0"/>
              <w:rPr>
                <w:sz w:val="9"/>
                <w:szCs w:val="9"/>
                <w:color w:val="auto"/>
              </w:rPr>
            </w:pPr>
          </w:p>
        </w:tc>
      </w:tr>
      <w:tr>
        <w:trPr>
          <w:trHeight w:val="108"/>
        </w:trPr>
        <w:tc>
          <w:tcPr>
            <w:tcW w:w="10140" w:type="dxa"/>
            <w:vAlign w:val="bottom"/>
            <w:shd w:val="clear" w:color="auto" w:fill="D6DAEE"/>
          </w:tcPr>
          <w:p>
            <w:pPr>
              <w:ind w:left="80"/>
              <w:spacing w:after="0" w:line="108" w:lineRule="exact"/>
              <w:rPr>
                <w:sz w:val="20"/>
                <w:szCs w:val="20"/>
                <w:color w:val="auto"/>
              </w:rPr>
            </w:pPr>
            <w:r>
              <w:rPr>
                <w:rFonts w:ascii="Arial" w:cs="Arial" w:eastAsia="Arial" w:hAnsi="Arial"/>
                <w:sz w:val="10"/>
                <w:szCs w:val="10"/>
                <w:color w:val="auto"/>
              </w:rPr>
              <w:t>COGS and COCM: Non-cash share-based compensation expense</w:t>
            </w:r>
          </w:p>
        </w:tc>
        <w:tc>
          <w:tcPr>
            <w:tcW w:w="60" w:type="dxa"/>
            <w:vAlign w:val="bottom"/>
            <w:shd w:val="clear" w:color="auto" w:fill="D6DAEE"/>
          </w:tcPr>
          <w:p>
            <w:pPr>
              <w:spacing w:after="0"/>
              <w:rPr>
                <w:sz w:val="9"/>
                <w:szCs w:val="9"/>
                <w:color w:val="auto"/>
              </w:rPr>
            </w:pPr>
          </w:p>
        </w:tc>
        <w:tc>
          <w:tcPr>
            <w:tcW w:w="580" w:type="dxa"/>
            <w:vAlign w:val="bottom"/>
            <w:gridSpan w:val="2"/>
            <w:shd w:val="clear" w:color="auto" w:fill="D6DAEE"/>
          </w:tcPr>
          <w:p>
            <w:pPr>
              <w:jc w:val="right"/>
              <w:ind w:right="140"/>
              <w:spacing w:after="0" w:line="108" w:lineRule="exact"/>
              <w:rPr>
                <w:sz w:val="20"/>
                <w:szCs w:val="20"/>
                <w:color w:val="auto"/>
              </w:rPr>
            </w:pPr>
            <w:r>
              <w:rPr>
                <w:rFonts w:ascii="Arial" w:cs="Arial" w:eastAsia="Arial" w:hAnsi="Arial"/>
                <w:sz w:val="10"/>
                <w:szCs w:val="10"/>
                <w:color w:val="auto"/>
              </w:rPr>
              <w:t>27,004</w:t>
            </w:r>
          </w:p>
        </w:tc>
        <w:tc>
          <w:tcPr>
            <w:tcW w:w="140" w:type="dxa"/>
            <w:vAlign w:val="bottom"/>
            <w:tcBorders>
              <w:right w:val="single" w:sz="8" w:color="D6DAEE"/>
            </w:tcBorders>
            <w:shd w:val="clear" w:color="auto" w:fill="D6DAEE"/>
          </w:tcPr>
          <w:p>
            <w:pPr>
              <w:spacing w:after="0"/>
              <w:rPr>
                <w:sz w:val="9"/>
                <w:szCs w:val="9"/>
                <w:color w:val="auto"/>
              </w:rPr>
            </w:pPr>
          </w:p>
        </w:tc>
        <w:tc>
          <w:tcPr>
            <w:tcW w:w="440" w:type="dxa"/>
            <w:vAlign w:val="bottom"/>
            <w:shd w:val="clear" w:color="auto" w:fill="D6DAEE"/>
          </w:tcPr>
          <w:p>
            <w:pPr>
              <w:jc w:val="right"/>
              <w:spacing w:after="0" w:line="108" w:lineRule="exact"/>
              <w:rPr>
                <w:sz w:val="20"/>
                <w:szCs w:val="20"/>
                <w:color w:val="auto"/>
              </w:rPr>
            </w:pPr>
            <w:r>
              <w:rPr>
                <w:rFonts w:ascii="Arial" w:cs="Arial" w:eastAsia="Arial" w:hAnsi="Arial"/>
                <w:sz w:val="10"/>
                <w:szCs w:val="10"/>
                <w:color w:val="auto"/>
              </w:rPr>
              <w:t>15,647</w:t>
            </w:r>
          </w:p>
        </w:tc>
        <w:tc>
          <w:tcPr>
            <w:tcW w:w="40" w:type="dxa"/>
            <w:vAlign w:val="bottom"/>
          </w:tcPr>
          <w:p>
            <w:pPr>
              <w:spacing w:after="0"/>
              <w:rPr>
                <w:sz w:val="9"/>
                <w:szCs w:val="9"/>
                <w:color w:val="auto"/>
              </w:rPr>
            </w:pPr>
          </w:p>
        </w:tc>
      </w:tr>
      <w:tr>
        <w:trPr>
          <w:trHeight w:val="108"/>
        </w:trPr>
        <w:tc>
          <w:tcPr>
            <w:tcW w:w="10140" w:type="dxa"/>
            <w:vAlign w:val="bottom"/>
            <w:shd w:val="clear" w:color="auto" w:fill="F1F3F9"/>
          </w:tcPr>
          <w:p>
            <w:pPr>
              <w:ind w:left="80"/>
              <w:spacing w:after="0" w:line="108" w:lineRule="exact"/>
              <w:rPr>
                <w:sz w:val="20"/>
                <w:szCs w:val="20"/>
                <w:color w:val="auto"/>
              </w:rPr>
            </w:pPr>
            <w:r>
              <w:rPr>
                <w:rFonts w:ascii="Arial" w:cs="Arial" w:eastAsia="Arial" w:hAnsi="Arial"/>
                <w:sz w:val="10"/>
                <w:szCs w:val="10"/>
                <w:color w:val="auto"/>
              </w:rPr>
              <w:t>Other expense: Loss on extinguishment of debt</w:t>
            </w:r>
          </w:p>
        </w:tc>
        <w:tc>
          <w:tcPr>
            <w:tcW w:w="60" w:type="dxa"/>
            <w:vAlign w:val="bottom"/>
            <w:shd w:val="clear" w:color="auto" w:fill="F1F3F9"/>
          </w:tcPr>
          <w:p>
            <w:pPr>
              <w:spacing w:after="0"/>
              <w:rPr>
                <w:sz w:val="9"/>
                <w:szCs w:val="9"/>
                <w:color w:val="auto"/>
              </w:rPr>
            </w:pPr>
          </w:p>
        </w:tc>
        <w:tc>
          <w:tcPr>
            <w:tcW w:w="580" w:type="dxa"/>
            <w:vAlign w:val="bottom"/>
            <w:gridSpan w:val="2"/>
            <w:shd w:val="clear" w:color="auto" w:fill="F1F3F9"/>
          </w:tcPr>
          <w:p>
            <w:pPr>
              <w:jc w:val="right"/>
              <w:ind w:right="140"/>
              <w:spacing w:after="0" w:line="108" w:lineRule="exact"/>
              <w:rPr>
                <w:sz w:val="20"/>
                <w:szCs w:val="20"/>
                <w:color w:val="auto"/>
              </w:rPr>
            </w:pPr>
            <w:r>
              <w:rPr>
                <w:rFonts w:ascii="Arial" w:cs="Arial" w:eastAsia="Arial" w:hAnsi="Arial"/>
                <w:sz w:val="10"/>
                <w:szCs w:val="10"/>
                <w:color w:val="auto"/>
              </w:rPr>
              <w:t>30,100</w:t>
            </w:r>
          </w:p>
        </w:tc>
        <w:tc>
          <w:tcPr>
            <w:tcW w:w="140" w:type="dxa"/>
            <w:vAlign w:val="bottom"/>
            <w:tcBorders>
              <w:right w:val="single" w:sz="8" w:color="F1F3F9"/>
            </w:tcBorders>
            <w:shd w:val="clear" w:color="auto" w:fill="F1F3F9"/>
          </w:tcPr>
          <w:p>
            <w:pPr>
              <w:spacing w:after="0"/>
              <w:rPr>
                <w:sz w:val="9"/>
                <w:szCs w:val="9"/>
                <w:color w:val="auto"/>
              </w:rPr>
            </w:pPr>
          </w:p>
        </w:tc>
        <w:tc>
          <w:tcPr>
            <w:tcW w:w="440" w:type="dxa"/>
            <w:vAlign w:val="bottom"/>
            <w:shd w:val="clear" w:color="auto" w:fill="F1F3F9"/>
          </w:tcPr>
          <w:p>
            <w:pPr>
              <w:jc w:val="right"/>
              <w:spacing w:after="0" w:line="108" w:lineRule="exact"/>
              <w:rPr>
                <w:sz w:val="20"/>
                <w:szCs w:val="20"/>
                <w:color w:val="auto"/>
              </w:rPr>
            </w:pPr>
            <w:r>
              <w:rPr>
                <w:rFonts w:ascii="Arial" w:cs="Arial" w:eastAsia="Arial" w:hAnsi="Arial"/>
                <w:sz w:val="10"/>
                <w:szCs w:val="10"/>
                <w:color w:val="auto"/>
              </w:rPr>
              <w:t>467</w:t>
            </w:r>
          </w:p>
        </w:tc>
        <w:tc>
          <w:tcPr>
            <w:tcW w:w="40" w:type="dxa"/>
            <w:vAlign w:val="bottom"/>
          </w:tcPr>
          <w:p>
            <w:pPr>
              <w:spacing w:after="0"/>
              <w:rPr>
                <w:sz w:val="9"/>
                <w:szCs w:val="9"/>
                <w:color w:val="auto"/>
              </w:rPr>
            </w:pPr>
          </w:p>
        </w:tc>
      </w:tr>
      <w:tr>
        <w:trPr>
          <w:trHeight w:val="108"/>
        </w:trPr>
        <w:tc>
          <w:tcPr>
            <w:tcW w:w="10140" w:type="dxa"/>
            <w:vAlign w:val="bottom"/>
            <w:shd w:val="clear" w:color="auto" w:fill="D6DAEE"/>
          </w:tcPr>
          <w:p>
            <w:pPr>
              <w:ind w:left="80"/>
              <w:spacing w:after="0" w:line="108" w:lineRule="exact"/>
              <w:rPr>
                <w:sz w:val="20"/>
                <w:szCs w:val="20"/>
                <w:color w:val="auto"/>
              </w:rPr>
            </w:pPr>
            <w:r>
              <w:rPr>
                <w:rFonts w:ascii="Arial" w:cs="Arial" w:eastAsia="Arial" w:hAnsi="Arial"/>
                <w:sz w:val="10"/>
                <w:szCs w:val="10"/>
                <w:color w:val="auto"/>
              </w:rPr>
              <w:t>Income tax effect of reconciling items above</w:t>
            </w:r>
          </w:p>
        </w:tc>
        <w:tc>
          <w:tcPr>
            <w:tcW w:w="60" w:type="dxa"/>
            <w:vAlign w:val="bottom"/>
            <w:shd w:val="clear" w:color="auto" w:fill="D6DAEE"/>
          </w:tcPr>
          <w:p>
            <w:pPr>
              <w:spacing w:after="0"/>
              <w:rPr>
                <w:sz w:val="9"/>
                <w:szCs w:val="9"/>
                <w:color w:val="auto"/>
              </w:rPr>
            </w:pPr>
          </w:p>
        </w:tc>
        <w:tc>
          <w:tcPr>
            <w:tcW w:w="580" w:type="dxa"/>
            <w:vAlign w:val="bottom"/>
            <w:gridSpan w:val="2"/>
            <w:shd w:val="clear" w:color="auto" w:fill="D6DAEE"/>
          </w:tcPr>
          <w:p>
            <w:pPr>
              <w:jc w:val="right"/>
              <w:ind w:right="100"/>
              <w:spacing w:after="0" w:line="108" w:lineRule="exact"/>
              <w:rPr>
                <w:sz w:val="20"/>
                <w:szCs w:val="20"/>
                <w:color w:val="auto"/>
              </w:rPr>
            </w:pPr>
            <w:r>
              <w:rPr>
                <w:rFonts w:ascii="Arial" w:cs="Arial" w:eastAsia="Arial" w:hAnsi="Arial"/>
                <w:sz w:val="10"/>
                <w:szCs w:val="10"/>
                <w:color w:val="auto"/>
              </w:rPr>
              <w:t>(186,039)</w:t>
            </w:r>
          </w:p>
        </w:tc>
        <w:tc>
          <w:tcPr>
            <w:tcW w:w="140" w:type="dxa"/>
            <w:vAlign w:val="bottom"/>
            <w:tcBorders>
              <w:right w:val="single" w:sz="8" w:color="D6DAEE"/>
            </w:tcBorders>
            <w:shd w:val="clear" w:color="auto" w:fill="D6DAEE"/>
          </w:tcPr>
          <w:p>
            <w:pPr>
              <w:spacing w:after="0"/>
              <w:rPr>
                <w:sz w:val="9"/>
                <w:szCs w:val="9"/>
                <w:color w:val="auto"/>
              </w:rPr>
            </w:pPr>
          </w:p>
        </w:tc>
        <w:tc>
          <w:tcPr>
            <w:tcW w:w="440" w:type="dxa"/>
            <w:vAlign w:val="bottom"/>
            <w:shd w:val="clear" w:color="auto" w:fill="D6DAEE"/>
          </w:tcPr>
          <w:p>
            <w:pPr>
              <w:jc w:val="right"/>
              <w:spacing w:after="0" w:line="108" w:lineRule="exact"/>
              <w:rPr>
                <w:sz w:val="20"/>
                <w:szCs w:val="20"/>
                <w:color w:val="auto"/>
              </w:rPr>
            </w:pPr>
            <w:r>
              <w:rPr>
                <w:rFonts w:ascii="Arial" w:cs="Arial" w:eastAsia="Arial" w:hAnsi="Arial"/>
                <w:sz w:val="10"/>
                <w:szCs w:val="10"/>
                <w:color w:val="auto"/>
                <w:w w:val="98"/>
              </w:rPr>
              <w:t>(236,663)</w:t>
            </w:r>
          </w:p>
        </w:tc>
        <w:tc>
          <w:tcPr>
            <w:tcW w:w="40" w:type="dxa"/>
            <w:vAlign w:val="bottom"/>
          </w:tcPr>
          <w:p>
            <w:pPr>
              <w:spacing w:after="0"/>
              <w:rPr>
                <w:sz w:val="9"/>
                <w:szCs w:val="9"/>
                <w:color w:val="auto"/>
              </w:rPr>
            </w:pPr>
          </w:p>
        </w:tc>
      </w:tr>
      <w:tr>
        <w:trPr>
          <w:trHeight w:val="108"/>
        </w:trPr>
        <w:tc>
          <w:tcPr>
            <w:tcW w:w="10140" w:type="dxa"/>
            <w:vAlign w:val="bottom"/>
            <w:shd w:val="clear" w:color="auto" w:fill="F1F3F9"/>
          </w:tcPr>
          <w:p>
            <w:pPr>
              <w:ind w:left="80"/>
              <w:spacing w:after="0" w:line="108" w:lineRule="exact"/>
              <w:rPr>
                <w:sz w:val="20"/>
                <w:szCs w:val="20"/>
                <w:color w:val="auto"/>
              </w:rPr>
            </w:pPr>
            <w:r>
              <w:rPr>
                <w:rFonts w:ascii="Arial" w:cs="Arial" w:eastAsia="Arial" w:hAnsi="Arial"/>
                <w:sz w:val="10"/>
                <w:szCs w:val="10"/>
                <w:color w:val="auto"/>
              </w:rPr>
              <w:t>Income tax expense: Charge related to enactment of U.S. Tax Reform Act</w:t>
            </w:r>
          </w:p>
        </w:tc>
        <w:tc>
          <w:tcPr>
            <w:tcW w:w="60" w:type="dxa"/>
            <w:vAlign w:val="bottom"/>
            <w:shd w:val="clear" w:color="auto" w:fill="F1F3F9"/>
          </w:tcPr>
          <w:p>
            <w:pPr>
              <w:spacing w:after="0"/>
              <w:rPr>
                <w:sz w:val="9"/>
                <w:szCs w:val="9"/>
                <w:color w:val="auto"/>
              </w:rPr>
            </w:pPr>
          </w:p>
        </w:tc>
        <w:tc>
          <w:tcPr>
            <w:tcW w:w="580" w:type="dxa"/>
            <w:vAlign w:val="bottom"/>
            <w:gridSpan w:val="2"/>
            <w:shd w:val="clear" w:color="auto" w:fill="F1F3F9"/>
          </w:tcPr>
          <w:p>
            <w:pPr>
              <w:jc w:val="right"/>
              <w:ind w:right="140"/>
              <w:spacing w:after="0" w:line="108" w:lineRule="exact"/>
              <w:rPr>
                <w:sz w:val="20"/>
                <w:szCs w:val="20"/>
                <w:color w:val="auto"/>
              </w:rPr>
            </w:pPr>
            <w:r>
              <w:rPr>
                <w:rFonts w:ascii="Arial" w:cs="Arial" w:eastAsia="Arial" w:hAnsi="Arial"/>
                <w:sz w:val="10"/>
                <w:szCs w:val="10"/>
                <w:color w:val="auto"/>
              </w:rPr>
              <w:t>326,202</w:t>
            </w:r>
          </w:p>
        </w:tc>
        <w:tc>
          <w:tcPr>
            <w:tcW w:w="140" w:type="dxa"/>
            <w:vAlign w:val="bottom"/>
            <w:tcBorders>
              <w:right w:val="single" w:sz="8" w:color="F1F3F9"/>
            </w:tcBorders>
            <w:shd w:val="clear" w:color="auto" w:fill="F1F3F9"/>
          </w:tcPr>
          <w:p>
            <w:pPr>
              <w:spacing w:after="0"/>
              <w:rPr>
                <w:sz w:val="9"/>
                <w:szCs w:val="9"/>
                <w:color w:val="auto"/>
              </w:rPr>
            </w:pPr>
          </w:p>
        </w:tc>
        <w:tc>
          <w:tcPr>
            <w:tcW w:w="440" w:type="dxa"/>
            <w:vAlign w:val="bottom"/>
            <w:shd w:val="clear" w:color="auto" w:fill="F1F3F9"/>
          </w:tcPr>
          <w:p>
            <w:pPr>
              <w:jc w:val="right"/>
              <w:spacing w:after="0" w:line="108"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r>
      <w:tr>
        <w:trPr>
          <w:trHeight w:val="20"/>
        </w:trPr>
        <w:tc>
          <w:tcPr>
            <w:tcW w:w="10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7"/>
        </w:trPr>
        <w:tc>
          <w:tcPr>
            <w:tcW w:w="10140" w:type="dxa"/>
            <w:vAlign w:val="bottom"/>
            <w:shd w:val="clear" w:color="auto" w:fill="D6DAEE"/>
          </w:tcPr>
          <w:p>
            <w:pPr>
              <w:ind w:left="160"/>
              <w:spacing w:after="0" w:line="97" w:lineRule="exact"/>
              <w:rPr>
                <w:sz w:val="20"/>
                <w:szCs w:val="20"/>
                <w:color w:val="auto"/>
              </w:rPr>
            </w:pPr>
            <w:r>
              <w:rPr>
                <w:rFonts w:ascii="Arial" w:cs="Arial" w:eastAsia="Arial" w:hAnsi="Arial"/>
                <w:sz w:val="10"/>
                <w:szCs w:val="10"/>
                <w:color w:val="auto"/>
              </w:rPr>
              <w:t>Non-GAAP net income</w:t>
            </w:r>
          </w:p>
        </w:tc>
        <w:tc>
          <w:tcPr>
            <w:tcW w:w="60" w:type="dxa"/>
            <w:vAlign w:val="bottom"/>
            <w:shd w:val="clear" w:color="auto" w:fill="D6DAEE"/>
          </w:tcPr>
          <w:p>
            <w:pPr>
              <w:jc w:val="right"/>
              <w:spacing w:after="0" w:line="97"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D6DAEE"/>
          </w:tcPr>
          <w:p>
            <w:pPr>
              <w:jc w:val="right"/>
              <w:ind w:right="140"/>
              <w:spacing w:after="0" w:line="97" w:lineRule="exact"/>
              <w:rPr>
                <w:sz w:val="20"/>
                <w:szCs w:val="20"/>
                <w:color w:val="auto"/>
              </w:rPr>
            </w:pPr>
            <w:r>
              <w:rPr>
                <w:rFonts w:ascii="Arial" w:cs="Arial" w:eastAsia="Arial" w:hAnsi="Arial"/>
                <w:sz w:val="10"/>
                <w:szCs w:val="10"/>
                <w:color w:val="auto"/>
                <w:w w:val="94"/>
              </w:rPr>
              <w:t>1,901,051</w:t>
            </w:r>
          </w:p>
        </w:tc>
        <w:tc>
          <w:tcPr>
            <w:tcW w:w="140" w:type="dxa"/>
            <w:vAlign w:val="bottom"/>
            <w:tcBorders>
              <w:right w:val="single" w:sz="8" w:color="D6DAEE"/>
            </w:tcBorders>
            <w:shd w:val="clear" w:color="auto" w:fill="D6DAEE"/>
          </w:tcPr>
          <w:p>
            <w:pPr>
              <w:jc w:val="right"/>
              <w:spacing w:after="0" w:line="97" w:lineRule="exact"/>
              <w:rPr>
                <w:sz w:val="20"/>
                <w:szCs w:val="20"/>
                <w:color w:val="auto"/>
              </w:rPr>
            </w:pPr>
            <w:r>
              <w:rPr>
                <w:rFonts w:ascii="Arial" w:cs="Arial" w:eastAsia="Arial" w:hAnsi="Arial"/>
                <w:sz w:val="10"/>
                <w:szCs w:val="10"/>
                <w:color w:val="auto"/>
              </w:rPr>
              <w:t>$</w:t>
            </w:r>
          </w:p>
        </w:tc>
        <w:tc>
          <w:tcPr>
            <w:tcW w:w="440" w:type="dxa"/>
            <w:vAlign w:val="bottom"/>
            <w:shd w:val="clear" w:color="auto" w:fill="D6DAEE"/>
          </w:tcPr>
          <w:p>
            <w:pPr>
              <w:jc w:val="right"/>
              <w:spacing w:after="0" w:line="97" w:lineRule="exact"/>
              <w:rPr>
                <w:sz w:val="20"/>
                <w:szCs w:val="20"/>
                <w:color w:val="auto"/>
              </w:rPr>
            </w:pPr>
            <w:r>
              <w:rPr>
                <w:rFonts w:ascii="Arial" w:cs="Arial" w:eastAsia="Arial" w:hAnsi="Arial"/>
                <w:sz w:val="10"/>
                <w:szCs w:val="10"/>
                <w:color w:val="auto"/>
                <w:w w:val="94"/>
              </w:rPr>
              <w:t>1,319,204</w:t>
            </w:r>
          </w:p>
        </w:tc>
        <w:tc>
          <w:tcPr>
            <w:tcW w:w="40" w:type="dxa"/>
            <w:vAlign w:val="bottom"/>
          </w:tcPr>
          <w:p>
            <w:pPr>
              <w:spacing w:after="0"/>
              <w:rPr>
                <w:sz w:val="8"/>
                <w:szCs w:val="8"/>
                <w:color w:val="auto"/>
              </w:rPr>
            </w:pPr>
          </w:p>
        </w:tc>
      </w:tr>
      <w:tr>
        <w:trPr>
          <w:trHeight w:val="27"/>
        </w:trPr>
        <w:tc>
          <w:tcPr>
            <w:tcW w:w="10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0140" w:type="dxa"/>
            <w:vAlign w:val="bottom"/>
            <w:shd w:val="clear" w:color="auto" w:fill="F1F3F9"/>
          </w:tcPr>
          <w:p>
            <w:pPr>
              <w:ind w:left="40"/>
              <w:spacing w:after="0"/>
              <w:rPr>
                <w:sz w:val="20"/>
                <w:szCs w:val="20"/>
                <w:color w:val="auto"/>
              </w:rPr>
            </w:pPr>
            <w:r>
              <w:rPr>
                <w:rFonts w:ascii="Arial" w:cs="Arial" w:eastAsia="Arial" w:hAnsi="Arial"/>
                <w:sz w:val="10"/>
                <w:szCs w:val="10"/>
                <w:color w:val="auto"/>
              </w:rPr>
              <w:t>Non-GAAP net income per share—basic</w:t>
            </w:r>
          </w:p>
        </w:tc>
        <w:tc>
          <w:tcPr>
            <w:tcW w:w="60" w:type="dxa"/>
            <w:vAlign w:val="bottom"/>
            <w:shd w:val="clear" w:color="auto" w:fill="F1F3F9"/>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F1F3F9"/>
          </w:tcPr>
          <w:p>
            <w:pPr>
              <w:jc w:val="right"/>
              <w:ind w:right="140"/>
              <w:spacing w:after="0"/>
              <w:rPr>
                <w:sz w:val="20"/>
                <w:szCs w:val="20"/>
                <w:color w:val="auto"/>
              </w:rPr>
            </w:pPr>
            <w:r>
              <w:rPr>
                <w:rFonts w:ascii="Arial" w:cs="Arial" w:eastAsia="Arial" w:hAnsi="Arial"/>
                <w:sz w:val="10"/>
                <w:szCs w:val="10"/>
                <w:color w:val="auto"/>
              </w:rPr>
              <w:t>17.88</w:t>
            </w:r>
          </w:p>
        </w:tc>
        <w:tc>
          <w:tcPr>
            <w:tcW w:w="140" w:type="dxa"/>
            <w:vAlign w:val="bottom"/>
            <w:tcBorders>
              <w:right w:val="single" w:sz="8" w:color="F1F3F9"/>
            </w:tcBorders>
            <w:shd w:val="clear" w:color="auto" w:fill="F1F3F9"/>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F1F3F9"/>
          </w:tcPr>
          <w:p>
            <w:pPr>
              <w:jc w:val="right"/>
              <w:spacing w:after="0"/>
              <w:rPr>
                <w:sz w:val="20"/>
                <w:szCs w:val="20"/>
                <w:color w:val="auto"/>
              </w:rPr>
            </w:pPr>
            <w:r>
              <w:rPr>
                <w:rFonts w:ascii="Arial" w:cs="Arial" w:eastAsia="Arial" w:hAnsi="Arial"/>
                <w:sz w:val="10"/>
                <w:szCs w:val="10"/>
                <w:color w:val="auto"/>
              </w:rPr>
              <w:t>12.60</w:t>
            </w:r>
          </w:p>
        </w:tc>
        <w:tc>
          <w:tcPr>
            <w:tcW w:w="40" w:type="dxa"/>
            <w:vAlign w:val="bottom"/>
          </w:tcPr>
          <w:p>
            <w:pPr>
              <w:spacing w:after="0"/>
              <w:rPr>
                <w:sz w:val="18"/>
                <w:szCs w:val="18"/>
                <w:color w:val="auto"/>
              </w:rPr>
            </w:pPr>
          </w:p>
        </w:tc>
      </w:tr>
      <w:tr>
        <w:trPr>
          <w:trHeight w:val="108"/>
        </w:trPr>
        <w:tc>
          <w:tcPr>
            <w:tcW w:w="10140" w:type="dxa"/>
            <w:vAlign w:val="bottom"/>
            <w:shd w:val="clear" w:color="auto" w:fill="D6DAEE"/>
          </w:tcPr>
          <w:p>
            <w:pPr>
              <w:ind w:left="40"/>
              <w:spacing w:after="0" w:line="108" w:lineRule="exact"/>
              <w:rPr>
                <w:sz w:val="20"/>
                <w:szCs w:val="20"/>
                <w:color w:val="auto"/>
              </w:rPr>
            </w:pPr>
            <w:r>
              <w:rPr>
                <w:rFonts w:ascii="Arial" w:cs="Arial" w:eastAsia="Arial" w:hAnsi="Arial"/>
                <w:sz w:val="10"/>
                <w:szCs w:val="10"/>
                <w:color w:val="auto"/>
              </w:rPr>
              <w:t>Non-GAAP net income per share—diluted</w:t>
            </w:r>
          </w:p>
        </w:tc>
        <w:tc>
          <w:tcPr>
            <w:tcW w:w="60" w:type="dxa"/>
            <w:vAlign w:val="bottom"/>
            <w:shd w:val="clear" w:color="auto" w:fill="D6DAEE"/>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D6DAEE"/>
          </w:tcPr>
          <w:p>
            <w:pPr>
              <w:jc w:val="right"/>
              <w:ind w:right="140"/>
              <w:spacing w:after="0" w:line="108" w:lineRule="exact"/>
              <w:rPr>
                <w:sz w:val="20"/>
                <w:szCs w:val="20"/>
                <w:color w:val="auto"/>
              </w:rPr>
            </w:pPr>
            <w:r>
              <w:rPr>
                <w:rFonts w:ascii="Arial" w:cs="Arial" w:eastAsia="Arial" w:hAnsi="Arial"/>
                <w:sz w:val="10"/>
                <w:szCs w:val="10"/>
                <w:color w:val="auto"/>
              </w:rPr>
              <w:t>16.32</w:t>
            </w:r>
          </w:p>
        </w:tc>
        <w:tc>
          <w:tcPr>
            <w:tcW w:w="140" w:type="dxa"/>
            <w:vAlign w:val="bottom"/>
            <w:tcBorders>
              <w:right w:val="single" w:sz="8" w:color="D6DAEE"/>
            </w:tcBorders>
            <w:shd w:val="clear" w:color="auto" w:fill="D6DAEE"/>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shd w:val="clear" w:color="auto" w:fill="D6DAEE"/>
          </w:tcPr>
          <w:p>
            <w:pPr>
              <w:jc w:val="right"/>
              <w:spacing w:after="0" w:line="108" w:lineRule="exact"/>
              <w:rPr>
                <w:sz w:val="20"/>
                <w:szCs w:val="20"/>
                <w:color w:val="auto"/>
              </w:rPr>
            </w:pPr>
            <w:r>
              <w:rPr>
                <w:rFonts w:ascii="Arial" w:cs="Arial" w:eastAsia="Arial" w:hAnsi="Arial"/>
                <w:sz w:val="10"/>
                <w:szCs w:val="10"/>
                <w:color w:val="auto"/>
              </w:rPr>
              <w:t>11.32</w:t>
            </w:r>
          </w:p>
        </w:tc>
        <w:tc>
          <w:tcPr>
            <w:tcW w:w="40" w:type="dxa"/>
            <w:vAlign w:val="bottom"/>
          </w:tcPr>
          <w:p>
            <w:pPr>
              <w:spacing w:after="0"/>
              <w:rPr>
                <w:sz w:val="9"/>
                <w:szCs w:val="9"/>
                <w:color w:val="auto"/>
              </w:rPr>
            </w:pPr>
          </w:p>
        </w:tc>
      </w:tr>
      <w:tr>
        <w:trPr>
          <w:trHeight w:val="216"/>
        </w:trPr>
        <w:tc>
          <w:tcPr>
            <w:tcW w:w="10140" w:type="dxa"/>
            <w:vAlign w:val="bottom"/>
            <w:shd w:val="clear" w:color="auto" w:fill="F1F3F9"/>
          </w:tcPr>
          <w:p>
            <w:pPr>
              <w:ind w:left="40"/>
              <w:spacing w:after="0"/>
              <w:rPr>
                <w:sz w:val="20"/>
                <w:szCs w:val="20"/>
                <w:color w:val="auto"/>
              </w:rPr>
            </w:pPr>
            <w:r>
              <w:rPr>
                <w:rFonts w:ascii="Arial" w:cs="Arial" w:eastAsia="Arial" w:hAnsi="Arial"/>
                <w:sz w:val="10"/>
                <w:szCs w:val="10"/>
                <w:i w:val="1"/>
                <w:iCs w:val="1"/>
                <w:color w:val="auto"/>
              </w:rPr>
              <w:t>Shares used in calculating:</w:t>
            </w:r>
          </w:p>
        </w:tc>
        <w:tc>
          <w:tcPr>
            <w:tcW w:w="60" w:type="dxa"/>
            <w:vAlign w:val="bottom"/>
            <w:shd w:val="clear" w:color="auto" w:fill="F1F3F9"/>
          </w:tcPr>
          <w:p>
            <w:pPr>
              <w:spacing w:after="0"/>
              <w:rPr>
                <w:sz w:val="18"/>
                <w:szCs w:val="18"/>
                <w:color w:val="auto"/>
              </w:rPr>
            </w:pPr>
          </w:p>
        </w:tc>
        <w:tc>
          <w:tcPr>
            <w:tcW w:w="440" w:type="dxa"/>
            <w:vAlign w:val="bottom"/>
            <w:shd w:val="clear" w:color="auto" w:fill="F1F3F9"/>
          </w:tcPr>
          <w:p>
            <w:pPr>
              <w:spacing w:after="0"/>
              <w:rPr>
                <w:sz w:val="18"/>
                <w:szCs w:val="18"/>
                <w:color w:val="auto"/>
              </w:rPr>
            </w:pPr>
          </w:p>
        </w:tc>
        <w:tc>
          <w:tcPr>
            <w:tcW w:w="140" w:type="dxa"/>
            <w:vAlign w:val="bottom"/>
            <w:shd w:val="clear" w:color="auto" w:fill="F1F3F9"/>
          </w:tcPr>
          <w:p>
            <w:pPr>
              <w:spacing w:after="0"/>
              <w:rPr>
                <w:sz w:val="18"/>
                <w:szCs w:val="18"/>
                <w:color w:val="auto"/>
              </w:rPr>
            </w:pPr>
          </w:p>
        </w:tc>
        <w:tc>
          <w:tcPr>
            <w:tcW w:w="140" w:type="dxa"/>
            <w:vAlign w:val="bottom"/>
            <w:tcBorders>
              <w:right w:val="single" w:sz="8" w:color="F1F3F9"/>
            </w:tcBorders>
            <w:shd w:val="clear" w:color="auto" w:fill="F1F3F9"/>
          </w:tcPr>
          <w:p>
            <w:pPr>
              <w:spacing w:after="0"/>
              <w:rPr>
                <w:sz w:val="18"/>
                <w:szCs w:val="18"/>
                <w:color w:val="auto"/>
              </w:rPr>
            </w:pPr>
          </w:p>
        </w:tc>
        <w:tc>
          <w:tcPr>
            <w:tcW w:w="440" w:type="dxa"/>
            <w:vAlign w:val="bottom"/>
            <w:shd w:val="clear" w:color="auto" w:fill="F1F3F9"/>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10140" w:type="dxa"/>
            <w:vAlign w:val="bottom"/>
            <w:shd w:val="clear" w:color="auto" w:fill="D6DAEE"/>
          </w:tcPr>
          <w:p>
            <w:pPr>
              <w:ind w:left="40"/>
              <w:spacing w:after="0" w:line="108" w:lineRule="exact"/>
              <w:rPr>
                <w:sz w:val="20"/>
                <w:szCs w:val="20"/>
                <w:color w:val="auto"/>
              </w:rPr>
            </w:pPr>
            <w:r>
              <w:rPr>
                <w:rFonts w:ascii="Arial" w:cs="Arial" w:eastAsia="Arial" w:hAnsi="Arial"/>
                <w:sz w:val="10"/>
                <w:szCs w:val="10"/>
                <w:color w:val="auto"/>
              </w:rPr>
              <w:t>Non-GAAP net income per share—basic</w:t>
            </w:r>
          </w:p>
        </w:tc>
        <w:tc>
          <w:tcPr>
            <w:tcW w:w="60" w:type="dxa"/>
            <w:vAlign w:val="bottom"/>
            <w:shd w:val="clear" w:color="auto" w:fill="D6DAEE"/>
          </w:tcPr>
          <w:p>
            <w:pPr>
              <w:spacing w:after="0"/>
              <w:rPr>
                <w:sz w:val="9"/>
                <w:szCs w:val="9"/>
                <w:color w:val="auto"/>
              </w:rPr>
            </w:pPr>
          </w:p>
        </w:tc>
        <w:tc>
          <w:tcPr>
            <w:tcW w:w="580" w:type="dxa"/>
            <w:vAlign w:val="bottom"/>
            <w:gridSpan w:val="2"/>
            <w:shd w:val="clear" w:color="auto" w:fill="D6DAEE"/>
          </w:tcPr>
          <w:p>
            <w:pPr>
              <w:jc w:val="right"/>
              <w:ind w:right="140"/>
              <w:spacing w:after="0" w:line="108" w:lineRule="exact"/>
              <w:rPr>
                <w:sz w:val="20"/>
                <w:szCs w:val="20"/>
                <w:color w:val="auto"/>
              </w:rPr>
            </w:pPr>
            <w:r>
              <w:rPr>
                <w:rFonts w:ascii="Arial" w:cs="Arial" w:eastAsia="Arial" w:hAnsi="Arial"/>
                <w:sz w:val="10"/>
                <w:szCs w:val="10"/>
                <w:color w:val="auto"/>
              </w:rPr>
              <w:t>106,338</w:t>
            </w:r>
          </w:p>
        </w:tc>
        <w:tc>
          <w:tcPr>
            <w:tcW w:w="140" w:type="dxa"/>
            <w:vAlign w:val="bottom"/>
            <w:tcBorders>
              <w:right w:val="single" w:sz="8" w:color="D6DAEE"/>
            </w:tcBorders>
            <w:shd w:val="clear" w:color="auto" w:fill="D6DAEE"/>
          </w:tcPr>
          <w:p>
            <w:pPr>
              <w:spacing w:after="0"/>
              <w:rPr>
                <w:sz w:val="9"/>
                <w:szCs w:val="9"/>
                <w:color w:val="auto"/>
              </w:rPr>
            </w:pPr>
          </w:p>
        </w:tc>
        <w:tc>
          <w:tcPr>
            <w:tcW w:w="440" w:type="dxa"/>
            <w:vAlign w:val="bottom"/>
            <w:shd w:val="clear" w:color="auto" w:fill="D6DAEE"/>
          </w:tcPr>
          <w:p>
            <w:pPr>
              <w:jc w:val="right"/>
              <w:spacing w:after="0" w:line="108" w:lineRule="exact"/>
              <w:rPr>
                <w:sz w:val="20"/>
                <w:szCs w:val="20"/>
                <w:color w:val="auto"/>
              </w:rPr>
            </w:pPr>
            <w:r>
              <w:rPr>
                <w:rFonts w:ascii="Arial" w:cs="Arial" w:eastAsia="Arial" w:hAnsi="Arial"/>
                <w:sz w:val="10"/>
                <w:szCs w:val="10"/>
                <w:color w:val="auto"/>
              </w:rPr>
              <w:t>104,719</w:t>
            </w:r>
          </w:p>
        </w:tc>
        <w:tc>
          <w:tcPr>
            <w:tcW w:w="40" w:type="dxa"/>
            <w:vAlign w:val="bottom"/>
          </w:tcPr>
          <w:p>
            <w:pPr>
              <w:spacing w:after="0"/>
              <w:rPr>
                <w:sz w:val="9"/>
                <w:szCs w:val="9"/>
                <w:color w:val="auto"/>
              </w:rPr>
            </w:pPr>
          </w:p>
        </w:tc>
      </w:tr>
      <w:tr>
        <w:trPr>
          <w:trHeight w:val="108"/>
        </w:trPr>
        <w:tc>
          <w:tcPr>
            <w:tcW w:w="10140" w:type="dxa"/>
            <w:vAlign w:val="bottom"/>
            <w:tcBorders>
              <w:bottom w:val="single" w:sz="8" w:color="105BAB"/>
            </w:tcBorders>
            <w:shd w:val="clear" w:color="auto" w:fill="F1F3F9"/>
          </w:tcPr>
          <w:p>
            <w:pPr>
              <w:ind w:left="40"/>
              <w:spacing w:after="0" w:line="108" w:lineRule="exact"/>
              <w:rPr>
                <w:sz w:val="20"/>
                <w:szCs w:val="20"/>
                <w:color w:val="auto"/>
              </w:rPr>
            </w:pPr>
            <w:r>
              <w:rPr>
                <w:rFonts w:ascii="Arial" w:cs="Arial" w:eastAsia="Arial" w:hAnsi="Arial"/>
                <w:sz w:val="10"/>
                <w:szCs w:val="10"/>
                <w:color w:val="auto"/>
              </w:rPr>
              <w:t>Non-GAAP net income per share—diluted</w:t>
            </w:r>
          </w:p>
        </w:tc>
        <w:tc>
          <w:tcPr>
            <w:tcW w:w="60" w:type="dxa"/>
            <w:vAlign w:val="bottom"/>
            <w:tcBorders>
              <w:bottom w:val="single" w:sz="8" w:color="105BAB"/>
            </w:tcBorders>
            <w:shd w:val="clear" w:color="auto" w:fill="F1F3F9"/>
          </w:tcPr>
          <w:p>
            <w:pPr>
              <w:spacing w:after="0"/>
              <w:rPr>
                <w:sz w:val="9"/>
                <w:szCs w:val="9"/>
                <w:color w:val="auto"/>
              </w:rPr>
            </w:pPr>
          </w:p>
        </w:tc>
        <w:tc>
          <w:tcPr>
            <w:tcW w:w="580" w:type="dxa"/>
            <w:vAlign w:val="bottom"/>
            <w:tcBorders>
              <w:bottom w:val="single" w:sz="8" w:color="105BAB"/>
            </w:tcBorders>
            <w:gridSpan w:val="2"/>
            <w:shd w:val="clear" w:color="auto" w:fill="F1F3F9"/>
          </w:tcPr>
          <w:p>
            <w:pPr>
              <w:jc w:val="right"/>
              <w:ind w:right="140"/>
              <w:spacing w:after="0" w:line="108" w:lineRule="exact"/>
              <w:rPr>
                <w:sz w:val="20"/>
                <w:szCs w:val="20"/>
                <w:color w:val="auto"/>
              </w:rPr>
            </w:pPr>
            <w:r>
              <w:rPr>
                <w:rFonts w:ascii="Arial" w:cs="Arial" w:eastAsia="Arial" w:hAnsi="Arial"/>
                <w:sz w:val="10"/>
                <w:szCs w:val="10"/>
                <w:color w:val="auto"/>
              </w:rPr>
              <w:t>116,518</w:t>
            </w:r>
          </w:p>
        </w:tc>
        <w:tc>
          <w:tcPr>
            <w:tcW w:w="140" w:type="dxa"/>
            <w:vAlign w:val="bottom"/>
            <w:tcBorders>
              <w:bottom w:val="single" w:sz="8" w:color="105BAB"/>
              <w:right w:val="single" w:sz="8" w:color="F1F3F9"/>
            </w:tcBorders>
            <w:shd w:val="clear" w:color="auto" w:fill="F1F3F9"/>
          </w:tcPr>
          <w:p>
            <w:pPr>
              <w:spacing w:after="0"/>
              <w:rPr>
                <w:sz w:val="9"/>
                <w:szCs w:val="9"/>
                <w:color w:val="auto"/>
              </w:rPr>
            </w:pPr>
          </w:p>
        </w:tc>
        <w:tc>
          <w:tcPr>
            <w:tcW w:w="440" w:type="dxa"/>
            <w:vAlign w:val="bottom"/>
            <w:tcBorders>
              <w:bottom w:val="single" w:sz="8" w:color="105BAB"/>
            </w:tcBorders>
            <w:shd w:val="clear" w:color="auto" w:fill="F1F3F9"/>
          </w:tcPr>
          <w:p>
            <w:pPr>
              <w:jc w:val="right"/>
              <w:spacing w:after="0" w:line="108" w:lineRule="exact"/>
              <w:rPr>
                <w:sz w:val="20"/>
                <w:szCs w:val="20"/>
                <w:color w:val="auto"/>
              </w:rPr>
            </w:pPr>
            <w:r>
              <w:rPr>
                <w:rFonts w:ascii="Arial" w:cs="Arial" w:eastAsia="Arial" w:hAnsi="Arial"/>
                <w:sz w:val="10"/>
                <w:szCs w:val="10"/>
                <w:color w:val="auto"/>
              </w:rPr>
              <w:t>116,548</w:t>
            </w:r>
          </w:p>
        </w:tc>
        <w:tc>
          <w:tcPr>
            <w:tcW w:w="40" w:type="dxa"/>
            <w:vAlign w:val="bottom"/>
          </w:tcPr>
          <w:p>
            <w:pPr>
              <w:spacing w:after="0"/>
              <w:rPr>
                <w:sz w:val="9"/>
                <w:szCs w:val="9"/>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Reconciliation of Free Cash Flows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105BAB"/>
        </w:rPr>
        <w:t>(Unaudited)</w:t>
      </w:r>
    </w:p>
    <w:p>
      <w:pPr>
        <w:spacing w:after="0"/>
        <w:rPr>
          <w:sz w:val="20"/>
          <w:szCs w:val="20"/>
          <w:color w:val="auto"/>
        </w:rPr>
      </w:pPr>
      <w:r>
        <w:rPr>
          <w:rFonts w:ascii="Arial" w:cs="Arial" w:eastAsia="Arial" w:hAnsi="Arial"/>
          <w:sz w:val="12"/>
          <w:szCs w:val="12"/>
          <w:b w:val="1"/>
          <w:bCs w:val="1"/>
          <w:color w:val="105BAB"/>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8500" w:type="dxa"/>
            <w:vAlign w:val="bottom"/>
            <w:tcBorders>
              <w:top w:val="single" w:sz="8" w:color="105BAB"/>
            </w:tcBorders>
          </w:tcPr>
          <w:p>
            <w:pPr>
              <w:spacing w:after="0"/>
              <w:rPr>
                <w:sz w:val="9"/>
                <w:szCs w:val="9"/>
                <w:color w:val="auto"/>
              </w:rPr>
            </w:pPr>
          </w:p>
        </w:tc>
        <w:tc>
          <w:tcPr>
            <w:tcW w:w="2980" w:type="dxa"/>
            <w:vAlign w:val="bottom"/>
            <w:tcBorders>
              <w:top w:val="single" w:sz="8" w:color="105BAB"/>
            </w:tcBorders>
            <w:gridSpan w:val="2"/>
          </w:tcPr>
          <w:p>
            <w:pPr>
              <w:jc w:val="right"/>
              <w:spacing w:after="0" w:line="108" w:lineRule="exact"/>
              <w:rPr>
                <w:sz w:val="20"/>
                <w:szCs w:val="20"/>
                <w:color w:val="auto"/>
              </w:rPr>
            </w:pPr>
            <w:r>
              <w:rPr>
                <w:rFonts w:ascii="Arial" w:cs="Arial" w:eastAsia="Arial" w:hAnsi="Arial"/>
                <w:sz w:val="10"/>
                <w:szCs w:val="10"/>
                <w:b w:val="1"/>
                <w:bCs w:val="1"/>
                <w:color w:val="105BAB"/>
              </w:rPr>
              <w:t>Year Ended</w:t>
            </w: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2980" w:type="dxa"/>
            <w:vAlign w:val="bottom"/>
            <w:gridSpan w:val="2"/>
          </w:tcPr>
          <w:p>
            <w:pPr>
              <w:jc w:val="right"/>
              <w:spacing w:after="0" w:line="108" w:lineRule="exact"/>
              <w:rPr>
                <w:sz w:val="20"/>
                <w:szCs w:val="20"/>
                <w:color w:val="auto"/>
              </w:rPr>
            </w:pPr>
            <w:r>
              <w:rPr>
                <w:rFonts w:ascii="Arial" w:cs="Arial" w:eastAsia="Arial" w:hAnsi="Arial"/>
                <w:sz w:val="10"/>
                <w:szCs w:val="10"/>
                <w:b w:val="1"/>
                <w:bCs w:val="1"/>
                <w:color w:val="105BAB"/>
              </w:rPr>
              <w:t>December 31,</w:t>
            </w:r>
          </w:p>
        </w:tc>
        <w:tc>
          <w:tcPr>
            <w:tcW w:w="0" w:type="dxa"/>
            <w:vAlign w:val="bottom"/>
          </w:tcPr>
          <w:p>
            <w:pPr>
              <w:spacing w:after="0"/>
              <w:rPr>
                <w:sz w:val="1"/>
                <w:szCs w:val="1"/>
                <w:color w:val="auto"/>
              </w:rPr>
            </w:pPr>
          </w:p>
        </w:tc>
      </w:tr>
      <w:tr>
        <w:trPr>
          <w:trHeight w:val="117"/>
        </w:trPr>
        <w:tc>
          <w:tcPr>
            <w:tcW w:w="8500" w:type="dxa"/>
            <w:vAlign w:val="bottom"/>
            <w:tcBorders>
              <w:bottom w:val="single" w:sz="8" w:color="105BAB"/>
            </w:tcBorders>
          </w:tcPr>
          <w:p>
            <w:pPr>
              <w:spacing w:after="0"/>
              <w:rPr>
                <w:sz w:val="10"/>
                <w:szCs w:val="10"/>
                <w:color w:val="auto"/>
              </w:rPr>
            </w:pPr>
          </w:p>
        </w:tc>
        <w:tc>
          <w:tcPr>
            <w:tcW w:w="2980" w:type="dxa"/>
            <w:vAlign w:val="bottom"/>
            <w:tcBorders>
              <w:bottom w:val="single" w:sz="8" w:color="105BAB"/>
            </w:tcBorders>
            <w:gridSpan w:val="2"/>
          </w:tcPr>
          <w:p>
            <w:pPr>
              <w:jc w:val="right"/>
              <w:spacing w:after="0"/>
              <w:rPr>
                <w:sz w:val="20"/>
                <w:szCs w:val="20"/>
                <w:color w:val="auto"/>
              </w:rPr>
            </w:pPr>
            <w:r>
              <w:rPr>
                <w:rFonts w:ascii="Arial" w:cs="Arial" w:eastAsia="Arial" w:hAnsi="Arial"/>
                <w:sz w:val="10"/>
                <w:szCs w:val="10"/>
                <w:b w:val="1"/>
                <w:bCs w:val="1"/>
                <w:color w:val="105BAB"/>
              </w:rPr>
              <w:t>2017</w:t>
            </w:r>
          </w:p>
        </w:tc>
        <w:tc>
          <w:tcPr>
            <w:tcW w:w="0" w:type="dxa"/>
            <w:vAlign w:val="bottom"/>
          </w:tcPr>
          <w:p>
            <w:pPr>
              <w:spacing w:after="0"/>
              <w:rPr>
                <w:sz w:val="1"/>
                <w:szCs w:val="1"/>
                <w:color w:val="auto"/>
              </w:rPr>
            </w:pPr>
          </w:p>
        </w:tc>
      </w:tr>
      <w:tr>
        <w:trPr>
          <w:trHeight w:val="97"/>
        </w:trPr>
        <w:tc>
          <w:tcPr>
            <w:tcW w:w="8500" w:type="dxa"/>
            <w:vAlign w:val="bottom"/>
            <w:shd w:val="clear" w:color="auto" w:fill="F1F3F9"/>
          </w:tcPr>
          <w:p>
            <w:pPr>
              <w:ind w:left="40"/>
              <w:spacing w:after="0" w:line="97" w:lineRule="exact"/>
              <w:rPr>
                <w:sz w:val="20"/>
                <w:szCs w:val="20"/>
                <w:color w:val="auto"/>
              </w:rPr>
            </w:pPr>
            <w:r>
              <w:rPr>
                <w:rFonts w:ascii="Arial" w:cs="Arial" w:eastAsia="Arial" w:hAnsi="Arial"/>
                <w:sz w:val="10"/>
                <w:szCs w:val="10"/>
                <w:color w:val="auto"/>
              </w:rPr>
              <w:t>Net cash provided by operating activities</w:t>
            </w:r>
          </w:p>
        </w:tc>
        <w:tc>
          <w:tcPr>
            <w:tcW w:w="2980" w:type="dxa"/>
            <w:vAlign w:val="bottom"/>
            <w:gridSpan w:val="2"/>
            <w:shd w:val="clear" w:color="auto" w:fill="F1F3F9"/>
          </w:tcPr>
          <w:p>
            <w:pPr>
              <w:jc w:val="right"/>
              <w:spacing w:after="0" w:line="97" w:lineRule="exact"/>
              <w:rPr>
                <w:sz w:val="20"/>
                <w:szCs w:val="20"/>
                <w:color w:val="auto"/>
              </w:rPr>
            </w:pPr>
            <w:r>
              <w:rPr>
                <w:rFonts w:ascii="Arial" w:cs="Arial" w:eastAsia="Arial" w:hAnsi="Arial"/>
                <w:sz w:val="10"/>
                <w:szCs w:val="10"/>
                <w:color w:val="auto"/>
              </w:rPr>
              <w:t>$1,307,112</w:t>
            </w:r>
          </w:p>
        </w:tc>
        <w:tc>
          <w:tcPr>
            <w:tcW w:w="0" w:type="dxa"/>
            <w:vAlign w:val="bottom"/>
          </w:tcPr>
          <w:p>
            <w:pPr>
              <w:spacing w:after="0"/>
              <w:rPr>
                <w:sz w:val="1"/>
                <w:szCs w:val="1"/>
                <w:color w:val="auto"/>
              </w:rPr>
            </w:pPr>
          </w:p>
        </w:tc>
      </w:tr>
      <w:tr>
        <w:trPr>
          <w:trHeight w:val="108"/>
        </w:trPr>
        <w:tc>
          <w:tcPr>
            <w:tcW w:w="8500" w:type="dxa"/>
            <w:vAlign w:val="bottom"/>
            <w:shd w:val="clear" w:color="auto" w:fill="D6DAEE"/>
          </w:tcPr>
          <w:p>
            <w:pPr>
              <w:ind w:left="40"/>
              <w:spacing w:after="0" w:line="108" w:lineRule="exact"/>
              <w:rPr>
                <w:sz w:val="20"/>
                <w:szCs w:val="20"/>
                <w:color w:val="auto"/>
              </w:rPr>
            </w:pPr>
            <w:r>
              <w:rPr>
                <w:rFonts w:ascii="Arial" w:cs="Arial" w:eastAsia="Arial" w:hAnsi="Arial"/>
                <w:sz w:val="10"/>
                <w:szCs w:val="10"/>
                <w:color w:val="auto"/>
              </w:rPr>
              <w:t>Capital expenditures</w:t>
            </w:r>
          </w:p>
        </w:tc>
        <w:tc>
          <w:tcPr>
            <w:tcW w:w="2980" w:type="dxa"/>
            <w:vAlign w:val="bottom"/>
            <w:tcBorders>
              <w:bottom w:val="single" w:sz="8" w:color="auto"/>
            </w:tcBorders>
            <w:gridSpan w:val="2"/>
            <w:shd w:val="clear" w:color="auto" w:fill="D6DAEE"/>
          </w:tcPr>
          <w:p>
            <w:pPr>
              <w:jc w:val="right"/>
              <w:spacing w:after="0" w:line="108" w:lineRule="exact"/>
              <w:rPr>
                <w:sz w:val="20"/>
                <w:szCs w:val="20"/>
                <w:color w:val="auto"/>
              </w:rPr>
            </w:pPr>
            <w:r>
              <w:rPr>
                <w:rFonts w:ascii="Arial" w:cs="Arial" w:eastAsia="Arial" w:hAnsi="Arial"/>
                <w:sz w:val="10"/>
                <w:szCs w:val="10"/>
                <w:color w:val="auto"/>
              </w:rPr>
              <w:t>(272,626)</w:t>
            </w:r>
          </w:p>
        </w:tc>
        <w:tc>
          <w:tcPr>
            <w:tcW w:w="0" w:type="dxa"/>
            <w:vAlign w:val="bottom"/>
          </w:tcPr>
          <w:p>
            <w:pPr>
              <w:spacing w:after="0"/>
              <w:rPr>
                <w:sz w:val="1"/>
                <w:szCs w:val="1"/>
                <w:color w:val="auto"/>
              </w:rPr>
            </w:pPr>
          </w:p>
        </w:tc>
      </w:tr>
      <w:tr>
        <w:trPr>
          <w:trHeight w:val="97"/>
        </w:trPr>
        <w:tc>
          <w:tcPr>
            <w:tcW w:w="8500" w:type="dxa"/>
            <w:vAlign w:val="bottom"/>
            <w:tcBorders>
              <w:bottom w:val="single" w:sz="8" w:color="105BAB"/>
            </w:tcBorders>
            <w:shd w:val="clear" w:color="auto" w:fill="F1F3F9"/>
          </w:tcPr>
          <w:p>
            <w:pPr>
              <w:ind w:left="160"/>
              <w:spacing w:after="0" w:line="97" w:lineRule="exact"/>
              <w:rPr>
                <w:sz w:val="20"/>
                <w:szCs w:val="20"/>
                <w:color w:val="auto"/>
              </w:rPr>
            </w:pPr>
            <w:r>
              <w:rPr>
                <w:rFonts w:ascii="Arial" w:cs="Arial" w:eastAsia="Arial" w:hAnsi="Arial"/>
                <w:sz w:val="10"/>
                <w:szCs w:val="10"/>
                <w:color w:val="auto"/>
              </w:rPr>
              <w:t>Free cash flows</w:t>
            </w:r>
          </w:p>
        </w:tc>
        <w:tc>
          <w:tcPr>
            <w:tcW w:w="2980" w:type="dxa"/>
            <w:vAlign w:val="bottom"/>
            <w:tcBorders>
              <w:bottom w:val="single" w:sz="8" w:color="105BAB"/>
            </w:tcBorders>
            <w:gridSpan w:val="2"/>
            <w:shd w:val="clear" w:color="auto" w:fill="F1F3F9"/>
          </w:tcPr>
          <w:p>
            <w:pPr>
              <w:jc w:val="right"/>
              <w:spacing w:after="0" w:line="97" w:lineRule="exact"/>
              <w:rPr>
                <w:sz w:val="20"/>
                <w:szCs w:val="20"/>
                <w:color w:val="auto"/>
              </w:rPr>
            </w:pPr>
            <w:r>
              <w:rPr>
                <w:rFonts w:ascii="Arial" w:cs="Arial" w:eastAsia="Arial" w:hAnsi="Arial"/>
                <w:sz w:val="10"/>
                <w:szCs w:val="10"/>
                <w:color w:val="auto"/>
              </w:rPr>
              <w:t>$1,034,486</w:t>
            </w:r>
          </w:p>
        </w:tc>
        <w:tc>
          <w:tcPr>
            <w:tcW w:w="0" w:type="dxa"/>
            <w:vAlign w:val="bottom"/>
          </w:tcPr>
          <w:p>
            <w:pPr>
              <w:spacing w:after="0"/>
              <w:rPr>
                <w:sz w:val="1"/>
                <w:szCs w:val="1"/>
                <w:color w:val="auto"/>
              </w:rPr>
            </w:pPr>
          </w:p>
        </w:tc>
      </w:tr>
      <w:tr>
        <w:trPr>
          <w:trHeight w:val="133"/>
        </w:trPr>
        <w:tc>
          <w:tcPr>
            <w:tcW w:w="8500" w:type="dxa"/>
            <w:vAlign w:val="bottom"/>
          </w:tcPr>
          <w:p>
            <w:pPr>
              <w:spacing w:after="0"/>
              <w:rPr>
                <w:sz w:val="11"/>
                <w:szCs w:val="11"/>
                <w:color w:val="auto"/>
              </w:rPr>
            </w:pPr>
          </w:p>
        </w:tc>
        <w:tc>
          <w:tcPr>
            <w:tcW w:w="25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460" w:type="dxa"/>
            <w:vAlign w:val="bottom"/>
            <w:shd w:val="clear" w:color="auto" w:fill="105BAB"/>
          </w:tcPr>
          <w:p>
            <w:pPr>
              <w:jc w:val="right"/>
              <w:ind w:right="292"/>
              <w:spacing w:after="0" w:line="108" w:lineRule="exact"/>
              <w:rPr>
                <w:sz w:val="20"/>
                <w:szCs w:val="20"/>
                <w:color w:val="auto"/>
              </w:rPr>
            </w:pPr>
            <w:r>
              <w:rPr>
                <w:rFonts w:ascii="Arial" w:cs="Arial" w:eastAsia="Arial" w:hAnsi="Arial"/>
                <w:sz w:val="10"/>
                <w:szCs w:val="10"/>
                <w:b w:val="1"/>
                <w:bCs w:val="1"/>
                <w:color w:val="FFFFFE"/>
                <w:w w:val="89"/>
              </w:rPr>
              <w:t>91</w:t>
            </w:r>
          </w:p>
        </w:tc>
        <w:tc>
          <w:tcPr>
            <w:tcW w:w="0" w:type="dxa"/>
            <w:vAlign w:val="bottom"/>
          </w:tcPr>
          <w:p>
            <w:pPr>
              <w:spacing w:after="0"/>
              <w:rPr>
                <w:sz w:val="1"/>
                <w:szCs w:val="1"/>
                <w:color w:val="auto"/>
              </w:rPr>
            </w:pPr>
          </w:p>
        </w:tc>
      </w:tr>
      <w:tr>
        <w:trPr>
          <w:trHeight w:val="148"/>
        </w:trPr>
        <w:tc>
          <w:tcPr>
            <w:tcW w:w="8500" w:type="dxa"/>
            <w:vAlign w:val="bottom"/>
            <w:tcBorders>
              <w:bottom w:val="single" w:sz="8" w:color="808080"/>
            </w:tcBorders>
          </w:tcPr>
          <w:p>
            <w:pPr>
              <w:spacing w:after="0"/>
              <w:rPr>
                <w:sz w:val="12"/>
                <w:szCs w:val="12"/>
                <w:color w:val="auto"/>
              </w:rPr>
            </w:pPr>
          </w:p>
        </w:tc>
        <w:tc>
          <w:tcPr>
            <w:tcW w:w="25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102" w:name="page103"/>
    <w:bookmarkEnd w:id="102"/>
    <w:p>
      <w:pPr>
        <w:spacing w:after="0"/>
        <w:rPr>
          <w:rFonts w:ascii="Arial" w:cs="Arial" w:eastAsia="Arial" w:hAnsi="Arial"/>
          <w:sz w:val="11"/>
          <w:szCs w:val="11"/>
          <w:u w:val="single" w:color="auto"/>
          <w:color w:val="0000EE"/>
        </w:rPr>
      </w:pPr>
      <w:hyperlink w:anchor="page10">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9325" cy="52025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9325" cy="520255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1106805</wp:posOffset>
            </wp:positionH>
            <wp:positionV relativeFrom="page">
              <wp:posOffset>186055</wp:posOffset>
            </wp:positionV>
            <wp:extent cx="5347970" cy="69088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5347970" cy="690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1106805</wp:posOffset>
            </wp:positionH>
            <wp:positionV relativeFrom="page">
              <wp:posOffset>88900</wp:posOffset>
            </wp:positionV>
            <wp:extent cx="5347970" cy="69088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5347970" cy="6908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o"/>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o"/>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o"/>
      <w:numFmt w:val="bullet"/>
      <w:start w:val="1"/>
    </w:lvl>
    <w:lvl w:ilvl="1">
      <w:lvlJc w:val="left"/>
      <w:lvlText w:val="(%2)"/>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bullet"/>
      <w:start w:val="1"/>
    </w:lvl>
  </w:abstractNum>
  <w:abstractNum w:abstractNumId="7">
    <w:nsid w:val="749ABB43"/>
    <w:multiLevelType w:val="hybridMultilevel"/>
    <w:lvl w:ilvl="0">
      <w:lvlJc w:val="left"/>
      <w:lvlText w:val="2"/>
      <w:numFmt w:val="bullet"/>
      <w:start w:val="1"/>
    </w:lvl>
  </w:abstractNum>
  <w:abstractNum w:abstractNumId="8">
    <w:nsid w:val="3DC240FB"/>
    <w:multiLevelType w:val="hybridMultilevel"/>
    <w:lvl w:ilvl="0">
      <w:lvlJc w:val="left"/>
      <w:lvlText w:val="3"/>
      <w:numFmt w:val="bullet"/>
      <w:start w:val="1"/>
    </w:lvl>
  </w:abstractNum>
  <w:abstractNum w:abstractNumId="9">
    <w:nsid w:val="1BA026FA"/>
    <w:multiLevelType w:val="hybridMultilevel"/>
    <w:lvl w:ilvl="0">
      <w:lvlJc w:val="left"/>
      <w:lvlText w:val="(%1)"/>
      <w:numFmt w:val="lowerRoman"/>
      <w:start w:val="3"/>
    </w:lvl>
  </w:abstractNum>
  <w:abstractNum w:abstractNumId="10">
    <w:nsid w:val="79A1DEAA"/>
    <w:multiLevelType w:val="hybridMultilevel"/>
    <w:lvl w:ilvl="0">
      <w:lvlJc w:val="left"/>
      <w:lvlText w:val="1"/>
      <w:numFmt w:val="bullet"/>
      <w:start w:val="1"/>
    </w:lvl>
  </w:abstractNum>
  <w:abstractNum w:abstractNumId="11">
    <w:nsid w:val="75C6C33A"/>
    <w:multiLevelType w:val="hybridMultilevel"/>
    <w:lvl w:ilvl="0">
      <w:lvlJc w:val="left"/>
      <w:lvlText w:val="2"/>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decimal"/>
      <w:start w:val="7"/>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3"/>
      <w:numFmt w:val="bullet"/>
      <w:start w:val="1"/>
    </w:lvl>
  </w:abstractNum>
  <w:abstractNum w:abstractNumId="30">
    <w:nsid w:val="3F6AB60F"/>
    <w:multiLevelType w:val="hybridMultilevel"/>
    <w:lvl w:ilvl="0">
      <w:lvlJc w:val="left"/>
      <w:lvlText w:val="1"/>
      <w:numFmt w:val="bullet"/>
      <w:start w:val="1"/>
    </w:lvl>
  </w:abstractNum>
  <w:abstractNum w:abstractNumId="31">
    <w:nsid w:val="61574095"/>
    <w:multiLevelType w:val="hybridMultilevel"/>
    <w:lvl w:ilvl="0">
      <w:lvlJc w:val="left"/>
      <w:lvlText w:val="2"/>
      <w:numFmt w:val="bullet"/>
      <w:start w:val="1"/>
    </w:lvl>
  </w:abstractNum>
  <w:abstractNum w:abstractNumId="32">
    <w:nsid w:val="7E0C57B1"/>
    <w:multiLevelType w:val="hybridMultilevel"/>
    <w:lvl w:ilvl="0">
      <w:lvlJc w:val="left"/>
      <w:lvlText w:val="3"/>
      <w:numFmt w:val="bullet"/>
      <w:start w:val="1"/>
    </w:lvl>
  </w:abstractNum>
  <w:abstractNum w:abstractNumId="33">
    <w:nsid w:val="77AE35EB"/>
    <w:multiLevelType w:val="hybridMultilevel"/>
    <w:lvl w:ilvl="0">
      <w:lvlJc w:val="left"/>
      <w:lvlText w:val="4"/>
      <w:numFmt w:val="bullet"/>
      <w:start w:val="1"/>
    </w:lvl>
  </w:abstractNum>
  <w:abstractNum w:abstractNumId="34">
    <w:nsid w:val="579BE4F1"/>
    <w:multiLevelType w:val="hybridMultilevel"/>
    <w:lvl w:ilvl="0">
      <w:lvlJc w:val="left"/>
      <w:lvlText w:val="5"/>
      <w:numFmt w:val="bullet"/>
      <w:start w:val="1"/>
    </w:lvl>
  </w:abstractNum>
  <w:abstractNum w:abstractNumId="35">
    <w:nsid w:val="310C50B3"/>
    <w:multiLevelType w:val="hybridMultilevel"/>
    <w:lvl w:ilvl="0">
      <w:lvlJc w:val="left"/>
      <w:lvlText w:val="6"/>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bullet"/>
      <w:start w:val="1"/>
    </w:lvl>
  </w:abstractNum>
  <w:abstractNum w:abstractNumId="39">
    <w:nsid w:val="1DBABF00"/>
    <w:multiLevelType w:val="hybridMultilevel"/>
    <w:lvl w:ilvl="0">
      <w:lvlJc w:val="left"/>
      <w:lvlText w:val="2"/>
      <w:numFmt w:val="bullet"/>
      <w:start w:val="1"/>
    </w:lvl>
  </w:abstractNum>
  <w:abstractNum w:abstractNumId="40">
    <w:nsid w:val="4AD084E9"/>
    <w:multiLevelType w:val="hybridMultilevel"/>
    <w:lvl w:ilvl="0">
      <w:lvlJc w:val="left"/>
      <w:lvlText w:val="3"/>
      <w:numFmt w:val="bullet"/>
      <w:start w:val="1"/>
    </w:lvl>
  </w:abstractNum>
  <w:abstractNum w:abstractNumId="41">
    <w:nsid w:val="1F48EAA1"/>
    <w:multiLevelType w:val="hybridMultilevel"/>
    <w:lvl w:ilvl="0">
      <w:lvlJc w:val="left"/>
      <w:lvlText w:val="4"/>
      <w:numFmt w:val="bullet"/>
      <w:start w:val="1"/>
    </w:lvl>
  </w:abstractNum>
  <w:abstractNum w:abstractNumId="42">
    <w:nsid w:val="1381823A"/>
    <w:multiLevelType w:val="hybridMultilevel"/>
    <w:lvl w:ilvl="0">
      <w:lvlJc w:val="left"/>
      <w:lvlText w:val="5"/>
      <w:numFmt w:val="bullet"/>
      <w:start w:val="1"/>
    </w:lvl>
  </w:abstractNum>
  <w:abstractNum w:abstractNumId="43">
    <w:nsid w:val="5DB70AE5"/>
    <w:multiLevelType w:val="hybridMultilevel"/>
    <w:lvl w:ilvl="0">
      <w:lvlJc w:val="left"/>
      <w:lvlText w:val="6"/>
      <w:numFmt w:val="bullet"/>
      <w:start w:val="1"/>
    </w:lvl>
  </w:abstractNum>
  <w:abstractNum w:abstractNumId="44">
    <w:nsid w:val="100F8FCA"/>
    <w:multiLevelType w:val="hybridMultilevel"/>
    <w:lvl w:ilvl="0">
      <w:lvlJc w:val="left"/>
      <w:lvlText w:val="7"/>
      <w:numFmt w:val="bullet"/>
      <w:start w:val="1"/>
    </w:lvl>
  </w:abstractNum>
  <w:abstractNum w:abstractNumId="45">
    <w:nsid w:val="6590700B"/>
    <w:multiLevelType w:val="hybridMultilevel"/>
    <w:lvl w:ilvl="0">
      <w:lvlJc w:val="left"/>
      <w:lvlText w:val="9"/>
      <w:numFmt w:val="bullet"/>
      <w:start w:val="1"/>
    </w:lvl>
  </w:abstractNum>
  <w:abstractNum w:abstractNumId="46">
    <w:nsid w:val="15014ACB"/>
    <w:multiLevelType w:val="hybridMultilevel"/>
    <w:lvl w:ilvl="0">
      <w:lvlJc w:val="left"/>
      <w:lvlText w:val="%1"/>
      <w:numFmt w:val="decimal"/>
      <w:start w:val="10"/>
    </w:lvl>
  </w:abstractNum>
  <w:abstractNum w:abstractNumId="47">
    <w:nsid w:val="5F5E7FD0"/>
    <w:multiLevelType w:val="hybridMultilevel"/>
    <w:lvl w:ilvl="0">
      <w:lvlJc w:val="left"/>
      <w:lvlText w:val="%1"/>
      <w:numFmt w:val="decimal"/>
      <w:start w:val="20"/>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3"/>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4"/>
      <w:numFmt w:val="bullet"/>
      <w:start w:val="1"/>
    </w:lvl>
  </w:abstractNum>
  <w:abstractNum w:abstractNumId="52">
    <w:nsid w:val="168E121F"/>
    <w:multiLevelType w:val="hybridMultilevel"/>
    <w:lvl w:ilvl="0">
      <w:lvlJc w:val="left"/>
      <w:lvlText w:val="5"/>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6"/>
      <w:numFmt w:val="bullet"/>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3"/>
    </w:lvl>
  </w:abstractNum>
  <w:abstractNum w:abstractNumId="58">
    <w:nsid w:val="51D9C564"/>
    <w:multiLevelType w:val="hybridMultilevel"/>
    <w:lvl w:ilvl="0">
      <w:lvlJc w:val="left"/>
      <w:lvlText w:val="%1."/>
      <w:numFmt w:val="decimal"/>
      <w:start w:val="4"/>
    </w:lvl>
  </w:abstractNum>
  <w:abstractNum w:abstractNumId="59">
    <w:nsid w:val="613EFDC5"/>
    <w:multiLevelType w:val="hybridMultilevel"/>
    <w:lvl w:ilvl="0">
      <w:lvlJc w:val="left"/>
      <w:lvlText w:val="7"/>
      <w:numFmt w:val="bullet"/>
      <w:start w:val="1"/>
    </w:lvl>
  </w:abstractNum>
  <w:abstractNum w:abstractNumId="60">
    <w:nsid w:val="BF72B14"/>
    <w:multiLevelType w:val="hybridMultilevel"/>
    <w:lvl w:ilvl="0">
      <w:lvlJc w:val="left"/>
      <w:lvlText w:val="%1."/>
      <w:numFmt w:val="decimal"/>
      <w:start w:val="6"/>
    </w:lvl>
  </w:abstractNum>
  <w:abstractNum w:abstractNumId="61">
    <w:nsid w:val="11447B73"/>
    <w:multiLevelType w:val="hybridMultilevel"/>
    <w:lvl w:ilvl="0">
      <w:lvlJc w:val="left"/>
      <w:lvlText w:val="%1."/>
      <w:numFmt w:val="decimal"/>
      <w:start w:val="7"/>
    </w:lvl>
  </w:abstractNum>
  <w:abstractNum w:abstractNumId="62">
    <w:nsid w:val="42963E5A"/>
    <w:multiLevelType w:val="hybridMultilevel"/>
    <w:lvl w:ilvl="0">
      <w:lvlJc w:val="left"/>
      <w:lvlText w:val="1"/>
      <w:numFmt w:val="bullet"/>
      <w:start w:val="1"/>
    </w:lvl>
  </w:abstractNum>
  <w:abstractNum w:abstractNumId="63">
    <w:nsid w:val="A0382C5"/>
    <w:multiLevelType w:val="hybridMultilevel"/>
    <w:lvl w:ilvl="0">
      <w:lvlJc w:val="left"/>
      <w:lvlText w:val="2"/>
      <w:numFmt w:val="bullet"/>
      <w:start w:val="1"/>
    </w:lvl>
  </w:abstractNum>
  <w:abstractNum w:abstractNumId="64">
    <w:nsid w:val="8F2B15E"/>
    <w:multiLevelType w:val="hybridMultilevel"/>
    <w:lvl w:ilvl="0">
      <w:lvlJc w:val="left"/>
      <w:lvlText w:val="3"/>
      <w:numFmt w:val="bullet"/>
      <w:start w:val="1"/>
    </w:lvl>
  </w:abstractNum>
  <w:abstractNum w:abstractNumId="65">
    <w:nsid w:val="1A32234B"/>
    <w:multiLevelType w:val="hybridMultilevel"/>
    <w:lvl w:ilvl="0">
      <w:lvlJc w:val="left"/>
      <w:lvlText w:val="%1."/>
      <w:numFmt w:val="decimal"/>
      <w:start w:val="1"/>
    </w:lvl>
    <w:lvl w:ilvl="1">
      <w:lvlJc w:val="left"/>
      <w:lvlText w:val="•"/>
      <w:numFmt w:val="bullet"/>
      <w:start w:val="1"/>
    </w:lvl>
  </w:abstractNum>
  <w:abstractNum w:abstractNumId="66">
    <w:nsid w:val="3B0FD379"/>
    <w:multiLevelType w:val="hybridMultilevel"/>
    <w:lvl w:ilvl="0">
      <w:lvlJc w:val="left"/>
      <w:lvlText w:val="%1."/>
      <w:numFmt w:val="decimal"/>
      <w:start w:val="5"/>
    </w:lvl>
    <w:lvl w:ilvl="1">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lvl w:ilvl="1">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8"/>
      <w:numFmt w:val="bullet"/>
      <w:start w:val="1"/>
    </w:lvl>
  </w:abstractNum>
  <w:abstractNum w:abstractNumId="71">
    <w:nsid w:val="14330624"/>
    <w:multiLevelType w:val="hybridMultilevel"/>
    <w:lvl w:ilvl="0">
      <w:lvlJc w:val="left"/>
      <w:lvlText w:val="1"/>
      <w:numFmt w:val="bullet"/>
      <w:start w:val="1"/>
    </w:lvl>
  </w:abstractNum>
  <w:abstractNum w:abstractNumId="72">
    <w:nsid w:val="7FFFCA11"/>
    <w:multiLevelType w:val="hybridMultilevel"/>
    <w:lvl w:ilvl="0">
      <w:lvlJc w:val="left"/>
      <w:lvlText w:val="2"/>
      <w:numFmt w:val="bullet"/>
      <w:start w:val="1"/>
    </w:lvl>
  </w:abstractNum>
  <w:abstractNum w:abstractNumId="73">
    <w:nsid w:val="1A27709E"/>
    <w:multiLevelType w:val="hybridMultilevel"/>
    <w:lvl w:ilvl="0">
      <w:lvlJc w:val="left"/>
      <w:lvlText w:val="3"/>
      <w:numFmt w:val="bullet"/>
      <w:start w:val="1"/>
    </w:lvl>
  </w:abstractNum>
  <w:abstractNum w:abstractNumId="74">
    <w:nsid w:val="71EA1109"/>
    <w:multiLevelType w:val="hybridMultilevel"/>
    <w:lvl w:ilvl="0">
      <w:lvlJc w:val="left"/>
      <w:lvlText w:val="4"/>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bullet"/>
      <w:start w:val="1"/>
    </w:lvl>
  </w:abstractNum>
  <w:abstractNum w:abstractNumId="79">
    <w:nsid w:val="94211F2"/>
    <w:multiLevelType w:val="hybridMultilevel"/>
    <w:lvl w:ilvl="0">
      <w:lvlJc w:val="left"/>
      <w:lvlText w:val="2"/>
      <w:numFmt w:val="bullet"/>
      <w:start w:val="1"/>
    </w:lvl>
  </w:abstractNum>
  <w:abstractNum w:abstractNumId="80">
    <w:nsid w:val="885E1B"/>
    <w:multiLevelType w:val="hybridMultilevel"/>
    <w:lvl w:ilvl="0">
      <w:lvlJc w:val="left"/>
      <w:lvlText w:val="3"/>
      <w:numFmt w:val="bullet"/>
      <w:start w:val="1"/>
    </w:lvl>
  </w:abstractNum>
  <w:abstractNum w:abstractNumId="81">
    <w:nsid w:val="76272110"/>
    <w:multiLevelType w:val="hybridMultilevel"/>
    <w:lvl w:ilvl="0">
      <w:lvlJc w:val="left"/>
      <w:lvlText w:val="4"/>
      <w:numFmt w:val="bullet"/>
      <w:start w:val="1"/>
    </w:lvl>
  </w:abstractNum>
  <w:abstractNum w:abstractNumId="82">
    <w:nsid w:val="4C04A8AF"/>
    <w:multiLevelType w:val="hybridMultilevel"/>
    <w:lvl w:ilvl="0">
      <w:lvlJc w:val="left"/>
      <w:lvlText w:val="5"/>
      <w:numFmt w:val="bullet"/>
      <w:start w:val="1"/>
    </w:lvl>
  </w:abstractNum>
  <w:abstractNum w:abstractNumId="83">
    <w:nsid w:val="1716703B"/>
    <w:multiLevelType w:val="hybridMultilevel"/>
    <w:lvl w:ilvl="0">
      <w:lvlJc w:val="left"/>
      <w:lvlText w:val="6"/>
      <w:numFmt w:val="bullet"/>
      <w:start w:val="1"/>
    </w:lvl>
  </w:abstractNum>
  <w:abstractNum w:abstractNumId="84">
    <w:nsid w:val="14E17E33"/>
    <w:multiLevelType w:val="hybridMultilevel"/>
    <w:lvl w:ilvl="0">
      <w:lvlJc w:val="left"/>
      <w:lvlText w:val="1"/>
      <w:numFmt w:val="bullet"/>
      <w:start w:val="1"/>
    </w:lvl>
  </w:abstractNum>
  <w:abstractNum w:abstractNumId="85">
    <w:nsid w:val="3222E7CD"/>
    <w:multiLevelType w:val="hybridMultilevel"/>
    <w:lvl w:ilvl="0">
      <w:lvlJc w:val="left"/>
      <w:lvlText w:val="1"/>
      <w:numFmt w:val="bullet"/>
      <w:start w:val="1"/>
    </w:lvl>
  </w:abstractNum>
  <w:abstractNum w:abstractNumId="86">
    <w:nsid w:val="74DE0EE3"/>
    <w:multiLevelType w:val="hybridMultilevel"/>
    <w:lvl w:ilvl="0">
      <w:lvlJc w:val="left"/>
      <w:lvlText w:val="1"/>
      <w:numFmt w:val="bullet"/>
      <w:start w:val="1"/>
    </w:lvl>
  </w:abstractNum>
  <w:abstractNum w:abstractNumId="87">
    <w:nsid w:val="68EBC550"/>
    <w:multiLevelType w:val="hybridMultilevel"/>
    <w:lvl w:ilvl="0">
      <w:lvlJc w:val="left"/>
      <w:lvlText w:val="2"/>
      <w:numFmt w:val="bullet"/>
      <w:start w:val="1"/>
    </w:lvl>
  </w:abstractNum>
  <w:abstractNum w:abstractNumId="88">
    <w:nsid w:val="2DF6D648"/>
    <w:multiLevelType w:val="hybridMultilevel"/>
    <w:lvl w:ilvl="0">
      <w:lvlJc w:val="left"/>
      <w:lvlText w:val="3"/>
      <w:numFmt w:val="bullet"/>
      <w:start w:val="1"/>
    </w:lvl>
  </w:abstractNum>
  <w:abstractNum w:abstractNumId="89">
    <w:nsid w:val="46B7D447"/>
    <w:multiLevelType w:val="hybridMultilevel"/>
    <w:lvl w:ilvl="0">
      <w:lvlJc w:val="left"/>
      <w:lvlText w:val="1"/>
      <w:numFmt w:val="bullet"/>
      <w:start w:val="1"/>
    </w:lvl>
  </w:abstractNum>
  <w:abstractNum w:abstractNumId="90">
    <w:nsid w:val="4A2AC315"/>
    <w:multiLevelType w:val="hybridMultilevel"/>
    <w:lvl w:ilvl="0">
      <w:lvlJc w:val="left"/>
      <w:lvlText w:val="2"/>
      <w:numFmt w:val="bullet"/>
      <w:start w:val="1"/>
    </w:lvl>
  </w:abstractNum>
  <w:abstractNum w:abstractNumId="91">
    <w:nsid w:val="39EE015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2019-12-05T21:42:43Z</dcterms:created>
  <dcterms:modified xsi:type="dcterms:W3CDTF">2019-12-05T21:42:43Z</dcterms:modified>
</cp:coreProperties>
</file>