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February 9, 2016 (February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7"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40" w:firstLine="243"/>
        <w:spacing w:after="0" w:line="286" w:lineRule="auto"/>
        <w:rPr>
          <w:sz w:val="20"/>
          <w:szCs w:val="20"/>
          <w:color w:val="auto"/>
        </w:rPr>
      </w:pPr>
      <w:r>
        <w:rPr>
          <w:rFonts w:ascii="Arial" w:cs="Arial" w:eastAsia="Arial" w:hAnsi="Arial"/>
          <w:sz w:val="17"/>
          <w:szCs w:val="17"/>
          <w:color w:val="auto"/>
        </w:rPr>
        <w:t>On February 9, 2016,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issued a press release announcing its financial and operating results for the quarter and year ended December 31, 2015. A copy of the press release is being furnished to the Securities and Exchange Commission as Exhibit 99.1 to this Current Report on Form 8-K and is incorporated by reference to this Item 2.02.</w:t>
      </w:r>
    </w:p>
    <w:p>
      <w:pPr>
        <w:spacing w:after="0" w:line="166"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9, 2016, Reporting Fourth Quarter and Full Year 2015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Date: February 9, 2016</w:t>
            </w:r>
          </w:p>
        </w:tc>
        <w:tc>
          <w:tcPr>
            <w:tcW w:w="6640" w:type="dxa"/>
            <w:vAlign w:val="bottom"/>
            <w:gridSpan w:val="2"/>
          </w:tcPr>
          <w:p>
            <w:pPr>
              <w:ind w:left="88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540" w:type="dxa"/>
            <w:vAlign w:val="bottom"/>
          </w:tcPr>
          <w:p>
            <w:pPr>
              <w:spacing w:after="0"/>
              <w:rPr>
                <w:sz w:val="24"/>
                <w:szCs w:val="24"/>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540" w:type="dxa"/>
            <w:vAlign w:val="bottom"/>
          </w:tcPr>
          <w:p>
            <w:pPr>
              <w:spacing w:after="0"/>
              <w:rPr>
                <w:sz w:val="20"/>
                <w:szCs w:val="20"/>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540" w:type="dxa"/>
            <w:vAlign w:val="bottom"/>
          </w:tcPr>
          <w:p>
            <w:pPr>
              <w:spacing w:after="0"/>
              <w:rPr>
                <w:sz w:val="23"/>
                <w:szCs w:val="23"/>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368"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8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7740" w:type="dxa"/>
            <w:vAlign w:val="bottom"/>
            <w:gridSpan w:val="3"/>
          </w:tcPr>
          <w:p>
            <w:pPr>
              <w:ind w:left="620"/>
              <w:spacing w:after="0"/>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76"/>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7740" w:type="dxa"/>
            <w:vAlign w:val="bottom"/>
            <w:gridSpan w:val="3"/>
          </w:tcPr>
          <w:p>
            <w:pPr>
              <w:ind w:left="620"/>
              <w:spacing w:after="0"/>
              <w:rPr>
                <w:sz w:val="20"/>
                <w:szCs w:val="20"/>
                <w:color w:val="auto"/>
              </w:rPr>
            </w:pPr>
            <w:r>
              <w:rPr>
                <w:rFonts w:ascii="Arial" w:cs="Arial" w:eastAsia="Arial" w:hAnsi="Arial"/>
                <w:sz w:val="18"/>
                <w:szCs w:val="18"/>
                <w:color w:val="auto"/>
                <w:w w:val="89"/>
              </w:rPr>
              <w:t>Press Release, dated February 9, 2016, Reporting Fourth Quarter and Full Year 2015 Financial and</w:t>
            </w:r>
          </w:p>
        </w:tc>
      </w:tr>
      <w:tr>
        <w:trPr>
          <w:trHeight w:val="230"/>
        </w:trPr>
        <w:tc>
          <w:tcPr>
            <w:tcW w:w="580" w:type="dxa"/>
            <w:vAlign w:val="bottom"/>
          </w:tcPr>
          <w:p>
            <w:pPr>
              <w:spacing w:after="0"/>
              <w:rPr>
                <w:sz w:val="20"/>
                <w:szCs w:val="20"/>
                <w:color w:val="auto"/>
              </w:rPr>
            </w:pPr>
          </w:p>
        </w:tc>
        <w:tc>
          <w:tcPr>
            <w:tcW w:w="7740" w:type="dxa"/>
            <w:vAlign w:val="bottom"/>
            <w:gridSpan w:val="3"/>
          </w:tcPr>
          <w:p>
            <w:pPr>
              <w:ind w:left="620"/>
              <w:spacing w:after="0"/>
              <w:rPr>
                <w:sz w:val="20"/>
                <w:szCs w:val="20"/>
                <w:color w:val="auto"/>
              </w:rPr>
            </w:pPr>
            <w:r>
              <w:rPr>
                <w:rFonts w:ascii="Arial" w:cs="Arial" w:eastAsia="Arial" w:hAnsi="Arial"/>
                <w:sz w:val="18"/>
                <w:szCs w:val="18"/>
                <w:color w:val="auto"/>
              </w:rPr>
              <w:t>Operating Results.</w:t>
            </w:r>
          </w:p>
        </w:tc>
      </w:tr>
    </w:tbl>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80"/>
        <w:spacing w:after="0" w:line="278" w:lineRule="auto"/>
        <w:rPr>
          <w:sz w:val="20"/>
          <w:szCs w:val="20"/>
          <w:color w:val="auto"/>
        </w:rPr>
      </w:pPr>
      <w:r>
        <w:rPr>
          <w:rFonts w:ascii="Arial" w:cs="Arial" w:eastAsia="Arial" w:hAnsi="Arial"/>
          <w:sz w:val="29"/>
          <w:szCs w:val="29"/>
          <w:b w:val="1"/>
          <w:bCs w:val="1"/>
          <w:color w:val="0F4DBC"/>
        </w:rPr>
        <w:t>Regeneron Reports Fourth Quarter and Full Year 2015 Financial and Operating Results</w:t>
      </w:r>
    </w:p>
    <w:p>
      <w:pPr>
        <w:spacing w:after="0" w:line="63" w:lineRule="exact"/>
        <w:rPr>
          <w:sz w:val="20"/>
          <w:szCs w:val="20"/>
          <w:color w:val="auto"/>
        </w:rPr>
      </w:pPr>
    </w:p>
    <w:p>
      <w:pPr>
        <w:ind w:left="340" w:right="600" w:hanging="332"/>
        <w:spacing w:after="0" w:line="232" w:lineRule="auto"/>
        <w:tabs>
          <w:tab w:leader="none" w:pos="340"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Fourth quarter 2015 EYLEA</w:t>
      </w:r>
      <w:r>
        <w:rPr>
          <w:rFonts w:ascii="Arial" w:cs="Arial" w:eastAsia="Arial" w:hAnsi="Arial"/>
          <w:sz w:val="27"/>
          <w:szCs w:val="27"/>
          <w:b w:val="1"/>
          <w:bCs w:val="1"/>
          <w:color w:val="auto"/>
          <w:vertAlign w:val="superscript"/>
        </w:rPr>
        <w:t>®</w:t>
      </w:r>
      <w:r>
        <w:rPr>
          <w:rFonts w:ascii="Arial" w:cs="Arial" w:eastAsia="Arial" w:hAnsi="Arial"/>
          <w:sz w:val="21"/>
          <w:szCs w:val="21"/>
          <w:i w:val="1"/>
          <w:iCs w:val="1"/>
          <w:color w:val="auto"/>
        </w:rPr>
        <w:t xml:space="preserve"> (aflibercept) Injection U.S. net sales increased 44% to $746 million versus fourth quarter 2014 and full year 2015 EYLEA U.S. net sales increased 54% to $2.68 billion versus full year 2014</w:t>
      </w:r>
    </w:p>
    <w:p>
      <w:pPr>
        <w:spacing w:after="0" w:line="1" w:lineRule="exact"/>
        <w:rPr>
          <w:rFonts w:ascii="Arial" w:cs="Arial" w:eastAsia="Arial" w:hAnsi="Arial"/>
          <w:sz w:val="21"/>
          <w:szCs w:val="21"/>
          <w:color w:val="auto"/>
        </w:rPr>
      </w:pPr>
    </w:p>
    <w:p>
      <w:pPr>
        <w:ind w:left="340" w:right="44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2015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42% to $1.16 billion versus fourth quarter 2014 and full year 2015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47% to $4.09 billion versus full year 2014</w:t>
      </w:r>
    </w:p>
    <w:p>
      <w:pPr>
        <w:ind w:left="340" w:right="14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Full year 2015 non-GAAP net income per diluted share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increased 21% to $12.07 versus full year 2014. Full year 2015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increased 19% to $1.40 billion versus full year 2014. Fourth quarter 2015 non-GAAP net income per diluted share increased 1% to $2.83 versus fourth quarter 2014. Fourth quarter non-GAAP net income of $327 million was unchanged versus fourth quarter of 2014.</w:t>
      </w:r>
    </w:p>
    <w:p>
      <w:pPr>
        <w:spacing w:after="0" w:line="1" w:lineRule="exact"/>
        <w:rPr>
          <w:rFonts w:ascii="Arial" w:cs="Arial" w:eastAsia="Arial" w:hAnsi="Arial"/>
          <w:sz w:val="22"/>
          <w:szCs w:val="22"/>
          <w:i w:val="1"/>
          <w:iCs w:val="1"/>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Estimated full year 2016 EYLEA U.S. net sales growth of approximately 20% over 2015</w:t>
      </w:r>
    </w:p>
    <w:p>
      <w:pPr>
        <w:spacing w:after="0" w:line="369" w:lineRule="exact"/>
        <w:rPr>
          <w:sz w:val="20"/>
          <w:szCs w:val="20"/>
          <w:color w:val="auto"/>
        </w:rPr>
      </w:pPr>
    </w:p>
    <w:p>
      <w:pPr>
        <w:ind w:right="340"/>
        <w:spacing w:after="0" w:line="298" w:lineRule="auto"/>
        <w:rPr>
          <w:sz w:val="20"/>
          <w:szCs w:val="20"/>
          <w:color w:val="auto"/>
        </w:rPr>
      </w:pPr>
      <w:r>
        <w:rPr>
          <w:rFonts w:ascii="Arial" w:cs="Arial" w:eastAsia="Arial" w:hAnsi="Arial"/>
          <w:sz w:val="21"/>
          <w:szCs w:val="21"/>
          <w:b w:val="1"/>
          <w:bCs w:val="1"/>
          <w:color w:val="auto"/>
        </w:rPr>
        <w:t xml:space="preserve">Tarrytown, New York (February 9, 2016) </w:t>
      </w:r>
      <w:r>
        <w:rPr>
          <w:rFonts w:ascii="Arial" w:cs="Arial" w:eastAsia="Arial" w:hAnsi="Arial"/>
          <w:sz w:val="21"/>
          <w:szCs w:val="21"/>
          <w:color w:val="auto"/>
        </w:rPr>
        <w:t>-- Regeneron Pharmaceuticals, Inc. (NASDAQ:</w:t>
      </w:r>
      <w:r>
        <w:rPr>
          <w:rFonts w:ascii="Arial" w:cs="Arial" w:eastAsia="Arial" w:hAnsi="Arial"/>
          <w:sz w:val="21"/>
          <w:szCs w:val="21"/>
          <w:b w:val="1"/>
          <w:bCs w:val="1"/>
          <w:color w:val="auto"/>
        </w:rPr>
        <w:t xml:space="preserve"> REGN</w:t>
      </w:r>
      <w:r>
        <w:rPr>
          <w:rFonts w:ascii="Arial" w:cs="Arial" w:eastAsia="Arial" w:hAnsi="Arial"/>
          <w:sz w:val="21"/>
          <w:szCs w:val="21"/>
          <w:color w:val="auto"/>
        </w:rPr>
        <w:t>) today announced</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results for the fourth quarter and full year 2015 and provided an update on development programs.</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40"/>
              <w:spacing w:after="0"/>
              <w:rPr>
                <w:sz w:val="20"/>
                <w:szCs w:val="20"/>
                <w:color w:val="auto"/>
              </w:rPr>
            </w:pPr>
            <w:r>
              <w:rPr>
                <w:rFonts w:ascii="Arial" w:cs="Arial" w:eastAsia="Arial" w:hAnsi="Arial"/>
                <w:sz w:val="14"/>
                <w:szCs w:val="14"/>
                <w:color w:val="auto"/>
              </w:rPr>
              <w:t>($ in millions, except per share data)</w:t>
            </w:r>
          </w:p>
        </w:tc>
        <w:tc>
          <w:tcPr>
            <w:tcW w:w="260" w:type="dxa"/>
            <w:vAlign w:val="bottom"/>
          </w:tcPr>
          <w:p>
            <w:pPr>
              <w:spacing w:after="0"/>
              <w:rPr>
                <w:sz w:val="19"/>
                <w:szCs w:val="19"/>
                <w:color w:val="auto"/>
              </w:rPr>
            </w:pPr>
          </w:p>
        </w:tc>
        <w:tc>
          <w:tcPr>
            <w:tcW w:w="3660" w:type="dxa"/>
            <w:vAlign w:val="bottom"/>
            <w:gridSpan w:val="8"/>
          </w:tcPr>
          <w:p>
            <w:pPr>
              <w:jc w:val="center"/>
              <w:ind w:right="340"/>
              <w:spacing w:after="0"/>
              <w:rPr>
                <w:sz w:val="20"/>
                <w:szCs w:val="20"/>
                <w:color w:val="auto"/>
              </w:rPr>
            </w:pPr>
            <w:r>
              <w:rPr>
                <w:rFonts w:ascii="Arial" w:cs="Arial" w:eastAsia="Arial" w:hAnsi="Arial"/>
                <w:sz w:val="20"/>
                <w:szCs w:val="20"/>
                <w:b w:val="1"/>
                <w:bCs w:val="1"/>
                <w:color w:val="auto"/>
                <w:w w:val="90"/>
              </w:rPr>
              <w:t>Three Months Ended</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20"/>
                <w:szCs w:val="20"/>
                <w:b w:val="1"/>
                <w:bCs w:val="1"/>
                <w:color w:val="auto"/>
                <w:w w:val="90"/>
              </w:rPr>
              <w:t>Year Ended</w:t>
            </w:r>
          </w:p>
        </w:tc>
        <w:tc>
          <w:tcPr>
            <w:tcW w:w="1220" w:type="dxa"/>
            <w:vAlign w:val="bottom"/>
          </w:tcPr>
          <w:p>
            <w:pPr>
              <w:spacing w:after="0"/>
              <w:rPr>
                <w:sz w:val="19"/>
                <w:szCs w:val="19"/>
                <w:color w:val="auto"/>
              </w:rPr>
            </w:pPr>
          </w:p>
        </w:tc>
      </w:tr>
      <w:tr>
        <w:trPr>
          <w:trHeight w:val="256"/>
        </w:trPr>
        <w:tc>
          <w:tcPr>
            <w:tcW w:w="3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20"/>
                <w:szCs w:val="20"/>
                <w:b w:val="1"/>
                <w:bCs w:val="1"/>
                <w:color w:val="auto"/>
                <w:w w:val="89"/>
              </w:rPr>
              <w:t>December 31,</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4"/>
          </w:tcPr>
          <w:p>
            <w:pPr>
              <w:jc w:val="center"/>
              <w:spacing w:after="0"/>
              <w:rPr>
                <w:sz w:val="20"/>
                <w:szCs w:val="20"/>
                <w:color w:val="auto"/>
              </w:rPr>
            </w:pPr>
            <w:r>
              <w:rPr>
                <w:rFonts w:ascii="Arial" w:cs="Arial" w:eastAsia="Arial" w:hAnsi="Arial"/>
                <w:sz w:val="20"/>
                <w:szCs w:val="20"/>
                <w:b w:val="1"/>
                <w:bCs w:val="1"/>
                <w:color w:val="auto"/>
                <w:w w:val="89"/>
              </w:rPr>
              <w:t>December 31,</w:t>
            </w:r>
          </w:p>
        </w:tc>
        <w:tc>
          <w:tcPr>
            <w:tcW w:w="1220" w:type="dxa"/>
            <w:vAlign w:val="bottom"/>
          </w:tcPr>
          <w:p>
            <w:pPr>
              <w:spacing w:after="0"/>
              <w:rPr>
                <w:sz w:val="22"/>
                <w:szCs w:val="22"/>
                <w:color w:val="auto"/>
              </w:rPr>
            </w:pPr>
          </w:p>
        </w:tc>
      </w:tr>
      <w:tr>
        <w:trPr>
          <w:trHeight w:val="2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61"/>
              <w:spacing w:after="0"/>
              <w:rPr>
                <w:sz w:val="20"/>
                <w:szCs w:val="20"/>
                <w:color w:val="auto"/>
              </w:rPr>
            </w:pPr>
            <w:r>
              <w:rPr>
                <w:rFonts w:ascii="Arial" w:cs="Arial" w:eastAsia="Arial" w:hAnsi="Arial"/>
                <w:sz w:val="20"/>
                <w:szCs w:val="20"/>
                <w:b w:val="1"/>
                <w:bCs w:val="1"/>
                <w:color w:val="auto"/>
              </w:rPr>
              <w:t>2015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41"/>
              <w:spacing w:after="0" w:line="277" w:lineRule="exact"/>
              <w:rPr>
                <w:sz w:val="20"/>
                <w:szCs w:val="20"/>
                <w:color w:val="auto"/>
              </w:rPr>
            </w:pPr>
            <w:r>
              <w:rPr>
                <w:rFonts w:ascii="Arial" w:cs="Arial" w:eastAsia="Arial" w:hAnsi="Arial"/>
                <w:sz w:val="20"/>
                <w:szCs w:val="20"/>
                <w:b w:val="1"/>
                <w:bCs w:val="1"/>
                <w:color w:val="auto"/>
              </w:rPr>
              <w:t>2014</w:t>
            </w:r>
            <w:r>
              <w:rPr>
                <w:rFonts w:ascii="Arial" w:cs="Arial" w:eastAsia="Arial" w:hAnsi="Arial"/>
                <w:sz w:val="25"/>
                <w:szCs w:val="25"/>
                <w:b w:val="1"/>
                <w:bCs w:val="1"/>
                <w:color w:val="auto"/>
                <w:vertAlign w:val="superscript"/>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20"/>
                <w:szCs w:val="20"/>
                <w:b w:val="1"/>
                <w:bCs w:val="1"/>
                <w:color w:val="auto"/>
              </w:rPr>
              <w:t>% Change</w:t>
            </w:r>
          </w:p>
        </w:tc>
        <w:tc>
          <w:tcPr>
            <w:tcW w:w="260" w:type="dxa"/>
            <w:vAlign w:val="bottom"/>
          </w:tcPr>
          <w:p>
            <w:pPr>
              <w:spacing w:after="0"/>
              <w:rPr>
                <w:sz w:val="24"/>
                <w:szCs w:val="24"/>
                <w:color w:val="auto"/>
              </w:rPr>
            </w:pPr>
          </w:p>
        </w:tc>
        <w:tc>
          <w:tcPr>
            <w:tcW w:w="880" w:type="dxa"/>
            <w:vAlign w:val="bottom"/>
          </w:tcPr>
          <w:p>
            <w:pPr>
              <w:jc w:val="right"/>
              <w:ind w:right="281"/>
              <w:spacing w:after="0"/>
              <w:rPr>
                <w:sz w:val="20"/>
                <w:szCs w:val="20"/>
                <w:color w:val="auto"/>
              </w:rPr>
            </w:pPr>
            <w:r>
              <w:rPr>
                <w:rFonts w:ascii="Arial" w:cs="Arial" w:eastAsia="Arial" w:hAnsi="Arial"/>
                <w:sz w:val="20"/>
                <w:szCs w:val="20"/>
                <w:b w:val="1"/>
                <w:bCs w:val="1"/>
                <w:color w:val="auto"/>
              </w:rPr>
              <w:t>2015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41"/>
              <w:spacing w:after="0" w:line="277" w:lineRule="exact"/>
              <w:rPr>
                <w:sz w:val="20"/>
                <w:szCs w:val="20"/>
                <w:color w:val="auto"/>
              </w:rPr>
            </w:pPr>
            <w:r>
              <w:rPr>
                <w:rFonts w:ascii="Arial" w:cs="Arial" w:eastAsia="Arial" w:hAnsi="Arial"/>
                <w:sz w:val="20"/>
                <w:szCs w:val="20"/>
                <w:b w:val="1"/>
                <w:bCs w:val="1"/>
                <w:color w:val="auto"/>
              </w:rPr>
              <w:t>2014</w:t>
            </w:r>
            <w:r>
              <w:rPr>
                <w:rFonts w:ascii="Arial" w:cs="Arial" w:eastAsia="Arial" w:hAnsi="Arial"/>
                <w:sz w:val="25"/>
                <w:szCs w:val="25"/>
                <w:b w:val="1"/>
                <w:bCs w:val="1"/>
                <w:color w:val="auto"/>
                <w:vertAlign w:val="superscript"/>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57"/>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2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54%</w:t>
            </w:r>
          </w:p>
        </w:tc>
      </w:tr>
      <w:tr>
        <w:trPr>
          <w:trHeight w:val="261"/>
        </w:trPr>
        <w:tc>
          <w:tcPr>
            <w:tcW w:w="3660" w:type="dxa"/>
            <w:vAlign w:val="bottom"/>
          </w:tcPr>
          <w:p>
            <w:pPr>
              <w:ind w:left="40"/>
              <w:spacing w:after="0"/>
              <w:rPr>
                <w:sz w:val="20"/>
                <w:szCs w:val="20"/>
                <w:color w:val="auto"/>
              </w:rPr>
            </w:pPr>
            <w:r>
              <w:rPr>
                <w:rFonts w:ascii="Arial" w:cs="Arial" w:eastAsia="Arial" w:hAnsi="Arial"/>
                <w:sz w:val="20"/>
                <w:szCs w:val="20"/>
                <w:color w:val="auto"/>
              </w:rPr>
              <w:t>Total revenues</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1,098</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802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37%</w:t>
            </w:r>
          </w:p>
        </w:tc>
        <w:tc>
          <w:tcPr>
            <w:tcW w:w="10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4,104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2,820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3660" w:type="dxa"/>
            <w:vAlign w:val="bottom"/>
            <w:shd w:val="clear" w:color="auto" w:fill="CCEEFF"/>
          </w:tcPr>
          <w:p>
            <w:pPr>
              <w:ind w:left="40"/>
              <w:spacing w:after="0" w:line="283"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1,404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1,175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r>
      <w:tr>
        <w:trPr>
          <w:trHeight w:val="240"/>
        </w:trPr>
        <w:tc>
          <w:tcPr>
            <w:tcW w:w="3660" w:type="dxa"/>
            <w:vAlign w:val="bottom"/>
          </w:tcPr>
          <w:p>
            <w:pPr>
              <w:ind w:left="40"/>
              <w:spacing w:after="0"/>
              <w:rPr>
                <w:sz w:val="20"/>
                <w:szCs w:val="20"/>
                <w:color w:val="auto"/>
              </w:rPr>
            </w:pPr>
            <w:r>
              <w:rPr>
                <w:rFonts w:ascii="Arial" w:cs="Arial" w:eastAsia="Arial" w:hAnsi="Arial"/>
                <w:sz w:val="20"/>
                <w:szCs w:val="20"/>
                <w:color w:val="auto"/>
              </w:rPr>
              <w:t>Non-GAAP net income per share -</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3"/>
        </w:trPr>
        <w:tc>
          <w:tcPr>
            <w:tcW w:w="3660" w:type="dxa"/>
            <w:vAlign w:val="bottom"/>
          </w:tcPr>
          <w:p>
            <w:pPr>
              <w:ind w:left="200"/>
              <w:spacing w:after="0" w:line="274" w:lineRule="exact"/>
              <w:rPr>
                <w:sz w:val="20"/>
                <w:szCs w:val="20"/>
                <w:color w:val="auto"/>
              </w:rPr>
            </w:pPr>
            <w:r>
              <w:rPr>
                <w:rFonts w:ascii="Arial" w:cs="Arial" w:eastAsia="Arial" w:hAnsi="Arial"/>
                <w:sz w:val="20"/>
                <w:szCs w:val="20"/>
                <w:color w:val="auto"/>
              </w:rPr>
              <w:t>diluted</w:t>
            </w:r>
            <w:r>
              <w:rPr>
                <w:rFonts w:ascii="Arial" w:cs="Arial" w:eastAsia="Arial" w:hAnsi="Arial"/>
                <w:sz w:val="25"/>
                <w:szCs w:val="25"/>
                <w:color w:val="auto"/>
                <w:vertAlign w:val="superscript"/>
              </w:rPr>
              <w:t>(2)</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2.83</w:t>
            </w:r>
          </w:p>
        </w:tc>
        <w:tc>
          <w:tcPr>
            <w:tcW w:w="12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2.79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3"/>
                <w:szCs w:val="23"/>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12.07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GAAP net income</w:t>
            </w: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88%</w:t>
            </w:r>
          </w:p>
        </w:tc>
      </w:tr>
      <w:tr>
        <w:trPr>
          <w:trHeight w:val="261"/>
        </w:trPr>
        <w:tc>
          <w:tcPr>
            <w:tcW w:w="3660" w:type="dxa"/>
            <w:vAlign w:val="bottom"/>
          </w:tcPr>
          <w:p>
            <w:pPr>
              <w:ind w:left="40"/>
              <w:spacing w:after="0"/>
              <w:rPr>
                <w:sz w:val="20"/>
                <w:szCs w:val="20"/>
                <w:color w:val="auto"/>
              </w:rPr>
            </w:pPr>
            <w:r>
              <w:rPr>
                <w:rFonts w:ascii="Arial" w:cs="Arial" w:eastAsia="Arial" w:hAnsi="Arial"/>
                <w:sz w:val="20"/>
                <w:szCs w:val="20"/>
                <w:color w:val="auto"/>
              </w:rPr>
              <w:t>GAAP net income per share - diluted</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1.34</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0.78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72%</w:t>
            </w:r>
          </w:p>
        </w:tc>
        <w:tc>
          <w:tcPr>
            <w:tcW w:w="10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5.52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2.98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85%</w:t>
            </w:r>
          </w:p>
        </w:tc>
      </w:tr>
    </w:tbl>
    <w:p>
      <w:pPr>
        <w:spacing w:after="0" w:line="148" w:lineRule="exact"/>
        <w:rPr>
          <w:sz w:val="20"/>
          <w:szCs w:val="20"/>
          <w:color w:val="auto"/>
        </w:rPr>
      </w:pPr>
    </w:p>
    <w:p>
      <w:pPr>
        <w:ind w:left="300" w:hanging="103"/>
        <w:spacing w:after="0"/>
        <w:tabs>
          <w:tab w:leader="none" w:pos="300" w:val="left"/>
        </w:tabs>
        <w:numPr>
          <w:ilvl w:val="0"/>
          <w:numId w:val="3"/>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See note (4) below for an explanation of revisions made to certain amounts previously reported for the three months and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"Regeneron had a successful 2015, with strong growth in EYLEA sales for retinal diseases, the approval of Praluent for hypercholesterolemia, and important advances across all stages of our pipeline," said Leonard S. Schleifer, M.D., Ph.D., President and Chief Executive Officer of Regeneron. "In 2016, we look forward to driving increased physician education, patient access, and reimbursement for Praluent in the United States and to launching this important medicine in other countries around the world. We also anticipate significant pipeline progress including the U.S. FDA action on the sarilumab application for rheumatoid arthritis, the Phase 3 results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5" w:name="page6"/>
    <w:bookmarkEnd w:id="5"/>
    <w:p>
      <w:pPr>
        <w:ind w:right="40"/>
        <w:spacing w:after="0" w:line="245" w:lineRule="auto"/>
        <w:rPr>
          <w:sz w:val="20"/>
          <w:szCs w:val="20"/>
          <w:color w:val="auto"/>
        </w:rPr>
      </w:pPr>
      <w:r>
        <w:rPr>
          <w:rFonts w:ascii="Arial" w:cs="Arial" w:eastAsia="Arial" w:hAnsi="Arial"/>
          <w:sz w:val="22"/>
          <w:szCs w:val="22"/>
          <w:color w:val="auto"/>
        </w:rPr>
        <w:t>potential U.S. regulatory submission for dupilumab in atopic dermatitis, and the continued progress of our development programs for retinal diseases, asthma, pain, infectious diseases, and cancer. Realizing these important product and pipeline opportunities will require significant investments, which are essential to support our long-term growth and success."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(aflibercept) Injection for Intravitreal Injection</w:t>
      </w:r>
    </w:p>
    <w:p>
      <w:pPr>
        <w:ind w:left="340" w:right="26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fourth quarter of 2015, net sales of EYLEA in the United States increased 44% to $746 million from $518 million in the fourth quarter of 2014. For the full year of 2015, net sales of EYLEA in the United States increased 54% to $2.676 billion from $1.736 billion for the full year 2014.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hanging="332"/>
        <w:spacing w:after="0" w:line="234"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Bayer HealthCare commercializes EYLEA outside the United States. In the fourth quarter of 2015,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$413 million, compared to $297 million in the fourth quarter of 2014. In the fourth quarter of 2015, Regeneron recognized $140 million from its share of net profit from EYLEA sales outside the United States, compared to $88 million in the fourth quarter of 2014. For the full year of 2015,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$1.413 billion, compared to $1.039 billion for the full year 2014. For the full year of 2015, Regeneron recognized $467 million from its share of net profit from EYLEA sales outside the United States, compared to $301 million for the full year 2014.</w:t>
      </w:r>
    </w:p>
    <w:p>
      <w:pPr>
        <w:spacing w:after="0" w:line="2" w:lineRule="exact"/>
        <w:rPr>
          <w:rFonts w:ascii="Arial" w:cs="Arial" w:eastAsia="Arial" w:hAnsi="Arial"/>
          <w:sz w:val="22"/>
          <w:szCs w:val="22"/>
          <w:color w:val="auto"/>
        </w:rPr>
      </w:pPr>
    </w:p>
    <w:p>
      <w:pPr>
        <w:ind w:left="340" w:right="240" w:hanging="332"/>
        <w:spacing w:after="0" w:line="249"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2015, the European Commission granted marketing authorization of EYLEA for the treatment of visual impairment due to myopic choroidal neovascularization.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Praluent</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(alirocumab) Injection for the Treatment of High Low-Density Lipoprotein (LDL) Cholesterol</w:t>
      </w:r>
    </w:p>
    <w:p>
      <w:pPr>
        <w:ind w:left="340" w:right="28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fourth quarter of 2015, net sales of Praluent were $7 million. For the full year of 2015, net sales of Praluent were $11 million. Product sales for Praluent are recorded by Sanofi, and the Company shares in any profits or losses from the commercialization of Praluent. Praluent was launched in the United States in the third quarter of 2015 and in certain countries in the European Union in the fourth quarter of 2015.</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Phase 3 ODYSSEY OUTCOMES trial completed enrollment during the fourth quarter of 2015.</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30" w:lineRule="exact"/>
        <w:rPr>
          <w:sz w:val="20"/>
          <w:szCs w:val="20"/>
          <w:color w:val="auto"/>
        </w:rPr>
      </w:pPr>
    </w:p>
    <w:p>
      <w:pPr>
        <w:jc w:val="both"/>
        <w:ind w:right="180"/>
        <w:spacing w:after="0" w:line="224" w:lineRule="auto"/>
        <w:rPr>
          <w:sz w:val="20"/>
          <w:szCs w:val="20"/>
          <w:color w:val="auto"/>
        </w:rPr>
      </w:pPr>
      <w:r>
        <w:rPr>
          <w:rFonts w:ascii="Arial" w:cs="Arial" w:eastAsia="Arial" w:hAnsi="Arial"/>
          <w:sz w:val="22"/>
          <w:szCs w:val="22"/>
          <w:color w:val="auto"/>
        </w:rPr>
        <w:t xml:space="preserve">Regeneron has thirteen product candidates in clinical development. These consist of EYLEA and twelve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including four in collaboration with Sanofi. In addition to EYLEA and Praluent, highlights from the antibody pipeline include:</w:t>
      </w:r>
    </w:p>
    <w:p>
      <w:pPr>
        <w:spacing w:after="0" w:line="132" w:lineRule="exact"/>
        <w:rPr>
          <w:sz w:val="20"/>
          <w:szCs w:val="20"/>
          <w:color w:val="auto"/>
        </w:rPr>
      </w:pPr>
    </w:p>
    <w:p>
      <w:pPr>
        <w:ind w:left="340"/>
        <w:spacing w:after="0" w:line="264" w:lineRule="auto"/>
        <w:rPr>
          <w:sz w:val="20"/>
          <w:szCs w:val="20"/>
          <w:color w:val="auto"/>
        </w:rPr>
      </w:pPr>
      <w:r>
        <w:rPr>
          <w:rFonts w:ascii="Arial" w:cs="Arial" w:eastAsia="Arial" w:hAnsi="Arial"/>
          <w:sz w:val="21"/>
          <w:szCs w:val="21"/>
          <w:u w:val="single" w:color="auto"/>
          <w:color w:val="auto"/>
        </w:rPr>
        <w:t>Sarilumab</w:t>
      </w:r>
      <w:r>
        <w:rPr>
          <w:rFonts w:ascii="Arial" w:cs="Arial" w:eastAsia="Arial" w:hAnsi="Arial"/>
          <w:sz w:val="21"/>
          <w:szCs w:val="21"/>
          <w:color w:val="auto"/>
        </w:rPr>
        <w:t xml:space="preserve"> is the Company's antibody targeting IL-6R for rheumatoid arthritis. In December 2015, the U.S. Food and Drug Administration (FDA) accepted for review a Biologics License Application (BLA) for sarilumab, with a target action date of October 30, 2016. Sarilumab is currently being studied in the global Phase 3 SARIL-RA program</w:t>
      </w:r>
    </w:p>
    <w:p>
      <w:pPr>
        <w:spacing w:after="0" w:line="230" w:lineRule="exact"/>
        <w:rPr>
          <w:sz w:val="20"/>
          <w:szCs w:val="20"/>
          <w:color w:val="auto"/>
        </w:rPr>
      </w:pPr>
    </w:p>
    <w:p>
      <w:pPr>
        <w:ind w:left="340" w:right="560"/>
        <w:spacing w:after="0" w:line="249" w:lineRule="auto"/>
        <w:rPr>
          <w:sz w:val="20"/>
          <w:szCs w:val="20"/>
          <w:color w:val="auto"/>
        </w:rPr>
      </w:pPr>
      <w:r>
        <w:rPr>
          <w:rFonts w:ascii="Arial" w:cs="Arial" w:eastAsia="Arial" w:hAnsi="Arial"/>
          <w:sz w:val="22"/>
          <w:szCs w:val="22"/>
          <w:u w:val="single" w:color="auto"/>
          <w:color w:val="auto"/>
        </w:rPr>
        <w:t>Dupilumab</w:t>
      </w:r>
      <w:r>
        <w:rPr>
          <w:rFonts w:ascii="Arial" w:cs="Arial" w:eastAsia="Arial" w:hAnsi="Arial"/>
          <w:sz w:val="22"/>
          <w:szCs w:val="22"/>
          <w:color w:val="auto"/>
        </w:rPr>
        <w:t xml:space="preserve"> , the Company's antibody that blocks signaling of IL-4 and IL-13, is currently being studied in atopic dermatitis, asthma, nasal polyps, and eosinophilic esophagitis.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90" w:right="279" w:bottom="1440" w:gutter="0" w:footer="0" w:header="0"/>
        </w:sectPr>
      </w:pPr>
    </w:p>
    <w:bookmarkStart w:id="6" w:name="page7"/>
    <w:bookmarkEnd w:id="6"/>
    <w:p>
      <w:pPr>
        <w:ind w:left="1620" w:right="320" w:hanging="964"/>
        <w:spacing w:after="0" w:line="243" w:lineRule="auto"/>
        <w:tabs>
          <w:tab w:leader="none" w:pos="972" w:val="left"/>
        </w:tabs>
        <w:numPr>
          <w:ilvl w:val="0"/>
          <w:numId w:val="6"/>
        </w:numPr>
        <w:rPr>
          <w:rFonts w:ascii="Arial" w:cs="Arial" w:eastAsia="Arial" w:hAnsi="Arial"/>
          <w:sz w:val="22"/>
          <w:szCs w:val="22"/>
          <w:color w:val="auto"/>
        </w:rPr>
      </w:pPr>
      <w:r>
        <w:rPr>
          <w:rFonts w:ascii="Arial" w:cs="Arial" w:eastAsia="Arial" w:hAnsi="Arial"/>
          <w:sz w:val="22"/>
          <w:szCs w:val="22"/>
          <w:color w:val="auto"/>
        </w:rPr>
        <w:t>Multiple Phase 3 studies of dupilumab in atopic dermatitis are currently underway. Phase 3 pivotal trials in atopic dermatitis are fully enrolled.</w:t>
      </w:r>
    </w:p>
    <w:p>
      <w:pPr>
        <w:ind w:left="1620" w:right="540" w:hanging="964"/>
        <w:spacing w:after="0" w:line="249" w:lineRule="auto"/>
        <w:tabs>
          <w:tab w:leader="none" w:pos="972"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Phase 3 pivotal study of dupilumab in patients with uncontrolled persistent asthma continues to enroll patients.</w:t>
      </w:r>
    </w:p>
    <w:p>
      <w:pPr>
        <w:spacing w:after="0" w:line="245" w:lineRule="exact"/>
        <w:rPr>
          <w:sz w:val="20"/>
          <w:szCs w:val="20"/>
          <w:color w:val="auto"/>
        </w:rPr>
      </w:pPr>
    </w:p>
    <w:p>
      <w:pPr>
        <w:ind w:left="340" w:right="320"/>
        <w:spacing w:after="0" w:line="246"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xml:space="preserve"> is an antibody targeting Nerve Growth Factor (NGF). A sixteen-week Phase 2b/3 clinical trial for pain due to osteoarthritis has completed enrollment. The FDA has confirmed that the Company may proceed with studies of longer than sixteen-week duration.</w:t>
      </w:r>
    </w:p>
    <w:p>
      <w:pPr>
        <w:spacing w:after="0" w:line="249" w:lineRule="exact"/>
        <w:rPr>
          <w:sz w:val="20"/>
          <w:szCs w:val="20"/>
          <w:color w:val="auto"/>
        </w:rPr>
      </w:pPr>
    </w:p>
    <w:p>
      <w:pPr>
        <w:ind w:left="340"/>
        <w:spacing w:after="0" w:line="246" w:lineRule="auto"/>
        <w:rPr>
          <w:sz w:val="20"/>
          <w:szCs w:val="20"/>
          <w:color w:val="auto"/>
        </w:rPr>
      </w:pPr>
      <w:r>
        <w:rPr>
          <w:rFonts w:ascii="Arial" w:cs="Arial" w:eastAsia="Arial" w:hAnsi="Arial"/>
          <w:sz w:val="22"/>
          <w:szCs w:val="22"/>
          <w:u w:val="single" w:color="auto"/>
          <w:color w:val="auto"/>
        </w:rPr>
        <w:t>REGN2222</w:t>
      </w:r>
      <w:r>
        <w:rPr>
          <w:rFonts w:ascii="Arial" w:cs="Arial" w:eastAsia="Arial" w:hAnsi="Arial"/>
          <w:sz w:val="22"/>
          <w:szCs w:val="22"/>
          <w:color w:val="auto"/>
        </w:rPr>
        <w:t>, an antibody targeting the respiratory syncytial virus (RSV), is in Phase 3 clinical development. In October 2015, the FDA granted Fast Track designation to REGN2222 for the prevention of serious lower respiratory tract disease caused by RSV.</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 Upcoming 2016 Milestones</w:t>
      </w:r>
    </w:p>
    <w:p>
      <w:pPr>
        <w:spacing w:after="0" w:line="200" w:lineRule="exact"/>
        <w:rPr>
          <w:sz w:val="20"/>
          <w:szCs w:val="20"/>
          <w:color w:val="auto"/>
        </w:rPr>
      </w:pP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266"/>
        </w:trPr>
        <w:tc>
          <w:tcPr>
            <w:tcW w:w="320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Clinical Programs</w:t>
            </w:r>
          </w:p>
        </w:tc>
        <w:tc>
          <w:tcPr>
            <w:tcW w:w="200" w:type="dxa"/>
            <w:vAlign w:val="bottom"/>
            <w:tcBorders>
              <w:bottom w:val="single" w:sz="8" w:color="auto"/>
            </w:tcBorders>
          </w:tcPr>
          <w:p>
            <w:pPr>
              <w:spacing w:after="0"/>
              <w:rPr>
                <w:sz w:val="23"/>
                <w:szCs w:val="23"/>
                <w:color w:val="auto"/>
              </w:rPr>
            </w:pPr>
          </w:p>
        </w:tc>
        <w:tc>
          <w:tcPr>
            <w:tcW w:w="6320" w:type="dxa"/>
            <w:vAlign w:val="bottom"/>
            <w:tcBorders>
              <w:bottom w:val="single" w:sz="8" w:color="auto"/>
            </w:tcBorders>
          </w:tcPr>
          <w:p>
            <w:pPr>
              <w:ind w:left="2640"/>
              <w:spacing w:after="0"/>
              <w:rPr>
                <w:sz w:val="20"/>
                <w:szCs w:val="20"/>
                <w:color w:val="auto"/>
              </w:rPr>
            </w:pPr>
            <w:r>
              <w:rPr>
                <w:rFonts w:ascii="Arial" w:cs="Arial" w:eastAsia="Arial" w:hAnsi="Arial"/>
                <w:sz w:val="20"/>
                <w:szCs w:val="20"/>
                <w:b w:val="1"/>
                <w:bCs w:val="1"/>
                <w:color w:val="auto"/>
              </w:rPr>
              <w:t>Milestones</w:t>
            </w:r>
          </w:p>
        </w:tc>
      </w:tr>
      <w:tr>
        <w:trPr>
          <w:trHeight w:val="238"/>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EYLEA</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Ÿ Initiate Phase 3 study for the treatment of diabetic retinopathy in</w:t>
            </w:r>
          </w:p>
        </w:tc>
      </w:tr>
      <w:tr>
        <w:trPr>
          <w:trHeight w:val="247"/>
        </w:trPr>
        <w:tc>
          <w:tcPr>
            <w:tcW w:w="3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patients without diabetic macular edema (DME)</w:t>
            </w:r>
          </w:p>
        </w:tc>
      </w:tr>
      <w:tr>
        <w:trPr>
          <w:trHeight w:val="239"/>
        </w:trPr>
        <w:tc>
          <w:tcPr>
            <w:tcW w:w="3200" w:type="dxa"/>
            <w:vAlign w:val="bottom"/>
          </w:tcPr>
          <w:p>
            <w:pPr>
              <w:ind w:left="20"/>
              <w:spacing w:after="0"/>
              <w:rPr>
                <w:sz w:val="20"/>
                <w:szCs w:val="20"/>
                <w:color w:val="auto"/>
              </w:rPr>
            </w:pPr>
            <w:r>
              <w:rPr>
                <w:rFonts w:ascii="Arial" w:cs="Arial" w:eastAsia="Arial" w:hAnsi="Arial"/>
                <w:sz w:val="20"/>
                <w:szCs w:val="20"/>
                <w:color w:val="auto"/>
              </w:rPr>
              <w:t>REGN2176-3 (PDGFR-beta</w:t>
            </w:r>
          </w:p>
        </w:tc>
        <w:tc>
          <w:tcPr>
            <w:tcW w:w="6520" w:type="dxa"/>
            <w:vAlign w:val="bottom"/>
            <w:gridSpan w:val="2"/>
          </w:tcPr>
          <w:p>
            <w:pPr>
              <w:ind w:left="20"/>
              <w:spacing w:after="0"/>
              <w:rPr>
                <w:sz w:val="20"/>
                <w:szCs w:val="20"/>
                <w:color w:val="auto"/>
              </w:rPr>
            </w:pPr>
            <w:r>
              <w:rPr>
                <w:rFonts w:ascii="Arial" w:cs="Arial" w:eastAsia="Arial" w:hAnsi="Arial"/>
                <w:sz w:val="20"/>
                <w:szCs w:val="20"/>
                <w:color w:val="auto"/>
              </w:rPr>
              <w:t>Ÿ Report results from Phase 2 study</w:t>
            </w:r>
          </w:p>
        </w:tc>
      </w:tr>
      <w:tr>
        <w:trPr>
          <w:trHeight w:val="216"/>
        </w:trPr>
        <w:tc>
          <w:tcPr>
            <w:tcW w:w="3200" w:type="dxa"/>
            <w:vAlign w:val="bottom"/>
          </w:tcPr>
          <w:p>
            <w:pPr>
              <w:ind w:left="20"/>
              <w:spacing w:after="0" w:line="216" w:lineRule="exact"/>
              <w:rPr>
                <w:sz w:val="20"/>
                <w:szCs w:val="20"/>
                <w:color w:val="auto"/>
              </w:rPr>
            </w:pPr>
            <w:r>
              <w:rPr>
                <w:rFonts w:ascii="Arial" w:cs="Arial" w:eastAsia="Arial" w:hAnsi="Arial"/>
                <w:sz w:val="20"/>
                <w:szCs w:val="20"/>
                <w:color w:val="auto"/>
              </w:rPr>
              <w:t>Antibody co-formulated with</w:t>
            </w:r>
          </w:p>
        </w:tc>
        <w:tc>
          <w:tcPr>
            <w:tcW w:w="20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42"/>
        </w:trPr>
        <w:tc>
          <w:tcPr>
            <w:tcW w:w="3200" w:type="dxa"/>
            <w:vAlign w:val="bottom"/>
          </w:tcPr>
          <w:p>
            <w:pPr>
              <w:ind w:left="20"/>
              <w:spacing w:after="0"/>
              <w:rPr>
                <w:sz w:val="20"/>
                <w:szCs w:val="20"/>
                <w:color w:val="auto"/>
              </w:rPr>
            </w:pPr>
            <w:r>
              <w:rPr>
                <w:rFonts w:ascii="Arial" w:cs="Arial" w:eastAsia="Arial" w:hAnsi="Arial"/>
                <w:sz w:val="20"/>
                <w:szCs w:val="20"/>
                <w:color w:val="auto"/>
              </w:rPr>
              <w:t>aflibercept)</w:t>
            </w:r>
          </w:p>
        </w:tc>
        <w:tc>
          <w:tcPr>
            <w:tcW w:w="200" w:type="dxa"/>
            <w:vAlign w:val="bottom"/>
          </w:tcPr>
          <w:p>
            <w:pPr>
              <w:spacing w:after="0"/>
              <w:rPr>
                <w:sz w:val="21"/>
                <w:szCs w:val="21"/>
                <w:color w:val="auto"/>
              </w:rPr>
            </w:pPr>
          </w:p>
        </w:tc>
        <w:tc>
          <w:tcPr>
            <w:tcW w:w="6320" w:type="dxa"/>
            <w:vAlign w:val="bottom"/>
          </w:tcPr>
          <w:p>
            <w:pPr>
              <w:spacing w:after="0"/>
              <w:rPr>
                <w:sz w:val="21"/>
                <w:szCs w:val="21"/>
                <w:color w:val="auto"/>
              </w:rPr>
            </w:pPr>
          </w:p>
        </w:tc>
      </w:tr>
      <w:tr>
        <w:trPr>
          <w:trHeight w:val="244"/>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Nesvacumab/aflibercept (Ang2</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Ÿ Initiate Phase 2 study</w:t>
            </w:r>
          </w:p>
        </w:tc>
      </w:tr>
      <w:tr>
        <w:trPr>
          <w:trHeight w:val="216"/>
        </w:trPr>
        <w:tc>
          <w:tcPr>
            <w:tcW w:w="320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Antibody co-formulated with</w:t>
            </w:r>
          </w:p>
        </w:tc>
        <w:tc>
          <w:tcPr>
            <w:tcW w:w="2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r>
      <w:tr>
        <w:trPr>
          <w:trHeight w:val="247"/>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aflibercept)</w:t>
            </w:r>
          </w:p>
        </w:tc>
        <w:tc>
          <w:tcPr>
            <w:tcW w:w="200" w:type="dxa"/>
            <w:vAlign w:val="bottom"/>
            <w:shd w:val="clear" w:color="auto" w:fill="CCEEFF"/>
          </w:tcPr>
          <w:p>
            <w:pPr>
              <w:spacing w:after="0"/>
              <w:rPr>
                <w:sz w:val="21"/>
                <w:szCs w:val="21"/>
                <w:color w:val="auto"/>
              </w:rPr>
            </w:pPr>
          </w:p>
        </w:tc>
        <w:tc>
          <w:tcPr>
            <w:tcW w:w="6320" w:type="dxa"/>
            <w:vAlign w:val="bottom"/>
            <w:shd w:val="clear" w:color="auto" w:fill="CCEEFF"/>
          </w:tcPr>
          <w:p>
            <w:pPr>
              <w:spacing w:after="0"/>
              <w:rPr>
                <w:sz w:val="21"/>
                <w:szCs w:val="21"/>
                <w:color w:val="auto"/>
              </w:rPr>
            </w:pPr>
          </w:p>
        </w:tc>
      </w:tr>
      <w:tr>
        <w:trPr>
          <w:trHeight w:val="239"/>
        </w:trPr>
        <w:tc>
          <w:tcPr>
            <w:tcW w:w="3200" w:type="dxa"/>
            <w:vAlign w:val="bottom"/>
          </w:tcPr>
          <w:p>
            <w:pPr>
              <w:ind w:left="20"/>
              <w:spacing w:after="0"/>
              <w:rPr>
                <w:sz w:val="20"/>
                <w:szCs w:val="20"/>
                <w:color w:val="auto"/>
              </w:rPr>
            </w:pPr>
            <w:r>
              <w:rPr>
                <w:rFonts w:ascii="Arial" w:cs="Arial" w:eastAsia="Arial" w:hAnsi="Arial"/>
                <w:sz w:val="20"/>
                <w:szCs w:val="20"/>
                <w:color w:val="auto"/>
              </w:rPr>
              <w:t>Praluent</w:t>
            </w:r>
          </w:p>
        </w:tc>
        <w:tc>
          <w:tcPr>
            <w:tcW w:w="6520" w:type="dxa"/>
            <w:vAlign w:val="bottom"/>
            <w:gridSpan w:val="2"/>
          </w:tcPr>
          <w:p>
            <w:pPr>
              <w:ind w:left="20"/>
              <w:spacing w:after="0"/>
              <w:rPr>
                <w:sz w:val="20"/>
                <w:szCs w:val="20"/>
                <w:color w:val="auto"/>
              </w:rPr>
            </w:pPr>
            <w:r>
              <w:rPr>
                <w:rFonts w:ascii="Arial" w:cs="Arial" w:eastAsia="Arial" w:hAnsi="Arial"/>
                <w:sz w:val="20"/>
                <w:szCs w:val="20"/>
                <w:color w:val="auto"/>
              </w:rPr>
              <w:t>Ÿ Independent Data Monitoring Committee (IDMC) interim analyses of</w:t>
            </w:r>
          </w:p>
        </w:tc>
      </w:tr>
      <w:tr>
        <w:trPr>
          <w:trHeight w:val="237"/>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20" w:type="dxa"/>
            <w:vAlign w:val="bottom"/>
          </w:tcPr>
          <w:p>
            <w:pPr>
              <w:ind w:left="20"/>
              <w:spacing w:after="0"/>
              <w:rPr>
                <w:sz w:val="20"/>
                <w:szCs w:val="20"/>
                <w:color w:val="auto"/>
              </w:rPr>
            </w:pPr>
            <w:r>
              <w:rPr>
                <w:rFonts w:ascii="Arial" w:cs="Arial" w:eastAsia="Arial" w:hAnsi="Arial"/>
                <w:sz w:val="20"/>
                <w:szCs w:val="20"/>
                <w:color w:val="auto"/>
              </w:rPr>
              <w:t>ODYSSEY OUTCOMES trial</w:t>
            </w:r>
          </w:p>
        </w:tc>
      </w:tr>
      <w:tr>
        <w:trPr>
          <w:trHeight w:val="249"/>
        </w:trPr>
        <w:tc>
          <w:tcPr>
            <w:tcW w:w="3200" w:type="dxa"/>
            <w:vAlign w:val="bottom"/>
          </w:tcPr>
          <w:p>
            <w:pPr>
              <w:spacing w:after="0"/>
              <w:rPr>
                <w:sz w:val="21"/>
                <w:szCs w:val="21"/>
                <w:color w:val="auto"/>
              </w:rPr>
            </w:pPr>
          </w:p>
        </w:tc>
        <w:tc>
          <w:tcPr>
            <w:tcW w:w="6520" w:type="dxa"/>
            <w:vAlign w:val="bottom"/>
            <w:gridSpan w:val="2"/>
          </w:tcPr>
          <w:p>
            <w:pPr>
              <w:ind w:left="20"/>
              <w:spacing w:after="0"/>
              <w:rPr>
                <w:sz w:val="20"/>
                <w:szCs w:val="20"/>
                <w:color w:val="auto"/>
              </w:rPr>
            </w:pPr>
            <w:r>
              <w:rPr>
                <w:rFonts w:ascii="Arial" w:cs="Arial" w:eastAsia="Arial" w:hAnsi="Arial"/>
                <w:sz w:val="20"/>
                <w:szCs w:val="20"/>
                <w:color w:val="auto"/>
              </w:rPr>
              <w:t>Ÿ Ongoing launch in the United States as well as in additional territories</w:t>
            </w:r>
          </w:p>
        </w:tc>
      </w:tr>
      <w:tr>
        <w:trPr>
          <w:trHeight w:val="242"/>
        </w:trPr>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20"/>
                <w:szCs w:val="20"/>
                <w:color w:val="auto"/>
              </w:rPr>
              <w:t>outside the United States</w:t>
            </w:r>
          </w:p>
        </w:tc>
      </w:tr>
      <w:tr>
        <w:trPr>
          <w:trHeight w:val="265"/>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Sarilumab (IL-6R Antibody)</w:t>
            </w: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Regulatory decision in the United States</w:t>
            </w:r>
          </w:p>
        </w:tc>
      </w:tr>
      <w:tr>
        <w:trPr>
          <w:trHeight w:val="284"/>
        </w:trPr>
        <w:tc>
          <w:tcPr>
            <w:tcW w:w="320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File for regulatory approvals outside the United States</w:t>
            </w:r>
          </w:p>
        </w:tc>
      </w:tr>
      <w:tr>
        <w:trPr>
          <w:trHeight w:val="263"/>
        </w:trPr>
        <w:tc>
          <w:tcPr>
            <w:tcW w:w="32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Report results from Phase 3 SARIL-RA-MONARCH trial evaluating</w:t>
            </w:r>
          </w:p>
        </w:tc>
      </w:tr>
      <w:tr>
        <w:trPr>
          <w:trHeight w:val="247"/>
        </w:trPr>
        <w:tc>
          <w:tcPr>
            <w:tcW w:w="3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sarilumab versus adalimumab in monotherapy</w:t>
            </w:r>
          </w:p>
        </w:tc>
      </w:tr>
      <w:tr>
        <w:trPr>
          <w:trHeight w:val="261"/>
        </w:trPr>
        <w:tc>
          <w:tcPr>
            <w:tcW w:w="3200" w:type="dxa"/>
            <w:vAlign w:val="bottom"/>
          </w:tcPr>
          <w:p>
            <w:pPr>
              <w:ind w:left="20"/>
              <w:spacing w:after="0"/>
              <w:rPr>
                <w:sz w:val="20"/>
                <w:szCs w:val="20"/>
                <w:color w:val="auto"/>
              </w:rPr>
            </w:pPr>
            <w:r>
              <w:rPr>
                <w:rFonts w:ascii="Arial" w:cs="Arial" w:eastAsia="Arial" w:hAnsi="Arial"/>
                <w:sz w:val="20"/>
                <w:szCs w:val="20"/>
                <w:color w:val="auto"/>
              </w:rPr>
              <w:t>Dupilumab (IL-4R Antibody)</w:t>
            </w:r>
          </w:p>
        </w:tc>
        <w:tc>
          <w:tcPr>
            <w:tcW w:w="6520" w:type="dxa"/>
            <w:vAlign w:val="bottom"/>
            <w:gridSpan w:val="2"/>
          </w:tcPr>
          <w:p>
            <w:pPr>
              <w:ind w:left="20"/>
              <w:spacing w:after="0"/>
              <w:rPr>
                <w:sz w:val="20"/>
                <w:szCs w:val="20"/>
                <w:color w:val="auto"/>
              </w:rPr>
            </w:pPr>
            <w:r>
              <w:rPr>
                <w:rFonts w:ascii="Arial" w:cs="Arial" w:eastAsia="Arial" w:hAnsi="Arial"/>
                <w:sz w:val="20"/>
                <w:szCs w:val="20"/>
                <w:color w:val="auto"/>
              </w:rPr>
              <w:t>Ÿ Report results from Phase 3 atopic dermatitis pivotal trials</w:t>
            </w:r>
          </w:p>
        </w:tc>
      </w:tr>
      <w:tr>
        <w:trPr>
          <w:trHeight w:val="263"/>
        </w:trPr>
        <w:tc>
          <w:tcPr>
            <w:tcW w:w="3200" w:type="dxa"/>
            <w:vAlign w:val="bottom"/>
          </w:tcPr>
          <w:p>
            <w:pPr>
              <w:spacing w:after="0"/>
              <w:rPr>
                <w:sz w:val="22"/>
                <w:szCs w:val="22"/>
                <w:color w:val="auto"/>
              </w:rPr>
            </w:pPr>
          </w:p>
        </w:tc>
        <w:tc>
          <w:tcPr>
            <w:tcW w:w="6520" w:type="dxa"/>
            <w:vAlign w:val="bottom"/>
            <w:gridSpan w:val="2"/>
          </w:tcPr>
          <w:p>
            <w:pPr>
              <w:ind w:left="20"/>
              <w:spacing w:after="0"/>
              <w:rPr>
                <w:sz w:val="20"/>
                <w:szCs w:val="20"/>
                <w:color w:val="auto"/>
              </w:rPr>
            </w:pPr>
            <w:r>
              <w:rPr>
                <w:rFonts w:ascii="Arial" w:cs="Arial" w:eastAsia="Arial" w:hAnsi="Arial"/>
                <w:sz w:val="20"/>
                <w:szCs w:val="20"/>
                <w:color w:val="auto"/>
              </w:rPr>
              <w:t>Ÿ Complete rolling BLA submission for atopic dermatitis in the United</w:t>
            </w:r>
          </w:p>
        </w:tc>
      </w:tr>
      <w:tr>
        <w:trPr>
          <w:trHeight w:val="242"/>
        </w:trPr>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20"/>
                <w:szCs w:val="20"/>
                <w:color w:val="auto"/>
              </w:rPr>
              <w:t>States</w:t>
            </w:r>
          </w:p>
        </w:tc>
      </w:tr>
      <w:tr>
        <w:trPr>
          <w:trHeight w:val="279"/>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Fasinumab (NGF Antibody)</w:t>
            </w: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Report results from Phase 2b/3 study in osteoarthritis</w:t>
            </w:r>
          </w:p>
        </w:tc>
      </w:tr>
      <w:tr>
        <w:trPr>
          <w:trHeight w:val="273"/>
        </w:trPr>
        <w:tc>
          <w:tcPr>
            <w:tcW w:w="3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Initiate longer duration (greater than 16 weeks) Phase 3 trial</w:t>
            </w:r>
          </w:p>
        </w:tc>
      </w:tr>
      <w:tr>
        <w:trPr>
          <w:trHeight w:val="239"/>
        </w:trPr>
        <w:tc>
          <w:tcPr>
            <w:tcW w:w="3200" w:type="dxa"/>
            <w:vAlign w:val="bottom"/>
          </w:tcPr>
          <w:p>
            <w:pPr>
              <w:ind w:left="20"/>
              <w:spacing w:after="0"/>
              <w:rPr>
                <w:sz w:val="20"/>
                <w:szCs w:val="20"/>
                <w:color w:val="auto"/>
              </w:rPr>
            </w:pPr>
            <w:r>
              <w:rPr>
                <w:rFonts w:ascii="Arial" w:cs="Arial" w:eastAsia="Arial" w:hAnsi="Arial"/>
                <w:sz w:val="20"/>
                <w:szCs w:val="20"/>
                <w:color w:val="auto"/>
              </w:rPr>
              <w:t>Immuno-oncology (PD-1 Antibody</w:t>
            </w:r>
          </w:p>
        </w:tc>
        <w:tc>
          <w:tcPr>
            <w:tcW w:w="6520" w:type="dxa"/>
            <w:vAlign w:val="bottom"/>
            <w:gridSpan w:val="2"/>
          </w:tcPr>
          <w:p>
            <w:pPr>
              <w:ind w:left="20"/>
              <w:spacing w:after="0"/>
              <w:rPr>
                <w:sz w:val="20"/>
                <w:szCs w:val="20"/>
                <w:color w:val="auto"/>
              </w:rPr>
            </w:pPr>
            <w:r>
              <w:rPr>
                <w:rFonts w:ascii="Arial" w:cs="Arial" w:eastAsia="Arial" w:hAnsi="Arial"/>
                <w:sz w:val="20"/>
                <w:szCs w:val="20"/>
                <w:color w:val="auto"/>
              </w:rPr>
              <w:t>Ÿ Report data from Phase 1 studies in patients with cancer</w:t>
            </w:r>
          </w:p>
        </w:tc>
      </w:tr>
      <w:tr>
        <w:trPr>
          <w:trHeight w:val="216"/>
        </w:trPr>
        <w:tc>
          <w:tcPr>
            <w:tcW w:w="3200" w:type="dxa"/>
            <w:vAlign w:val="bottom"/>
          </w:tcPr>
          <w:p>
            <w:pPr>
              <w:ind w:left="20"/>
              <w:spacing w:after="0" w:line="216" w:lineRule="exact"/>
              <w:rPr>
                <w:sz w:val="20"/>
                <w:szCs w:val="20"/>
                <w:color w:val="auto"/>
              </w:rPr>
            </w:pPr>
            <w:r>
              <w:rPr>
                <w:rFonts w:ascii="Arial" w:cs="Arial" w:eastAsia="Arial" w:hAnsi="Arial"/>
                <w:sz w:val="20"/>
                <w:szCs w:val="20"/>
                <w:color w:val="auto"/>
              </w:rPr>
              <w:t>and bi-specific antibody against</w:t>
            </w:r>
          </w:p>
        </w:tc>
        <w:tc>
          <w:tcPr>
            <w:tcW w:w="20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20"/>
                <w:szCs w:val="20"/>
                <w:color w:val="auto"/>
              </w:rPr>
              <w:t>CD20 and CD3)</w:t>
            </w:r>
          </w:p>
        </w:tc>
        <w:tc>
          <w:tcPr>
            <w:tcW w:w="200" w:type="dxa"/>
            <w:vAlign w:val="bottom"/>
          </w:tcPr>
          <w:p>
            <w:pPr>
              <w:spacing w:after="0"/>
              <w:rPr>
                <w:sz w:val="20"/>
                <w:szCs w:val="20"/>
                <w:color w:val="auto"/>
              </w:rPr>
            </w:pPr>
          </w:p>
        </w:tc>
        <w:tc>
          <w:tcPr>
            <w:tcW w:w="6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90" w:right="2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Fourth Quarter and Full Year 2015 Financial Results</w:t>
      </w:r>
    </w:p>
    <w:p>
      <w:pPr>
        <w:spacing w:after="0" w:line="260" w:lineRule="exact"/>
        <w:rPr>
          <w:sz w:val="20"/>
          <w:szCs w:val="20"/>
          <w:color w:val="auto"/>
        </w:rPr>
      </w:pPr>
    </w:p>
    <w:p>
      <w:pPr>
        <w:jc w:val="both"/>
        <w:ind w:right="100"/>
        <w:spacing w:after="0" w:line="25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$750 million in the fourth quarter and $2.689 billion for the full year 2015,</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$522 million in the fourth quarter and $1.751 billion for the full year 2014. EYLEA net product sales in the United States were $746 million in the fourth quarter and $2.676 billion for the full year 2015, compared to $518 million in the fourth quarter and $1.736 billion for the full year 2014.</w:t>
      </w:r>
    </w:p>
    <w:p>
      <w:pPr>
        <w:spacing w:after="0" w:line="216"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37% to $1.098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fourth quarter of 2015, compared to $802 million in the fourth quarter of 2014. Total revenues also include collaboration revenues of $330 million in the fourth quarter of 2015, compared to $272 million in the fourth quarter of 2014. Full year 2015 total revenues increased by 46% to $4.104 billion, compared to $2.820 billion for the full year 2014, and included collaboration revenues of $1.339 billion for the full year 2015, compared to $1.037 billion for the full year 2014. Collaboration revenues in the fourth quarter and full year 2015 increased primarily due to higher reimbursement of the Company's research and development expenses under its antibody collaboration with Sanofi, an increase in the Company's net profit from commercialization of EYLEA outside the United States, and reimbursement of the Company's research and development expenses and amortization of up-front payments received in connection with the Company's July 2015 immuno-oncology collaboration with Sanofi, partly offset by the Company's share of higher collaboration losses primarily in connection with commercialization of Praluent. Collaboration revenue for the full year 2015 and 2014 also included $15 million and $105 million, respectively, of sales milestone payments from Bayer HealthCare.</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34" w:lineRule="exact"/>
        <w:rPr>
          <w:sz w:val="20"/>
          <w:szCs w:val="20"/>
          <w:color w:val="auto"/>
        </w:rPr>
      </w:pPr>
    </w:p>
    <w:p>
      <w:pPr>
        <w:spacing w:after="0" w:line="247"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In 2015, GAAP R&amp;D expenses were $461 million in the fourth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and $1.621 billion for the full year, compared to $352 million in the fourth quarter and $1.271 billion for full year 2014. The higher 2015 R&amp;D expenses in the fourth quarter and full year were principally due to higher development costs primarily related to dupilumab and higher headcount to support the Company's increased R&amp;D activities. In 2014, GAAP R&amp;D expenses also included the Company's 50% share, or $34 million, of the cost of purchasing a FDA priority review voucher. In addition, in 2015, R&amp;D-related non-cash share-based compensation expense was $73 million for the fourth quarter and $256 million for the full year, compared to $51 million in the fourth quarter and $184 million for the full year 2014.</w:t>
      </w:r>
    </w:p>
    <w:p>
      <w:pPr>
        <w:spacing w:after="0" w:line="227" w:lineRule="exact"/>
        <w:rPr>
          <w:sz w:val="20"/>
          <w:szCs w:val="20"/>
          <w:color w:val="auto"/>
        </w:rPr>
      </w:pPr>
    </w:p>
    <w:p>
      <w:pPr>
        <w:ind w:right="80"/>
        <w:spacing w:after="0" w:line="262" w:lineRule="auto"/>
        <w:rPr>
          <w:sz w:val="20"/>
          <w:szCs w:val="20"/>
          <w:color w:val="auto"/>
        </w:rPr>
      </w:pPr>
      <w:r>
        <w:rPr>
          <w:rFonts w:ascii="Arial" w:cs="Arial" w:eastAsia="Arial" w:hAnsi="Arial"/>
          <w:sz w:val="21"/>
          <w:szCs w:val="21"/>
          <w:b w:val="1"/>
          <w:bCs w:val="1"/>
          <w:color w:val="auto"/>
        </w:rPr>
        <w:t xml:space="preserve">Selling, General, and Administrative (SG&amp;A) Expenses: </w:t>
      </w:r>
      <w:r>
        <w:rPr>
          <w:rFonts w:ascii="Arial" w:cs="Arial" w:eastAsia="Arial" w:hAnsi="Arial"/>
          <w:sz w:val="21"/>
          <w:szCs w:val="21"/>
          <w:color w:val="auto"/>
        </w:rPr>
        <w:t>In 2015, GAAP SG&amp;A expenses were $295 million in the</w:t>
      </w:r>
      <w:r>
        <w:rPr>
          <w:rFonts w:ascii="Arial" w:cs="Arial" w:eastAsia="Arial" w:hAnsi="Arial"/>
          <w:sz w:val="21"/>
          <w:szCs w:val="21"/>
          <w:b w:val="1"/>
          <w:bCs w:val="1"/>
          <w:color w:val="auto"/>
        </w:rPr>
        <w:t xml:space="preserve"> </w:t>
      </w:r>
      <w:r>
        <w:rPr>
          <w:rFonts w:ascii="Arial" w:cs="Arial" w:eastAsia="Arial" w:hAnsi="Arial"/>
          <w:sz w:val="21"/>
          <w:szCs w:val="21"/>
          <w:color w:val="auto"/>
        </w:rPr>
        <w:t>fourth quarter and $839 million for the full year, compared to $175 million in the fourth quarter and $519 million for full year 2014. The increases were primarily due to higher headcount and higher commercialization expenses related to EYLEA and Praluent. These increases were partly offset by a 2014 incremental charge related to the Branded Prescription Drug Fee, based on final regulations issued by the Internal Revenue Service (IRS) in July 2014. In 2015, SG&amp;A-related non-cash share-based compensation expense was $82 million for the fourth quarter and $193 million for the full year, compared to $61 million in the fourth quarter and $135 million for the full year 2014.</w:t>
      </w:r>
    </w:p>
    <w:p>
      <w:pPr>
        <w:spacing w:after="0" w:line="207" w:lineRule="exact"/>
        <w:rPr>
          <w:sz w:val="20"/>
          <w:szCs w:val="20"/>
          <w:color w:val="auto"/>
        </w:rPr>
      </w:pPr>
    </w:p>
    <w:p>
      <w:pPr>
        <w:ind w:right="160"/>
        <w:spacing w:after="0" w:line="274"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In 2015, GAAP COGS was $71 million in the fourth quarter and $242 million for the full</w:t>
      </w:r>
      <w:r>
        <w:rPr>
          <w:rFonts w:ascii="Arial" w:cs="Arial" w:eastAsia="Arial" w:hAnsi="Arial"/>
          <w:sz w:val="22"/>
          <w:szCs w:val="22"/>
          <w:b w:val="1"/>
          <w:bCs w:val="1"/>
          <w:color w:val="auto"/>
        </w:rPr>
        <w:t xml:space="preserve"> </w:t>
      </w:r>
      <w:r>
        <w:rPr>
          <w:rFonts w:ascii="Arial" w:cs="Arial" w:eastAsia="Arial" w:hAnsi="Arial"/>
          <w:sz w:val="22"/>
          <w:szCs w:val="22"/>
          <w:color w:val="auto"/>
        </w:rPr>
        <w:t>year, compared to $38 million in the fourth quarter and $129 million for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8" w:name="page9"/>
    <w:bookmarkEnd w:id="8"/>
    <w:p>
      <w:pPr>
        <w:ind w:right="180"/>
        <w:spacing w:after="0" w:line="245" w:lineRule="auto"/>
        <w:rPr>
          <w:sz w:val="20"/>
          <w:szCs w:val="20"/>
          <w:color w:val="auto"/>
        </w:rPr>
      </w:pPr>
      <w:r>
        <w:rPr>
          <w:rFonts w:ascii="Arial" w:cs="Arial" w:eastAsia="Arial" w:hAnsi="Arial"/>
          <w:sz w:val="22"/>
          <w:szCs w:val="22"/>
          <w:color w:val="auto"/>
        </w:rPr>
        <w:t>the full year 2014. COGS primarily consists of royalties as well as costs in connection with producing U.S. EYLEA commercial supplies, and various start-up costs in connection with the Company's Limerick, Ireland commercial manufacturing facility. COGS increased principally due to the increase in U.S. EYLEA net product sales, as well as an increase in Limerick start-up costs.</w:t>
      </w:r>
    </w:p>
    <w:p>
      <w:pPr>
        <w:spacing w:after="0" w:line="224" w:lineRule="exact"/>
        <w:rPr>
          <w:sz w:val="20"/>
          <w:szCs w:val="20"/>
          <w:color w:val="auto"/>
        </w:rPr>
      </w:pPr>
    </w:p>
    <w:p>
      <w:pPr>
        <w:spacing w:after="0" w:line="249" w:lineRule="auto"/>
        <w:rPr>
          <w:sz w:val="20"/>
          <w:szCs w:val="20"/>
          <w:color w:val="auto"/>
        </w:rPr>
      </w:pPr>
      <w:r>
        <w:rPr>
          <w:rFonts w:ascii="Arial" w:cs="Arial" w:eastAsia="Arial" w:hAnsi="Arial"/>
          <w:sz w:val="22"/>
          <w:szCs w:val="22"/>
          <w:b w:val="1"/>
          <w:bCs w:val="1"/>
          <w:color w:val="auto"/>
        </w:rPr>
        <w:t xml:space="preserve">Cost of Collaboration and Contract Manufacturing (COCM): </w:t>
      </w:r>
      <w:r>
        <w:rPr>
          <w:rFonts w:ascii="Arial" w:cs="Arial" w:eastAsia="Arial" w:hAnsi="Arial"/>
          <w:sz w:val="22"/>
          <w:szCs w:val="22"/>
          <w:color w:val="auto"/>
        </w:rPr>
        <w:t>In 2015, GAAP COCM was $40 million in the fourth</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and $151 million for the full year, compared to $22 million in the fourth quarter and $76 million for the full year 2014. COCM includes costs the Company incurs in connection with producing commercial drug supplies for Sanofi and Bayer HealthCare. COCM increased primarily due to royalties payable to Genentech in connection with sales of EYLEA outside the United States, as well as the recognition of costs associated with commercial supplies of EYLEA manufactured for Bayer HealthCare.</w:t>
      </w:r>
    </w:p>
    <w:p>
      <w:pPr>
        <w:spacing w:after="0" w:line="221"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b w:val="1"/>
          <w:bCs w:val="1"/>
          <w:color w:val="auto"/>
        </w:rPr>
        <w:t xml:space="preserve">Other Income (Expense): </w:t>
      </w:r>
      <w:r>
        <w:rPr>
          <w:rFonts w:ascii="Arial" w:cs="Arial" w:eastAsia="Arial" w:hAnsi="Arial"/>
          <w:sz w:val="22"/>
          <w:szCs w:val="22"/>
          <w:color w:val="auto"/>
        </w:rPr>
        <w:t>In 2015 and 2014, GAAP other expense includes losses on extinguishment of debt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to conversions of a portion of the Company's 1.875% convertible senior notes. In addition, GAAP other expense includes interest expense on the Company's convertible senior notes, which decreased due to conversions of a substantial portion of these notes in 2014 and 2015.</w:t>
      </w:r>
    </w:p>
    <w:p>
      <w:pPr>
        <w:spacing w:after="0" w:line="216"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b w:val="1"/>
          <w:bCs w:val="1"/>
          <w:color w:val="auto"/>
        </w:rPr>
        <w:t xml:space="preserve">Income Tax Expense: </w:t>
      </w:r>
      <w:r>
        <w:rPr>
          <w:rFonts w:ascii="Arial" w:cs="Arial" w:eastAsia="Arial" w:hAnsi="Arial"/>
          <w:sz w:val="21"/>
          <w:szCs w:val="21"/>
          <w:color w:val="auto"/>
        </w:rPr>
        <w:t>In the fourth quarter of 2015, GAAP income tax expense was $72 million and the effective tax</w:t>
      </w:r>
      <w:r>
        <w:rPr>
          <w:rFonts w:ascii="Arial" w:cs="Arial" w:eastAsia="Arial" w:hAnsi="Arial"/>
          <w:sz w:val="21"/>
          <w:szCs w:val="21"/>
          <w:b w:val="1"/>
          <w:bCs w:val="1"/>
          <w:color w:val="auto"/>
        </w:rPr>
        <w:t xml:space="preserve"> </w:t>
      </w:r>
      <w:r>
        <w:rPr>
          <w:rFonts w:ascii="Arial" w:cs="Arial" w:eastAsia="Arial" w:hAnsi="Arial"/>
          <w:sz w:val="21"/>
          <w:szCs w:val="21"/>
          <w:color w:val="auto"/>
        </w:rPr>
        <w:t>rate was 31.8%, compared to $100 million and 52.5% in the fourth quarter of 2014. In 2015, GAAP income tax expense was $589 million and the effective tax rate was 48.1% for the full year, compared to $423 million and 55.6% for the full year 2014. The effective tax rates for the full year of both 2015 and 2014 were negatively impacted, compared to the U.S. federal statutory rate, by losses incurred in foreign jurisdictions with rates lower than the federal statutory rate and the non-tax deductible Branded Prescription Drug Fee, partly offset by the federal tax credit for increased research activities and, in 2015, a higher domestic manufacturing deduction. In the fourth quarter of 2015, the 2015 federal tax credit for increased research activities was enacted retroactive to the beginning of the year.</w:t>
      </w:r>
    </w:p>
    <w:p>
      <w:pPr>
        <w:spacing w:after="0" w:line="209"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b w:val="1"/>
          <w:bCs w:val="1"/>
          <w:color w:val="auto"/>
        </w:rPr>
        <w:t xml:space="preserve">Non-GAAP and GAAP Net Income: </w:t>
      </w:r>
      <w:r>
        <w:rPr>
          <w:rFonts w:ascii="Arial" w:cs="Arial" w:eastAsia="Arial" w:hAnsi="Arial"/>
          <w:sz w:val="21"/>
          <w:szCs w:val="21"/>
          <w:color w:val="auto"/>
        </w:rPr>
        <w:t>The Company reported non-GAAP net income of $327 million, or $3.15 per basic</w:t>
      </w:r>
      <w:r>
        <w:rPr>
          <w:rFonts w:ascii="Arial" w:cs="Arial" w:eastAsia="Arial" w:hAnsi="Arial"/>
          <w:sz w:val="21"/>
          <w:szCs w:val="21"/>
          <w:b w:val="1"/>
          <w:bCs w:val="1"/>
          <w:color w:val="auto"/>
        </w:rPr>
        <w:t xml:space="preserve"> </w:t>
      </w:r>
      <w:r>
        <w:rPr>
          <w:rFonts w:ascii="Arial" w:cs="Arial" w:eastAsia="Arial" w:hAnsi="Arial"/>
          <w:sz w:val="21"/>
          <w:szCs w:val="21"/>
          <w:color w:val="auto"/>
        </w:rPr>
        <w:t>share and $2.83 per diluted share, in the fourth quarter of 2015, compared to non-GAAP net income of $328 million, or $3.23 per basic share and $2.79 per diluted share, in the fourth quarter of 2014. The Company reported non-GAAP net income of $1.404 billion, or $13.62 per basic share and $12.07 per diluted share, for the full year 2015, compared to non-GAAP net income of $1.175 billion, or $11.68 per basic share and $10.00 per diluted share, for the full year 2014.</w:t>
      </w:r>
    </w:p>
    <w:p>
      <w:pPr>
        <w:spacing w:after="0" w:line="232"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The Company reported GAAP net income of $155 million, or $1.49 per basic share and $1.34 per diluted share, in the fourth quarter of 2015, compared to GAAP net income of $90 million, or $0.89 per basic share and $0.78 per diluted share, in the fourth quarter of 2014. The Company reported GAAP net income of $636 million, or $6.17 per basic share and $5.52 per diluted share, for the full year 2015, compared to GAAP net income of $338 million, or $3.36 per basic share and $2.98 per diluted share, for the full year 2014.</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90"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2016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2016 financial guidance consists of the following components:</w:t>
      </w:r>
    </w:p>
    <w:p>
      <w:pPr>
        <w:spacing w:after="0" w:line="112" w:lineRule="exact"/>
        <w:rPr>
          <w:sz w:val="20"/>
          <w:szCs w:val="20"/>
          <w:color w:val="auto"/>
        </w:rPr>
      </w:pPr>
    </w:p>
    <w:tbl>
      <w:tblPr>
        <w:tblLayout w:type="fixed"/>
        <w:tblInd w:w="1310" w:type="dxa"/>
        <w:tblCellMar>
          <w:top w:w="0" w:type="dxa"/>
          <w:left w:w="0" w:type="dxa"/>
          <w:bottom w:w="0" w:type="dxa"/>
          <w:right w:w="0" w:type="dxa"/>
        </w:tblCellMar>
      </w:tblPr>
      <w:tr>
        <w:trPr>
          <w:trHeight w:val="302"/>
        </w:trPr>
        <w:tc>
          <w:tcPr>
            <w:tcW w:w="4880" w:type="dxa"/>
            <w:vAlign w:val="bottom"/>
            <w:tcBorders>
              <w:top w:val="single" w:sz="8" w:color="auto"/>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EYLEA U.S. net product sales</w:t>
            </w:r>
          </w:p>
        </w:tc>
        <w:tc>
          <w:tcPr>
            <w:tcW w:w="400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Approximately 20% growth over 2015</w:t>
            </w:r>
          </w:p>
        </w:tc>
      </w:tr>
      <w:tr>
        <w:trPr>
          <w:trHeight w:val="277"/>
        </w:trPr>
        <w:tc>
          <w:tcPr>
            <w:tcW w:w="4880" w:type="dxa"/>
            <w:vAlign w:val="bottom"/>
            <w:tcBorders>
              <w:top w:val="single" w:sz="8" w:color="auto"/>
              <w:left w:val="single" w:sz="8" w:color="auto"/>
              <w:bottom w:val="single" w:sz="8" w:color="auto"/>
              <w:right w:val="single" w:sz="8" w:color="auto"/>
            </w:tcBorders>
          </w:tcPr>
          <w:p>
            <w:pPr>
              <w:ind w:left="20"/>
              <w:spacing w:after="0" w:line="277"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w:t>
            </w:r>
          </w:p>
        </w:tc>
        <w:tc>
          <w:tcPr>
            <w:tcW w:w="40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$875 million - $950 million</w:t>
            </w:r>
          </w:p>
        </w:tc>
      </w:tr>
      <w:tr>
        <w:trPr>
          <w:trHeight w:val="277"/>
        </w:trPr>
        <w:tc>
          <w:tcPr>
            <w:tcW w:w="4880" w:type="dxa"/>
            <w:vAlign w:val="bottom"/>
            <w:tcBorders>
              <w:left w:val="single" w:sz="8" w:color="auto"/>
              <w:bottom w:val="single" w:sz="8" w:color="auto"/>
              <w:right w:val="single" w:sz="8" w:color="auto"/>
            </w:tcBorders>
            <w:shd w:val="clear" w:color="auto" w:fill="CCEEFF"/>
          </w:tcPr>
          <w:p>
            <w:pPr>
              <w:ind w:left="20"/>
              <w:spacing w:after="0" w:line="277"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w:t>
            </w:r>
          </w:p>
        </w:tc>
        <w:tc>
          <w:tcPr>
            <w:tcW w:w="40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$925 million - $1,000 million</w:t>
            </w:r>
          </w:p>
        </w:tc>
      </w:tr>
      <w:tr>
        <w:trPr>
          <w:trHeight w:val="277"/>
        </w:trPr>
        <w:tc>
          <w:tcPr>
            <w:tcW w:w="4880" w:type="dxa"/>
            <w:vAlign w:val="bottom"/>
            <w:tcBorders>
              <w:left w:val="single" w:sz="8" w:color="auto"/>
              <w:bottom w:val="single" w:sz="8" w:color="auto"/>
              <w:right w:val="single" w:sz="8" w:color="auto"/>
            </w:tcBorders>
          </w:tcPr>
          <w:p>
            <w:pPr>
              <w:ind w:left="20"/>
              <w:spacing w:after="0" w:line="277" w:lineRule="exact"/>
              <w:rPr>
                <w:sz w:val="20"/>
                <w:szCs w:val="20"/>
                <w:color w:val="auto"/>
              </w:rPr>
            </w:pPr>
            <w:r>
              <w:rPr>
                <w:rFonts w:ascii="Arial" w:cs="Arial" w:eastAsia="Arial" w:hAnsi="Arial"/>
                <w:sz w:val="20"/>
                <w:szCs w:val="20"/>
                <w:color w:val="auto"/>
              </w:rPr>
              <w:t>Cash tax as a % of non-GAAP pre-tax income</w:t>
            </w:r>
            <w:r>
              <w:rPr>
                <w:rFonts w:ascii="Arial" w:cs="Arial" w:eastAsia="Arial" w:hAnsi="Arial"/>
                <w:sz w:val="25"/>
                <w:szCs w:val="25"/>
                <w:color w:val="auto"/>
                <w:vertAlign w:val="superscript"/>
              </w:rPr>
              <w:t>(2)</w:t>
            </w:r>
          </w:p>
        </w:tc>
        <w:tc>
          <w:tcPr>
            <w:tcW w:w="4000" w:type="dxa"/>
            <w:vAlign w:val="bottom"/>
            <w:tcBorders>
              <w:bottom w:val="single" w:sz="8" w:color="auto"/>
              <w:right w:val="single" w:sz="8" w:color="auto"/>
            </w:tcBorders>
          </w:tcPr>
          <w:p>
            <w:pPr>
              <w:ind w:left="20"/>
              <w:spacing w:after="0" w:line="277" w:lineRule="exact"/>
              <w:rPr>
                <w:sz w:val="20"/>
                <w:szCs w:val="20"/>
                <w:color w:val="auto"/>
              </w:rPr>
            </w:pPr>
            <w:r>
              <w:rPr>
                <w:rFonts w:ascii="Arial" w:cs="Arial" w:eastAsia="Arial" w:hAnsi="Arial"/>
                <w:sz w:val="20"/>
                <w:szCs w:val="20"/>
                <w:color w:val="auto"/>
              </w:rPr>
              <w:t>35% - 45%</w:t>
            </w:r>
            <w:r>
              <w:rPr>
                <w:rFonts w:ascii="Arial" w:cs="Arial" w:eastAsia="Arial" w:hAnsi="Arial"/>
                <w:sz w:val="25"/>
                <w:szCs w:val="25"/>
                <w:color w:val="auto"/>
                <w:vertAlign w:val="superscript"/>
              </w:rPr>
              <w:t>*</w:t>
            </w:r>
          </w:p>
        </w:tc>
      </w:tr>
      <w:tr>
        <w:trPr>
          <w:trHeight w:val="257"/>
        </w:trPr>
        <w:tc>
          <w:tcPr>
            <w:tcW w:w="48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40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$580 million - $680 million</w:t>
            </w:r>
          </w:p>
        </w:tc>
      </w:tr>
      <w:tr>
        <w:trPr>
          <w:trHeight w:val="20"/>
        </w:trPr>
        <w:tc>
          <w:tcPr>
            <w:tcW w:w="48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0" w:type="dxa"/>
            <w:vAlign w:val="bottom"/>
            <w:tcBorders>
              <w:right w:val="single" w:sz="8" w:color="auto"/>
            </w:tcBorders>
            <w:shd w:val="clear" w:color="auto" w:fill="000000"/>
          </w:tcPr>
          <w:p>
            <w:pPr>
              <w:spacing w:after="0" w:line="20" w:lineRule="exact"/>
              <w:rPr>
                <w:sz w:val="1"/>
                <w:szCs w:val="1"/>
                <w:color w:val="auto"/>
              </w:rPr>
            </w:pPr>
          </w:p>
        </w:tc>
      </w:tr>
    </w:tbl>
    <w:p>
      <w:pPr>
        <w:spacing w:after="0" w:line="121" w:lineRule="exact"/>
        <w:rPr>
          <w:sz w:val="20"/>
          <w:szCs w:val="20"/>
          <w:color w:val="auto"/>
        </w:rPr>
      </w:pPr>
    </w:p>
    <w:p>
      <w:pPr>
        <w:ind w:left="2120" w:hanging="5"/>
        <w:spacing w:after="0" w:line="281" w:lineRule="auto"/>
        <w:tabs>
          <w:tab w:leader="none" w:pos="2228"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Includes a non-recurring tax payment of approximately $222 million related to the immuno-oncology upfront payment from Sanofi that the Company received in 2015.</w:t>
      </w:r>
    </w:p>
    <w:p>
      <w:pPr>
        <w:spacing w:after="0" w:line="1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363" w:right="619" w:bottom="1440" w:gutter="0" w:footer="0" w:header="0"/>
        </w:sectPr>
      </w:pPr>
    </w:p>
    <w:bookmarkStart w:id="10" w:name="page11"/>
    <w:bookmarkEnd w:id="10"/>
    <w:p>
      <w:pPr>
        <w:ind w:left="345" w:right="240" w:hanging="345"/>
        <w:spacing w:after="0" w:line="225"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HealthCare in countries other than Japan and sales by Santen Pharmaceutical Co., Ltd. in Japan under a co-promotion agreement with an affiliate of Bayer HealthCare. The Company recognizes its share of the profits (including a percentage on sales in Japan) from EYLEA sales outside the United States within "Bayer HealthCare collaboration revenue" in its Statements of Operations.</w:t>
      </w:r>
    </w:p>
    <w:p>
      <w:pPr>
        <w:spacing w:after="0" w:line="156"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8"/>
        </w:numPr>
        <w:rPr>
          <w:rFonts w:ascii="Arial" w:cs="Arial" w:eastAsia="Arial" w:hAnsi="Arial"/>
          <w:sz w:val="21"/>
          <w:szCs w:val="21"/>
          <w:color w:val="auto"/>
          <w:vertAlign w:val="superscript"/>
        </w:rPr>
      </w:pPr>
      <w:r>
        <w:rPr>
          <w:rFonts w:ascii="Arial" w:cs="Arial" w:eastAsia="Arial" w:hAnsi="Arial"/>
          <w:sz w:val="19"/>
          <w:szCs w:val="19"/>
          <w:color w:val="auto"/>
        </w:rPr>
        <w:t>This press release uses non-GAAP net income, non-GAAP net income per share, non-GAAP unreimbursed R&amp;D, non-GAAP SG&amp;A, and cash tax as a percentage of non-GAAP pre-tax income, which are financial measures that are not calculated in accordance with U.S. Generally Accepted Accounting Principles ("GAAP"). The Company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the incremental charge recorded in the third quarter of 2014 related to the issuance of the final IRS regulations that provide guidance on the annual fee imposed by the Patient Protection and Affordable Care Act (the final IRS regulations differed from the temporary regulations issued in 2011 which resulted in the recognition of a catch-up adjustment); (iii) non-cash interest expense related to the Company's convertible senior notes, since this is not deemed useful in evaluating the Company's operating performance; (iv) loss on extinguishment of debt, since this non-cash charge is based on factors that are not within the Company's control; and (v) income tax expense for 2014, which was principally a non-cash expense due primarily to utilization of net operating loss and tax credit carryforwards, and deductions related to employee stock option exercises. In 2015, income tax expense adjustments consider the tax effect of reconciling items and an adjustment from GAAP tax expense to the amount of taxes that are paid or payable in cash in respect of the current period. As there is a significant difference between the Company's effective tax rate and actual cash income taxes paid or payable, GAAP income tax expense is not deemed useful in evaluating the Company's operating performance. Non-GAAP unreimbursed R&amp;D represents non-GAAP R&amp;D expenses reduced by R&amp;D expense reimbursements from the Company's collaboration partners.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310" w:lineRule="exact"/>
        <w:rPr>
          <w:rFonts w:ascii="Arial" w:cs="Arial" w:eastAsia="Arial" w:hAnsi="Arial"/>
          <w:sz w:val="21"/>
          <w:szCs w:val="21"/>
          <w:color w:val="auto"/>
          <w:vertAlign w:val="superscript"/>
        </w:rPr>
      </w:pPr>
    </w:p>
    <w:p>
      <w:pPr>
        <w:ind w:left="345" w:right="960" w:hanging="345"/>
        <w:spacing w:after="0" w:line="225"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t>The Company's 2016 financial guidance does not assume the completion of any significant business development transactions not completed as of the date of this press release.</w:t>
      </w:r>
    </w:p>
    <w:p>
      <w:pPr>
        <w:spacing w:after="0" w:line="154" w:lineRule="exact"/>
        <w:rPr>
          <w:rFonts w:ascii="Arial" w:cs="Arial" w:eastAsia="Arial" w:hAnsi="Arial"/>
          <w:sz w:val="22"/>
          <w:szCs w:val="22"/>
          <w:color w:val="auto"/>
          <w:vertAlign w:val="superscript"/>
        </w:rPr>
      </w:pPr>
    </w:p>
    <w:p>
      <w:pPr>
        <w:ind w:left="345" w:right="120" w:hanging="345"/>
        <w:spacing w:after="0" w:line="225"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t>Applicable amounts originally reported for the three months and year ended December 31, 2014 and as of December 31, 2014 have been revised to reflect certain revisions, including a correction to the Company's accounting for certain stock option awards. These revisions consisted entirely of non-cash adjustments and had no impact on the Company's previously reported non-GAAP financial measures, including non-GAAP net income and non-GAAP net income per share. Refer to the Company's Form 10-K for the year ended December 31, 2015 (Notes 1 and 14 of the Notes to Consolidated Financial Statements)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5"/>
          </w:cols>
          <w:pgMar w:left="275" w:top="555"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18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fourth quarter and full year 2015 financial and operating results on Tuesday, February 9, 2016, at 8:30 AM. To access this call, dial (888) 660-6127 (U.S.) or (973) 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commercializes medicines for high LDL-cholesterol, eye diseases, and a rare inflammatory condition and has product candidates in development in other areas of high unmet medical need, including oncology, rheumatoid arthritis, asthma, atopic dermatitis, pain, and infectious diseases.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 xml:space="preserve"> or follow @Regeneron on Twitter.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new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Injection, sarilumab, dupilumab, fasinumab and REGN2222; ongoing regulatory obligations and oversight impacting Regeneron’s marketed products (such as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and Praluent),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64" w:right="279" w:bottom="1440" w:gutter="0" w:footer="0" w:header="0"/>
        </w:sectPr>
      </w:pPr>
    </w:p>
    <w:bookmarkStart w:id="12" w:name="page13"/>
    <w:bookmarkEnd w:id="12"/>
    <w:p>
      <w:pPr>
        <w:ind w:right="20"/>
        <w:spacing w:after="0" w:line="256" w:lineRule="auto"/>
        <w:rPr>
          <w:sz w:val="20"/>
          <w:szCs w:val="20"/>
          <w:color w:val="auto"/>
        </w:rPr>
      </w:pPr>
      <w:r>
        <w:rPr>
          <w:rFonts w:ascii="Arial" w:cs="Arial" w:eastAsia="Arial" w:hAnsi="Arial"/>
          <w:sz w:val="21"/>
          <w:szCs w:val="21"/>
          <w:color w:val="auto"/>
        </w:rPr>
        <w:t>ability of Regeneron to meet any of its sales or other financial projections or guidance and changes to the assumptions underlying those projections or guidance, including without limitation those relating to EYLEA U.S. net product sales, non-GAAP unreimbursed R&amp;D, non-GAAP SG&amp;A, cash tax as a percentage of non-GAAP pre-tax income, and capital expenditures; the potential for any license or collaboration agreement, including Regeneron’s agreements with Sanofi and Bayer HealthCare LLC, to be cancelled or terminated without any further product success; and risks associated with intellectual property of other parties and pending or future litigation relating thereto. A more complete description of these and other material risks can be found in Regeneron’s filings with the U.S. Securities and Exchange Commission, including its Form 10-K for the fiscal year ended December 31, 2014 and its Form 10-Q for the quarterly period ended September 30, 2015.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45" w:lineRule="exact"/>
        <w:rPr>
          <w:sz w:val="20"/>
          <w:szCs w:val="20"/>
          <w:color w:val="auto"/>
        </w:rPr>
      </w:pPr>
    </w:p>
    <w:p>
      <w:pPr>
        <w:ind w:right="26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w:t>
      </w:r>
      <w:r>
        <w:rPr>
          <w:rFonts w:ascii="Arial" w:cs="Arial" w:eastAsia="Arial" w:hAnsi="Arial"/>
          <w:sz w:val="22"/>
          <w:szCs w:val="22"/>
          <w:u w:val="single" w:color="auto"/>
          <w:color w:val="0000FF"/>
        </w:rPr>
        <w:t>http://newsroom.regeneron.com</w:t>
      </w:r>
      <w:r>
        <w:rPr>
          <w:rFonts w:ascii="Arial" w:cs="Arial" w:eastAsia="Arial" w:hAnsi="Arial"/>
          <w:sz w:val="22"/>
          <w:szCs w:val="22"/>
          <w:color w:val="auto"/>
        </w:rPr>
        <w:t>) and its Twitter feed (</w:t>
      </w:r>
      <w:r>
        <w:rPr>
          <w:rFonts w:ascii="Arial" w:cs="Arial" w:eastAsia="Arial" w:hAnsi="Arial"/>
          <w:sz w:val="22"/>
          <w:szCs w:val="22"/>
          <w:u w:val="single" w:color="auto"/>
          <w:color w:val="0000FF"/>
        </w:rPr>
        <w:t>http://twitter.com/regeneron</w:t>
      </w:r>
      <w:r>
        <w:rPr>
          <w:rFonts w:ascii="Arial" w:cs="Arial" w:eastAsia="Arial" w:hAnsi="Arial"/>
          <w:sz w:val="22"/>
          <w:szCs w:val="22"/>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40"/>
          </w:cols>
          <w:pgMar w:left="240" w:top="390" w:right="31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340"/>
          </w:cols>
          <w:pgMar w:left="240" w:top="39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40"/>
          </w:cols>
          <w:pgMar w:left="240" w:top="39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340"/>
          </w:cols>
          <w:pgMar w:left="240" w:top="390" w:right="31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340"/>
          </w:cols>
          <w:pgMar w:left="240" w:top="39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40"/>
          </w:cols>
          <w:pgMar w:left="240" w:top="390" w:right="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TABLE 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0"/>
              <w:spacing w:after="0" w:line="264" w:lineRule="exact"/>
              <w:rPr>
                <w:sz w:val="20"/>
                <w:szCs w:val="20"/>
                <w:color w:val="auto"/>
              </w:rPr>
            </w:pPr>
            <w:r>
              <w:rPr>
                <w:rFonts w:ascii="Arial" w:cs="Arial" w:eastAsia="Arial" w:hAnsi="Arial"/>
                <w:sz w:val="18"/>
                <w:szCs w:val="18"/>
                <w:b w:val="1"/>
                <w:bCs w:val="1"/>
                <w:color w:val="auto"/>
                <w:w w:val="94"/>
              </w:rPr>
              <w:t>2014</w:t>
            </w:r>
            <w:r>
              <w:rPr>
                <w:rFonts w:ascii="Arial" w:cs="Arial" w:eastAsia="Arial" w:hAnsi="Arial"/>
                <w:sz w:val="25"/>
                <w:szCs w:val="25"/>
                <w:b w:val="1"/>
                <w:bCs w:val="1"/>
                <w:color w:val="auto"/>
                <w:w w:val="94"/>
                <w:vertAlign w:val="superscript"/>
              </w:rPr>
              <w:t>*</w:t>
            </w: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marketable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1,677,385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1,360,634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1,152,489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739,379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from Sanofi and Bayer HealthCare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315,304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236,993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461,945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315,416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1,594,120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974,309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169,311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82,080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5,609,132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3,837,672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760,619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619,083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818,166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209,274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Facility lease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364,708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312,291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146,773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3,654,837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2,550,251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5,609,132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3,837,672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60" w:hanging="128"/>
        <w:spacing w:after="0"/>
        <w:tabs>
          <w:tab w:leader="none" w:pos="4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Certain revisions have been made to the amounts originally reported as of December 31, 2014. See note (4) above.</w:t>
      </w:r>
    </w:p>
    <w:p>
      <w:pPr>
        <w:spacing w:after="0" w:line="200" w:lineRule="exact"/>
        <w:rPr>
          <w:rFonts w:ascii="Arial" w:cs="Arial" w:eastAsia="Arial" w:hAnsi="Arial"/>
          <w:sz w:val="16"/>
          <w:szCs w:val="16"/>
          <w:i w:val="1"/>
          <w:iCs w:val="1"/>
          <w:color w:val="auto"/>
        </w:rPr>
      </w:pPr>
    </w:p>
    <w:p>
      <w:pPr>
        <w:spacing w:after="0" w:line="259" w:lineRule="exact"/>
        <w:rPr>
          <w:rFonts w:ascii="Arial" w:cs="Arial" w:eastAsia="Arial" w:hAnsi="Arial"/>
          <w:sz w:val="16"/>
          <w:szCs w:val="16"/>
          <w:i w:val="1"/>
          <w:iCs w:val="1"/>
          <w:color w:val="auto"/>
        </w:rPr>
      </w:pPr>
    </w:p>
    <w:p>
      <w:pPr>
        <w:ind w:left="5620"/>
        <w:spacing w:after="0"/>
        <w:rPr>
          <w:rFonts w:ascii="Arial" w:cs="Arial" w:eastAsia="Arial" w:hAnsi="Arial"/>
          <w:sz w:val="16"/>
          <w:szCs w:val="16"/>
          <w:i w:val="1"/>
          <w:iCs w:val="1"/>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TABLE 2</w:t>
            </w: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30"/>
        </w:trPr>
        <w:tc>
          <w:tcPr>
            <w:tcW w:w="3840" w:type="dxa"/>
            <w:vAlign w:val="bottom"/>
          </w:tcPr>
          <w:p>
            <w:pPr>
              <w:spacing w:after="0"/>
              <w:rPr>
                <w:sz w:val="24"/>
                <w:szCs w:val="24"/>
                <w:color w:val="auto"/>
              </w:rPr>
            </w:pPr>
          </w:p>
        </w:tc>
        <w:tc>
          <w:tcPr>
            <w:tcW w:w="3740" w:type="dxa"/>
            <w:vAlign w:val="bottom"/>
            <w:gridSpan w:val="5"/>
          </w:tcPr>
          <w:p>
            <w:pPr>
              <w:jc w:val="center"/>
              <w:spacing w:after="0"/>
              <w:rPr>
                <w:sz w:val="20"/>
                <w:szCs w:val="20"/>
                <w:color w:val="auto"/>
              </w:rPr>
            </w:pPr>
            <w:r>
              <w:rPr>
                <w:rFonts w:ascii="Arial" w:cs="Arial" w:eastAsia="Arial" w:hAnsi="Arial"/>
                <w:sz w:val="18"/>
                <w:szCs w:val="18"/>
                <w:b w:val="1"/>
                <w:bCs w:val="1"/>
                <w:color w:val="auto"/>
              </w:rPr>
              <w:t>REGENERON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9000" w:type="dxa"/>
            <w:vAlign w:val="bottom"/>
            <w:gridSpan w:val="9"/>
          </w:tcPr>
          <w:p>
            <w:pPr>
              <w:jc w:val="center"/>
              <w:ind w:left="235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p>
        </w:tc>
        <w:tc>
          <w:tcPr>
            <w:tcW w:w="3280" w:type="dxa"/>
            <w:vAlign w:val="bottom"/>
            <w:gridSpan w:val="4"/>
          </w:tcPr>
          <w:p>
            <w:pPr>
              <w:jc w:val="center"/>
              <w:ind w:left="39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76"/>
        </w:trPr>
        <w:tc>
          <w:tcPr>
            <w:tcW w:w="3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920" w:type="dxa"/>
            <w:vAlign w:val="bottom"/>
          </w:tcPr>
          <w:p>
            <w:pPr>
              <w:spacing w:after="0"/>
              <w:rPr>
                <w:sz w:val="24"/>
                <w:szCs w:val="24"/>
                <w:color w:val="auto"/>
              </w:rPr>
            </w:pPr>
          </w:p>
        </w:tc>
      </w:tr>
      <w:tr>
        <w:trPr>
          <w:trHeight w:val="234"/>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1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w w:val="85"/>
              </w:rPr>
              <w:t>2014</w:t>
            </w:r>
            <w:r>
              <w:rPr>
                <w:rFonts w:ascii="Arial" w:cs="Arial" w:eastAsia="Arial" w:hAnsi="Arial"/>
                <w:sz w:val="25"/>
                <w:szCs w:val="25"/>
                <w:b w:val="1"/>
                <w:bCs w:val="1"/>
                <w:color w:val="auto"/>
                <w:w w:val="85"/>
                <w:vertAlign w:val="superscript"/>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w w:val="90"/>
              </w:rPr>
              <w:t>2014</w:t>
            </w:r>
            <w:r>
              <w:rPr>
                <w:rFonts w:ascii="Arial" w:cs="Arial" w:eastAsia="Arial" w:hAnsi="Arial"/>
                <w:sz w:val="25"/>
                <w:szCs w:val="25"/>
                <w:b w:val="1"/>
                <w:bCs w:val="1"/>
                <w:color w:val="auto"/>
                <w:w w:val="90"/>
                <w:vertAlign w:val="superscript"/>
              </w:rPr>
              <w:t>*</w:t>
            </w: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749,524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521,518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2,689,478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1,750,762</w:t>
            </w:r>
          </w:p>
        </w:tc>
      </w:tr>
      <w:tr>
        <w:trPr>
          <w:trHeight w:val="27"/>
        </w:trPr>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1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541,299</w:t>
            </w: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Bayer HealthCare collaboration revenue</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164,809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137,095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580,488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495,555</w:t>
            </w:r>
          </w:p>
        </w:tc>
      </w:tr>
      <w:tr>
        <w:trPr>
          <w:trHeight w:val="27"/>
        </w:trPr>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74,889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31,941</w:t>
            </w:r>
          </w:p>
        </w:tc>
      </w:tr>
      <w:tr>
        <w:trPr>
          <w:trHeight w:val="237"/>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1,098,077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802,329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4,103,728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2,819,557</w:t>
            </w:r>
          </w:p>
        </w:tc>
      </w:tr>
      <w:tr>
        <w:trPr>
          <w:trHeight w:val="27"/>
        </w:trPr>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461,210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351,745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1,620,577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1,271,353</w:t>
            </w:r>
          </w:p>
        </w:tc>
      </w:tr>
      <w:tr>
        <w:trPr>
          <w:trHeight w:val="27"/>
        </w:trPr>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838,526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519,267</w:t>
            </w: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71,078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37,957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241,702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129,030</w:t>
            </w:r>
          </w:p>
        </w:tc>
      </w:tr>
      <w:tr>
        <w:trPr>
          <w:trHeight w:val="27"/>
        </w:trPr>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Cost of collaboration and contract manufacturing</w:t>
            </w:r>
          </w:p>
        </w:tc>
        <w:tc>
          <w:tcPr>
            <w:tcW w:w="1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39,753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151,007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75,988</w:t>
            </w:r>
          </w:p>
        </w:tc>
      </w:tr>
      <w:tr>
        <w:trPr>
          <w:trHeight w:val="237"/>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866,995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586,526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2,851,812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1,995,638</w:t>
            </w:r>
          </w:p>
        </w:tc>
      </w:tr>
      <w:tr>
        <w:trPr>
          <w:trHeight w:val="27"/>
        </w:trPr>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231,082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215,803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1,251,916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823,919</w:t>
            </w:r>
          </w:p>
        </w:tc>
      </w:tr>
      <w:tr>
        <w:trPr>
          <w:trHeight w:val="27"/>
        </w:trPr>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and other income (expense)</w:t>
            </w:r>
          </w:p>
        </w:tc>
        <w:tc>
          <w:tcPr>
            <w:tcW w:w="1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8,157</w:t>
            </w: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(37,372)</w:t>
            </w:r>
          </w:p>
        </w:tc>
      </w:tr>
      <w:tr>
        <w:trPr>
          <w:trHeight w:val="27"/>
        </w:trPr>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1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(33,469)</w:t>
            </w:r>
          </w:p>
        </w:tc>
      </w:tr>
      <w:tr>
        <w:trPr>
          <w:trHeight w:val="237"/>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(26,819)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(62,684)</w:t>
            </w:r>
          </w:p>
        </w:tc>
      </w:tr>
      <w:tr>
        <w:trPr>
          <w:trHeight w:val="27"/>
        </w:trPr>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227,289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189,723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1,225,097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761,235</w:t>
            </w:r>
          </w:p>
        </w:tc>
      </w:tr>
      <w:tr>
        <w:trPr>
          <w:trHeight w:val="27"/>
        </w:trPr>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38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(72,295)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(589,041)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(423,109)</w:t>
            </w:r>
          </w:p>
        </w:tc>
      </w:tr>
      <w:tr>
        <w:trPr>
          <w:trHeight w:val="27"/>
        </w:trPr>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304"/>
        </w:trPr>
        <w:tc>
          <w:tcPr>
            <w:tcW w:w="3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154,994</w:t>
            </w:r>
          </w:p>
        </w:tc>
        <w:tc>
          <w:tcPr>
            <w:tcW w:w="12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90,095</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636,056</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338,126</w:t>
            </w:r>
          </w:p>
        </w:tc>
      </w:tr>
      <w:tr>
        <w:trPr>
          <w:trHeight w:val="311"/>
        </w:trPr>
        <w:tc>
          <w:tcPr>
            <w:tcW w:w="3840" w:type="dxa"/>
            <w:vAlign w:val="bottom"/>
            <w:tcBorders>
              <w:top w:val="single" w:sz="8" w:color="CCEEFF"/>
            </w:tcBorders>
            <w:shd w:val="clear" w:color="auto" w:fill="CCEEFF"/>
          </w:tcPr>
          <w:p>
            <w:pPr>
              <w:spacing w:after="0"/>
              <w:rPr>
                <w:sz w:val="24"/>
                <w:szCs w:val="24"/>
                <w:color w:val="auto"/>
              </w:rPr>
            </w:pPr>
          </w:p>
        </w:tc>
        <w:tc>
          <w:tcPr>
            <w:tcW w:w="17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324"/>
        </w:trPr>
        <w:tc>
          <w:tcPr>
            <w:tcW w:w="3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101,467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100,612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115,496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114,246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115,230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113,413</w:t>
            </w:r>
          </w:p>
        </w:tc>
      </w:tr>
    </w:tbl>
    <w:p>
      <w:pPr>
        <w:spacing w:after="0" w:line="233" w:lineRule="exact"/>
        <w:rPr>
          <w:sz w:val="20"/>
          <w:szCs w:val="20"/>
          <w:color w:val="auto"/>
        </w:rPr>
      </w:pPr>
    </w:p>
    <w:p>
      <w:pPr>
        <w:ind w:left="300" w:hanging="130"/>
        <w:spacing w:after="0"/>
        <w:tabs>
          <w:tab w:leader="none" w:pos="30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Certain revisions have been made to the amounts originally reported for the three months and year ended December 31, 2014. See note (4) above.</w:t>
      </w:r>
    </w:p>
    <w:p>
      <w:pPr>
        <w:spacing w:after="0" w:line="200" w:lineRule="exact"/>
        <w:rPr>
          <w:rFonts w:ascii="Arial" w:cs="Arial" w:eastAsia="Arial" w:hAnsi="Arial"/>
          <w:sz w:val="16"/>
          <w:szCs w:val="16"/>
          <w:i w:val="1"/>
          <w:iCs w:val="1"/>
          <w:color w:val="auto"/>
        </w:rPr>
      </w:pPr>
    </w:p>
    <w:p>
      <w:pPr>
        <w:spacing w:after="0" w:line="259" w:lineRule="exact"/>
        <w:rPr>
          <w:rFonts w:ascii="Arial" w:cs="Arial" w:eastAsia="Arial" w:hAnsi="Arial"/>
          <w:sz w:val="16"/>
          <w:szCs w:val="16"/>
          <w:i w:val="1"/>
          <w:iCs w:val="1"/>
          <w:color w:val="auto"/>
        </w:rPr>
      </w:pPr>
    </w:p>
    <w:p>
      <w:pPr>
        <w:ind w:left="5620"/>
        <w:spacing w:after="0"/>
        <w:rPr>
          <w:rFonts w:ascii="Arial" w:cs="Arial" w:eastAsia="Arial" w:hAnsi="Arial"/>
          <w:sz w:val="16"/>
          <w:szCs w:val="16"/>
          <w:i w:val="1"/>
          <w:iCs w:val="1"/>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TABLE 3</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30"/>
        </w:trPr>
        <w:tc>
          <w:tcPr>
            <w:tcW w:w="7580" w:type="dxa"/>
            <w:vAlign w:val="bottom"/>
            <w:gridSpan w:val="5"/>
          </w:tcPr>
          <w:p>
            <w:pPr>
              <w:jc w:val="center"/>
              <w:ind w:left="3750"/>
              <w:spacing w:after="0"/>
              <w:rPr>
                <w:sz w:val="20"/>
                <w:szCs w:val="20"/>
                <w:color w:val="auto"/>
              </w:rPr>
            </w:pPr>
            <w:r>
              <w:rPr>
                <w:rFonts w:ascii="Arial" w:cs="Arial" w:eastAsia="Arial" w:hAnsi="Arial"/>
                <w:sz w:val="18"/>
                <w:szCs w:val="18"/>
                <w:b w:val="1"/>
                <w:bCs w:val="1"/>
                <w:color w:val="auto"/>
              </w:rPr>
              <w:t>REGENERON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10060" w:type="dxa"/>
            <w:vAlign w:val="bottom"/>
            <w:gridSpan w:val="10"/>
          </w:tcPr>
          <w:p>
            <w:pPr>
              <w:jc w:val="center"/>
              <w:ind w:left="129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120" w:type="dxa"/>
            <w:vAlign w:val="bottom"/>
            <w:gridSpan w:val="4"/>
          </w:tcPr>
          <w:p>
            <w:pPr>
              <w:jc w:val="center"/>
              <w:ind w:left="423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76"/>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920" w:type="dxa"/>
            <w:vAlign w:val="bottom"/>
          </w:tcPr>
          <w:p>
            <w:pPr>
              <w:spacing w:after="0"/>
              <w:rPr>
                <w:sz w:val="24"/>
                <w:szCs w:val="24"/>
                <w:color w:val="auto"/>
              </w:rPr>
            </w:pP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w w:val="85"/>
              </w:rPr>
              <w:t>2014</w:t>
            </w:r>
            <w:r>
              <w:rPr>
                <w:rFonts w:ascii="Arial" w:cs="Arial" w:eastAsia="Arial" w:hAnsi="Arial"/>
                <w:sz w:val="25"/>
                <w:szCs w:val="25"/>
                <w:b w:val="1"/>
                <w:bCs w:val="1"/>
                <w:color w:val="auto"/>
                <w:w w:val="85"/>
                <w:vertAlign w:val="superscript"/>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w w:val="90"/>
              </w:rPr>
              <w:t>2014</w:t>
            </w:r>
            <w:r>
              <w:rPr>
                <w:rFonts w:ascii="Arial" w:cs="Arial" w:eastAsia="Arial" w:hAnsi="Arial"/>
                <w:sz w:val="25"/>
                <w:szCs w:val="25"/>
                <w:b w:val="1"/>
                <w:bCs w:val="1"/>
                <w:color w:val="auto"/>
                <w:w w:val="90"/>
                <w:vertAlign w:val="superscript"/>
              </w:rPr>
              <w:t>*</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636,056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338,126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184,347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SG&amp;A: Non-cash share-based compensation expense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82,212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61,095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193,026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134,715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Branded Prescription Drug Fee incremental charge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COGS and COCM: Non-cash share-based compensation expense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2,688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Interest expense: Non-cash interest related to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 expense: Loss on extinguishment of debt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22,682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33,469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287,110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423,109</w:t>
            </w: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326,793</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327,799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1,403,894</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1,174,875</w:t>
            </w:r>
          </w:p>
        </w:tc>
      </w:tr>
      <w:tr>
        <w:trPr>
          <w:trHeight w:val="311"/>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11.68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103,765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101,467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103,061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100,612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(b)</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115,639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117,825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116,355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117,966</w:t>
            </w:r>
          </w:p>
        </w:tc>
      </w:tr>
    </w:tbl>
    <w:p>
      <w:pPr>
        <w:spacing w:after="0" w:line="179" w:lineRule="exact"/>
        <w:rPr>
          <w:sz w:val="20"/>
          <w:szCs w:val="20"/>
          <w:color w:val="auto"/>
        </w:rPr>
      </w:pPr>
    </w:p>
    <w:p>
      <w:pPr>
        <w:ind w:left="300" w:hanging="130"/>
        <w:spacing w:after="0"/>
        <w:tabs>
          <w:tab w:leader="none" w:pos="300" w:val="left"/>
        </w:tabs>
        <w:numPr>
          <w:ilvl w:val="1"/>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Certain revisions have been made to the amounts originally reported for the three months and year ended December 31, 2014. See note (4) above.</w:t>
      </w:r>
    </w:p>
    <w:p>
      <w:pPr>
        <w:spacing w:after="0" w:line="378" w:lineRule="exact"/>
        <w:rPr>
          <w:rFonts w:ascii="Arial" w:cs="Arial" w:eastAsia="Arial" w:hAnsi="Arial"/>
          <w:sz w:val="16"/>
          <w:szCs w:val="16"/>
          <w:i w:val="1"/>
          <w:iCs w:val="1"/>
          <w:color w:val="auto"/>
        </w:rPr>
      </w:pPr>
    </w:p>
    <w:p>
      <w:pPr>
        <w:ind w:left="380" w:right="60" w:hanging="345"/>
        <w:spacing w:after="0" w:line="264" w:lineRule="auto"/>
        <w:tabs>
          <w:tab w:leader="none" w:pos="380" w:val="left"/>
        </w:tabs>
        <w:numPr>
          <w:ilvl w:val="0"/>
          <w:numId w:val="11"/>
        </w:numPr>
        <w:rPr>
          <w:rFonts w:ascii="Arial" w:cs="Arial" w:eastAsia="Arial" w:hAnsi="Arial"/>
          <w:sz w:val="13"/>
          <w:szCs w:val="13"/>
          <w:color w:val="auto"/>
        </w:rPr>
      </w:pPr>
      <w:r>
        <w:rPr>
          <w:rFonts w:ascii="Arial" w:cs="Arial" w:eastAsia="Arial" w:hAnsi="Arial"/>
          <w:sz w:val="18"/>
          <w:szCs w:val="18"/>
          <w:color w:val="auto"/>
        </w:rPr>
        <w:t>For diluted non-GAAP net income per share calculation, excludes $5.0 million of interest expense for the year ended December 31, 2014 related to the contractual coupon interest rate on the Company's 1.875% convertible senior notes, since these securities were dilutive. Such amounts were not material for the three months ended December 31, 2015 and 2014, and for the year ended December 31, 2015.</w:t>
      </w:r>
    </w:p>
    <w:p>
      <w:pPr>
        <w:spacing w:after="0" w:line="140" w:lineRule="exact"/>
        <w:rPr>
          <w:rFonts w:ascii="Arial" w:cs="Arial" w:eastAsia="Arial" w:hAnsi="Arial"/>
          <w:sz w:val="13"/>
          <w:szCs w:val="13"/>
          <w:color w:val="auto"/>
        </w:rPr>
      </w:pPr>
    </w:p>
    <w:p>
      <w:pPr>
        <w:ind w:left="380" w:right="40" w:hanging="345"/>
        <w:spacing w:after="0" w:line="277" w:lineRule="auto"/>
        <w:tabs>
          <w:tab w:leader="none" w:pos="380" w:val="left"/>
        </w:tabs>
        <w:numPr>
          <w:ilvl w:val="0"/>
          <w:numId w:val="11"/>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TABLE 4</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4"/>
        </w:trPr>
        <w:tc>
          <w:tcPr>
            <w:tcW w:w="7600" w:type="dxa"/>
            <w:vAlign w:val="bottom"/>
            <w:gridSpan w:val="6"/>
          </w:tcPr>
          <w:p>
            <w:pPr>
              <w:jc w:val="center"/>
              <w:ind w:left="3730"/>
              <w:spacing w:after="0"/>
              <w:rPr>
                <w:sz w:val="20"/>
                <w:szCs w:val="20"/>
                <w:color w:val="auto"/>
              </w:rPr>
            </w:pPr>
            <w:r>
              <w:rPr>
                <w:rFonts w:ascii="Arial" w:cs="Arial" w:eastAsia="Arial" w:hAnsi="Arial"/>
                <w:sz w:val="18"/>
                <w:szCs w:val="18"/>
                <w:b w:val="1"/>
                <w:bCs w:val="1"/>
                <w:color w:val="auto"/>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7600" w:type="dxa"/>
            <w:vAlign w:val="bottom"/>
            <w:gridSpan w:val="6"/>
          </w:tcPr>
          <w:p>
            <w:pPr>
              <w:jc w:val="center"/>
              <w:ind w:left="3730"/>
              <w:spacing w:after="0"/>
              <w:rPr>
                <w:sz w:val="20"/>
                <w:szCs w:val="20"/>
                <w:color w:val="auto"/>
              </w:rPr>
            </w:pPr>
            <w:r>
              <w:rPr>
                <w:rFonts w:ascii="Arial" w:cs="Arial" w:eastAsia="Arial" w:hAnsi="Arial"/>
                <w:sz w:val="18"/>
                <w:szCs w:val="18"/>
                <w:b w:val="1"/>
                <w:bCs w:val="1"/>
                <w:color w:val="auto"/>
                <w:w w:val="98"/>
              </w:rPr>
              <w:t>COLLABORATION REVENUE (Unaudited)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40" w:type="dxa"/>
            <w:vAlign w:val="bottom"/>
          </w:tcPr>
          <w:p>
            <w:pPr>
              <w:spacing w:after="0"/>
              <w:rPr>
                <w:sz w:val="20"/>
                <w:szCs w:val="20"/>
                <w:color w:val="auto"/>
              </w:rPr>
            </w:pPr>
          </w:p>
        </w:tc>
        <w:tc>
          <w:tcPr>
            <w:tcW w:w="1980" w:type="dxa"/>
            <w:vAlign w:val="bottom"/>
            <w:gridSpan w:val="4"/>
          </w:tcPr>
          <w:p>
            <w:pPr>
              <w:jc w:val="center"/>
              <w:ind w:right="840"/>
              <w:spacing w:after="0"/>
              <w:rPr>
                <w:sz w:val="20"/>
                <w:szCs w:val="20"/>
                <w:color w:val="auto"/>
              </w:rPr>
            </w:pPr>
            <w:r>
              <w:rPr>
                <w:rFonts w:ascii="Arial" w:cs="Arial" w:eastAsia="Arial" w:hAnsi="Arial"/>
                <w:sz w:val="18"/>
                <w:szCs w:val="18"/>
                <w:b w:val="1"/>
                <w:bCs w:val="1"/>
                <w:i w:val="1"/>
                <w:iCs w:val="1"/>
                <w:color w:val="auto"/>
                <w:w w:val="88"/>
              </w:rPr>
              <w:t>(In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6"/>
        </w:trPr>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4"/>
                <w:szCs w:val="24"/>
                <w:color w:val="auto"/>
              </w:rPr>
            </w:pPr>
          </w:p>
        </w:tc>
      </w:tr>
      <w:tr>
        <w:trPr>
          <w:trHeight w:val="234"/>
        </w:trPr>
        <w:tc>
          <w:tcPr>
            <w:tcW w:w="5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w w:val="90"/>
              </w:rPr>
              <w:t>Regeneron's share of losses in connection with commercialization of</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antibodies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(96,459)</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(24,253)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(240,042)</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(41,378)</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Reimbursement of Regeneron research and development expenses</w:t>
            </w: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776,086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552,567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w w:val="92"/>
              </w:rPr>
              <w:t>Reimbursement of Regeneron commercialization-related expenses</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68,205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157,350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19,480</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65,479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10,630</w:t>
            </w: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4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165,672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135,271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758,873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541,299</w:t>
            </w:r>
          </w:p>
        </w:tc>
      </w:tr>
      <w:tr>
        <w:trPr>
          <w:trHeight w:val="27"/>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5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Bayer HealthCare collaboration revenue:</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Regeneron's net profit in connection with commercialization of EYLEA</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outside the United States</w:t>
            </w:r>
          </w:p>
        </w:tc>
        <w:tc>
          <w:tcPr>
            <w:tcW w:w="4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140,100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466,667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301,302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Sales milestones</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105,000</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Cost-sharing of Regeneron development expenses</w:t>
            </w: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20,745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79,859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63,022</w:t>
            </w:r>
          </w:p>
        </w:tc>
      </w:tr>
      <w:tr>
        <w:trPr>
          <w:trHeight w:val="27"/>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Bayer HealthCare collaboration revenue</w:t>
            </w:r>
          </w:p>
        </w:tc>
        <w:tc>
          <w:tcPr>
            <w:tcW w:w="4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164,809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137,095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580,488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495,555</w:t>
            </w:r>
          </w:p>
        </w:tc>
      </w:tr>
      <w:tr>
        <w:trPr>
          <w:trHeight w:val="318"/>
        </w:trPr>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64"/>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collaboration revenue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330,481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272,366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1,339,361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1,036,854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5140" w:type="dxa"/>
            <w:vAlign w:val="bottom"/>
          </w:tcPr>
          <w:p>
            <w:pPr>
              <w:spacing w:after="0"/>
              <w:rPr>
                <w:sz w:val="24"/>
                <w:szCs w:val="24"/>
                <w:color w:val="auto"/>
              </w:rPr>
            </w:pPr>
          </w:p>
        </w:tc>
        <w:tc>
          <w:tcPr>
            <w:tcW w:w="82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2019-12-05T23:53:10Z</dcterms:created>
  <dcterms:modified xsi:type="dcterms:W3CDTF">2019-12-05T23:53:10Z</dcterms:modified>
</cp:coreProperties>
</file>