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Filed pursuant to Rule No. 424(b)(3)</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File Number 333-74464</w:t>
      </w:r>
    </w:p>
    <w:p>
      <w:pPr>
        <w:spacing w:after="0" w:line="200" w:lineRule="exact"/>
        <w:rPr>
          <w:sz w:val="20"/>
          <w:szCs w:val="20"/>
          <w:color w:val="auto"/>
        </w:rPr>
      </w:pPr>
    </w:p>
    <w:p>
      <w:pPr>
        <w:spacing w:after="0" w:line="249"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PROSPECTUS SUPPLEMENT NO. 9</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Regeneron Pharmaceuticals, Inc.</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$200,000,000</w:t>
      </w:r>
    </w:p>
    <w:p>
      <w:pPr>
        <w:spacing w:after="0" w:line="206"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5.50% Convertible Senior Subordinated Notes due 2008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Shares of Common Stock Issuable upon Conversion of the Notes</w:t>
      </w:r>
    </w:p>
    <w:p>
      <w:pPr>
        <w:spacing w:after="0" w:line="188" w:lineRule="exact"/>
        <w:rPr>
          <w:sz w:val="20"/>
          <w:szCs w:val="20"/>
          <w:color w:val="auto"/>
        </w:rPr>
      </w:pPr>
    </w:p>
    <w:p>
      <w:pPr>
        <w:ind w:right="120" w:firstLine="320"/>
        <w:spacing w:after="0" w:line="279" w:lineRule="auto"/>
        <w:rPr>
          <w:sz w:val="20"/>
          <w:szCs w:val="20"/>
          <w:color w:val="auto"/>
        </w:rPr>
      </w:pPr>
      <w:r>
        <w:rPr>
          <w:rFonts w:ascii="Arial" w:cs="Arial" w:eastAsia="Arial" w:hAnsi="Arial"/>
          <w:sz w:val="19"/>
          <w:szCs w:val="19"/>
          <w:color w:val="auto"/>
        </w:rPr>
        <w:t>This prospectus supplement supplements the prospectus dated January 24, 2002 of Regeneron Pharmaceuticals, Inc. relating to the sale by certain of our securityholders (including their pledges,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table of selling securityholders contained in the prospectus is hereby modified to add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Principal</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Amount at</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of Common Stock</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Maturity of Notes</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Notes</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that may</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Common Stock</w:t>
            </w:r>
          </w:p>
        </w:tc>
      </w:tr>
      <w:tr>
        <w:trPr>
          <w:trHeight w:val="228"/>
        </w:trPr>
        <w:tc>
          <w:tcPr>
            <w:tcW w:w="3320" w:type="dxa"/>
            <w:vAlign w:val="bottom"/>
          </w:tcPr>
          <w:p>
            <w:pPr>
              <w:ind w:left="144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that may be Sold</w:t>
            </w: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2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be Sold(1)</w:t>
            </w:r>
          </w:p>
        </w:tc>
        <w:tc>
          <w:tcPr>
            <w:tcW w:w="2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Outstanding(2)</w:t>
            </w:r>
          </w:p>
        </w:tc>
      </w:tr>
      <w:tr>
        <w:trPr>
          <w:trHeight w:val="110"/>
        </w:trPr>
        <w:tc>
          <w:tcPr>
            <w:tcW w:w="33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316"/>
        </w:trPr>
        <w:tc>
          <w:tcPr>
            <w:tcW w:w="3320" w:type="dxa"/>
            <w:vAlign w:val="bottom"/>
          </w:tcPr>
          <w:p>
            <w:pPr>
              <w:spacing w:after="0"/>
              <w:rPr>
                <w:sz w:val="20"/>
                <w:szCs w:val="20"/>
                <w:color w:val="auto"/>
              </w:rPr>
            </w:pPr>
            <w:r>
              <w:rPr>
                <w:rFonts w:ascii="Arial" w:cs="Arial" w:eastAsia="Arial" w:hAnsi="Arial"/>
                <w:sz w:val="18"/>
                <w:szCs w:val="18"/>
                <w:color w:val="auto"/>
              </w:rPr>
              <w:t>CIBC World Markets</w:t>
            </w:r>
          </w:p>
        </w:tc>
        <w:tc>
          <w:tcPr>
            <w:tcW w:w="258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$2,500,000</w:t>
            </w:r>
          </w:p>
        </w:tc>
        <w:tc>
          <w:tcPr>
            <w:tcW w:w="1680" w:type="dxa"/>
            <w:vAlign w:val="bottom"/>
            <w:gridSpan w:val="2"/>
          </w:tcPr>
          <w:p>
            <w:pPr>
              <w:jc w:val="right"/>
              <w:ind w:right="292"/>
              <w:spacing w:after="0"/>
              <w:rPr>
                <w:sz w:val="20"/>
                <w:szCs w:val="20"/>
                <w:color w:val="auto"/>
              </w:rPr>
            </w:pPr>
            <w:r>
              <w:rPr>
                <w:rFonts w:ascii="Arial" w:cs="Arial" w:eastAsia="Arial" w:hAnsi="Arial"/>
                <w:sz w:val="18"/>
                <w:szCs w:val="18"/>
                <w:color w:val="auto"/>
              </w:rPr>
              <w:t>1.25%</w:t>
            </w:r>
          </w:p>
        </w:tc>
        <w:tc>
          <w:tcPr>
            <w:tcW w:w="2220" w:type="dxa"/>
            <w:vAlign w:val="bottom"/>
            <w:gridSpan w:val="2"/>
          </w:tcPr>
          <w:p>
            <w:pPr>
              <w:jc w:val="right"/>
              <w:ind w:right="572"/>
              <w:spacing w:after="0"/>
              <w:rPr>
                <w:sz w:val="20"/>
                <w:szCs w:val="20"/>
                <w:color w:val="auto"/>
              </w:rPr>
            </w:pPr>
            <w:r>
              <w:rPr>
                <w:rFonts w:ascii="Arial" w:cs="Arial" w:eastAsia="Arial" w:hAnsi="Arial"/>
                <w:sz w:val="18"/>
                <w:szCs w:val="18"/>
                <w:color w:val="auto"/>
              </w:rPr>
              <w:t>82,641</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Less than one percent (1%).</w:t>
      </w:r>
    </w:p>
    <w:p>
      <w:pPr>
        <w:spacing w:after="0" w:line="206" w:lineRule="exact"/>
        <w:rPr>
          <w:sz w:val="20"/>
          <w:szCs w:val="20"/>
          <w:color w:val="auto"/>
        </w:rPr>
      </w:pPr>
    </w:p>
    <w:p>
      <w:pPr>
        <w:ind w:left="460" w:right="20" w:hanging="452"/>
        <w:spacing w:after="0" w:line="238" w:lineRule="auto"/>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212" w:lineRule="exact"/>
        <w:rPr>
          <w:rFonts w:ascii="Arial" w:cs="Arial" w:eastAsia="Arial" w:hAnsi="Arial"/>
          <w:sz w:val="22"/>
          <w:szCs w:val="22"/>
          <w:color w:val="auto"/>
        </w:rPr>
      </w:pPr>
    </w:p>
    <w:p>
      <w:pPr>
        <w:ind w:left="460" w:right="340" w:hanging="452"/>
        <w:spacing w:after="0" w:line="297"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9"/>
          <w:szCs w:val="19"/>
          <w:color w:val="auto"/>
        </w:rPr>
        <w:t>Calculated based on Rule 13d-3(d)(i) of the Exchange Act, using 53,197,081 shares of common stock outstanding as of December 31, 2003. In calculating this amount for each holder, we treated as outstanding the number of shares of common stock issuable upon conversion of all that holder’s notes, but we did not assume conversion of any other holder’s notes.</w:t>
      </w:r>
    </w:p>
    <w:p>
      <w:pPr>
        <w:spacing w:after="0" w:line="134" w:lineRule="exact"/>
        <w:rPr>
          <w:sz w:val="20"/>
          <w:szCs w:val="20"/>
          <w:color w:val="auto"/>
        </w:rPr>
      </w:pPr>
    </w:p>
    <w:p>
      <w:pPr>
        <w:ind w:right="300" w:firstLine="324"/>
        <w:spacing w:after="0" w:line="251" w:lineRule="auto"/>
        <w:rPr>
          <w:sz w:val="20"/>
          <w:szCs w:val="20"/>
          <w:color w:val="auto"/>
        </w:rPr>
      </w:pPr>
      <w:r>
        <w:rPr>
          <w:rFonts w:ascii="Arial" w:cs="Arial" w:eastAsia="Arial" w:hAnsi="Arial"/>
          <w:sz w:val="22"/>
          <w:szCs w:val="22"/>
          <w:color w:val="auto"/>
        </w:rPr>
        <w:t>Investing in the notes or shares of common stock involves risks that are described in the “Risk Factors” section beginning on page 5 of the prospectus.</w:t>
      </w:r>
    </w:p>
    <w:p>
      <w:pPr>
        <w:spacing w:after="0" w:line="167" w:lineRule="exact"/>
        <w:rPr>
          <w:sz w:val="20"/>
          <w:szCs w:val="20"/>
          <w:color w:val="auto"/>
        </w:rPr>
      </w:pPr>
    </w:p>
    <w:p>
      <w:pPr>
        <w:ind w:right="120" w:firstLine="324"/>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date of this prospectus supplement is April 28, 2004</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2019-12-20T02:31:23Z</dcterms:created>
  <dcterms:modified xsi:type="dcterms:W3CDTF">2019-12-20T02:31:23Z</dcterms:modified>
</cp:coreProperties>
</file>