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5744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74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Bassler Bonnie L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REGENERON PHARMACEUTICALS,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840" w:type="dxa"/>
            <w:vAlign w:val="bottom"/>
            <w:gridSpan w:val="5"/>
            <w:vMerge w:val="restart"/>
          </w:tcPr>
          <w:p>
            <w:pPr>
              <w:ind w:left="60"/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3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360" w:right="540" w:hanging="239"/>
        <w:spacing w:after="0" w:line="189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2"/>
          <w:szCs w:val="22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376.69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1,857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376.69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12/13/2023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01/03/2027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 adopted on May 11, 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/s/**Bonnie L. Bassler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12/13/2023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360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2023-12-14T15:16:56Z</dcterms:created>
  <dcterms:modified xsi:type="dcterms:W3CDTF">2023-12-14T15:16:56Z</dcterms:modified>
</cp:coreProperties>
</file>