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12)*</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Karen Linehan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Sanofi</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54, rue La Boétie, 75008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Paris, France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+33 1 53 77 40 00</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Copy to:</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Michael J. Aiello, Esq.</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New York 10153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January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13D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Sanofi</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WC</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color w:val="auto"/>
              </w:rPr>
              <w:t>The Republic of France</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23,505,694 (1)</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23,505,694 (1)</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23,505,694 (1)</w:t>
            </w: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4"/>
              </w:rPr>
              <w:t>22.7% (2)</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8"/>
        <w:spacing w:after="0" w:line="255" w:lineRule="auto"/>
        <w:tabs>
          <w:tab w:leader="none" w:pos="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20,706,142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47" w:lineRule="exact"/>
        <w:rPr>
          <w:rFonts w:ascii="Arial" w:cs="Arial" w:eastAsia="Arial" w:hAnsi="Arial"/>
          <w:sz w:val="18"/>
          <w:szCs w:val="18"/>
          <w:color w:val="auto"/>
        </w:rPr>
      </w:pPr>
    </w:p>
    <w:p>
      <w:pPr>
        <w:ind w:right="80" w:firstLine="8"/>
        <w:spacing w:after="0" w:line="277" w:lineRule="auto"/>
        <w:tabs>
          <w:tab w:leader="none" w:pos="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103,558,843 shares of Common Stock outstanding as of October 20, 2016, as reported in the Company’s Quarterly Report on Form 10-Q filed with the Securities and Exchange Commission on November 4, 2016.</w:t>
      </w:r>
    </w:p>
    <w:p>
      <w:pPr>
        <w:sectPr>
          <w:pgSz w:w="11900" w:h="16838" w:orient="portrait"/>
          <w:cols w:equalWidth="0" w:num="1">
            <w:col w:w="11420"/>
          </w:cols>
          <w:pgMar w:left="240" w:top="125"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ind w:right="240"/>
        <w:spacing w:after="0" w:line="259" w:lineRule="auto"/>
        <w:rPr>
          <w:sz w:val="20"/>
          <w:szCs w:val="20"/>
          <w:color w:val="auto"/>
        </w:rPr>
      </w:pPr>
      <w:r>
        <w:rPr>
          <w:rFonts w:ascii="Arial" w:cs="Arial" w:eastAsia="Arial" w:hAnsi="Arial"/>
          <w:sz w:val="18"/>
          <w:szCs w:val="18"/>
          <w:color w:val="auto"/>
        </w:rPr>
        <w:t>This Amendment No. 12 (this “</w:t>
      </w:r>
      <w:r>
        <w:rPr>
          <w:rFonts w:ascii="Arial" w:cs="Arial" w:eastAsia="Arial" w:hAnsi="Arial"/>
          <w:sz w:val="18"/>
          <w:szCs w:val="18"/>
          <w:u w:val="single" w:color="auto"/>
          <w:color w:val="auto"/>
        </w:rPr>
        <w:t>Amendment No. 12</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supplemented as follows: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Schedule I of the Schedule 13D is replaced with Schedule I to this Amendment No. 12. During the last five years, to the best of the Reporting Person’s knowledge, none of Scheduled Persons has been (1) convicted in a criminal proceeding (excluding traffic violations and other similar misdemeanors) or (2)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publicly announced by the Issuer on January 31, 2017, at the Reporting Person’s request pursuant to Article 3.1 of the Amended Investor Agreement, on January 27, 2017, the Issuer named to its board of directors an Independent Designee (as defined in the Amended Investor Agreement), N. Anthony “Tony” Coles, M.D., designated by the Reporting Person.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in the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25" w:lineRule="exact"/>
        <w:rPr>
          <w:sz w:val="20"/>
          <w:szCs w:val="20"/>
          <w:color w:val="auto"/>
        </w:rPr>
      </w:pPr>
    </w:p>
    <w:p>
      <w:pPr>
        <w:ind w:firstLine="818"/>
        <w:spacing w:after="0" w:line="255" w:lineRule="auto"/>
        <w:tabs>
          <w:tab w:leader="none" w:pos="10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12 as of the close of business on January 31, 2017, are incorporated herein by reference. As of the close of business on January 31, 2017, the Reporting Person beneficially owned 23,505,694 shares of Common Stock, representing approximately 22.7% of the shares of Common Stock outstanding (based on 103,558,843 shares of Common Stock outstanding as of October 20, 2016, as reported in the Company’s Quarterly Report on Form 10-Q filed with the Securities and Exchange Commission on November 4, 2016). The Reporting Person may be deemed to have shared voting and dispositive power with respect to the shares of Common Stock directly owned by SAAN and Aventis, its subsidiaries.</w:t>
      </w:r>
    </w:p>
    <w:p>
      <w:pPr>
        <w:spacing w:after="0" w:line="193"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January 31, 2017.</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 During the last sixty days through and including January31, 2017, no transactions were effected in the Common stock by the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40" w:firstLine="824"/>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70" w:lineRule="exact"/>
        <w:rPr>
          <w:sz w:val="20"/>
          <w:szCs w:val="20"/>
          <w:color w:val="auto"/>
        </w:rPr>
      </w:pPr>
    </w:p>
    <w:p>
      <w:pPr>
        <w:ind w:left="1140" w:hanging="30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20" w:hanging="28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“Amended Investor Agreement, </w:t>
      </w:r>
      <w:r>
        <w:rPr>
          <w:rFonts w:ascii="Arial" w:cs="Arial" w:eastAsia="Arial" w:hAnsi="Arial"/>
          <w:sz w:val="18"/>
          <w:szCs w:val="18"/>
          <w:i w:val="1"/>
          <w:iCs w:val="1"/>
          <w:color w:val="auto"/>
        </w:rPr>
        <w:t>Board Designation Right</w:t>
      </w:r>
      <w:r>
        <w:rPr>
          <w:rFonts w:ascii="Arial" w:cs="Arial" w:eastAsia="Arial" w:hAnsi="Arial"/>
          <w:sz w:val="18"/>
          <w:szCs w:val="18"/>
          <w:color w:val="auto"/>
        </w:rPr>
        <w:t>” of the Schedule 13D is supplemented as follows: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publicly announced by the Issuer on January 31, 2017, at the Reporting Person’s request pursuant to Article 3.1 of the Amended Investor Agreement, on January27, 2017, the Issuer named to its board of directors an Independent Designee (as defined in the Amended Investor Agreement), N. Anthony “Tony” Coles, M.D., designated by the Reporting Person.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1300" w:right="360" w:hanging="1296"/>
        <w:spacing w:after="0" w:line="277" w:lineRule="auto"/>
        <w:tabs>
          <w:tab w:leader="none" w:pos="1280" w:val="left"/>
        </w:tabs>
        <w:rPr>
          <w:sz w:val="20"/>
          <w:szCs w:val="20"/>
          <w:color w:val="auto"/>
        </w:rPr>
      </w:pPr>
      <w:r>
        <w:rPr>
          <w:rFonts w:ascii="Arial" w:cs="Arial" w:eastAsia="Arial" w:hAnsi="Arial"/>
          <w:sz w:val="18"/>
          <w:szCs w:val="18"/>
          <w:color w:val="auto"/>
        </w:rPr>
        <w:t>Exhibit 99</w:t>
      </w:r>
      <w:r>
        <w:rPr>
          <w:sz w:val="20"/>
          <w:szCs w:val="20"/>
          <w:color w:val="auto"/>
        </w:rPr>
        <w:tab/>
      </w:r>
      <w:r>
        <w:rPr>
          <w:rFonts w:ascii="Arial" w:cs="Arial" w:eastAsia="Arial" w:hAnsi="Arial"/>
          <w:sz w:val="18"/>
          <w:szCs w:val="18"/>
          <w:color w:val="auto"/>
        </w:rPr>
        <w:t>Power of Attorney (incorporated herein by reference to Exhibit 24 to Form 4 filed by Sanofi with the SEC on February 3, 2016, with respect to Alnylam Pharmaceuticals, Inc.)</w:t>
      </w: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31,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Alexandra 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Alexandra Roger</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business address, present principal occupation or employment and place of citizenship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Sanofi are set forth below. Unless otherwise indicated, the business address of each director and executive officer is Sanofi, 54 rue La Boétie, 75008 Paris, France. Unless otherwise indicated, each director and executive officer is a citizen of France.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8200" w:type="dxa"/>
            <w:vAlign w:val="bottom"/>
          </w:tcPr>
          <w:p>
            <w:pPr>
              <w:spacing w:after="0"/>
              <w:rPr>
                <w:sz w:val="20"/>
                <w:szCs w:val="20"/>
                <w:color w:val="auto"/>
              </w:rPr>
            </w:pPr>
          </w:p>
        </w:tc>
      </w:tr>
      <w:tr>
        <w:trPr>
          <w:trHeight w:val="414"/>
        </w:trPr>
        <w:tc>
          <w:tcPr>
            <w:tcW w:w="3220" w:type="dxa"/>
            <w:vAlign w:val="bottom"/>
          </w:tcPr>
          <w:p>
            <w:pPr>
              <w:ind w:left="460"/>
              <w:spacing w:after="0"/>
              <w:rPr>
                <w:sz w:val="20"/>
                <w:szCs w:val="20"/>
                <w:color w:val="auto"/>
              </w:rPr>
            </w:pPr>
            <w:r>
              <w:rPr>
                <w:rFonts w:ascii="Arial" w:cs="Arial" w:eastAsia="Arial" w:hAnsi="Arial"/>
                <w:sz w:val="18"/>
                <w:szCs w:val="18"/>
                <w:b w:val="1"/>
                <w:bCs w:val="1"/>
                <w:color w:val="auto"/>
              </w:rPr>
              <w:t>Name</w:t>
            </w:r>
          </w:p>
        </w:tc>
        <w:tc>
          <w:tcPr>
            <w:tcW w:w="8200" w:type="dxa"/>
            <w:vAlign w:val="bottom"/>
          </w:tcPr>
          <w:p>
            <w:pPr>
              <w:ind w:left="680"/>
              <w:spacing w:after="0"/>
              <w:rPr>
                <w:sz w:val="20"/>
                <w:szCs w:val="20"/>
                <w:color w:val="auto"/>
              </w:rPr>
            </w:pPr>
            <w:r>
              <w:rPr>
                <w:rFonts w:ascii="Arial" w:cs="Arial" w:eastAsia="Arial" w:hAnsi="Arial"/>
                <w:sz w:val="18"/>
                <w:szCs w:val="18"/>
                <w:b w:val="1"/>
                <w:bCs w:val="1"/>
                <w:color w:val="auto"/>
                <w:w w:val="90"/>
              </w:rPr>
              <w:t>Present Principal Occupation or Employment and Name and Principal Address of Corporation in</w:t>
            </w:r>
          </w:p>
        </w:tc>
      </w:tr>
      <w:tr>
        <w:trPr>
          <w:trHeight w:val="234"/>
        </w:trPr>
        <w:tc>
          <w:tcPr>
            <w:tcW w:w="3220" w:type="dxa"/>
            <w:vAlign w:val="bottom"/>
          </w:tcPr>
          <w:p>
            <w:pPr>
              <w:spacing w:after="0"/>
              <w:rPr>
                <w:sz w:val="20"/>
                <w:szCs w:val="20"/>
                <w:color w:val="auto"/>
              </w:rPr>
            </w:pPr>
          </w:p>
        </w:tc>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which Employment is Conducted at Sanofi</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Serge Weinberg</w:t>
            </w:r>
          </w:p>
        </w:tc>
        <w:tc>
          <w:tcPr>
            <w:tcW w:w="8200" w:type="dxa"/>
            <w:vAlign w:val="bottom"/>
          </w:tcPr>
          <w:p>
            <w:pPr>
              <w:ind w:left="680"/>
              <w:spacing w:after="0"/>
              <w:rPr>
                <w:sz w:val="20"/>
                <w:szCs w:val="20"/>
                <w:color w:val="auto"/>
              </w:rPr>
            </w:pPr>
            <w:r>
              <w:rPr>
                <w:rFonts w:ascii="Arial" w:cs="Arial" w:eastAsia="Arial" w:hAnsi="Arial"/>
                <w:sz w:val="18"/>
                <w:szCs w:val="18"/>
                <w:color w:val="auto"/>
              </w:rPr>
              <w:t>Chairman of the Board of Directors of Sanofi, Chairman of Weinberg Capital Partners</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Olivier Brandicourt</w:t>
            </w:r>
          </w:p>
        </w:tc>
        <w:tc>
          <w:tcPr>
            <w:tcW w:w="8200" w:type="dxa"/>
            <w:vAlign w:val="bottom"/>
          </w:tcPr>
          <w:p>
            <w:pPr>
              <w:ind w:left="680"/>
              <w:spacing w:after="0"/>
              <w:rPr>
                <w:sz w:val="20"/>
                <w:szCs w:val="20"/>
                <w:color w:val="auto"/>
              </w:rPr>
            </w:pPr>
            <w:r>
              <w:rPr>
                <w:rFonts w:ascii="Arial" w:cs="Arial" w:eastAsia="Arial" w:hAnsi="Arial"/>
                <w:sz w:val="18"/>
                <w:szCs w:val="18"/>
                <w:color w:val="auto"/>
              </w:rPr>
              <w:t>Chief Executive Officer of Sanofi</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Laurent Attal</w:t>
            </w:r>
          </w:p>
        </w:tc>
        <w:tc>
          <w:tcPr>
            <w:tcW w:w="8200" w:type="dxa"/>
            <w:vAlign w:val="bottom"/>
          </w:tcPr>
          <w:p>
            <w:pPr>
              <w:ind w:left="680"/>
              <w:spacing w:after="0"/>
              <w:rPr>
                <w:sz w:val="20"/>
                <w:szCs w:val="20"/>
                <w:color w:val="auto"/>
              </w:rPr>
            </w:pPr>
            <w:r>
              <w:rPr>
                <w:rFonts w:ascii="Arial" w:cs="Arial" w:eastAsia="Arial" w:hAnsi="Arial"/>
                <w:sz w:val="18"/>
                <w:szCs w:val="18"/>
                <w:color w:val="auto"/>
              </w:rPr>
              <w:t>Director at Sanofi, Vice President General Manager Research and Innovation at L’Oréal</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Robert Castaigne</w:t>
            </w:r>
          </w:p>
        </w:tc>
        <w:tc>
          <w:tcPr>
            <w:tcW w:w="8200" w:type="dxa"/>
            <w:vAlign w:val="bottom"/>
          </w:tcPr>
          <w:p>
            <w:pPr>
              <w:ind w:left="680"/>
              <w:spacing w:after="0"/>
              <w:rPr>
                <w:sz w:val="20"/>
                <w:szCs w:val="20"/>
                <w:color w:val="auto"/>
              </w:rPr>
            </w:pPr>
            <w:r>
              <w:rPr>
                <w:rFonts w:ascii="Arial" w:cs="Arial" w:eastAsia="Arial" w:hAnsi="Arial"/>
                <w:sz w:val="18"/>
                <w:szCs w:val="18"/>
                <w:color w:val="auto"/>
              </w:rPr>
              <w:t>Independent Director</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Claudie Haigneré</w:t>
            </w:r>
          </w:p>
        </w:tc>
        <w:tc>
          <w:tcPr>
            <w:tcW w:w="8200" w:type="dxa"/>
            <w:vAlign w:val="bottom"/>
          </w:tcPr>
          <w:p>
            <w:pPr>
              <w:ind w:left="680"/>
              <w:spacing w:after="0"/>
              <w:rPr>
                <w:sz w:val="20"/>
                <w:szCs w:val="20"/>
                <w:color w:val="auto"/>
              </w:rPr>
            </w:pPr>
            <w:r>
              <w:rPr>
                <w:rFonts w:ascii="Arial" w:cs="Arial" w:eastAsia="Arial" w:hAnsi="Arial"/>
                <w:sz w:val="18"/>
                <w:szCs w:val="18"/>
                <w:color w:val="auto"/>
              </w:rPr>
              <w:t>Independent Director</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Patrick Kron</w:t>
            </w:r>
          </w:p>
        </w:tc>
        <w:tc>
          <w:tcPr>
            <w:tcW w:w="8200" w:type="dxa"/>
            <w:vAlign w:val="bottom"/>
          </w:tcPr>
          <w:p>
            <w:pPr>
              <w:ind w:left="680"/>
              <w:spacing w:after="0"/>
              <w:rPr>
                <w:sz w:val="20"/>
                <w:szCs w:val="20"/>
                <w:color w:val="auto"/>
              </w:rPr>
            </w:pPr>
            <w:r>
              <w:rPr>
                <w:rFonts w:ascii="Arial" w:cs="Arial" w:eastAsia="Arial" w:hAnsi="Arial"/>
                <w:sz w:val="18"/>
                <w:szCs w:val="18"/>
                <w:color w:val="auto"/>
              </w:rPr>
              <w:t>Independent Director at Sanofi, Chairman of Truffle Capital</w:t>
            </w: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Fabienne Lecorvaisier</w:t>
            </w:r>
          </w:p>
        </w:tc>
        <w:tc>
          <w:tcPr>
            <w:tcW w:w="8200" w:type="dxa"/>
            <w:vAlign w:val="bottom"/>
          </w:tcPr>
          <w:p>
            <w:pPr>
              <w:ind w:left="680"/>
              <w:spacing w:after="0"/>
              <w:rPr>
                <w:sz w:val="20"/>
                <w:szCs w:val="20"/>
                <w:color w:val="auto"/>
              </w:rPr>
            </w:pPr>
            <w:r>
              <w:rPr>
                <w:rFonts w:ascii="Arial" w:cs="Arial" w:eastAsia="Arial" w:hAnsi="Arial"/>
                <w:sz w:val="18"/>
                <w:szCs w:val="18"/>
                <w:color w:val="auto"/>
                <w:w w:val="98"/>
              </w:rPr>
              <w:t>Independent Director at Sanofi, Chief Financial Officer and Executive Committee Member of Air</w:t>
            </w:r>
          </w:p>
        </w:tc>
      </w:tr>
      <w:tr>
        <w:trPr>
          <w:trHeight w:val="230"/>
        </w:trPr>
        <w:tc>
          <w:tcPr>
            <w:tcW w:w="3220" w:type="dxa"/>
            <w:vAlign w:val="bottom"/>
          </w:tcPr>
          <w:p>
            <w:pPr>
              <w:spacing w:after="0"/>
              <w:rPr>
                <w:sz w:val="20"/>
                <w:szCs w:val="20"/>
                <w:color w:val="auto"/>
              </w:rPr>
            </w:pPr>
          </w:p>
        </w:tc>
        <w:tc>
          <w:tcPr>
            <w:tcW w:w="8200" w:type="dxa"/>
            <w:vAlign w:val="bottom"/>
          </w:tcPr>
          <w:p>
            <w:pPr>
              <w:ind w:left="680"/>
              <w:spacing w:after="0"/>
              <w:rPr>
                <w:sz w:val="20"/>
                <w:szCs w:val="20"/>
                <w:color w:val="auto"/>
              </w:rPr>
            </w:pPr>
            <w:r>
              <w:rPr>
                <w:rFonts w:ascii="Arial" w:cs="Arial" w:eastAsia="Arial" w:hAnsi="Arial"/>
                <w:sz w:val="18"/>
                <w:szCs w:val="18"/>
                <w:color w:val="auto"/>
              </w:rPr>
              <w:t>Liquide</w:t>
            </w: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Suet-Fern Lee</w:t>
            </w:r>
          </w:p>
        </w:tc>
        <w:tc>
          <w:tcPr>
            <w:tcW w:w="8200" w:type="dxa"/>
            <w:vAlign w:val="bottom"/>
          </w:tcPr>
          <w:p>
            <w:pPr>
              <w:ind w:left="680"/>
              <w:spacing w:after="0"/>
              <w:rPr>
                <w:sz w:val="20"/>
                <w:szCs w:val="20"/>
                <w:color w:val="auto"/>
              </w:rPr>
            </w:pPr>
            <w:r>
              <w:rPr>
                <w:rFonts w:ascii="Arial" w:cs="Arial" w:eastAsia="Arial" w:hAnsi="Arial"/>
                <w:sz w:val="18"/>
                <w:szCs w:val="18"/>
                <w:color w:val="auto"/>
              </w:rPr>
              <w:t>Independent Director at Sanofi, Managing Director of Morgan Lewis Stamford LLC</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Singaporean citizenship</w:t>
            </w:r>
          </w:p>
        </w:tc>
        <w:tc>
          <w:tcPr>
            <w:tcW w:w="8200" w:type="dxa"/>
            <w:vAlign w:val="bottom"/>
          </w:tcPr>
          <w:p>
            <w:pPr>
              <w:spacing w:after="0"/>
              <w:rPr>
                <w:sz w:val="20"/>
                <w:szCs w:val="20"/>
                <w:color w:val="auto"/>
              </w:rPr>
            </w:pP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Christian Mulliez</w:t>
            </w:r>
          </w:p>
        </w:tc>
        <w:tc>
          <w:tcPr>
            <w:tcW w:w="8200" w:type="dxa"/>
            <w:vAlign w:val="bottom"/>
          </w:tcPr>
          <w:p>
            <w:pPr>
              <w:ind w:left="680"/>
              <w:spacing w:after="0"/>
              <w:rPr>
                <w:sz w:val="20"/>
                <w:szCs w:val="20"/>
                <w:color w:val="auto"/>
              </w:rPr>
            </w:pPr>
            <w:r>
              <w:rPr>
                <w:rFonts w:ascii="Arial" w:cs="Arial" w:eastAsia="Arial" w:hAnsi="Arial"/>
                <w:sz w:val="18"/>
                <w:szCs w:val="18"/>
                <w:color w:val="auto"/>
              </w:rPr>
              <w:t>Director at Sanofi, Executive Vice President, Chief Financial Officer of L’Oréal</w:t>
            </w: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Carole Piwnica</w:t>
            </w:r>
          </w:p>
        </w:tc>
        <w:tc>
          <w:tcPr>
            <w:tcW w:w="8200" w:type="dxa"/>
            <w:vAlign w:val="bottom"/>
          </w:tcPr>
          <w:p>
            <w:pPr>
              <w:ind w:left="680"/>
              <w:spacing w:after="0"/>
              <w:rPr>
                <w:sz w:val="20"/>
                <w:szCs w:val="20"/>
                <w:color w:val="auto"/>
              </w:rPr>
            </w:pPr>
            <w:r>
              <w:rPr>
                <w:rFonts w:ascii="Arial" w:cs="Arial" w:eastAsia="Arial" w:hAnsi="Arial"/>
                <w:sz w:val="18"/>
                <w:szCs w:val="18"/>
                <w:color w:val="auto"/>
              </w:rPr>
              <w:t>Independent Director at Sanofi, Founder Director of Naxos UK Ltd</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Belgian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Diane Souza</w:t>
            </w:r>
          </w:p>
        </w:tc>
        <w:tc>
          <w:tcPr>
            <w:tcW w:w="8200" w:type="dxa"/>
            <w:vAlign w:val="bottom"/>
          </w:tcPr>
          <w:p>
            <w:pPr>
              <w:ind w:left="680"/>
              <w:spacing w:after="0"/>
              <w:rPr>
                <w:sz w:val="20"/>
                <w:szCs w:val="20"/>
                <w:color w:val="auto"/>
              </w:rPr>
            </w:pPr>
            <w:r>
              <w:rPr>
                <w:rFonts w:ascii="Arial" w:cs="Arial" w:eastAsia="Arial" w:hAnsi="Arial"/>
                <w:sz w:val="18"/>
                <w:szCs w:val="18"/>
                <w:color w:val="auto"/>
              </w:rPr>
              <w:t>Independent Director at Sanofi</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U.S.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Thomas Südhof</w:t>
            </w:r>
          </w:p>
        </w:tc>
        <w:tc>
          <w:tcPr>
            <w:tcW w:w="8200" w:type="dxa"/>
            <w:vAlign w:val="bottom"/>
          </w:tcPr>
          <w:p>
            <w:pPr>
              <w:ind w:left="680"/>
              <w:spacing w:after="0"/>
              <w:rPr>
                <w:sz w:val="20"/>
                <w:szCs w:val="20"/>
                <w:color w:val="auto"/>
              </w:rPr>
            </w:pPr>
            <w:r>
              <w:rPr>
                <w:rFonts w:ascii="Arial" w:cs="Arial" w:eastAsia="Arial" w:hAnsi="Arial"/>
                <w:sz w:val="18"/>
                <w:szCs w:val="18"/>
                <w:color w:val="auto"/>
                <w:w w:val="93"/>
              </w:rPr>
              <w:t>Independent Director at Sanofi, Avram Goldstein Professor at the Department of Molecular &amp; Cellular</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German and U.S. citizenship</w:t>
            </w:r>
          </w:p>
        </w:tc>
        <w:tc>
          <w:tcPr>
            <w:tcW w:w="8200" w:type="dxa"/>
            <w:vAlign w:val="bottom"/>
          </w:tcPr>
          <w:p>
            <w:pPr>
              <w:ind w:left="680"/>
              <w:spacing w:after="0"/>
              <w:rPr>
                <w:sz w:val="20"/>
                <w:szCs w:val="20"/>
                <w:color w:val="auto"/>
              </w:rPr>
            </w:pPr>
            <w:r>
              <w:rPr>
                <w:rFonts w:ascii="Arial" w:cs="Arial" w:eastAsia="Arial" w:hAnsi="Arial"/>
                <w:sz w:val="18"/>
                <w:szCs w:val="18"/>
                <w:color w:val="auto"/>
              </w:rPr>
              <w:t>Physiology, Stanford University School of Medicine (United States)</w:t>
            </w:r>
          </w:p>
        </w:tc>
      </w:tr>
      <w:tr>
        <w:trPr>
          <w:trHeight w:val="582"/>
        </w:trPr>
        <w:tc>
          <w:tcPr>
            <w:tcW w:w="3220" w:type="dxa"/>
            <w:vAlign w:val="bottom"/>
          </w:tcPr>
          <w:p>
            <w:pPr>
              <w:spacing w:after="0"/>
              <w:rPr>
                <w:sz w:val="24"/>
                <w:szCs w:val="24"/>
                <w:color w:val="auto"/>
              </w:rPr>
            </w:pPr>
          </w:p>
        </w:tc>
        <w:tc>
          <w:tcPr>
            <w:tcW w:w="8200" w:type="dxa"/>
            <w:vAlign w:val="bottom"/>
          </w:tcPr>
          <w:p>
            <w:pPr>
              <w:ind w:left="2460"/>
              <w:spacing w:after="0"/>
              <w:rPr>
                <w:sz w:val="20"/>
                <w:szCs w:val="20"/>
                <w:color w:val="auto"/>
              </w:rPr>
            </w:pPr>
            <w:r>
              <w:rPr>
                <w:rFonts w:ascii="Arial" w:cs="Arial" w:eastAsia="Arial" w:hAnsi="Arial"/>
                <w:sz w:val="14"/>
                <w:szCs w:val="14"/>
                <w:color w:val="auto"/>
              </w:rPr>
              <w:t>6</w:t>
            </w:r>
          </w:p>
        </w:tc>
      </w:tr>
      <w:tr>
        <w:trPr>
          <w:trHeight w:val="46"/>
        </w:trPr>
        <w:tc>
          <w:tcPr>
            <w:tcW w:w="322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8200" w:type="dxa"/>
            <w:vAlign w:val="bottom"/>
          </w:tcPr>
          <w:p>
            <w:pPr>
              <w:spacing w:after="0"/>
              <w:rPr>
                <w:sz w:val="20"/>
                <w:szCs w:val="20"/>
                <w:color w:val="auto"/>
              </w:rPr>
            </w:pPr>
          </w:p>
        </w:tc>
      </w:tr>
      <w:tr>
        <w:trPr>
          <w:trHeight w:val="441"/>
        </w:trPr>
        <w:tc>
          <w:tcPr>
            <w:tcW w:w="3220" w:type="dxa"/>
            <w:vAlign w:val="bottom"/>
          </w:tcPr>
          <w:p>
            <w:pPr>
              <w:ind w:left="460"/>
              <w:spacing w:after="0"/>
              <w:rPr>
                <w:sz w:val="20"/>
                <w:szCs w:val="20"/>
                <w:color w:val="auto"/>
              </w:rPr>
            </w:pPr>
            <w:r>
              <w:rPr>
                <w:rFonts w:ascii="Arial" w:cs="Arial" w:eastAsia="Arial" w:hAnsi="Arial"/>
                <w:sz w:val="18"/>
                <w:szCs w:val="18"/>
                <w:b w:val="1"/>
                <w:bCs w:val="1"/>
                <w:color w:val="auto"/>
              </w:rPr>
              <w:t>Name</w:t>
            </w:r>
          </w:p>
        </w:tc>
        <w:tc>
          <w:tcPr>
            <w:tcW w:w="8200" w:type="dxa"/>
            <w:vAlign w:val="bottom"/>
          </w:tcPr>
          <w:p>
            <w:pPr>
              <w:ind w:left="680"/>
              <w:spacing w:after="0"/>
              <w:rPr>
                <w:sz w:val="20"/>
                <w:szCs w:val="20"/>
                <w:color w:val="auto"/>
              </w:rPr>
            </w:pPr>
            <w:r>
              <w:rPr>
                <w:rFonts w:ascii="Arial" w:cs="Arial" w:eastAsia="Arial" w:hAnsi="Arial"/>
                <w:sz w:val="18"/>
                <w:szCs w:val="18"/>
                <w:b w:val="1"/>
                <w:bCs w:val="1"/>
                <w:color w:val="auto"/>
                <w:w w:val="90"/>
              </w:rPr>
              <w:t>Present Principal Occupation or Employment and Name and Principal Address of Corporation in</w:t>
            </w:r>
          </w:p>
        </w:tc>
      </w:tr>
      <w:tr>
        <w:trPr>
          <w:trHeight w:val="234"/>
        </w:trPr>
        <w:tc>
          <w:tcPr>
            <w:tcW w:w="3220" w:type="dxa"/>
            <w:vAlign w:val="bottom"/>
          </w:tcPr>
          <w:p>
            <w:pPr>
              <w:spacing w:after="0"/>
              <w:rPr>
                <w:sz w:val="20"/>
                <w:szCs w:val="20"/>
                <w:color w:val="auto"/>
              </w:rPr>
            </w:pPr>
          </w:p>
        </w:tc>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which Employment is Conducted at Sanofi</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Olivier Brandicourt</w:t>
            </w:r>
          </w:p>
        </w:tc>
        <w:tc>
          <w:tcPr>
            <w:tcW w:w="8200" w:type="dxa"/>
            <w:vAlign w:val="bottom"/>
          </w:tcPr>
          <w:p>
            <w:pPr>
              <w:ind w:left="680"/>
              <w:spacing w:after="0"/>
              <w:rPr>
                <w:sz w:val="20"/>
                <w:szCs w:val="20"/>
                <w:color w:val="auto"/>
              </w:rPr>
            </w:pPr>
            <w:r>
              <w:rPr>
                <w:rFonts w:ascii="Arial" w:cs="Arial" w:eastAsia="Arial" w:hAnsi="Arial"/>
                <w:sz w:val="18"/>
                <w:szCs w:val="18"/>
                <w:color w:val="auto"/>
              </w:rPr>
              <w:t>Chief Executive Officer of Sanofi</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Olivier Charmeil</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and General Manager, General Medicines and Emerging Markets</w:t>
            </w: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Jérôme Contamine</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Chief Financial Officer</w:t>
            </w: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Peter Guenter</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and General Manager, Diabetes &amp; Cardiovascular</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Belgian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Karen Linehan</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Legal Affairs and General Counsel</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U.S. and Irish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David Loew</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and General Manager of Sanofi Pasteur</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Swiss citizenship</w:t>
            </w:r>
          </w:p>
        </w:tc>
        <w:tc>
          <w:tcPr>
            <w:tcW w:w="8200" w:type="dxa"/>
            <w:vAlign w:val="bottom"/>
          </w:tcPr>
          <w:p>
            <w:pPr>
              <w:spacing w:after="0"/>
              <w:rPr>
                <w:sz w:val="20"/>
                <w:szCs w:val="20"/>
                <w:color w:val="auto"/>
              </w:rPr>
            </w:pPr>
          </w:p>
        </w:tc>
      </w:tr>
      <w:tr>
        <w:trPr>
          <w:trHeight w:val="432"/>
        </w:trPr>
        <w:tc>
          <w:tcPr>
            <w:tcW w:w="3220" w:type="dxa"/>
            <w:vAlign w:val="bottom"/>
          </w:tcPr>
          <w:p>
            <w:pPr>
              <w:ind w:left="460"/>
              <w:spacing w:after="0"/>
              <w:rPr>
                <w:sz w:val="20"/>
                <w:szCs w:val="20"/>
                <w:color w:val="auto"/>
              </w:rPr>
            </w:pPr>
            <w:r>
              <w:rPr>
                <w:rFonts w:ascii="Arial" w:cs="Arial" w:eastAsia="Arial" w:hAnsi="Arial"/>
                <w:sz w:val="18"/>
                <w:szCs w:val="18"/>
                <w:color w:val="auto"/>
              </w:rPr>
              <w:t>Philippe Luscan</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Global Industrial Affairs</w:t>
            </w: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Alan Main</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Consumer Healthcare</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English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Muzzammil Mansuri</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Strategy and Business Development</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U.S. and English cititzenship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David Meeker</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and General Manager of Sanofi Genzyme</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U.S.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Business address :</w:t>
            </w:r>
          </w:p>
        </w:tc>
        <w:tc>
          <w:tcPr>
            <w:tcW w:w="8200" w:type="dxa"/>
            <w:vAlign w:val="bottom"/>
          </w:tcPr>
          <w:p>
            <w:pPr>
              <w:spacing w:after="0"/>
              <w:rPr>
                <w:sz w:val="24"/>
                <w:szCs w:val="24"/>
                <w:color w:val="auto"/>
              </w:rPr>
            </w:pPr>
          </w:p>
        </w:tc>
      </w:tr>
      <w:tr>
        <w:trPr>
          <w:trHeight w:val="216"/>
        </w:trPr>
        <w:tc>
          <w:tcPr>
            <w:tcW w:w="3220" w:type="dxa"/>
            <w:vAlign w:val="bottom"/>
          </w:tcPr>
          <w:p>
            <w:pPr>
              <w:ind w:left="460"/>
              <w:spacing w:after="0"/>
              <w:rPr>
                <w:sz w:val="20"/>
                <w:szCs w:val="20"/>
                <w:color w:val="auto"/>
              </w:rPr>
            </w:pPr>
            <w:r>
              <w:rPr>
                <w:rFonts w:ascii="Arial" w:cs="Arial" w:eastAsia="Arial" w:hAnsi="Arial"/>
                <w:sz w:val="18"/>
                <w:szCs w:val="18"/>
                <w:color w:val="auto"/>
              </w:rPr>
              <w:t>500 Kendall Street</w:t>
            </w:r>
          </w:p>
        </w:tc>
        <w:tc>
          <w:tcPr>
            <w:tcW w:w="8200" w:type="dxa"/>
            <w:vAlign w:val="bottom"/>
          </w:tcPr>
          <w:p>
            <w:pPr>
              <w:spacing w:after="0"/>
              <w:rPr>
                <w:sz w:val="18"/>
                <w:szCs w:val="18"/>
                <w:color w:val="auto"/>
              </w:rPr>
            </w:pP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Cambridge, MA 02142</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Ameet Nathwani</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Medical Affairs</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English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Roberto Pucci</w:t>
            </w:r>
          </w:p>
        </w:tc>
        <w:tc>
          <w:tcPr>
            <w:tcW w:w="8200" w:type="dxa"/>
            <w:vAlign w:val="bottom"/>
          </w:tcPr>
          <w:p>
            <w:pPr>
              <w:ind w:left="680"/>
              <w:spacing w:after="0"/>
              <w:rPr>
                <w:sz w:val="20"/>
                <w:szCs w:val="20"/>
                <w:color w:val="auto"/>
              </w:rPr>
            </w:pPr>
            <w:r>
              <w:rPr>
                <w:rFonts w:ascii="Arial" w:cs="Arial" w:eastAsia="Arial" w:hAnsi="Arial"/>
                <w:sz w:val="18"/>
                <w:szCs w:val="18"/>
                <w:color w:val="auto"/>
              </w:rPr>
              <w:t>Executive Vice President, Human Resources</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Italian and Swiss citizenship</w:t>
            </w:r>
          </w:p>
        </w:tc>
        <w:tc>
          <w:tcPr>
            <w:tcW w:w="8200" w:type="dxa"/>
            <w:vAlign w:val="bottom"/>
          </w:tcPr>
          <w:p>
            <w:pPr>
              <w:spacing w:after="0"/>
              <w:rPr>
                <w:sz w:val="20"/>
                <w:szCs w:val="20"/>
                <w:color w:val="auto"/>
              </w:rPr>
            </w:pPr>
          </w:p>
        </w:tc>
      </w:tr>
      <w:tr>
        <w:trPr>
          <w:trHeight w:val="418"/>
        </w:trPr>
        <w:tc>
          <w:tcPr>
            <w:tcW w:w="3220" w:type="dxa"/>
            <w:vAlign w:val="bottom"/>
          </w:tcPr>
          <w:p>
            <w:pPr>
              <w:ind w:left="460"/>
              <w:spacing w:after="0"/>
              <w:rPr>
                <w:sz w:val="20"/>
                <w:szCs w:val="20"/>
                <w:color w:val="auto"/>
              </w:rPr>
            </w:pPr>
            <w:r>
              <w:rPr>
                <w:rFonts w:ascii="Arial" w:cs="Arial" w:eastAsia="Arial" w:hAnsi="Arial"/>
                <w:sz w:val="18"/>
                <w:szCs w:val="18"/>
                <w:color w:val="auto"/>
              </w:rPr>
              <w:t>Elias Zerhouni</w:t>
            </w:r>
          </w:p>
        </w:tc>
        <w:tc>
          <w:tcPr>
            <w:tcW w:w="8200" w:type="dxa"/>
            <w:vAlign w:val="bottom"/>
          </w:tcPr>
          <w:p>
            <w:pPr>
              <w:ind w:left="680"/>
              <w:spacing w:after="0"/>
              <w:rPr>
                <w:sz w:val="20"/>
                <w:szCs w:val="20"/>
                <w:color w:val="auto"/>
              </w:rPr>
            </w:pPr>
            <w:r>
              <w:rPr>
                <w:rFonts w:ascii="Arial" w:cs="Arial" w:eastAsia="Arial" w:hAnsi="Arial"/>
                <w:sz w:val="18"/>
                <w:szCs w:val="18"/>
                <w:color w:val="auto"/>
              </w:rPr>
              <w:t>President, Global Research and Development</w:t>
            </w:r>
          </w:p>
        </w:tc>
      </w:tr>
      <w:tr>
        <w:trPr>
          <w:trHeight w:val="230"/>
        </w:trPr>
        <w:tc>
          <w:tcPr>
            <w:tcW w:w="3220" w:type="dxa"/>
            <w:vAlign w:val="bottom"/>
          </w:tcPr>
          <w:p>
            <w:pPr>
              <w:ind w:left="460"/>
              <w:spacing w:after="0"/>
              <w:rPr>
                <w:sz w:val="20"/>
                <w:szCs w:val="20"/>
                <w:color w:val="auto"/>
              </w:rPr>
            </w:pPr>
            <w:r>
              <w:rPr>
                <w:rFonts w:ascii="Arial" w:cs="Arial" w:eastAsia="Arial" w:hAnsi="Arial"/>
                <w:sz w:val="18"/>
                <w:szCs w:val="18"/>
                <w:color w:val="auto"/>
              </w:rPr>
              <w:t>U.S. citizenship</w:t>
            </w:r>
          </w:p>
        </w:tc>
        <w:tc>
          <w:tcPr>
            <w:tcW w:w="8200" w:type="dxa"/>
            <w:vAlign w:val="bottom"/>
          </w:tcPr>
          <w:p>
            <w:pPr>
              <w:spacing w:after="0"/>
              <w:rPr>
                <w:sz w:val="20"/>
                <w:szCs w:val="20"/>
                <w:color w:val="auto"/>
              </w:rPr>
            </w:pPr>
          </w:p>
        </w:tc>
      </w:tr>
      <w:tr>
        <w:trPr>
          <w:trHeight w:val="650"/>
        </w:trPr>
        <w:tc>
          <w:tcPr>
            <w:tcW w:w="3220" w:type="dxa"/>
            <w:vAlign w:val="bottom"/>
          </w:tcPr>
          <w:p>
            <w:pPr>
              <w:spacing w:after="0"/>
              <w:rPr>
                <w:sz w:val="24"/>
                <w:szCs w:val="24"/>
                <w:color w:val="auto"/>
              </w:rPr>
            </w:pPr>
          </w:p>
        </w:tc>
        <w:tc>
          <w:tcPr>
            <w:tcW w:w="8200" w:type="dxa"/>
            <w:vAlign w:val="bottom"/>
          </w:tcPr>
          <w:p>
            <w:pPr>
              <w:ind w:left="2460"/>
              <w:spacing w:after="0"/>
              <w:rPr>
                <w:sz w:val="20"/>
                <w:szCs w:val="20"/>
                <w:color w:val="auto"/>
              </w:rPr>
            </w:pPr>
            <w:r>
              <w:rPr>
                <w:rFonts w:ascii="Arial" w:cs="Arial" w:eastAsia="Arial" w:hAnsi="Arial"/>
                <w:sz w:val="14"/>
                <w:szCs w:val="14"/>
                <w:color w:val="auto"/>
              </w:rPr>
              <w:t>7</w:t>
            </w:r>
          </w:p>
        </w:tc>
      </w:tr>
      <w:tr>
        <w:trPr>
          <w:trHeight w:val="100"/>
        </w:trPr>
        <w:tc>
          <w:tcPr>
            <w:tcW w:w="3220" w:type="dxa"/>
            <w:vAlign w:val="bottom"/>
            <w:tcBorders>
              <w:bottom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2019-12-17T06:13:09Z</dcterms:created>
  <dcterms:modified xsi:type="dcterms:W3CDTF">2019-12-17T06:13:09Z</dcterms:modified>
</cp:coreProperties>
</file>