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#75886F107</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1,626,608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11,481,571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11,481,571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10.949%</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11,481,571</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11,481,571</w:t>
      </w:r>
    </w:p>
    <w:p>
      <w:pPr>
        <w:spacing w:after="0"/>
        <w:rPr>
          <w:sz w:val="20"/>
          <w:szCs w:val="20"/>
          <w:color w:val="auto"/>
        </w:rPr>
      </w:pPr>
      <w:r>
        <w:rPr>
          <w:rFonts w:ascii="Courier New" w:cs="Courier New" w:eastAsia="Courier New" w:hAnsi="Courier New"/>
          <w:sz w:val="18"/>
          <w:szCs w:val="18"/>
          <w:color w:val="auto"/>
        </w:rPr>
        <w:t>Item 11: 10.949%</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777 Old Saw Mill River Road</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Tarrytown, NY 10591-6707</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75886F107</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11,481,571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10.949%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1,626,608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11,481,571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REGENERON PHARMACEUTICALS INC. No one other person's interest in the COMMON STOCK of REGENERON PHARMACEUTICALS INC is more than five percent of the total outstanding COMMON STOCK.</w:t>
      </w:r>
    </w:p>
    <w:p>
      <w:pPr>
        <w:spacing w:after="0" w:line="89"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5,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31" w:lineRule="exact"/>
        <w:rPr>
          <w:sz w:val="20"/>
          <w:szCs w:val="20"/>
          <w:color w:val="auto"/>
        </w:rPr>
      </w:pP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312" w:right="1440" w:bottom="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12" w:right="1440" w:bottom="0" w:gutter="0" w:footer="0" w:header="0"/>
          <w:type w:val="continuous"/>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2019"/>
        <w:spacing w:after="0" w:line="256"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97"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5, 2021, agree and consent to the joint filing on their behalf of this Schedule 13G in connection with their beneficial ownership of the COMMON STOCK of REGENERON PHARMACEUTICALS INC at December 31, 2020.</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2021-02-08T09:35:02Z</dcterms:created>
  <dcterms:modified xsi:type="dcterms:W3CDTF">2021-02-08T09:35:02Z</dcterms:modified>
</cp:coreProperties>
</file>