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555.67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33,273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626.19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624.65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626.56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24,789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628.64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24,750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630.84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631.25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633.56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634.63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635.24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8,900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-5648325</wp:posOffset>
            </wp:positionV>
            <wp:extent cx="7033260" cy="5878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87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56 shares of Company stock on June 23, 2020 at prices ranging from $626.49 to $626.83. Upon request by the Commission staff, the Company, or a security holder of the Company, the reporting person will provide full information regarding the number of shares sold by the reporting person on June 23, 2020 at each separate price.</w:t>
      </w: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78 shares of Company stock on June 23, 2020 at prices ranging from $631.19 to $631.33. Upon request by the Commission staff, the Company, or a security holder of the Company, the reporting person will provide full information regarding the number of shares sold by the reporting person on June 23, 2020 at each separate price.</w:t>
      </w: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82 shares of Company stock on June 23, 2020 at prices ranging from $633.40 to $633.74. Upon request by the Commission staff, the Company, or a security holder of the Company, the reporting person will provide full information regarding the number of shares sold by the reporting person on June 23, 2020 at each separate price.</w:t>
      </w: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89 shares of Company stock on June 23, 2020 at prices ranging from $634.38 to $634.86. Upon request by the Commission staff, the Company, or a security holder of the Company, the reporting person will provide full information regarding the number of shares sold by the reporting person on June 23,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59" w:firstLine="3"/>
        <w:spacing w:after="0" w:line="336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2020-06-24T15:04:52Z</dcterms:created>
  <dcterms:modified xsi:type="dcterms:W3CDTF">2020-06-24T15:04:52Z</dcterms:modified>
</cp:coreProperties>
</file>