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SCHEDULE 13D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9)*</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Karen Linehan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Vice President, Legal Affairs and General Counsel</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Sanofi</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54, rue La Boétie, 75008</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Paris, France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+33 1 53 77 40 00</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Copy to:</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Michael J. Aiello, Esq.</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Weil, Gotshal &amp; Manges LLP</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767 Fifth Avenue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10153</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2688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July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88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9" w:lineRule="exact"/>
        <w:rPr>
          <w:sz w:val="24"/>
          <w:szCs w:val="24"/>
          <w:color w:val="auto"/>
        </w:rPr>
      </w:pPr>
    </w:p>
    <w:p>
      <w:pPr>
        <w:ind w:right="480"/>
        <w:spacing w:after="0" w:line="271"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Arial" w:cs="Arial" w:eastAsia="Arial" w:hAnsi="Arial"/>
          <w:sz w:val="21"/>
          <w:szCs w:val="21"/>
          <w:color w:val="auto"/>
        </w:rPr>
        <w:t>x</w:t>
      </w:r>
    </w:p>
    <w:p>
      <w:pPr>
        <w:spacing w:after="0" w:line="189"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2"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40"/>
        <w:spacing w:after="0" w:line="335"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69"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18"/>
        </w:trPr>
        <w:tc>
          <w:tcPr>
            <w:tcW w:w="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ind w:left="840"/>
              <w:spacing w:after="0"/>
              <w:rPr>
                <w:sz w:val="20"/>
                <w:szCs w:val="20"/>
                <w:color w:val="auto"/>
              </w:rPr>
            </w:pPr>
            <w:r>
              <w:rPr>
                <w:rFonts w:ascii="Arial" w:cs="Arial" w:eastAsia="Arial" w:hAnsi="Arial"/>
                <w:sz w:val="25"/>
                <w:szCs w:val="25"/>
                <w:color w:val="auto"/>
              </w:rPr>
              <w:t>13D</w:t>
            </w:r>
          </w:p>
        </w:tc>
        <w:tc>
          <w:tcPr>
            <w:tcW w:w="4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NAME OF REPORTING PERSONS</w:t>
            </w:r>
          </w:p>
        </w:tc>
        <w:tc>
          <w:tcPr>
            <w:tcW w:w="2400" w:type="dxa"/>
            <w:vAlign w:val="bottom"/>
          </w:tcPr>
          <w:p>
            <w:pPr>
              <w:spacing w:after="0"/>
              <w:rPr>
                <w:sz w:val="24"/>
                <w:szCs w:val="24"/>
                <w:color w:val="auto"/>
              </w:rPr>
            </w:pPr>
          </w:p>
        </w:tc>
        <w:tc>
          <w:tcPr>
            <w:tcW w:w="4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Sanofi</w:t>
            </w: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4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4360" w:type="dxa"/>
            <w:vAlign w:val="bottom"/>
            <w:tcBorders>
              <w:right w:val="single" w:sz="8" w:color="auto"/>
            </w:tcBorders>
          </w:tcPr>
          <w:p>
            <w:pPr>
              <w:ind w:left="168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4360" w:type="dxa"/>
            <w:vAlign w:val="bottom"/>
            <w:tcBorders>
              <w:bottom w:val="single" w:sz="8" w:color="auto"/>
              <w:right w:val="single" w:sz="8" w:color="auto"/>
            </w:tcBorders>
          </w:tcPr>
          <w:p>
            <w:pPr>
              <w:ind w:left="168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SEC USE ONLY</w:t>
            </w:r>
          </w:p>
        </w:tc>
        <w:tc>
          <w:tcPr>
            <w:tcW w:w="10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SOURCE OF FUNDS</w:t>
            </w: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WC</w:t>
            </w:r>
          </w:p>
        </w:tc>
        <w:tc>
          <w:tcPr>
            <w:tcW w:w="2400" w:type="dxa"/>
            <w:vAlign w:val="bottom"/>
            <w:tcBorders>
              <w:bottom w:val="single" w:sz="8" w:color="auto"/>
            </w:tcBorders>
          </w:tcPr>
          <w:p>
            <w:pPr>
              <w:spacing w:after="0"/>
              <w:rPr>
                <w:sz w:val="24"/>
                <w:szCs w:val="24"/>
                <w:color w:val="auto"/>
              </w:rPr>
            </w:pPr>
          </w:p>
        </w:tc>
        <w:tc>
          <w:tcPr>
            <w:tcW w:w="4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540" w:type="dxa"/>
            <w:vAlign w:val="bottom"/>
            <w:gridSpan w:val="3"/>
            <w:vMerge w:val="restart"/>
          </w:tcPr>
          <w:p>
            <w:pPr>
              <w:ind w:left="60"/>
              <w:spacing w:after="0" w:line="207" w:lineRule="exact"/>
              <w:rPr>
                <w:sz w:val="20"/>
                <w:szCs w:val="20"/>
                <w:color w:val="auto"/>
              </w:rPr>
            </w:pPr>
            <w:r>
              <w:rPr>
                <w:rFonts w:ascii="Arial" w:cs="Arial" w:eastAsia="Arial" w:hAnsi="Arial"/>
                <w:sz w:val="18"/>
                <w:szCs w:val="18"/>
                <w:color w:val="auto"/>
              </w:rPr>
              <w:t xml:space="preserve">CHECK BOX IF DISCLOSURE OF LEGAL PROCEEDINGS  </w:t>
            </w:r>
            <w:r>
              <w:rPr>
                <w:rFonts w:ascii="MS PGothic" w:cs="MS PGothic" w:eastAsia="MS PGothic" w:hAnsi="MS PGothic"/>
                <w:sz w:val="18"/>
                <w:szCs w:val="18"/>
                <w:color w:val="auto"/>
              </w:rPr>
              <w:t>☐</w:t>
            </w:r>
          </w:p>
        </w:tc>
        <w:tc>
          <w:tcPr>
            <w:tcW w:w="4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 w:type="dxa"/>
            <w:vAlign w:val="bottom"/>
            <w:tcBorders>
              <w:right w:val="single" w:sz="8" w:color="auto"/>
            </w:tcBorders>
            <w:shd w:val="clear" w:color="auto" w:fill="000000"/>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540" w:type="dxa"/>
            <w:vAlign w:val="bottom"/>
            <w:gridSpan w:val="3"/>
            <w:vMerge w:val="continue"/>
          </w:tcPr>
          <w:p>
            <w:pPr>
              <w:spacing w:after="0"/>
              <w:rPr>
                <w:sz w:val="11"/>
                <w:szCs w:val="11"/>
                <w:color w:val="auto"/>
              </w:rPr>
            </w:pPr>
          </w:p>
        </w:tc>
        <w:tc>
          <w:tcPr>
            <w:tcW w:w="4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60" w:type="dxa"/>
            <w:vAlign w:val="bottom"/>
            <w:tcBorders>
              <w:right w:val="single" w:sz="8" w:color="auto"/>
            </w:tcBorders>
            <w:shd w:val="clear" w:color="auto" w:fill="000000"/>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540" w:type="dxa"/>
            <w:vAlign w:val="bottom"/>
            <w:gridSpan w:val="3"/>
          </w:tcPr>
          <w:p>
            <w:pPr>
              <w:ind w:left="60"/>
              <w:spacing w:after="0"/>
              <w:rPr>
                <w:sz w:val="20"/>
                <w:szCs w:val="20"/>
                <w:color w:val="auto"/>
              </w:rPr>
            </w:pPr>
            <w:r>
              <w:rPr>
                <w:rFonts w:ascii="Arial" w:cs="Arial" w:eastAsia="Arial" w:hAnsi="Arial"/>
                <w:sz w:val="18"/>
                <w:szCs w:val="18"/>
                <w:color w:val="auto"/>
              </w:rPr>
              <w:t>IS REQUIRED PURSUANT TO ITEM 2(d) or 2(e)</w:t>
            </w:r>
          </w:p>
        </w:tc>
        <w:tc>
          <w:tcPr>
            <w:tcW w:w="4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2"/>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4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54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4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The Republic of France</w:t>
            </w: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 w:type="dxa"/>
            <w:vAlign w:val="bottom"/>
            <w:tcBorders>
              <w:right w:val="single" w:sz="8" w:color="auto"/>
            </w:tcBorders>
            <w:shd w:val="clear" w:color="auto" w:fill="000000"/>
          </w:tcPr>
          <w:p>
            <w:pPr>
              <w:spacing w:after="0"/>
              <w:rPr>
                <w:sz w:val="20"/>
                <w:szCs w:val="20"/>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NUMBER OF</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7.</w:t>
            </w:r>
          </w:p>
        </w:tc>
        <w:tc>
          <w:tcPr>
            <w:tcW w:w="1020" w:type="dxa"/>
            <w:vAlign w:val="bottom"/>
            <w:tcBorders>
              <w:right w:val="single" w:sz="8" w:color="auto"/>
            </w:tcBorders>
          </w:tcPr>
          <w:p>
            <w:pPr>
              <w:spacing w:after="0"/>
              <w:rPr>
                <w:sz w:val="20"/>
                <w:szCs w:val="20"/>
                <w:color w:val="auto"/>
              </w:rPr>
            </w:pPr>
          </w:p>
        </w:tc>
        <w:tc>
          <w:tcPr>
            <w:tcW w:w="2400" w:type="dxa"/>
            <w:vAlign w:val="bottom"/>
            <w:vMerge w:val="restart"/>
          </w:tcPr>
          <w:p>
            <w:pPr>
              <w:ind w:left="160"/>
              <w:spacing w:after="0"/>
              <w:rPr>
                <w:sz w:val="20"/>
                <w:szCs w:val="20"/>
                <w:color w:val="auto"/>
              </w:rPr>
            </w:pPr>
            <w:r>
              <w:rPr>
                <w:rFonts w:ascii="Arial" w:cs="Arial" w:eastAsia="Arial" w:hAnsi="Arial"/>
                <w:sz w:val="18"/>
                <w:szCs w:val="18"/>
                <w:color w:val="auto"/>
              </w:rPr>
              <w:t>SOLE VOTING POWER</w:t>
            </w:r>
          </w:p>
        </w:tc>
        <w:tc>
          <w:tcPr>
            <w:tcW w:w="43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60" w:type="dxa"/>
            <w:vAlign w:val="bottom"/>
            <w:tcBorders>
              <w:bottom w:val="single" w:sz="8" w:color="auto"/>
              <w:right w:val="single" w:sz="8" w:color="auto"/>
            </w:tcBorders>
            <w:shd w:val="clear" w:color="auto" w:fill="000000"/>
          </w:tcPr>
          <w:p>
            <w:pPr>
              <w:spacing w:after="0"/>
              <w:rPr>
                <w:sz w:val="16"/>
                <w:szCs w:val="16"/>
                <w:color w:val="auto"/>
              </w:rPr>
            </w:pPr>
          </w:p>
        </w:tc>
        <w:tc>
          <w:tcPr>
            <w:tcW w:w="1460" w:type="dxa"/>
            <w:vAlign w:val="bottom"/>
            <w:tcBorders>
              <w:right w:val="single" w:sz="8" w:color="auto"/>
            </w:tcBorders>
            <w:gridSpan w:val="2"/>
          </w:tcPr>
          <w:p>
            <w:pPr>
              <w:ind w:left="140"/>
              <w:spacing w:after="0" w:line="189" w:lineRule="exact"/>
              <w:rPr>
                <w:sz w:val="20"/>
                <w:szCs w:val="20"/>
                <w:color w:val="auto"/>
              </w:rPr>
            </w:pPr>
            <w:r>
              <w:rPr>
                <w:rFonts w:ascii="Arial" w:cs="Arial" w:eastAsia="Arial" w:hAnsi="Arial"/>
                <w:sz w:val="18"/>
                <w:szCs w:val="18"/>
                <w:color w:val="auto"/>
              </w:rPr>
              <w:t>SHARES</w:t>
            </w:r>
          </w:p>
        </w:tc>
        <w:tc>
          <w:tcPr>
            <w:tcW w:w="21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43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BENEFICIALLY</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8.</w:t>
            </w:r>
          </w:p>
        </w:tc>
        <w:tc>
          <w:tcPr>
            <w:tcW w:w="1020" w:type="dxa"/>
            <w:vAlign w:val="bottom"/>
            <w:tcBorders>
              <w:right w:val="single" w:sz="8" w:color="auto"/>
            </w:tcBorders>
          </w:tcPr>
          <w:p>
            <w:pPr>
              <w:spacing w:after="0"/>
              <w:rPr>
                <w:sz w:val="18"/>
                <w:szCs w:val="18"/>
                <w:color w:val="auto"/>
              </w:rPr>
            </w:pPr>
          </w:p>
        </w:tc>
        <w:tc>
          <w:tcPr>
            <w:tcW w:w="676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8"/>
                <w:szCs w:val="18"/>
                <w:color w:val="auto"/>
              </w:rPr>
              <w:t>SHARED VOTING POWER 22,204,841 (1)</w:t>
            </w: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OWNED BY</w:t>
            </w:r>
          </w:p>
        </w:tc>
        <w:tc>
          <w:tcPr>
            <w:tcW w:w="21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6760" w:type="dxa"/>
            <w:vAlign w:val="bottom"/>
            <w:tcBorders>
              <w:bottom w:val="single" w:sz="8" w:color="auto"/>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shd w:val="clear" w:color="auto" w:fill="000000"/>
          </w:tcPr>
          <w:p>
            <w:pPr>
              <w:spacing w:after="0"/>
              <w:rPr>
                <w:sz w:val="16"/>
                <w:szCs w:val="16"/>
                <w:color w:val="auto"/>
              </w:rPr>
            </w:pPr>
          </w:p>
        </w:tc>
        <w:tc>
          <w:tcPr>
            <w:tcW w:w="1460" w:type="dxa"/>
            <w:vAlign w:val="bottom"/>
            <w:tcBorders>
              <w:right w:val="single" w:sz="8" w:color="auto"/>
            </w:tcBorders>
            <w:gridSpan w:val="2"/>
          </w:tcPr>
          <w:p>
            <w:pPr>
              <w:ind w:left="140"/>
              <w:spacing w:after="0" w:line="187" w:lineRule="exact"/>
              <w:rPr>
                <w:sz w:val="20"/>
                <w:szCs w:val="20"/>
                <w:color w:val="auto"/>
              </w:rPr>
            </w:pPr>
            <w:r>
              <w:rPr>
                <w:rFonts w:ascii="Arial" w:cs="Arial" w:eastAsia="Arial" w:hAnsi="Arial"/>
                <w:sz w:val="18"/>
                <w:szCs w:val="18"/>
                <w:color w:val="auto"/>
              </w:rPr>
              <w:t>EACH</w:t>
            </w:r>
          </w:p>
        </w:tc>
        <w:tc>
          <w:tcPr>
            <w:tcW w:w="2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4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REPORTING</w:t>
            </w:r>
          </w:p>
        </w:tc>
        <w:tc>
          <w:tcPr>
            <w:tcW w:w="2120" w:type="dxa"/>
            <w:vAlign w:val="bottom"/>
          </w:tcPr>
          <w:p>
            <w:pPr>
              <w:ind w:left="160"/>
              <w:spacing w:after="0"/>
              <w:rPr>
                <w:sz w:val="20"/>
                <w:szCs w:val="20"/>
                <w:color w:val="auto"/>
              </w:rPr>
            </w:pPr>
            <w:r>
              <w:rPr>
                <w:rFonts w:ascii="Arial" w:cs="Arial" w:eastAsia="Arial" w:hAnsi="Arial"/>
                <w:sz w:val="18"/>
                <w:szCs w:val="18"/>
                <w:color w:val="auto"/>
              </w:rPr>
              <w:t>9.</w:t>
            </w:r>
          </w:p>
        </w:tc>
        <w:tc>
          <w:tcPr>
            <w:tcW w:w="1020" w:type="dxa"/>
            <w:vAlign w:val="bottom"/>
            <w:tcBorders>
              <w:right w:val="single" w:sz="8" w:color="auto"/>
            </w:tcBorders>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92"/>
              </w:rPr>
              <w:t>SOLE DISPOSITIVE POWER</w:t>
            </w:r>
          </w:p>
        </w:tc>
        <w:tc>
          <w:tcPr>
            <w:tcW w:w="436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PERSON</w:t>
            </w:r>
          </w:p>
        </w:tc>
        <w:tc>
          <w:tcPr>
            <w:tcW w:w="2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auto"/>
            </w:tcBorders>
            <w:shd w:val="clear" w:color="auto" w:fill="000000"/>
          </w:tcPr>
          <w:p>
            <w:pPr>
              <w:spacing w:after="0"/>
              <w:rPr>
                <w:sz w:val="13"/>
                <w:szCs w:val="13"/>
                <w:color w:val="auto"/>
              </w:rPr>
            </w:pPr>
          </w:p>
        </w:tc>
        <w:tc>
          <w:tcPr>
            <w:tcW w:w="1460" w:type="dxa"/>
            <w:vAlign w:val="bottom"/>
            <w:tcBorders>
              <w:right w:val="single" w:sz="8" w:color="auto"/>
            </w:tcBorders>
            <w:gridSpan w:val="2"/>
            <w:vMerge w:val="continue"/>
          </w:tcPr>
          <w:p>
            <w:pPr>
              <w:spacing w:after="0"/>
              <w:rPr>
                <w:sz w:val="13"/>
                <w:szCs w:val="13"/>
                <w:color w:val="auto"/>
              </w:rPr>
            </w:pPr>
          </w:p>
        </w:tc>
        <w:tc>
          <w:tcPr>
            <w:tcW w:w="2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4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46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WITH</w:t>
            </w:r>
          </w:p>
        </w:tc>
        <w:tc>
          <w:tcPr>
            <w:tcW w:w="2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right w:val="single" w:sz="8" w:color="auto"/>
            </w:tcBorders>
          </w:tcPr>
          <w:p>
            <w:pPr>
              <w:spacing w:after="0"/>
              <w:rPr>
                <w:sz w:val="23"/>
                <w:szCs w:val="23"/>
                <w:color w:val="auto"/>
              </w:rPr>
            </w:pPr>
          </w:p>
        </w:tc>
        <w:tc>
          <w:tcPr>
            <w:tcW w:w="676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SHARED DISPOSITIVE POWER 22,204,841 (1)</w:t>
            </w: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990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22,204,841 (1)</w:t>
            </w: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554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(11)</w:t>
            </w:r>
          </w:p>
        </w:tc>
        <w:tc>
          <w:tcPr>
            <w:tcW w:w="4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EXCLUDES CERTAIN SHARES</w:t>
            </w:r>
          </w:p>
        </w:tc>
        <w:tc>
          <w:tcPr>
            <w:tcW w:w="2400" w:type="dxa"/>
            <w:vAlign w:val="bottom"/>
            <w:tcBorders>
              <w:bottom w:val="single" w:sz="8" w:color="auto"/>
            </w:tcBorders>
          </w:tcPr>
          <w:p>
            <w:pPr>
              <w:spacing w:after="0"/>
              <w:rPr>
                <w:sz w:val="24"/>
                <w:szCs w:val="24"/>
                <w:color w:val="auto"/>
              </w:rPr>
            </w:pPr>
          </w:p>
        </w:tc>
        <w:tc>
          <w:tcPr>
            <w:tcW w:w="4360" w:type="dxa"/>
            <w:vAlign w:val="bottom"/>
            <w:tcBorders>
              <w:bottom w:val="single" w:sz="8" w:color="auto"/>
              <w:right w:val="single" w:sz="8" w:color="auto"/>
            </w:tcBorders>
          </w:tcPr>
          <w:p>
            <w:pPr>
              <w:ind w:left="20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54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w:t>
            </w:r>
          </w:p>
        </w:tc>
        <w:tc>
          <w:tcPr>
            <w:tcW w:w="4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22.5% (2)</w:t>
            </w:r>
          </w:p>
        </w:tc>
        <w:tc>
          <w:tcPr>
            <w:tcW w:w="0" w:type="dxa"/>
            <w:vAlign w:val="bottom"/>
          </w:tcPr>
          <w:p>
            <w:pPr>
              <w:spacing w:after="0"/>
              <w:rPr>
                <w:sz w:val="1"/>
                <w:szCs w:val="1"/>
                <w:color w:val="auto"/>
              </w:rPr>
            </w:pPr>
          </w:p>
        </w:tc>
      </w:tr>
      <w:tr>
        <w:trPr>
          <w:trHeight w:val="435"/>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13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TYPE OF REPORTING PERSON</w:t>
            </w:r>
          </w:p>
        </w:tc>
        <w:tc>
          <w:tcPr>
            <w:tcW w:w="2400" w:type="dxa"/>
            <w:vAlign w:val="bottom"/>
            <w:tcBorders>
              <w:bottom w:val="single" w:sz="8" w:color="auto"/>
            </w:tcBorders>
          </w:tcPr>
          <w:p>
            <w:pPr>
              <w:spacing w:after="0"/>
              <w:rPr>
                <w:sz w:val="24"/>
                <w:szCs w:val="24"/>
                <w:color w:val="auto"/>
              </w:rPr>
            </w:pPr>
          </w:p>
        </w:tc>
        <w:tc>
          <w:tcPr>
            <w:tcW w:w="43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7"/>
        <w:spacing w:after="0" w:line="252"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19,405,289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1" w:lineRule="exact"/>
        <w:rPr>
          <w:rFonts w:ascii="Arial" w:cs="Arial" w:eastAsia="Arial" w:hAnsi="Arial"/>
          <w:sz w:val="18"/>
          <w:szCs w:val="18"/>
          <w:color w:val="auto"/>
        </w:rPr>
      </w:pPr>
    </w:p>
    <w:p>
      <w:pPr>
        <w:ind w:right="80" w:firstLine="7"/>
        <w:spacing w:after="0" w:line="271"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98,879,794 shares of Common Stock outstanding as of April 17, 2014, as reported in the Company’s Quarterly Report on Form 10-Q filed with the Securities and Exchange Commission on May 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t>This Amendment No. 9 (this “</w:t>
      </w:r>
      <w:r>
        <w:rPr>
          <w:rFonts w:ascii="Arial" w:cs="Arial" w:eastAsia="Arial" w:hAnsi="Arial"/>
          <w:sz w:val="18"/>
          <w:szCs w:val="18"/>
          <w:u w:val="single" w:color="auto"/>
          <w:color w:val="auto"/>
        </w:rPr>
        <w:t>Amendment No. 9</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21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supplemented as follows:</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the purchases it made as disclosed in Item 5(c) of this Amendment No. 9, SAAN paid an aggregate of $250,326,691.50, excluding brokerage commission and fees. The source of such funds was working capital.</w:t>
      </w:r>
    </w:p>
    <w:p>
      <w:pPr>
        <w:spacing w:after="0" w:line="198"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Purpose of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Reporting Person intends to purchase, directly or through its subsidiaries, additional shares of Common Stock to progressively increase its beneficial ownership in 2014 and 2015 up to the maximum allowed under the Amended Investor Agreement (30% of Shares of Then Outstanding Common Stock, as defined therein). The Reporting Person intends to acquire these additional shares in market or private transactions or through derivatives subject to market conditions and legal and regulatory requirements, at prices and other terms acceptable to the Reporting Person. To that effect, SAAN may enter into additional agreements with a broker (a “</w:t>
      </w:r>
      <w:r>
        <w:rPr>
          <w:rFonts w:ascii="Arial" w:cs="Arial" w:eastAsia="Arial" w:hAnsi="Arial"/>
          <w:sz w:val="17"/>
          <w:szCs w:val="17"/>
          <w:u w:val="single" w:color="auto"/>
          <w:color w:val="auto"/>
        </w:rPr>
        <w:t>Rule 10b5-1 Plan</w:t>
      </w:r>
      <w:r>
        <w:rPr>
          <w:rFonts w:ascii="Arial" w:cs="Arial" w:eastAsia="Arial" w:hAnsi="Arial"/>
          <w:sz w:val="17"/>
          <w:szCs w:val="17"/>
          <w:color w:val="auto"/>
        </w:rPr>
        <w:t>”), intended to comply with the requirements of Rule 10b5-1(c)(1)(i)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The Reporting Person makes no commitment in terms of the timing of such transactions, which will depend on market conditions including the price and availability of shares of Common Stock, and on such other factors considered relevant to the Reporting Person or to the broker in carrying out the Rule 10b5-1 Plan, as the case may be.</w:t>
      </w:r>
    </w:p>
    <w:p>
      <w:pPr>
        <w:spacing w:after="0" w:line="20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Reporting Person purchased, through its subsidiary SAAN, an aggregate of 799,100 shares of Common Stock in market transactions, as disclosed in Item 5(c) of this Amendment No. 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of Common Stock that are the subject of this filing were purchased for the purpose of making an investment in the Issuer.</w:t>
      </w:r>
    </w:p>
    <w:p>
      <w:pPr>
        <w:spacing w:after="0" w:line="24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color w:val="auto"/>
        </w:rPr>
        <w:t>Interests in the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48" w:lineRule="exact"/>
        <w:rPr>
          <w:sz w:val="20"/>
          <w:szCs w:val="20"/>
          <w:color w:val="auto"/>
        </w:rPr>
      </w:pPr>
    </w:p>
    <w:p>
      <w:pPr>
        <w:ind w:right="80" w:firstLine="970"/>
        <w:spacing w:after="0" w:line="252" w:lineRule="auto"/>
        <w:tabs>
          <w:tab w:leader="none" w:pos="120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9 as of the close of business on July 30, 2014, are incorporated herein by reference. As of the close of business on July 30, 2014, the Reporting Person beneficially owned 22,204,841 shares of Common Stock, representing approximately 22.5% of the shares of Common Stock outstanding (based on 98,879,794 shares of Common Stock outstanding as of April 17, 2014, as reported in the Company’s Quarterly Report on Form 10-Q filed with the Securities and Exchange Commission on May 8, 2014). The Reporting Person may be deemed to have shared voting and dispositive power with respect to the shares of Common Stock directly owned by SAAN and Aventis, its subsidiaries.</w:t>
      </w:r>
    </w:p>
    <w:p>
      <w:pPr>
        <w:spacing w:after="0" w:line="221" w:lineRule="exact"/>
        <w:rPr>
          <w:sz w:val="20"/>
          <w:szCs w:val="20"/>
          <w:color w:val="auto"/>
        </w:rPr>
      </w:pPr>
    </w:p>
    <w:p>
      <w:pPr>
        <w:ind w:right="280"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July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ind w:right="380" w:firstLine="970"/>
        <w:spacing w:after="0" w:line="271" w:lineRule="auto"/>
        <w:tabs>
          <w:tab w:leader="none" w:pos="1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most recent filing of Schedule 13D and through and including July 30, 2014, market transactions were effected in the Common Stock as disclosed in Schedule A to this Amendment No. 9.</w:t>
      </w:r>
    </w:p>
    <w:p>
      <w:pPr>
        <w:spacing w:after="0" w:line="200" w:lineRule="exact"/>
        <w:rPr>
          <w:sz w:val="20"/>
          <w:szCs w:val="20"/>
          <w:color w:val="auto"/>
        </w:rPr>
      </w:pPr>
    </w:p>
    <w:p>
      <w:pPr>
        <w:spacing w:after="0" w:line="242" w:lineRule="exact"/>
        <w:rPr>
          <w:sz w:val="20"/>
          <w:szCs w:val="20"/>
          <w:color w:val="auto"/>
        </w:rPr>
      </w:pPr>
    </w:p>
    <w:p>
      <w:pPr>
        <w:ind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200" w:lineRule="exact"/>
        <w:rPr>
          <w:sz w:val="20"/>
          <w:szCs w:val="20"/>
          <w:color w:val="auto"/>
        </w:rPr>
      </w:pPr>
    </w:p>
    <w:p>
      <w:pPr>
        <w:spacing w:after="0" w:line="242" w:lineRule="exact"/>
        <w:rPr>
          <w:sz w:val="20"/>
          <w:szCs w:val="20"/>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2014</w:t>
      </w:r>
    </w:p>
    <w:p>
      <w:pPr>
        <w:spacing w:after="0" w:line="200" w:lineRule="exact"/>
        <w:rPr>
          <w:sz w:val="20"/>
          <w:szCs w:val="20"/>
          <w:color w:val="auto"/>
        </w:rPr>
      </w:pPr>
    </w:p>
    <w:p>
      <w:pPr>
        <w:spacing w:after="0" w:line="28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SANOFI</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John Felitti</w:t>
      </w:r>
    </w:p>
    <w:p>
      <w:pPr>
        <w:spacing w:after="0" w:line="20" w:lineRule="exact"/>
        <w:rPr>
          <w:sz w:val="20"/>
          <w:szCs w:val="20"/>
          <w:color w:val="auto"/>
        </w:rPr>
      </w:pPr>
    </w:p>
    <w:tbl>
      <w:tblPr>
        <w:tblLayout w:type="fixed"/>
        <w:tblInd w:w="7100" w:type="dxa"/>
        <w:tblCellMar>
          <w:top w:w="0" w:type="dxa"/>
          <w:left w:w="0" w:type="dxa"/>
          <w:bottom w:w="0" w:type="dxa"/>
          <w:right w:w="0" w:type="dxa"/>
        </w:tblCellMar>
      </w:tblPr>
      <w:tr>
        <w:trPr>
          <w:trHeight w:val="208"/>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John Felitti</w:t>
            </w:r>
          </w:p>
        </w:tc>
      </w:t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00"/>
              <w:spacing w:after="0"/>
              <w:rPr>
                <w:sz w:val="20"/>
                <w:szCs w:val="20"/>
                <w:color w:val="auto"/>
              </w:rPr>
            </w:pPr>
            <w:r>
              <w:rPr>
                <w:rFonts w:ascii="Arial" w:cs="Arial" w:eastAsia="Arial" w:hAnsi="Arial"/>
                <w:sz w:val="18"/>
                <w:szCs w:val="18"/>
                <w:color w:val="auto"/>
              </w:rPr>
              <w:t>Associate Vice President, Corporate Law,</w:t>
            </w:r>
          </w:p>
        </w:tc>
      </w:tr>
      <w:tr>
        <w:trPr>
          <w:trHeight w:val="227"/>
        </w:trPr>
        <w:tc>
          <w:tcPr>
            <w:tcW w:w="5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Financial &amp; Securities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00"/>
          </w:cols>
          <w:pgMar w:left="240" w:top="509" w:right="1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520" w:type="dxa"/>
            <w:vAlign w:val="bottom"/>
            <w:gridSpan w:val="3"/>
          </w:tcPr>
          <w:p>
            <w:pPr>
              <w:jc w:val="right"/>
              <w:ind w:right="1491"/>
              <w:spacing w:after="0"/>
              <w:rPr>
                <w:sz w:val="20"/>
                <w:szCs w:val="20"/>
                <w:color w:val="auto"/>
              </w:rPr>
            </w:pPr>
            <w:r>
              <w:rPr>
                <w:rFonts w:ascii="Arial" w:cs="Arial" w:eastAsia="Arial" w:hAnsi="Arial"/>
                <w:sz w:val="18"/>
                <w:szCs w:val="18"/>
                <w:color w:val="auto"/>
                <w:w w:val="99"/>
              </w:rPr>
              <w:t>Schedule A</w:t>
            </w: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0"/>
        </w:trPr>
        <w:tc>
          <w:tcPr>
            <w:tcW w:w="1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580" w:type="dxa"/>
            <w:vAlign w:val="bottom"/>
          </w:tcPr>
          <w:p>
            <w:pPr>
              <w:jc w:val="center"/>
              <w:ind w:right="471"/>
              <w:spacing w:after="0"/>
              <w:rPr>
                <w:sz w:val="20"/>
                <w:szCs w:val="20"/>
                <w:color w:val="auto"/>
              </w:rPr>
            </w:pPr>
            <w:r>
              <w:rPr>
                <w:rFonts w:ascii="Arial" w:cs="Arial" w:eastAsia="Arial" w:hAnsi="Arial"/>
                <w:sz w:val="18"/>
                <w:szCs w:val="18"/>
                <w:color w:val="auto"/>
                <w:w w:val="92"/>
              </w:rPr>
              <w:t>Number of</w:t>
            </w:r>
          </w:p>
        </w:tc>
        <w:tc>
          <w:tcPr>
            <w:tcW w:w="1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4"/>
        </w:trPr>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jc w:val="center"/>
              <w:ind w:right="451"/>
              <w:spacing w:after="0"/>
              <w:rPr>
                <w:sz w:val="20"/>
                <w:szCs w:val="20"/>
                <w:color w:val="auto"/>
              </w:rPr>
            </w:pPr>
            <w:r>
              <w:rPr>
                <w:rFonts w:ascii="Arial" w:cs="Arial" w:eastAsia="Arial" w:hAnsi="Arial"/>
                <w:sz w:val="18"/>
                <w:szCs w:val="18"/>
                <w:color w:val="auto"/>
                <w:w w:val="88"/>
              </w:rPr>
              <w:t>Shares of</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17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Trade Date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jc w:val="center"/>
              <w:ind w:right="471"/>
              <w:spacing w:after="0"/>
              <w:rPr>
                <w:sz w:val="20"/>
                <w:szCs w:val="20"/>
                <w:color w:val="auto"/>
              </w:rPr>
            </w:pPr>
            <w:r>
              <w:rPr>
                <w:rFonts w:ascii="Arial" w:cs="Arial" w:eastAsia="Arial" w:hAnsi="Arial"/>
                <w:sz w:val="18"/>
                <w:szCs w:val="18"/>
                <w:color w:val="auto"/>
                <w:w w:val="90"/>
              </w:rPr>
              <w:t>Common</w:t>
            </w: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Price per</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7"/>
        </w:trPr>
        <w:tc>
          <w:tcPr>
            <w:tcW w:w="1740" w:type="dxa"/>
            <w:vAlign w:val="bottom"/>
          </w:tcPr>
          <w:p>
            <w:pPr>
              <w:jc w:val="center"/>
              <w:spacing w:after="0"/>
              <w:rPr>
                <w:sz w:val="20"/>
                <w:szCs w:val="20"/>
                <w:color w:val="auto"/>
              </w:rPr>
            </w:pPr>
            <w:r>
              <w:rPr>
                <w:rFonts w:ascii="Arial" w:cs="Arial" w:eastAsia="Arial" w:hAnsi="Arial"/>
                <w:sz w:val="18"/>
                <w:szCs w:val="18"/>
                <w:color w:val="auto"/>
                <w:w w:val="97"/>
              </w:rPr>
              <w:t>Entity</w:t>
            </w:r>
          </w:p>
        </w:tc>
        <w:tc>
          <w:tcPr>
            <w:tcW w:w="1940" w:type="dxa"/>
            <w:vAlign w:val="bottom"/>
          </w:tcPr>
          <w:p>
            <w:pPr>
              <w:jc w:val="center"/>
              <w:ind w:left="51"/>
              <w:spacing w:after="0"/>
              <w:rPr>
                <w:sz w:val="20"/>
                <w:szCs w:val="20"/>
                <w:color w:val="auto"/>
              </w:rPr>
            </w:pPr>
            <w:r>
              <w:rPr>
                <w:rFonts w:ascii="Arial" w:cs="Arial" w:eastAsia="Arial" w:hAnsi="Arial"/>
                <w:sz w:val="18"/>
                <w:szCs w:val="18"/>
                <w:color w:val="auto"/>
                <w:w w:val="99"/>
              </w:rPr>
              <w:t>(M/D/Y)†</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9"/>
              </w:rPr>
              <w:t>Transaction</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80" w:type="dxa"/>
            <w:vAlign w:val="bottom"/>
          </w:tcPr>
          <w:p>
            <w:pPr>
              <w:jc w:val="center"/>
              <w:ind w:right="471"/>
              <w:spacing w:after="0"/>
              <w:rPr>
                <w:sz w:val="20"/>
                <w:szCs w:val="20"/>
                <w:color w:val="auto"/>
              </w:rPr>
            </w:pPr>
            <w:r>
              <w:rPr>
                <w:rFonts w:ascii="Arial" w:cs="Arial" w:eastAsia="Arial" w:hAnsi="Arial"/>
                <w:sz w:val="18"/>
                <w:szCs w:val="18"/>
                <w:color w:val="auto"/>
                <w:w w:val="96"/>
              </w:rPr>
              <w:t>Stock*</w:t>
            </w:r>
          </w:p>
        </w:tc>
        <w:tc>
          <w:tcPr>
            <w:tcW w:w="1700" w:type="dxa"/>
            <w:vAlign w:val="bottom"/>
          </w:tcPr>
          <w:p>
            <w:pPr>
              <w:jc w:val="right"/>
              <w:ind w:right="411"/>
              <w:spacing w:after="0"/>
              <w:rPr>
                <w:sz w:val="20"/>
                <w:szCs w:val="20"/>
                <w:color w:val="auto"/>
              </w:rPr>
            </w:pPr>
            <w:r>
              <w:rPr>
                <w:rFonts w:ascii="Arial" w:cs="Arial" w:eastAsia="Arial" w:hAnsi="Arial"/>
                <w:sz w:val="18"/>
                <w:szCs w:val="18"/>
                <w:color w:val="auto"/>
              </w:rPr>
              <w:t>Share*</w:t>
            </w:r>
          </w:p>
        </w:tc>
        <w:tc>
          <w:tcPr>
            <w:tcW w:w="2020" w:type="dxa"/>
            <w:vAlign w:val="bottom"/>
            <w:gridSpan w:val="2"/>
          </w:tcPr>
          <w:p>
            <w:pPr>
              <w:jc w:val="right"/>
              <w:ind w:right="451"/>
              <w:spacing w:after="0"/>
              <w:rPr>
                <w:sz w:val="20"/>
                <w:szCs w:val="20"/>
                <w:color w:val="auto"/>
              </w:rPr>
            </w:pPr>
            <w:r>
              <w:rPr>
                <w:rFonts w:ascii="Arial" w:cs="Arial" w:eastAsia="Arial" w:hAnsi="Arial"/>
                <w:sz w:val="18"/>
                <w:szCs w:val="18"/>
                <w:color w:val="auto"/>
              </w:rPr>
              <w:t>Price Range*</w:t>
            </w:r>
          </w:p>
        </w:tc>
      </w:tr>
      <w:tr>
        <w:trPr>
          <w:trHeight w:val="216"/>
        </w:trPr>
        <w:tc>
          <w:tcPr>
            <w:tcW w:w="1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7/9/2014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15,565</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$304.1935</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$303.60</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$304.59</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7/9/2014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20,608</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$305.0939</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$304.61</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$305.59</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7/9/2014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6,513</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$306.1305</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$305.60</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$306.56</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7/9/2014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14,532</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$307.2219</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$306.65</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$307.63</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7/9/2014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14,586</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$308.1936</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$307.65</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$308.64</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7/9/2014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26,831</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$309.2766</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$308.65</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$309.63</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7/9/2014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62,861</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$310.1031</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$309.65</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$310.64</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7/9/2014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29,829</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$311.0768</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$310.67</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$311.65</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7/9/2014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3,675</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$311.9096</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$311.67</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$312.23</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7/10/2014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2,470</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$306.7679</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$305.95</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$306.90</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7/10/2014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2,502</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$307.6361</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$307.00</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$307.98</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7/10/2014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17,347</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$308.5518</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$308.00</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$308.99</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7/10/2014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26,891</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$309.5559</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$309.00</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$309.99</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7/10/2014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53,994</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$310.4759</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$310.00</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$310.99</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7/10/2014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15,815</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$311.1672</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$311.00</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$311.99</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7/10/2014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20,638</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$312.6233</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$312.00</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$312.99</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7/10/2014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18,057</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$313.4687</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$313.01</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$314.00</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7/10/2014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17,286</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$314.5763</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$314.02</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$315.00</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7/11/2014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4,157</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$311.3923</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$310.81</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$311.77</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7/11/2014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7,343</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$312.4319</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$311.88</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$312.81</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7/11/2014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42,201</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$313.5903</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$312.90</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$313.89</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7/11/2014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28,662</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$314.1881</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$313.90</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$314.88</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7/11/2014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2,245</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$314.9919</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$314.95</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$315.00</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7/11/2014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36,889</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$317.3301</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$316.56</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$317.55</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7/11/2014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23,378</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$318.1414</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$317.56</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$318.54</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7/11/2014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5,125</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$318.7221</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$318.62</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$318.79</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7/14/2014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4,380</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$314.5152</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$314.07</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$315.04</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7/14/2014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11,115</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$315.6549</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$315.07</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$316.04</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7/14/2014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9,715</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$316.3952</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$316.07</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$317.06</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7/14/2014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26,668</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$317.7297</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$317.07</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$318.06</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7/14/2014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59,810</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$318.6048</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$318.07</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$319.06</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7/14/2014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38,312</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$319.4291</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$319.07</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$320.00</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1,865</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$310.1843</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$309.52</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$310.50</w:t>
            </w:r>
          </w:p>
        </w:tc>
      </w:tr>
      <w:tr>
        <w:trPr>
          <w:trHeight w:val="214"/>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7/15/2014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4,144</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$311.0431</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$310.55</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$311.52</w:t>
            </w:r>
          </w:p>
        </w:tc>
      </w:tr>
      <w:tr>
        <w:trPr>
          <w:trHeight w:val="214"/>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7/15/2014</w:t>
            </w:r>
          </w:p>
        </w:tc>
        <w:tc>
          <w:tcPr>
            <w:tcW w:w="150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9,669</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$312.2346</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$311.56</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$312.54</w:t>
            </w:r>
          </w:p>
        </w:tc>
      </w:tr>
      <w:tr>
        <w:trPr>
          <w:trHeight w:val="227"/>
        </w:trPr>
        <w:tc>
          <w:tcPr>
            <w:tcW w:w="1740" w:type="dxa"/>
            <w:vAlign w:val="bottom"/>
          </w:tcPr>
          <w:p>
            <w:pPr>
              <w:jc w:val="center"/>
              <w:spacing w:after="0"/>
              <w:rPr>
                <w:sz w:val="20"/>
                <w:szCs w:val="20"/>
                <w:color w:val="auto"/>
              </w:rPr>
            </w:pPr>
            <w:r>
              <w:rPr>
                <w:rFonts w:ascii="Arial" w:cs="Arial" w:eastAsia="Arial" w:hAnsi="Arial"/>
                <w:sz w:val="18"/>
                <w:szCs w:val="18"/>
                <w:color w:val="auto"/>
                <w:w w:val="97"/>
              </w:rPr>
              <w:t>SAAN</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7/15/2014</w:t>
            </w:r>
          </w:p>
        </w:tc>
        <w:tc>
          <w:tcPr>
            <w:tcW w:w="1500" w:type="dxa"/>
            <w:vAlign w:val="bottom"/>
          </w:tcPr>
          <w:p>
            <w:pPr>
              <w:jc w:val="center"/>
              <w:ind w:left="331"/>
              <w:spacing w:after="0"/>
              <w:rPr>
                <w:sz w:val="20"/>
                <w:szCs w:val="20"/>
                <w:color w:val="auto"/>
              </w:rPr>
            </w:pPr>
            <w:r>
              <w:rPr>
                <w:rFonts w:ascii="Arial" w:cs="Arial" w:eastAsia="Arial" w:hAnsi="Arial"/>
                <w:sz w:val="18"/>
                <w:szCs w:val="18"/>
                <w:color w:val="auto"/>
                <w:w w:val="84"/>
              </w:rPr>
              <w:t>Purchase</w:t>
            </w:r>
          </w:p>
        </w:tc>
        <w:tc>
          <w:tcPr>
            <w:tcW w:w="2520" w:type="dxa"/>
            <w:vAlign w:val="bottom"/>
            <w:gridSpan w:val="3"/>
          </w:tcPr>
          <w:p>
            <w:pPr>
              <w:jc w:val="right"/>
              <w:ind w:right="411"/>
              <w:spacing w:after="0"/>
              <w:rPr>
                <w:sz w:val="20"/>
                <w:szCs w:val="20"/>
                <w:color w:val="auto"/>
              </w:rPr>
            </w:pPr>
            <w:r>
              <w:rPr>
                <w:rFonts w:ascii="Arial" w:cs="Arial" w:eastAsia="Arial" w:hAnsi="Arial"/>
                <w:sz w:val="18"/>
                <w:szCs w:val="18"/>
                <w:color w:val="auto"/>
              </w:rPr>
              <w:t>27,048</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$313.0640</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$312.58</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$313.57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4"/>
        </w:trPr>
        <w:tc>
          <w:tcPr>
            <w:tcW w:w="1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80" w:type="dxa"/>
            <w:vAlign w:val="bottom"/>
          </w:tcPr>
          <w:p>
            <w:pPr>
              <w:jc w:val="center"/>
              <w:ind w:right="51"/>
              <w:spacing w:after="0"/>
              <w:rPr>
                <w:sz w:val="20"/>
                <w:szCs w:val="20"/>
                <w:color w:val="auto"/>
              </w:rPr>
            </w:pPr>
            <w:r>
              <w:rPr>
                <w:rFonts w:ascii="Arial" w:cs="Arial" w:eastAsia="Arial" w:hAnsi="Arial"/>
                <w:sz w:val="18"/>
                <w:szCs w:val="18"/>
                <w:color w:val="auto"/>
                <w:w w:val="92"/>
              </w:rPr>
              <w:t>Number of</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1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80" w:type="dxa"/>
            <w:vAlign w:val="bottom"/>
          </w:tcPr>
          <w:p>
            <w:pPr>
              <w:jc w:val="center"/>
              <w:ind w:right="51"/>
              <w:spacing w:after="0"/>
              <w:rPr>
                <w:sz w:val="20"/>
                <w:szCs w:val="20"/>
                <w:color w:val="auto"/>
              </w:rPr>
            </w:pPr>
            <w:r>
              <w:rPr>
                <w:rFonts w:ascii="Arial" w:cs="Arial" w:eastAsia="Arial" w:hAnsi="Arial"/>
                <w:sz w:val="18"/>
                <w:szCs w:val="18"/>
                <w:color w:val="auto"/>
                <w:w w:val="85"/>
              </w:rPr>
              <w:t>Shares of</w:t>
            </w:r>
          </w:p>
        </w:tc>
        <w:tc>
          <w:tcPr>
            <w:tcW w:w="1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17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Trade Date</w:t>
            </w:r>
          </w:p>
        </w:tc>
        <w:tc>
          <w:tcPr>
            <w:tcW w:w="1960" w:type="dxa"/>
            <w:vAlign w:val="bottom"/>
          </w:tcPr>
          <w:p>
            <w:pPr>
              <w:spacing w:after="0"/>
              <w:rPr>
                <w:sz w:val="18"/>
                <w:szCs w:val="18"/>
                <w:color w:val="auto"/>
              </w:rPr>
            </w:pPr>
          </w:p>
        </w:tc>
        <w:tc>
          <w:tcPr>
            <w:tcW w:w="2080" w:type="dxa"/>
            <w:vAlign w:val="bottom"/>
          </w:tcPr>
          <w:p>
            <w:pPr>
              <w:jc w:val="center"/>
              <w:ind w:right="51"/>
              <w:spacing w:after="0"/>
              <w:rPr>
                <w:sz w:val="20"/>
                <w:szCs w:val="20"/>
                <w:color w:val="auto"/>
              </w:rPr>
            </w:pPr>
            <w:r>
              <w:rPr>
                <w:rFonts w:ascii="Arial" w:cs="Arial" w:eastAsia="Arial" w:hAnsi="Arial"/>
                <w:sz w:val="18"/>
                <w:szCs w:val="18"/>
                <w:color w:val="auto"/>
                <w:w w:val="90"/>
              </w:rPr>
              <w:t>Common</w:t>
            </w: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Price per</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1720" w:type="dxa"/>
            <w:vAlign w:val="bottom"/>
          </w:tcPr>
          <w:p>
            <w:pPr>
              <w:ind w:left="640"/>
              <w:spacing w:after="0"/>
              <w:rPr>
                <w:sz w:val="20"/>
                <w:szCs w:val="20"/>
                <w:color w:val="auto"/>
              </w:rPr>
            </w:pPr>
            <w:r>
              <w:rPr>
                <w:rFonts w:ascii="Arial" w:cs="Arial" w:eastAsia="Arial" w:hAnsi="Arial"/>
                <w:sz w:val="18"/>
                <w:szCs w:val="18"/>
                <w:color w:val="auto"/>
              </w:rPr>
              <w:t>Entity</w:t>
            </w:r>
          </w:p>
        </w:tc>
        <w:tc>
          <w:tcPr>
            <w:tcW w:w="1940" w:type="dxa"/>
            <w:vAlign w:val="bottom"/>
          </w:tcPr>
          <w:p>
            <w:pPr>
              <w:jc w:val="center"/>
              <w:spacing w:after="0"/>
              <w:rPr>
                <w:sz w:val="20"/>
                <w:szCs w:val="20"/>
                <w:color w:val="auto"/>
              </w:rPr>
            </w:pPr>
            <w:r>
              <w:rPr>
                <w:rFonts w:ascii="Arial" w:cs="Arial" w:eastAsia="Arial" w:hAnsi="Arial"/>
                <w:sz w:val="18"/>
                <w:szCs w:val="18"/>
                <w:color w:val="auto"/>
              </w:rPr>
              <w:t>(M/D/Y)†</w:t>
            </w:r>
          </w:p>
        </w:tc>
        <w:tc>
          <w:tcPr>
            <w:tcW w:w="1960" w:type="dxa"/>
            <w:vAlign w:val="bottom"/>
          </w:tcPr>
          <w:p>
            <w:pPr>
              <w:ind w:left="520"/>
              <w:spacing w:after="0"/>
              <w:rPr>
                <w:sz w:val="20"/>
                <w:szCs w:val="20"/>
                <w:color w:val="auto"/>
              </w:rPr>
            </w:pPr>
            <w:r>
              <w:rPr>
                <w:rFonts w:ascii="Arial" w:cs="Arial" w:eastAsia="Arial" w:hAnsi="Arial"/>
                <w:sz w:val="18"/>
                <w:szCs w:val="18"/>
                <w:color w:val="auto"/>
              </w:rPr>
              <w:t>Transaction</w:t>
            </w:r>
          </w:p>
        </w:tc>
        <w:tc>
          <w:tcPr>
            <w:tcW w:w="2080" w:type="dxa"/>
            <w:vAlign w:val="bottom"/>
          </w:tcPr>
          <w:p>
            <w:pPr>
              <w:jc w:val="center"/>
              <w:ind w:right="51"/>
              <w:spacing w:after="0"/>
              <w:rPr>
                <w:sz w:val="20"/>
                <w:szCs w:val="20"/>
                <w:color w:val="auto"/>
              </w:rPr>
            </w:pPr>
            <w:r>
              <w:rPr>
                <w:rFonts w:ascii="Arial" w:cs="Arial" w:eastAsia="Arial" w:hAnsi="Arial"/>
                <w:sz w:val="18"/>
                <w:szCs w:val="18"/>
                <w:color w:val="auto"/>
                <w:w w:val="96"/>
              </w:rPr>
              <w:t>Stock*</w:t>
            </w:r>
          </w:p>
        </w:tc>
        <w:tc>
          <w:tcPr>
            <w:tcW w:w="1700" w:type="dxa"/>
            <w:vAlign w:val="bottom"/>
          </w:tcPr>
          <w:p>
            <w:pPr>
              <w:jc w:val="right"/>
              <w:ind w:right="431"/>
              <w:spacing w:after="0"/>
              <w:rPr>
                <w:sz w:val="20"/>
                <w:szCs w:val="20"/>
                <w:color w:val="auto"/>
              </w:rPr>
            </w:pPr>
            <w:r>
              <w:rPr>
                <w:rFonts w:ascii="Arial" w:cs="Arial" w:eastAsia="Arial" w:hAnsi="Arial"/>
                <w:sz w:val="18"/>
                <w:szCs w:val="18"/>
                <w:color w:val="auto"/>
              </w:rPr>
              <w:t>Share*</w:t>
            </w:r>
          </w:p>
        </w:tc>
        <w:tc>
          <w:tcPr>
            <w:tcW w:w="2020" w:type="dxa"/>
            <w:vAlign w:val="bottom"/>
            <w:gridSpan w:val="2"/>
          </w:tcPr>
          <w:p>
            <w:pPr>
              <w:jc w:val="right"/>
              <w:ind w:right="391"/>
              <w:spacing w:after="0"/>
              <w:rPr>
                <w:sz w:val="20"/>
                <w:szCs w:val="20"/>
                <w:color w:val="auto"/>
              </w:rPr>
            </w:pPr>
            <w:r>
              <w:rPr>
                <w:rFonts w:ascii="Arial" w:cs="Arial" w:eastAsia="Arial" w:hAnsi="Arial"/>
                <w:sz w:val="18"/>
                <w:szCs w:val="18"/>
                <w:color w:val="auto"/>
              </w:rPr>
              <w:t>Price Range*</w:t>
            </w:r>
          </w:p>
        </w:tc>
      </w:tr>
      <w:tr>
        <w:trPr>
          <w:trHeight w:val="215"/>
        </w:trPr>
        <w:tc>
          <w:tcPr>
            <w:tcW w:w="1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2"/>
              </w:rPr>
              <w:t>7/15/2014</w:t>
            </w:r>
          </w:p>
        </w:tc>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w:t>
            </w:r>
          </w:p>
        </w:tc>
        <w:tc>
          <w:tcPr>
            <w:tcW w:w="20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24,749</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$314.1123</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$313.58</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$314.57</w:t>
            </w:r>
          </w:p>
        </w:tc>
      </w:tr>
      <w:tr>
        <w:trPr>
          <w:trHeight w:val="214"/>
        </w:trPr>
        <w:tc>
          <w:tcPr>
            <w:tcW w:w="1720" w:type="dxa"/>
            <w:vAlign w:val="bottom"/>
          </w:tcPr>
          <w:p>
            <w:pPr>
              <w:ind w:left="620"/>
              <w:spacing w:after="0"/>
              <w:rPr>
                <w:sz w:val="20"/>
                <w:szCs w:val="20"/>
                <w:color w:val="auto"/>
              </w:rPr>
            </w:pPr>
            <w:r>
              <w:rPr>
                <w:rFonts w:ascii="Arial" w:cs="Arial" w:eastAsia="Arial" w:hAnsi="Arial"/>
                <w:sz w:val="18"/>
                <w:szCs w:val="18"/>
                <w:color w:val="auto"/>
              </w:rPr>
              <w:t>SAAN</w:t>
            </w:r>
          </w:p>
        </w:tc>
        <w:tc>
          <w:tcPr>
            <w:tcW w:w="1940" w:type="dxa"/>
            <w:vAlign w:val="bottom"/>
          </w:tcPr>
          <w:p>
            <w:pPr>
              <w:jc w:val="center"/>
              <w:ind w:left="31"/>
              <w:spacing w:after="0"/>
              <w:rPr>
                <w:sz w:val="20"/>
                <w:szCs w:val="20"/>
                <w:color w:val="auto"/>
              </w:rPr>
            </w:pPr>
            <w:r>
              <w:rPr>
                <w:rFonts w:ascii="Arial" w:cs="Arial" w:eastAsia="Arial" w:hAnsi="Arial"/>
                <w:sz w:val="18"/>
                <w:szCs w:val="18"/>
                <w:color w:val="auto"/>
                <w:w w:val="92"/>
              </w:rPr>
              <w:t>7/15/2014</w:t>
            </w:r>
          </w:p>
        </w:tc>
        <w:tc>
          <w:tcPr>
            <w:tcW w:w="1960" w:type="dxa"/>
            <w:vAlign w:val="bottom"/>
          </w:tcPr>
          <w:p>
            <w:pPr>
              <w:ind w:left="660"/>
              <w:spacing w:after="0"/>
              <w:rPr>
                <w:sz w:val="20"/>
                <w:szCs w:val="20"/>
                <w:color w:val="auto"/>
              </w:rPr>
            </w:pPr>
            <w:r>
              <w:rPr>
                <w:rFonts w:ascii="Arial" w:cs="Arial" w:eastAsia="Arial" w:hAnsi="Arial"/>
                <w:sz w:val="18"/>
                <w:szCs w:val="18"/>
                <w:color w:val="auto"/>
              </w:rPr>
              <w:t>Purchase</w:t>
            </w:r>
          </w:p>
        </w:tc>
        <w:tc>
          <w:tcPr>
            <w:tcW w:w="2080" w:type="dxa"/>
            <w:vAlign w:val="bottom"/>
          </w:tcPr>
          <w:p>
            <w:pPr>
              <w:jc w:val="right"/>
              <w:ind w:right="411"/>
              <w:spacing w:after="0"/>
              <w:rPr>
                <w:sz w:val="20"/>
                <w:szCs w:val="20"/>
                <w:color w:val="auto"/>
              </w:rPr>
            </w:pPr>
            <w:r>
              <w:rPr>
                <w:rFonts w:ascii="Arial" w:cs="Arial" w:eastAsia="Arial" w:hAnsi="Arial"/>
                <w:sz w:val="18"/>
                <w:szCs w:val="18"/>
                <w:color w:val="auto"/>
              </w:rPr>
              <w:t>12,830</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$314.9629</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$314.58</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$315.56</w:t>
            </w:r>
          </w:p>
        </w:tc>
      </w:tr>
      <w:tr>
        <w:trPr>
          <w:trHeight w:val="214"/>
        </w:trPr>
        <w:tc>
          <w:tcPr>
            <w:tcW w:w="1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2"/>
              </w:rPr>
              <w:t>7/15/2014</w:t>
            </w:r>
          </w:p>
        </w:tc>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w:t>
            </w:r>
          </w:p>
        </w:tc>
        <w:tc>
          <w:tcPr>
            <w:tcW w:w="20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12,683</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$316.0220</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$315.62</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$316.61</w:t>
            </w:r>
          </w:p>
        </w:tc>
      </w:tr>
      <w:tr>
        <w:trPr>
          <w:trHeight w:val="214"/>
        </w:trPr>
        <w:tc>
          <w:tcPr>
            <w:tcW w:w="1720" w:type="dxa"/>
            <w:vAlign w:val="bottom"/>
          </w:tcPr>
          <w:p>
            <w:pPr>
              <w:ind w:left="620"/>
              <w:spacing w:after="0"/>
              <w:rPr>
                <w:sz w:val="20"/>
                <w:szCs w:val="20"/>
                <w:color w:val="auto"/>
              </w:rPr>
            </w:pPr>
            <w:r>
              <w:rPr>
                <w:rFonts w:ascii="Arial" w:cs="Arial" w:eastAsia="Arial" w:hAnsi="Arial"/>
                <w:sz w:val="18"/>
                <w:szCs w:val="18"/>
                <w:color w:val="auto"/>
              </w:rPr>
              <w:t>SAAN</w:t>
            </w:r>
          </w:p>
        </w:tc>
        <w:tc>
          <w:tcPr>
            <w:tcW w:w="1940" w:type="dxa"/>
            <w:vAlign w:val="bottom"/>
          </w:tcPr>
          <w:p>
            <w:pPr>
              <w:jc w:val="center"/>
              <w:ind w:left="31"/>
              <w:spacing w:after="0"/>
              <w:rPr>
                <w:sz w:val="20"/>
                <w:szCs w:val="20"/>
                <w:color w:val="auto"/>
              </w:rPr>
            </w:pPr>
            <w:r>
              <w:rPr>
                <w:rFonts w:ascii="Arial" w:cs="Arial" w:eastAsia="Arial" w:hAnsi="Arial"/>
                <w:sz w:val="18"/>
                <w:szCs w:val="18"/>
                <w:color w:val="auto"/>
                <w:w w:val="92"/>
              </w:rPr>
              <w:t>7/15/2014</w:t>
            </w:r>
          </w:p>
        </w:tc>
        <w:tc>
          <w:tcPr>
            <w:tcW w:w="1960" w:type="dxa"/>
            <w:vAlign w:val="bottom"/>
          </w:tcPr>
          <w:p>
            <w:pPr>
              <w:ind w:left="660"/>
              <w:spacing w:after="0"/>
              <w:rPr>
                <w:sz w:val="20"/>
                <w:szCs w:val="20"/>
                <w:color w:val="auto"/>
              </w:rPr>
            </w:pPr>
            <w:r>
              <w:rPr>
                <w:rFonts w:ascii="Arial" w:cs="Arial" w:eastAsia="Arial" w:hAnsi="Arial"/>
                <w:sz w:val="18"/>
                <w:szCs w:val="18"/>
                <w:color w:val="auto"/>
              </w:rPr>
              <w:t>Purchase</w:t>
            </w:r>
          </w:p>
        </w:tc>
        <w:tc>
          <w:tcPr>
            <w:tcW w:w="2080" w:type="dxa"/>
            <w:vAlign w:val="bottom"/>
          </w:tcPr>
          <w:p>
            <w:pPr>
              <w:jc w:val="right"/>
              <w:ind w:right="411"/>
              <w:spacing w:after="0"/>
              <w:rPr>
                <w:sz w:val="20"/>
                <w:szCs w:val="20"/>
                <w:color w:val="auto"/>
              </w:rPr>
            </w:pPr>
            <w:r>
              <w:rPr>
                <w:rFonts w:ascii="Arial" w:cs="Arial" w:eastAsia="Arial" w:hAnsi="Arial"/>
                <w:sz w:val="18"/>
                <w:szCs w:val="18"/>
                <w:color w:val="auto"/>
              </w:rPr>
              <w:t>18,772</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$317.1444</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$316.62</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$317.60</w:t>
            </w:r>
          </w:p>
        </w:tc>
      </w:tr>
      <w:tr>
        <w:trPr>
          <w:trHeight w:val="214"/>
        </w:trPr>
        <w:tc>
          <w:tcPr>
            <w:tcW w:w="1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2"/>
              </w:rPr>
              <w:t>7/15/2014</w:t>
            </w:r>
          </w:p>
        </w:tc>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w:t>
            </w:r>
          </w:p>
        </w:tc>
        <w:tc>
          <w:tcPr>
            <w:tcW w:w="20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8,131</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$318.1141</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$317.62</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$318.59</w:t>
            </w:r>
          </w:p>
        </w:tc>
      </w:tr>
      <w:tr>
        <w:trPr>
          <w:trHeight w:val="214"/>
        </w:trPr>
        <w:tc>
          <w:tcPr>
            <w:tcW w:w="1720" w:type="dxa"/>
            <w:vAlign w:val="bottom"/>
          </w:tcPr>
          <w:p>
            <w:pPr>
              <w:ind w:left="620"/>
              <w:spacing w:after="0"/>
              <w:rPr>
                <w:sz w:val="20"/>
                <w:szCs w:val="20"/>
                <w:color w:val="auto"/>
              </w:rPr>
            </w:pPr>
            <w:r>
              <w:rPr>
                <w:rFonts w:ascii="Arial" w:cs="Arial" w:eastAsia="Arial" w:hAnsi="Arial"/>
                <w:sz w:val="18"/>
                <w:szCs w:val="18"/>
                <w:color w:val="auto"/>
              </w:rPr>
              <w:t>SAAN</w:t>
            </w:r>
          </w:p>
        </w:tc>
        <w:tc>
          <w:tcPr>
            <w:tcW w:w="1940" w:type="dxa"/>
            <w:vAlign w:val="bottom"/>
          </w:tcPr>
          <w:p>
            <w:pPr>
              <w:jc w:val="center"/>
              <w:ind w:left="31"/>
              <w:spacing w:after="0"/>
              <w:rPr>
                <w:sz w:val="20"/>
                <w:szCs w:val="20"/>
                <w:color w:val="auto"/>
              </w:rPr>
            </w:pPr>
            <w:r>
              <w:rPr>
                <w:rFonts w:ascii="Arial" w:cs="Arial" w:eastAsia="Arial" w:hAnsi="Arial"/>
                <w:sz w:val="18"/>
                <w:szCs w:val="18"/>
                <w:color w:val="auto"/>
                <w:w w:val="92"/>
              </w:rPr>
              <w:t>7/15/2014</w:t>
            </w:r>
          </w:p>
        </w:tc>
        <w:tc>
          <w:tcPr>
            <w:tcW w:w="1960" w:type="dxa"/>
            <w:vAlign w:val="bottom"/>
          </w:tcPr>
          <w:p>
            <w:pPr>
              <w:ind w:left="660"/>
              <w:spacing w:after="0"/>
              <w:rPr>
                <w:sz w:val="20"/>
                <w:szCs w:val="20"/>
                <w:color w:val="auto"/>
              </w:rPr>
            </w:pPr>
            <w:r>
              <w:rPr>
                <w:rFonts w:ascii="Arial" w:cs="Arial" w:eastAsia="Arial" w:hAnsi="Arial"/>
                <w:sz w:val="18"/>
                <w:szCs w:val="18"/>
                <w:color w:val="auto"/>
              </w:rPr>
              <w:t>Purchase</w:t>
            </w:r>
          </w:p>
        </w:tc>
        <w:tc>
          <w:tcPr>
            <w:tcW w:w="2080" w:type="dxa"/>
            <w:vAlign w:val="bottom"/>
          </w:tcPr>
          <w:p>
            <w:pPr>
              <w:jc w:val="right"/>
              <w:ind w:right="411"/>
              <w:spacing w:after="0"/>
              <w:rPr>
                <w:sz w:val="20"/>
                <w:szCs w:val="20"/>
                <w:color w:val="auto"/>
              </w:rPr>
            </w:pPr>
            <w:r>
              <w:rPr>
                <w:rFonts w:ascii="Arial" w:cs="Arial" w:eastAsia="Arial" w:hAnsi="Arial"/>
                <w:sz w:val="18"/>
                <w:szCs w:val="18"/>
                <w:color w:val="auto"/>
              </w:rPr>
              <w:t>8,409</w:t>
            </w:r>
          </w:p>
        </w:tc>
        <w:tc>
          <w:tcPr>
            <w:tcW w:w="1700" w:type="dxa"/>
            <w:vAlign w:val="bottom"/>
          </w:tcPr>
          <w:p>
            <w:pPr>
              <w:jc w:val="right"/>
              <w:ind w:right="371"/>
              <w:spacing w:after="0"/>
              <w:rPr>
                <w:sz w:val="20"/>
                <w:szCs w:val="20"/>
                <w:color w:val="auto"/>
              </w:rPr>
            </w:pPr>
            <w:r>
              <w:rPr>
                <w:rFonts w:ascii="Arial" w:cs="Arial" w:eastAsia="Arial" w:hAnsi="Arial"/>
                <w:sz w:val="18"/>
                <w:szCs w:val="18"/>
                <w:color w:val="auto"/>
              </w:rPr>
              <w:t>$319.0803</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$318.62</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$319.55</w:t>
            </w:r>
          </w:p>
        </w:tc>
      </w:tr>
      <w:tr>
        <w:trPr>
          <w:trHeight w:val="214"/>
        </w:trPr>
        <w:tc>
          <w:tcPr>
            <w:tcW w:w="1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2"/>
              </w:rPr>
              <w:t>7/15/2014</w:t>
            </w:r>
          </w:p>
        </w:tc>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w:t>
            </w:r>
          </w:p>
        </w:tc>
        <w:tc>
          <w:tcPr>
            <w:tcW w:w="20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800</w:t>
            </w:r>
          </w:p>
        </w:tc>
        <w:tc>
          <w:tcPr>
            <w:tcW w:w="17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$319.6944</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$319.64</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$319.92</w:t>
            </w:r>
          </w:p>
        </w:tc>
      </w:tr>
    </w:tbl>
    <w:p>
      <w:pPr>
        <w:spacing w:after="0" w:line="227" w:lineRule="exact"/>
        <w:rPr>
          <w:sz w:val="20"/>
          <w:szCs w:val="20"/>
          <w:color w:val="auto"/>
        </w:rPr>
      </w:pPr>
    </w:p>
    <w:p>
      <w:pPr>
        <w:ind w:right="500"/>
        <w:spacing w:after="0" w:line="368" w:lineRule="auto"/>
        <w:rPr>
          <w:sz w:val="20"/>
          <w:szCs w:val="20"/>
          <w:color w:val="auto"/>
        </w:rPr>
      </w:pPr>
      <w:r>
        <w:rPr>
          <w:rFonts w:ascii="Arial" w:cs="Arial" w:eastAsia="Arial" w:hAnsi="Arial"/>
          <w:sz w:val="14"/>
          <w:szCs w:val="14"/>
          <w:color w:val="auto"/>
        </w:rPr>
        <w:t>*The number of securities reported represents an aggregate number of shares executed by a broker-dealer in multiple market transactions over a range of prices. The price per share reported represents the weighted average price (without regard to brokerage commissions and fees). The Reporting Person undertakes to provide the staff of the SEC upon request, the number of shares executed by such Reporting Person at each separate price within the range.</w:t>
      </w:r>
    </w:p>
    <w:p>
      <w:pPr>
        <w:spacing w:after="0" w:line="38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†SAAN purchased the shares of Common Stock pursuant to a plan intended to comply with Rule 10b5-1(c)(1)(i) under the Exchange Act, entered into with a broker on June 27,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9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2019-12-06T03:37:44Z</dcterms:created>
  <dcterms:modified xsi:type="dcterms:W3CDTF">2019-12-06T03:37:44Z</dcterms:modified>
</cp:coreProperties>
</file>