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75"/>
              <w:spacing w:after="0" w:line="14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24765</wp:posOffset>
            </wp:positionV>
            <wp:extent cx="7325360" cy="892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922385"/>
                    </a:xfrm>
                    <a:prstGeom prst="rect">
                      <a:avLst/>
                    </a:prstGeom>
                    <a:noFill/>
                  </pic:spPr>
                </pic:pic>
              </a:graphicData>
            </a:graphic>
          </wp:anchor>
        </w:drawing>
      </w:r>
    </w:p>
    <w:p>
      <w:pPr>
        <w:spacing w:after="0" w:line="105" w:lineRule="exact"/>
        <w:rPr>
          <w:sz w:val="24"/>
          <w:szCs w:val="24"/>
          <w:color w:val="auto"/>
        </w:rPr>
      </w:pPr>
    </w:p>
    <w:p>
      <w:pPr>
        <w:sectPr>
          <w:pgSz w:w="11900" w:h="16900" w:orient="portrait"/>
          <w:cols w:equalWidth="0" w:num="2">
            <w:col w:w="2280" w:space="460"/>
            <w:col w:w="8780"/>
          </w:cols>
          <w:pgMar w:left="240" w:top="216" w:right="13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YANCOPOULOS GEORGE</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920" w:type="dxa"/>
            <w:vAlign w:val="bottom"/>
            <w:gridSpan w:val="2"/>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 INC</w:t>
              </w:r>
            </w:hyperlink>
          </w:p>
        </w:tc>
        <w:tc>
          <w:tcPr>
            <w:tcW w:w="19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760" w:type="dxa"/>
            <w:vAlign w:val="bottom"/>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2"/>
                  <w:szCs w:val="2"/>
                  <w:color w:val="0000FF"/>
                </w:rPr>
                <w:t>REGN</w:t>
              </w:r>
              <w:r>
                <w:rPr>
                  <w:rFonts w:ascii="Times New Roman" w:cs="Times New Roman" w:eastAsia="Times New Roman" w:hAnsi="Times New Roman"/>
                  <w:sz w:val="3"/>
                  <w:szCs w:val="3"/>
                  <w:color w:val="auto"/>
                </w:rPr>
                <w:t xml:space="preserve"> ]</w:t>
              </w:r>
            </w:hyperlink>
          </w:p>
        </w:tc>
        <w:tc>
          <w:tcPr>
            <w:tcW w:w="160" w:type="dxa"/>
            <w:vAlign w:val="bottom"/>
          </w:tcPr>
          <w:p>
            <w:pPr>
              <w:spacing w:after="0"/>
              <w:rPr>
                <w:sz w:val="2"/>
                <w:szCs w:val="2"/>
                <w:color w:val="auto"/>
              </w:rPr>
            </w:pPr>
          </w:p>
        </w:tc>
        <w:tc>
          <w:tcPr>
            <w:tcW w:w="500" w:type="dxa"/>
            <w:vAlign w:val="bottom"/>
          </w:tcPr>
          <w:p>
            <w:pPr>
              <w:ind w:left="2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3"/>
                <w:szCs w:val="3"/>
                <w:color w:val="auto"/>
              </w:rPr>
            </w:pPr>
          </w:p>
        </w:tc>
        <w:tc>
          <w:tcPr>
            <w:tcW w:w="3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President Regeneron Laboratori</w:t>
            </w:r>
          </w:p>
        </w:tc>
        <w:tc>
          <w:tcPr>
            <w:tcW w:w="0" w:type="dxa"/>
            <w:vAlign w:val="bottom"/>
          </w:tcPr>
          <w:p>
            <w:pPr>
              <w:spacing w:after="0"/>
              <w:rPr>
                <w:sz w:val="1"/>
                <w:szCs w:val="1"/>
                <w:color w:val="auto"/>
              </w:rPr>
            </w:pPr>
          </w:p>
        </w:tc>
      </w:tr>
      <w:tr>
        <w:trPr>
          <w:trHeight w:val="154"/>
        </w:trPr>
        <w:tc>
          <w:tcPr>
            <w:tcW w:w="3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02/11/2014</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3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4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260"/>
        <w:spacing w:after="0"/>
        <w:tabs>
          <w:tab w:leader="none" w:pos="46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Person</w:t>
      </w:r>
    </w:p>
    <w:p>
      <w:pPr>
        <w:spacing w:after="0" w:line="259" w:lineRule="exact"/>
        <w:rPr>
          <w:sz w:val="20"/>
          <w:szCs w:val="20"/>
          <w:color w:val="auto"/>
        </w:rPr>
      </w:pPr>
    </w:p>
    <w:p>
      <w:pPr>
        <w:sectPr>
          <w:pgSz w:w="11900" w:h="16900" w:orient="portrait"/>
          <w:cols w:equalWidth="0" w:num="2">
            <w:col w:w="3920" w:space="80"/>
            <w:col w:w="7520"/>
          </w:cols>
          <w:pgMar w:left="240" w:top="21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gridSpan w:val="2"/>
          </w:tcPr>
          <w:p>
            <w:pPr>
              <w:jc w:val="center"/>
              <w:ind w:left="54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02/11/2014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189,463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1,257,806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02/11/2014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5,720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314.31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1,252,086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02/11/2014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94,756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314.31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1,157,330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4,322</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317.82</w:t>
            </w:r>
            <w:r>
              <w:rPr>
                <w:rFonts w:ascii="Times New Roman" w:cs="Times New Roman" w:eastAsia="Times New Roman" w:hAnsi="Times New Roman"/>
                <w:sz w:val="21"/>
                <w:szCs w:val="21"/>
                <w:color w:val="008000"/>
                <w:w w:val="93"/>
                <w:vertAlign w:val="superscript"/>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1,153,008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15,816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318.52</w:t>
            </w:r>
            <w:r>
              <w:rPr>
                <w:rFonts w:ascii="Times New Roman" w:cs="Times New Roman" w:eastAsia="Times New Roman" w:hAnsi="Times New Roman"/>
                <w:sz w:val="21"/>
                <w:szCs w:val="21"/>
                <w:color w:val="008000"/>
                <w:w w:val="93"/>
                <w:vertAlign w:val="superscript"/>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1,137,192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30,858</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319.44</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1,106,334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17,274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320.48</w:t>
            </w:r>
            <w:r>
              <w:rPr>
                <w:rFonts w:ascii="Times New Roman" w:cs="Times New Roman" w:eastAsia="Times New Roman" w:hAnsi="Times New Roman"/>
                <w:sz w:val="21"/>
                <w:szCs w:val="21"/>
                <w:color w:val="008000"/>
                <w:w w:val="93"/>
                <w:vertAlign w:val="superscript"/>
              </w:rPr>
              <w:t>(5)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1,089,060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8,021</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321.48</w:t>
            </w:r>
            <w:r>
              <w:rPr>
                <w:rFonts w:ascii="Times New Roman" w:cs="Times New Roman" w:eastAsia="Times New Roman" w:hAnsi="Times New Roman"/>
                <w:sz w:val="21"/>
                <w:szCs w:val="21"/>
                <w:color w:val="008000"/>
                <w:w w:val="93"/>
                <w:vertAlign w:val="superscript"/>
              </w:rPr>
              <w:t>(6)</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1,081,039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3,874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322.34</w:t>
            </w:r>
            <w:r>
              <w:rPr>
                <w:rFonts w:ascii="Times New Roman" w:cs="Times New Roman" w:eastAsia="Times New Roman" w:hAnsi="Times New Roman"/>
                <w:sz w:val="21"/>
                <w:szCs w:val="21"/>
                <w:color w:val="008000"/>
                <w:w w:val="93"/>
                <w:vertAlign w:val="superscript"/>
              </w:rPr>
              <w:t>(7)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1,077,165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1,490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323.42</w:t>
            </w:r>
            <w:r>
              <w:rPr>
                <w:rFonts w:ascii="Times New Roman" w:cs="Times New Roman" w:eastAsia="Times New Roman" w:hAnsi="Times New Roman"/>
                <w:sz w:val="21"/>
                <w:szCs w:val="21"/>
                <w:color w:val="008000"/>
                <w:w w:val="93"/>
                <w:vertAlign w:val="superscript"/>
              </w:rPr>
              <w:t>(8)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1,075,675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324.61</w:t>
            </w:r>
            <w:r>
              <w:rPr>
                <w:rFonts w:ascii="Times New Roman" w:cs="Times New Roman" w:eastAsia="Times New Roman" w:hAnsi="Times New Roman"/>
                <w:sz w:val="21"/>
                <w:szCs w:val="21"/>
                <w:color w:val="008000"/>
                <w:w w:val="93"/>
                <w:vertAlign w:val="superscript"/>
              </w:rPr>
              <w:t>(9)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1,073,975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1,932</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325.44</w:t>
            </w:r>
            <w:r>
              <w:rPr>
                <w:rFonts w:ascii="Times New Roman" w:cs="Times New Roman" w:eastAsia="Times New Roman" w:hAnsi="Times New Roman"/>
                <w:sz w:val="21"/>
                <w:szCs w:val="21"/>
                <w:color w:val="008000"/>
                <w:w w:val="92"/>
                <w:vertAlign w:val="superscript"/>
              </w:rPr>
              <w:t>(10)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1,072,043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326.36</w:t>
            </w:r>
            <w:r>
              <w:rPr>
                <w:rFonts w:ascii="Times New Roman" w:cs="Times New Roman" w:eastAsia="Times New Roman" w:hAnsi="Times New Roman"/>
                <w:sz w:val="21"/>
                <w:szCs w:val="21"/>
                <w:color w:val="008000"/>
                <w:w w:val="92"/>
                <w:vertAlign w:val="superscript"/>
              </w:rPr>
              <w:t>(11)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1,069,943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327.88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1,069,343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3"/>
              <w:spacing w:after="0"/>
              <w:rPr>
                <w:sz w:val="20"/>
                <w:szCs w:val="20"/>
                <w:color w:val="auto"/>
              </w:rPr>
            </w:pPr>
            <w:r>
              <w:rPr>
                <w:rFonts w:ascii="Times New Roman" w:cs="Times New Roman" w:eastAsia="Times New Roman" w:hAnsi="Times New Roman"/>
                <w:sz w:val="17"/>
                <w:szCs w:val="17"/>
                <w:color w:val="0000FF"/>
                <w:w w:val="98"/>
              </w:rPr>
              <w:t>02/12/2014</w:t>
            </w:r>
          </w:p>
        </w:tc>
        <w:tc>
          <w:tcPr>
            <w:tcW w:w="5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328.5</w:t>
            </w:r>
            <w:r>
              <w:rPr>
                <w:rFonts w:ascii="Times New Roman" w:cs="Times New Roman" w:eastAsia="Times New Roman" w:hAnsi="Times New Roman"/>
                <w:sz w:val="21"/>
                <w:szCs w:val="21"/>
                <w:color w:val="008000"/>
                <w:w w:val="92"/>
                <w:vertAlign w:val="superscript"/>
              </w:rPr>
              <w:t>(12)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1,068,343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5,623</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8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40" w:type="dxa"/>
            <w:vAlign w:val="bottom"/>
            <w:gridSpan w:val="9"/>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0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1"/>
              <w:spacing w:after="0" w:line="130" w:lineRule="exact"/>
              <w:rPr>
                <w:sz w:val="20"/>
                <w:szCs w:val="20"/>
                <w:color w:val="auto"/>
              </w:rPr>
            </w:pPr>
            <w:r>
              <w:rPr>
                <w:rFonts w:ascii="Arial" w:cs="Arial" w:eastAsia="Arial" w:hAnsi="Arial"/>
                <w:sz w:val="12"/>
                <w:szCs w:val="12"/>
                <w:b w:val="1"/>
                <w:bCs w:val="1"/>
                <w:color w:val="auto"/>
                <w:w w:val="93"/>
              </w:rPr>
              <w:t>8)</w:t>
            </w:r>
          </w:p>
        </w:tc>
        <w:tc>
          <w:tcPr>
            <w:tcW w:w="10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w w:val="98"/>
              </w:rPr>
              <w:t>Acquired (A)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 of</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 (Instr.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vMerge w:val="restart"/>
          </w:tcPr>
          <w:p>
            <w:pPr>
              <w:jc w:val="center"/>
              <w:ind w:right="324"/>
              <w:spacing w:after="0"/>
              <w:rPr>
                <w:sz w:val="20"/>
                <w:szCs w:val="20"/>
                <w:color w:val="auto"/>
              </w:rPr>
            </w:pPr>
            <w:r>
              <w:rPr>
                <w:rFonts w:ascii="Arial" w:cs="Arial" w:eastAsia="Arial" w:hAnsi="Arial"/>
                <w:sz w:val="12"/>
                <w:szCs w:val="12"/>
                <w:b w:val="1"/>
                <w:bCs w:val="1"/>
                <w:color w:val="auto"/>
                <w:w w:val="99"/>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9.49</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3"/>
                <w:szCs w:val="13"/>
                <w:color w:val="0000FF"/>
              </w:rPr>
              <w:t>02/11/2014</w:t>
            </w:r>
          </w:p>
        </w:tc>
        <w:tc>
          <w:tcPr>
            <w:tcW w:w="1080" w:type="dxa"/>
            <w:vAlign w:val="bottom"/>
          </w:tcPr>
          <w:p>
            <w:pPr>
              <w:spacing w:after="0"/>
              <w:rPr>
                <w:sz w:val="18"/>
                <w:szCs w:val="18"/>
                <w:color w:val="auto"/>
              </w:rPr>
            </w:pPr>
          </w:p>
        </w:tc>
        <w:tc>
          <w:tcPr>
            <w:tcW w:w="740" w:type="dxa"/>
            <w:vAlign w:val="bottom"/>
          </w:tcPr>
          <w:p>
            <w:pPr>
              <w:jc w:val="center"/>
              <w:ind w:right="241"/>
              <w:spacing w:after="0" w:line="209" w:lineRule="exact"/>
              <w:rPr>
                <w:sz w:val="20"/>
                <w:szCs w:val="20"/>
                <w:color w:val="auto"/>
              </w:rPr>
            </w:pPr>
            <w:r>
              <w:rPr>
                <w:rFonts w:ascii="Times New Roman" w:cs="Times New Roman" w:eastAsia="Times New Roman" w:hAnsi="Times New Roman"/>
                <w:sz w:val="24"/>
                <w:szCs w:val="24"/>
                <w:color w:val="0000FF"/>
                <w:w w:val="92"/>
                <w:vertAlign w:val="subscript"/>
              </w:rPr>
              <w:t>M</w:t>
            </w:r>
            <w:r>
              <w:rPr>
                <w:rFonts w:ascii="Times New Roman" w:cs="Times New Roman" w:eastAsia="Times New Roman" w:hAnsi="Times New Roman"/>
                <w:sz w:val="10"/>
                <w:szCs w:val="10"/>
                <w:color w:val="008000"/>
                <w:w w:val="92"/>
              </w:rPr>
              <w:t>(1)</w:t>
            </w:r>
          </w:p>
        </w:tc>
        <w:tc>
          <w:tcPr>
            <w:tcW w:w="54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189,463</w:t>
            </w:r>
          </w:p>
        </w:tc>
        <w:tc>
          <w:tcPr>
            <w:tcW w:w="8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(13)</w:t>
            </w: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12/15/2014</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189,463</w:t>
            </w:r>
          </w:p>
        </w:tc>
        <w:tc>
          <w:tcPr>
            <w:tcW w:w="6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8"/>
                <w:szCs w:val="18"/>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ind w:left="60"/>
              <w:spacing w:after="0" w:line="79" w:lineRule="exact"/>
              <w:rPr>
                <w:sz w:val="20"/>
                <w:szCs w:val="20"/>
                <w:color w:val="auto"/>
              </w:rPr>
            </w:pPr>
            <w:r>
              <w:rPr>
                <w:rFonts w:ascii="Times New Roman" w:cs="Times New Roman" w:eastAsia="Times New Roman" w:hAnsi="Times New Roman"/>
                <w:sz w:val="9"/>
                <w:szCs w:val="9"/>
                <w:color w:val="0000FF"/>
              </w:rPr>
              <w:t>Option</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ind w:left="160"/>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1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314.31</w:t>
            </w:r>
          </w:p>
        </w:tc>
        <w:tc>
          <w:tcPr>
            <w:tcW w:w="1100" w:type="dxa"/>
            <w:vAlign w:val="bottom"/>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02/11/2014</w:t>
            </w:r>
          </w:p>
        </w:tc>
        <w:tc>
          <w:tcPr>
            <w:tcW w:w="1080" w:type="dxa"/>
            <w:vAlign w:val="bottom"/>
          </w:tcPr>
          <w:p>
            <w:pPr>
              <w:spacing w:after="0"/>
              <w:rPr>
                <w:sz w:val="12"/>
                <w:szCs w:val="12"/>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5,720</w:t>
            </w:r>
          </w:p>
        </w:tc>
        <w:tc>
          <w:tcPr>
            <w:tcW w:w="5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08/11/2014</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12/15/2014</w:t>
            </w:r>
          </w:p>
        </w:tc>
        <w:tc>
          <w:tcPr>
            <w:tcW w:w="5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5,720</w:t>
            </w:r>
          </w:p>
        </w:tc>
        <w:tc>
          <w:tcPr>
            <w:tcW w:w="60" w:type="dxa"/>
            <w:vAlign w:val="bottom"/>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5,720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4,322 shares of Company stock on February 12, 2014 at prices ranging from $317.70 to $317.89. Upon request by the Commission staff, the Company, or a security holder of the Company, the reporting person will provide full information regarding the number of shares sold by the reporting person on February 12, 2014 at each separate price.</w:t>
      </w:r>
    </w:p>
    <w:p>
      <w:pPr>
        <w:sectPr>
          <w:pgSz w:w="11900" w:h="16900" w:orient="portrait"/>
          <w:cols w:equalWidth="0" w:num="1">
            <w:col w:w="11520"/>
          </w:cols>
          <w:pgMar w:left="240" w:top="216" w:right="139" w:bottom="0" w:gutter="0" w:footer="0" w:header="0"/>
          <w:type w:val="continuous"/>
        </w:sectPr>
      </w:pPr>
    </w:p>
    <w:bookmarkStart w:id="1" w:name="page2"/>
    <w:bookmarkEnd w:id="1"/>
    <w:p>
      <w:pPr>
        <w:ind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15,816 shares of Company stock on February 12, 2014 at prices ranging from $318.00 to $318.99.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30,858 shares of Company stock on February 12, 2014 at prices ranging from $319.00 to $319.99.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17,274 shares of Company stock on February 12, 2014 at prices ranging from $320.00 to $320.99.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right="6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8,021 shares of Company stock on February 12, 2014 at prices ranging from $321.00 to $321.91.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right="6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3,874 shares of Company stock on February 12, 2014 at prices ranging from $322.18 to $322.64.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right="6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1,490 shares of Company stock on February 12, 2014 at prices ranging from $323.00 to $323.49.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right="6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1,700 shares of Company stock on February 12, 2014 at prices ranging from $324.50 to $324.74.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1,932 shares of Company stock on February 12, 2014 at prices ranging from $325.10 to $325.98.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2,100 shares of Company stock on February 12, 2014 at prices ranging from $326.00 to $326.94.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1,000 shares of Company stock on February 12, 2014 at prices ranging from $328.17 to $328.61. Upon request by the Commission staff, the Company, or a security holder of the Company, the reporting person will provide full information regarding the number of shares sold by the reporting person on February 12, 2014 at each separate price.</w:t>
      </w:r>
    </w:p>
    <w:p>
      <w:pPr>
        <w:spacing w:after="0" w:line="1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award (combined incentive stock option and non-qualified stock option) vests in four equal annual installments, commencing one year after the date of grant.</w:t>
      </w:r>
    </w:p>
    <w:p>
      <w:pPr>
        <w:spacing w:after="0" w:line="5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By: Beverly Dubs For:</w:t>
            </w:r>
          </w:p>
        </w:tc>
        <w:tc>
          <w:tcPr>
            <w:tcW w:w="74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02/13/2014</w:t>
            </w:r>
          </w:p>
        </w:tc>
        <w:tc>
          <w:tcPr>
            <w:tcW w:w="0" w:type="dxa"/>
            <w:vAlign w:val="bottom"/>
          </w:tcPr>
          <w:p>
            <w:pPr>
              <w:spacing w:after="0"/>
              <w:rPr>
                <w:sz w:val="1"/>
                <w:szCs w:val="1"/>
                <w:color w:val="auto"/>
              </w:rPr>
            </w:pPr>
          </w:p>
        </w:tc>
      </w:tr>
      <w:tr>
        <w:trPr>
          <w:trHeight w:val="89"/>
        </w:trPr>
        <w:tc>
          <w:tcPr>
            <w:tcW w:w="196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/s/**George D. Yancopoulos</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60" w:type="dxa"/>
            <w:vAlign w:val="bottom"/>
            <w:tcBorders>
              <w:bottom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640" w:firstLine="3"/>
        <w:spacing w:after="0" w:line="311"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160"/>
          </w:cols>
          <w:pgMar w:left="280" w:top="140" w:right="459"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7"/>
          <w:szCs w:val="17"/>
          <w:color w:val="auto"/>
        </w:rPr>
        <w:t>POWER OF ATTORNEY</w:t>
      </w:r>
    </w:p>
    <w:p>
      <w:pPr>
        <w:spacing w:after="0" w:line="393" w:lineRule="exact"/>
        <w:rPr>
          <w:sz w:val="20"/>
          <w:szCs w:val="20"/>
          <w:color w:val="auto"/>
        </w:rPr>
      </w:pPr>
    </w:p>
    <w:p>
      <w:pPr>
        <w:ind w:right="2099" w:firstLine="609"/>
        <w:spacing w:after="0" w:line="28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75" w:lineRule="exact"/>
        <w:rPr>
          <w:sz w:val="20"/>
          <w:szCs w:val="20"/>
          <w:color w:val="auto"/>
        </w:rPr>
      </w:pPr>
    </w:p>
    <w:p>
      <w:pPr>
        <w:ind w:left="1220" w:right="2399" w:hanging="606"/>
        <w:spacing w:after="0" w:line="304" w:lineRule="auto"/>
        <w:tabs>
          <w:tab w:leader="none" w:pos="1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58" w:lineRule="exact"/>
        <w:rPr>
          <w:rFonts w:ascii="Courier New" w:cs="Courier New" w:eastAsia="Courier New" w:hAnsi="Courier New"/>
          <w:sz w:val="16"/>
          <w:szCs w:val="16"/>
          <w:color w:val="auto"/>
        </w:rPr>
      </w:pPr>
    </w:p>
    <w:p>
      <w:pPr>
        <w:ind w:left="1220" w:right="2099" w:hanging="606"/>
        <w:spacing w:after="0" w:line="266" w:lineRule="auto"/>
        <w:tabs>
          <w:tab w:leader="none" w:pos="1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6" w:lineRule="exact"/>
        <w:rPr>
          <w:rFonts w:ascii="Courier New" w:cs="Courier New" w:eastAsia="Courier New" w:hAnsi="Courier New"/>
          <w:sz w:val="17"/>
          <w:szCs w:val="17"/>
          <w:color w:val="auto"/>
        </w:rPr>
      </w:pPr>
    </w:p>
    <w:p>
      <w:pPr>
        <w:ind w:left="1220" w:right="2099" w:hanging="606"/>
        <w:spacing w:after="0" w:line="259" w:lineRule="auto"/>
        <w:tabs>
          <w:tab w:leader="none" w:pos="1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95" w:lineRule="exact"/>
        <w:rPr>
          <w:sz w:val="20"/>
          <w:szCs w:val="20"/>
          <w:color w:val="auto"/>
        </w:rPr>
      </w:pPr>
    </w:p>
    <w:p>
      <w:pPr>
        <w:ind w:right="2099" w:firstLine="609"/>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3" w:lineRule="exact"/>
        <w:rPr>
          <w:sz w:val="20"/>
          <w:szCs w:val="20"/>
          <w:color w:val="auto"/>
        </w:rPr>
      </w:pPr>
    </w:p>
    <w:p>
      <w:pPr>
        <w:ind w:right="2199" w:firstLine="60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59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20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7"/>
          <w:szCs w:val="17"/>
          <w:color w:val="auto"/>
        </w:rPr>
        <w:t>**/s/George Yancopoulos</w:t>
      </w:r>
    </w:p>
    <w:p>
      <w:pPr>
        <w:spacing w:after="0" w:line="3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Signature</w:t>
      </w:r>
    </w:p>
    <w:p>
      <w:pPr>
        <w:spacing w:after="0" w:line="16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7"/>
          <w:szCs w:val="17"/>
          <w:color w:val="auto"/>
        </w:rPr>
        <w:t>George Yancopoulos</w:t>
      </w:r>
    </w:p>
    <w:p>
      <w:pPr>
        <w:spacing w:after="0" w:line="3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2019-12-18T10:46:25Z</dcterms:created>
  <dcterms:modified xsi:type="dcterms:W3CDTF">2019-12-18T10:46:25Z</dcterms:modified>
</cp:coreProperties>
</file>