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CURRENT REPORT</w:t>
      </w:r>
    </w:p>
    <w:p>
      <w:pPr>
        <w:spacing w:after="0" w:line="1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8,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REGENERON PHARMACEUTICALS,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p>
      <w:pPr>
        <w:spacing w:after="0" w:line="203" w:lineRule="exact"/>
        <w:rPr>
          <w:sz w:val="24"/>
          <w:szCs w:val="24"/>
          <w:color w:val="auto"/>
        </w:rPr>
      </w:pPr>
    </w:p>
    <w:tbl>
      <w:tblPr>
        <w:tblLayout w:type="fixed"/>
        <w:tblInd w:w="860" w:type="dxa"/>
        <w:tblCellMar>
          <w:top w:w="0" w:type="dxa"/>
          <w:left w:w="0" w:type="dxa"/>
          <w:bottom w:w="0" w:type="dxa"/>
          <w:right w:w="0" w:type="dxa"/>
        </w:tblCellMar>
      </w:tblPr>
      <w:tr>
        <w:trPr>
          <w:trHeight w:val="216"/>
        </w:trPr>
        <w:tc>
          <w:tcPr>
            <w:tcW w:w="5500" w:type="dxa"/>
            <w:vAlign w:val="bottom"/>
          </w:tcPr>
          <w:p>
            <w:pPr>
              <w:jc w:val="center"/>
              <w:ind w:right="1390"/>
              <w:spacing w:after="0"/>
              <w:rPr>
                <w:sz w:val="20"/>
                <w:szCs w:val="20"/>
                <w:color w:val="auto"/>
              </w:rPr>
            </w:pPr>
            <w:r>
              <w:rPr>
                <w:rFonts w:ascii="Times New Roman" w:cs="Times New Roman" w:eastAsia="Times New Roman" w:hAnsi="Times New Roman"/>
                <w:sz w:val="18"/>
                <w:szCs w:val="18"/>
                <w:b w:val="1"/>
                <w:bCs w:val="1"/>
                <w:color w:val="auto"/>
                <w:w w:val="99"/>
              </w:rPr>
              <w:t>000-19034</w:t>
            </w:r>
          </w:p>
        </w:tc>
        <w:tc>
          <w:tcPr>
            <w:tcW w:w="2900" w:type="dxa"/>
            <w:vAlign w:val="bottom"/>
          </w:tcPr>
          <w:p>
            <w:pPr>
              <w:jc w:val="center"/>
              <w:ind w:left="1390"/>
              <w:spacing w:after="0"/>
              <w:rPr>
                <w:sz w:val="20"/>
                <w:szCs w:val="20"/>
                <w:color w:val="auto"/>
              </w:rPr>
            </w:pPr>
            <w:r>
              <w:rPr>
                <w:rFonts w:ascii="Times New Roman" w:cs="Times New Roman" w:eastAsia="Times New Roman" w:hAnsi="Times New Roman"/>
                <w:sz w:val="18"/>
                <w:szCs w:val="18"/>
                <w:b w:val="1"/>
                <w:bCs w:val="1"/>
                <w:color w:val="auto"/>
                <w:w w:val="98"/>
              </w:rPr>
              <w:t>13-3444607</w:t>
            </w:r>
          </w:p>
        </w:tc>
      </w:tr>
      <w:tr>
        <w:trPr>
          <w:trHeight w:val="216"/>
        </w:trPr>
        <w:tc>
          <w:tcPr>
            <w:tcW w:w="5500" w:type="dxa"/>
            <w:vAlign w:val="bottom"/>
          </w:tcPr>
          <w:p>
            <w:pPr>
              <w:jc w:val="center"/>
              <w:ind w:right="137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2900" w:type="dxa"/>
            <w:vAlign w:val="bottom"/>
          </w:tcPr>
          <w:p>
            <w:pPr>
              <w:jc w:val="center"/>
              <w:ind w:left="139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5500" w:type="dxa"/>
            <w:vAlign w:val="bottom"/>
          </w:tcPr>
          <w:p>
            <w:pPr>
              <w:jc w:val="center"/>
              <w:ind w:right="137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2900" w:type="dxa"/>
            <w:vAlign w:val="bottom"/>
          </w:tcPr>
          <w:p>
            <w:pPr>
              <w:jc w:val="center"/>
              <w:ind w:left="139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5500" w:type="dxa"/>
            <w:vAlign w:val="bottom"/>
          </w:tcPr>
          <w:p>
            <w:pPr>
              <w:jc w:val="center"/>
              <w:ind w:right="1370"/>
              <w:spacing w:after="0"/>
              <w:rPr>
                <w:sz w:val="20"/>
                <w:szCs w:val="20"/>
                <w:color w:val="auto"/>
              </w:rPr>
            </w:pPr>
            <w:r>
              <w:rPr>
                <w:rFonts w:ascii="Times New Roman" w:cs="Times New Roman" w:eastAsia="Times New Roman" w:hAnsi="Times New Roman"/>
                <w:sz w:val="18"/>
                <w:szCs w:val="18"/>
                <w:b w:val="1"/>
                <w:bCs w:val="1"/>
                <w:color w:val="auto"/>
                <w:w w:val="99"/>
              </w:rPr>
              <w:t>777 Old Saw Mill River Road, Tarrytown, New York</w:t>
            </w:r>
          </w:p>
        </w:tc>
        <w:tc>
          <w:tcPr>
            <w:tcW w:w="2900" w:type="dxa"/>
            <w:vAlign w:val="bottom"/>
          </w:tcPr>
          <w:p>
            <w:pPr>
              <w:jc w:val="center"/>
              <w:ind w:left="1390"/>
              <w:spacing w:after="0"/>
              <w:rPr>
                <w:sz w:val="20"/>
                <w:szCs w:val="20"/>
                <w:color w:val="auto"/>
              </w:rPr>
            </w:pPr>
            <w:r>
              <w:rPr>
                <w:rFonts w:ascii="Times New Roman" w:cs="Times New Roman" w:eastAsia="Times New Roman" w:hAnsi="Times New Roman"/>
                <w:sz w:val="18"/>
                <w:szCs w:val="18"/>
                <w:b w:val="1"/>
                <w:bCs w:val="1"/>
                <w:color w:val="auto"/>
                <w:w w:val="98"/>
              </w:rPr>
              <w:t>10591-6707</w:t>
            </w:r>
          </w:p>
        </w:tc>
      </w:tr>
      <w:tr>
        <w:trPr>
          <w:trHeight w:val="238"/>
        </w:trPr>
        <w:tc>
          <w:tcPr>
            <w:tcW w:w="5500" w:type="dxa"/>
            <w:vAlign w:val="bottom"/>
          </w:tcPr>
          <w:p>
            <w:pPr>
              <w:jc w:val="center"/>
              <w:ind w:right="13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900" w:type="dxa"/>
            <w:vAlign w:val="bottom"/>
          </w:tcPr>
          <w:p>
            <w:pPr>
              <w:jc w:val="center"/>
              <w:ind w:left="137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(914) 847-7000</w:t>
      </w:r>
    </w:p>
    <w:p>
      <w:pPr>
        <w:spacing w:after="0" w:line="22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4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 par value $0.001 per share</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REGN</w:t>
            </w:r>
          </w:p>
        </w:tc>
        <w:tc>
          <w:tcPr>
            <w:tcW w:w="4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198"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73" w:right="339" w:bottom="1440" w:gutter="0" w:footer="0" w:header="0"/>
        </w:sectPr>
      </w:pPr>
    </w:p>
    <w:bookmarkStart w:id="1" w:name="page2"/>
    <w:bookmarkEnd w:id="1"/>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ind w:right="280" w:firstLine="324"/>
        <w:spacing w:after="0" w:line="256" w:lineRule="auto"/>
        <w:rPr>
          <w:sz w:val="20"/>
          <w:szCs w:val="20"/>
          <w:color w:val="auto"/>
        </w:rPr>
      </w:pPr>
      <w:r>
        <w:rPr>
          <w:rFonts w:ascii="Times New Roman" w:cs="Times New Roman" w:eastAsia="Times New Roman" w:hAnsi="Times New Roman"/>
          <w:sz w:val="18"/>
          <w:szCs w:val="18"/>
          <w:color w:val="auto"/>
        </w:rPr>
        <w:t>Regeneron Pharmaceuticals, Inc. (“</w:t>
      </w:r>
      <w:r>
        <w:rPr>
          <w:rFonts w:ascii="Times New Roman" w:cs="Times New Roman" w:eastAsia="Times New Roman" w:hAnsi="Times New Roman"/>
          <w:sz w:val="18"/>
          <w:szCs w:val="18"/>
          <w:u w:val="single" w:color="auto"/>
          <w:color w:val="auto"/>
        </w:rPr>
        <w:t>Regeneron</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currently expects that its financial results calculated in accordance with U.S. generally accepted accounting principles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and its non-GAAP financial results for the first quarter 2026 will include an acquired in-process research and development (“</w:t>
      </w:r>
      <w:r>
        <w:rPr>
          <w:rFonts w:ascii="Times New Roman" w:cs="Times New Roman" w:eastAsia="Times New Roman" w:hAnsi="Times New Roman"/>
          <w:sz w:val="18"/>
          <w:szCs w:val="18"/>
          <w:u w:val="single" w:color="auto"/>
          <w:color w:val="auto"/>
        </w:rPr>
        <w:t>IPR&amp;D</w:t>
      </w:r>
      <w:r>
        <w:rPr>
          <w:rFonts w:ascii="Times New Roman" w:cs="Times New Roman" w:eastAsia="Times New Roman" w:hAnsi="Times New Roman"/>
          <w:sz w:val="18"/>
          <w:szCs w:val="18"/>
          <w:color w:val="auto"/>
        </w:rPr>
        <w:t>”) charge of approximately $102 million on a pre-tax basis. This charge primarily relates to premium on equity securities purchased, as well as development milestone and up-front payments, in connection with collaboration and licensing agreements. The acquired IPR&amp;D charge is expected to negatively impact each of GAAP and non-GAAP net income per diluted share for the first quarter 2026 by approximately $0.81.</w:t>
      </w:r>
    </w:p>
    <w:p>
      <w:pPr>
        <w:spacing w:after="0" w:line="187"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Acquired IPR&amp;D charges may include IPR&amp;D acquired in connection with asset acquisitions as well as up-front, opt-in, certain development milestone payments, and premiums paid on equity securities related to collaboration and licensing agreements. Regeneron does not forecast such acquired IPR&amp;D charges due to the uncertainty of the future occurrence, magnitude, and timing of these transactions in any given period.</w:t>
      </w:r>
    </w:p>
    <w:p>
      <w:pPr>
        <w:spacing w:after="0" w:line="176"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Regeneron’s results for the first quarter 2026 have not been finalized and are subject to Regeneron’s financial statement closing procedures. There can be no assurance that actual results will not differ from the preliminary (unaudited) estimates described herein.</w:t>
      </w:r>
    </w:p>
    <w:p>
      <w:pPr>
        <w:spacing w:after="0" w:line="162"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 information included in this Current Report on Form 8-K shall not be deemed “filed” for purposes of Section 18 of the Securities Exchange Act of 1934, as amended, nor shall such information be deemed incorporated by reference in any filing under the Securities Act of 1933, as amended, except as shall be expressly set forth by specific reference in such a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 Regarding Forward-Looking Statements</w:t>
      </w:r>
    </w:p>
    <w:p>
      <w:pPr>
        <w:spacing w:after="0" w:line="22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This Current Report on Form 8-K (this “</w:t>
      </w:r>
      <w:r>
        <w:rPr>
          <w:rFonts w:ascii="Times New Roman" w:cs="Times New Roman" w:eastAsia="Times New Roman" w:hAnsi="Times New Roman"/>
          <w:sz w:val="18"/>
          <w:szCs w:val="18"/>
          <w:i w:val="1"/>
          <w:iCs w:val="1"/>
          <w:u w:val="single" w:color="auto"/>
          <w:color w:val="auto"/>
        </w:rPr>
        <w:t>Report</w:t>
      </w:r>
      <w:r>
        <w:rPr>
          <w:rFonts w:ascii="Times New Roman" w:cs="Times New Roman" w:eastAsia="Times New Roman" w:hAnsi="Times New Roman"/>
          <w:sz w:val="18"/>
          <w:szCs w:val="18"/>
          <w:i w:val="1"/>
          <w:iCs w:val="1"/>
          <w:color w:val="auto"/>
        </w:rPr>
        <w:t>”) includes forward-looking statements that involve risks and uncertainties relating to future events and the future performance of Regeneron Pharmaceuticals, Inc. (“</w:t>
      </w:r>
      <w:r>
        <w:rPr>
          <w:rFonts w:ascii="Times New Roman" w:cs="Times New Roman" w:eastAsia="Times New Roman" w:hAnsi="Times New Roman"/>
          <w:sz w:val="18"/>
          <w:szCs w:val="18"/>
          <w:i w:val="1"/>
          <w:iCs w:val="1"/>
          <w:u w:val="single" w:color="auto"/>
          <w:color w:val="auto"/>
        </w:rPr>
        <w:t>Regeneron</w:t>
      </w:r>
      <w:r>
        <w:rPr>
          <w:rFonts w:ascii="Times New Roman" w:cs="Times New Roman" w:eastAsia="Times New Roman" w:hAnsi="Times New Roman"/>
          <w:sz w:val="18"/>
          <w:szCs w:val="18"/>
          <w:i w:val="1"/>
          <w:iCs w:val="1"/>
          <w:color w:val="auto"/>
        </w:rPr>
        <w:t>” or the “</w:t>
      </w:r>
      <w:r>
        <w:rPr>
          <w:rFonts w:ascii="Times New Roman" w:cs="Times New Roman" w:eastAsia="Times New Roman" w:hAnsi="Times New Roman"/>
          <w:sz w:val="18"/>
          <w:szCs w:val="18"/>
          <w:i w:val="1"/>
          <w:iCs w:val="1"/>
          <w:u w:val="single" w:color="auto"/>
          <w:color w:val="auto"/>
        </w:rPr>
        <w:t>Company</w:t>
      </w:r>
      <w:r>
        <w:rPr>
          <w:rFonts w:ascii="Times New Roman" w:cs="Times New Roman" w:eastAsia="Times New Roman" w:hAnsi="Times New Roman"/>
          <w:sz w:val="18"/>
          <w:szCs w:val="18"/>
          <w:i w:val="1"/>
          <w:iCs w:val="1"/>
          <w:color w:val="auto"/>
        </w:rPr>
        <w:t>”),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 Regeneron’s expected acquired in-process research and development charge for the quarterly period ended March 31, 2026 and its expected impact on GAAP and non-GAAP net income per diluted share for this period as discussed in this Report. A more complete description of these and other material risks can be found in Regeneron’s filings with the U.S. Securities and Exchange Commission. Any forward-looking statements are made based on management’s current beliefs and judgment, and the reader is cautioned not to rely on any forward-looking statements made by Regeneron. Regeneron does not undertake any obligation to update (publicly or otherwise) any forward-looking statement, including without limitation any financial projection or guidance, whether as a result of new information, future events, or otherwise.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 Regarding Non-GAAP Financial Measures</w:t>
      </w:r>
    </w:p>
    <w:p>
      <w:pPr>
        <w:spacing w:after="0" w:line="227"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This Report references non-GAAP net income per diluted share, which is a financial measure that is not calculated in accordance with U.S. Generally Accepted Accounting Principles (“</w:t>
      </w:r>
      <w:r>
        <w:rPr>
          <w:rFonts w:ascii="Times New Roman" w:cs="Times New Roman" w:eastAsia="Times New Roman" w:hAnsi="Times New Roman"/>
          <w:sz w:val="18"/>
          <w:szCs w:val="18"/>
          <w:i w:val="1"/>
          <w:iCs w:val="1"/>
          <w:u w:val="single" w:color="auto"/>
          <w:color w:val="auto"/>
        </w:rPr>
        <w:t>GAAP</w:t>
      </w:r>
      <w:r>
        <w:rPr>
          <w:rFonts w:ascii="Times New Roman" w:cs="Times New Roman" w:eastAsia="Times New Roman" w:hAnsi="Times New Roman"/>
          <w:sz w:val="18"/>
          <w:szCs w:val="18"/>
          <w:i w:val="1"/>
          <w:iCs w:val="1"/>
          <w:color w:val="auto"/>
        </w:rPr>
        <w:t>”). This non-GAAP financial measure is computed by excluding certain non-cash and/or other items from the related GAAP financial measure. The Company also includes a non-GAAP adjustment for the estimated income tax effect of reconciling items. The Company makes such adjustments for items the Company does not view as useful in evaluating its operating performance. Management uses this and other non-GAAP measures for planning, budgeting, forecasting, assessing historical performance, and making financial and operational decisions, and also provides forecasts to investors on this basis. Additionally, such non-GAAP measures provide investors with an enhanced understanding of the financial performance of the Company's core business operations. However, there are limitations in the use of such non-GAAP financial measures as they exclude certain expenses that are recurring in nature. Furthermore, the Company's non-GAAP financial measures may not be comparable with non-GAAP information provided by other companies. Any non-GAAP financial measure presented by Regeneron should be considered supplemental to, and not a substitute for, measures of financial performance prepared in accordance with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Joseph J. LaRosa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Joseph J. LaRosa</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920"/>
      </w:cols>
      <w:pgMar w:left="320" w:top="900"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2026-04-08T06:08:24Z</dcterms:created>
  <dcterms:modified xsi:type="dcterms:W3CDTF">2026-04-08T06:08:24Z</dcterms:modified>
</cp:coreProperties>
</file>