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330200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 PURSUANT</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TO SECTION 13 OR 15 (D) OF THE</w:t>
      </w: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December 21, 2007 (December 20,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223520</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REGENERON PHARMACEUTICALS, INC.</w:t>
      </w:r>
    </w:p>
    <w:p>
      <w:pPr>
        <w:spacing w:after="0" w:line="50"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(Exact name of registrant as specified in its charter)</w:t>
      </w:r>
    </w:p>
    <w:p>
      <w:pPr>
        <w:spacing w:after="0" w:line="97"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0"/>
          <w:szCs w:val="20"/>
          <w:color w:val="auto"/>
        </w:rPr>
      </w:pPr>
    </w:p>
    <w:tbl>
      <w:tblPr>
        <w:tblLayout w:type="fixed"/>
        <w:tblInd w:w="700" w:type="dxa"/>
        <w:tblCellMar>
          <w:top w:w="0" w:type="dxa"/>
          <w:left w:w="0" w:type="dxa"/>
          <w:bottom w:w="0" w:type="dxa"/>
          <w:right w:w="0" w:type="dxa"/>
        </w:tblCellMar>
      </w:tblPr>
      <w:tr>
        <w:trPr>
          <w:trHeight w:val="220"/>
        </w:trPr>
        <w:tc>
          <w:tcPr>
            <w:tcW w:w="5400" w:type="dxa"/>
            <w:vAlign w:val="bottom"/>
          </w:tcPr>
          <w:p>
            <w:pPr>
              <w:jc w:val="center"/>
              <w:ind w:right="1290"/>
              <w:spacing w:after="0"/>
              <w:rPr>
                <w:sz w:val="20"/>
                <w:szCs w:val="20"/>
                <w:color w:val="auto"/>
              </w:rPr>
            </w:pPr>
            <w:r>
              <w:rPr>
                <w:rFonts w:ascii="Arial" w:cs="Arial" w:eastAsia="Arial" w:hAnsi="Arial"/>
                <w:sz w:val="18"/>
                <w:szCs w:val="18"/>
                <w:b w:val="1"/>
                <w:bCs w:val="1"/>
                <w:color w:val="auto"/>
                <w:w w:val="90"/>
              </w:rPr>
              <w:t>000-19034</w:t>
            </w:r>
          </w:p>
        </w:tc>
        <w:tc>
          <w:tcPr>
            <w:tcW w:w="3840" w:type="dxa"/>
            <w:vAlign w:val="bottom"/>
          </w:tcPr>
          <w:p>
            <w:pPr>
              <w:jc w:val="center"/>
              <w:ind w:left="1290"/>
              <w:spacing w:after="0"/>
              <w:rPr>
                <w:sz w:val="20"/>
                <w:szCs w:val="20"/>
                <w:color w:val="auto"/>
              </w:rPr>
            </w:pPr>
            <w:r>
              <w:rPr>
                <w:rFonts w:ascii="Arial" w:cs="Arial" w:eastAsia="Arial" w:hAnsi="Arial"/>
                <w:sz w:val="18"/>
                <w:szCs w:val="18"/>
                <w:b w:val="1"/>
                <w:bCs w:val="1"/>
                <w:color w:val="auto"/>
                <w:w w:val="89"/>
              </w:rPr>
              <w:t>13-3444607</w:t>
            </w:r>
          </w:p>
        </w:tc>
      </w:tr>
      <w:tr>
        <w:trPr>
          <w:trHeight w:val="230"/>
        </w:trPr>
        <w:tc>
          <w:tcPr>
            <w:tcW w:w="5400" w:type="dxa"/>
            <w:vAlign w:val="bottom"/>
          </w:tcPr>
          <w:p>
            <w:pPr>
              <w:jc w:val="center"/>
              <w:ind w:right="1290"/>
              <w:spacing w:after="0"/>
              <w:rPr>
                <w:sz w:val="20"/>
                <w:szCs w:val="20"/>
                <w:color w:val="auto"/>
              </w:rPr>
            </w:pPr>
            <w:r>
              <w:rPr>
                <w:rFonts w:ascii="Arial" w:cs="Arial" w:eastAsia="Arial" w:hAnsi="Arial"/>
                <w:sz w:val="18"/>
                <w:szCs w:val="18"/>
                <w:color w:val="auto"/>
                <w:w w:val="93"/>
              </w:rPr>
              <w:t>(Commission File No.)</w:t>
            </w:r>
          </w:p>
        </w:tc>
        <w:tc>
          <w:tcPr>
            <w:tcW w:w="3840" w:type="dxa"/>
            <w:vAlign w:val="bottom"/>
          </w:tcPr>
          <w:p>
            <w:pPr>
              <w:jc w:val="center"/>
              <w:ind w:left="12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00" w:type="dxa"/>
            <w:vAlign w:val="bottom"/>
          </w:tcPr>
          <w:p>
            <w:pPr>
              <w:jc w:val="center"/>
              <w:ind w:right="127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3840" w:type="dxa"/>
            <w:vAlign w:val="bottom"/>
          </w:tcPr>
          <w:p>
            <w:pPr>
              <w:jc w:val="center"/>
              <w:ind w:left="1290"/>
              <w:spacing w:after="0"/>
              <w:rPr>
                <w:sz w:val="20"/>
                <w:szCs w:val="20"/>
                <w:color w:val="auto"/>
              </w:rPr>
            </w:pPr>
            <w:r>
              <w:rPr>
                <w:rFonts w:ascii="Arial" w:cs="Arial" w:eastAsia="Arial" w:hAnsi="Arial"/>
                <w:sz w:val="18"/>
                <w:szCs w:val="18"/>
                <w:b w:val="1"/>
                <w:bCs w:val="1"/>
                <w:color w:val="auto"/>
                <w:w w:val="89"/>
              </w:rPr>
              <w:t>10591-6707</w:t>
            </w:r>
          </w:p>
        </w:tc>
      </w:tr>
      <w:tr>
        <w:trPr>
          <w:trHeight w:val="230"/>
        </w:trPr>
        <w:tc>
          <w:tcPr>
            <w:tcW w:w="5400" w:type="dxa"/>
            <w:vAlign w:val="bottom"/>
          </w:tcPr>
          <w:p>
            <w:pPr>
              <w:jc w:val="center"/>
              <w:ind w:right="1290"/>
              <w:spacing w:after="0"/>
              <w:rPr>
                <w:sz w:val="20"/>
                <w:szCs w:val="20"/>
                <w:color w:val="auto"/>
              </w:rPr>
            </w:pPr>
            <w:r>
              <w:rPr>
                <w:rFonts w:ascii="Arial" w:cs="Arial" w:eastAsia="Arial" w:hAnsi="Arial"/>
                <w:sz w:val="18"/>
                <w:szCs w:val="18"/>
                <w:color w:val="auto"/>
                <w:w w:val="92"/>
              </w:rPr>
              <w:t>(Address of principal executive offices)</w:t>
            </w:r>
          </w:p>
        </w:tc>
        <w:tc>
          <w:tcPr>
            <w:tcW w:w="3840" w:type="dxa"/>
            <w:vAlign w:val="bottom"/>
          </w:tcPr>
          <w:p>
            <w:pPr>
              <w:jc w:val="center"/>
              <w:ind w:left="12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(914) 347-7000</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 (b))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1.01. Entry Into a Material Definitive Agreement</w:t>
        </w:r>
      </w:hyperlink>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8.01. Other Events</w:t>
        </w:r>
      </w:hyperlink>
    </w:p>
    <w:p>
      <w:pPr>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rPr>
          <w:sz w:val="20"/>
          <w:szCs w:val="20"/>
          <w:color w:val="auto"/>
        </w:rPr>
      </w:pPr>
      <w:r>
        <w:rPr>
          <w:rFonts w:ascii="Arial" w:cs="Arial" w:eastAsia="Arial" w:hAnsi="Arial"/>
          <w:sz w:val="22"/>
          <w:szCs w:val="22"/>
          <w:u w:val="single" w:color="auto"/>
          <w:color w:val="0000EE"/>
        </w:rPr>
        <w:t>EX-99.1: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ind w:right="140" w:firstLine="225"/>
        <w:spacing w:after="0" w:line="276" w:lineRule="auto"/>
        <w:rPr>
          <w:sz w:val="20"/>
          <w:szCs w:val="20"/>
          <w:color w:val="auto"/>
        </w:rPr>
      </w:pPr>
      <w:r>
        <w:rPr>
          <w:rFonts w:ascii="Arial" w:cs="Arial" w:eastAsia="Arial" w:hAnsi="Arial"/>
          <w:sz w:val="17"/>
          <w:szCs w:val="17"/>
          <w:color w:val="auto"/>
        </w:rPr>
        <w:t>On December 20, 2007, as a condition to the closing of a stock purchase agreement by and among sanofi-aventis Amérique du Nord, sanofi-aventis US LLC (such companies and their affiliates, including sanofi-aventis and Aventis Pharmaceuticals Inc., being referred to herein as “Sanofi”) and Regeneron Pharmaceuticals, Inc. (the “Company”), the Company entered into an Investor Agreement with Sanofi. A brief description of the terms and conditions of the Investor Agreement that are material to the Company is set forth in the Form 8-K filed by the Company on November 29, 2007 under the heading “</w:t>
      </w:r>
      <w:r>
        <w:rPr>
          <w:rFonts w:ascii="Arial" w:cs="Arial" w:eastAsia="Arial" w:hAnsi="Arial"/>
          <w:sz w:val="17"/>
          <w:szCs w:val="17"/>
          <w:i w:val="1"/>
          <w:iCs w:val="1"/>
          <w:color w:val="auto"/>
        </w:rPr>
        <w:t>Equity</w:t>
      </w:r>
      <w:r>
        <w:rPr>
          <w:rFonts w:ascii="Arial" w:cs="Arial" w:eastAsia="Arial" w:hAnsi="Arial"/>
          <w:sz w:val="17"/>
          <w:szCs w:val="17"/>
          <w:color w:val="auto"/>
        </w:rPr>
        <w:t xml:space="preserve"> </w:t>
      </w:r>
      <w:r>
        <w:rPr>
          <w:rFonts w:ascii="Arial" w:cs="Arial" w:eastAsia="Arial" w:hAnsi="Arial"/>
          <w:sz w:val="17"/>
          <w:szCs w:val="17"/>
          <w:i w:val="1"/>
          <w:iCs w:val="1"/>
          <w:color w:val="auto"/>
        </w:rPr>
        <w:t>Placement</w:t>
      </w:r>
      <w:r>
        <w:rPr>
          <w:rFonts w:ascii="Arial" w:cs="Arial" w:eastAsia="Arial" w:hAnsi="Arial"/>
          <w:sz w:val="17"/>
          <w:szCs w:val="17"/>
          <w:color w:val="auto"/>
        </w:rPr>
        <w:t>” in Item 1.01 of such Form 8-K, which description is incorporated by reference herein.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jc w:val="both"/>
        <w:ind w:right="400" w:firstLine="225"/>
        <w:spacing w:after="0" w:line="286" w:lineRule="auto"/>
        <w:rPr>
          <w:sz w:val="20"/>
          <w:szCs w:val="20"/>
          <w:color w:val="auto"/>
        </w:rPr>
      </w:pPr>
      <w:r>
        <w:rPr>
          <w:rFonts w:ascii="Arial" w:cs="Arial" w:eastAsia="Arial" w:hAnsi="Arial"/>
          <w:sz w:val="17"/>
          <w:szCs w:val="17"/>
          <w:color w:val="auto"/>
        </w:rPr>
        <w:t>On December 20, 2007, the Company issued a press release announcing that following early termination of the Hart-Scott-Rodino waiting period, the Company closed the sale of 12 million newly issued shares of Company common stock to Sanofi at a price of $26.00 per share pursuant to its previously announced agreement. A copy of this press release is attached as Exhibit 99.1 and is incorporated by reference herein.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320" w:type="dxa"/>
            <w:vAlign w:val="bottom"/>
          </w:tcPr>
          <w:p>
            <w:pPr>
              <w:ind w:left="240"/>
              <w:spacing w:after="0"/>
              <w:rPr>
                <w:sz w:val="20"/>
                <w:szCs w:val="20"/>
                <w:color w:val="auto"/>
              </w:rPr>
            </w:pPr>
            <w:r>
              <w:rPr>
                <w:rFonts w:ascii="Arial" w:cs="Arial" w:eastAsia="Arial" w:hAnsi="Arial"/>
                <w:sz w:val="18"/>
                <w:szCs w:val="18"/>
                <w:b w:val="1"/>
                <w:bCs w:val="1"/>
                <w:color w:val="auto"/>
              </w:rPr>
              <w:t>Document</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99.1</w:t>
            </w:r>
          </w:p>
        </w:tc>
        <w:tc>
          <w:tcPr>
            <w:tcW w:w="10320" w:type="dxa"/>
            <w:vAlign w:val="bottom"/>
          </w:tcPr>
          <w:p>
            <w:pPr>
              <w:ind w:left="240"/>
              <w:spacing w:after="0"/>
              <w:rPr>
                <w:sz w:val="20"/>
                <w:szCs w:val="20"/>
                <w:color w:val="auto"/>
              </w:rPr>
            </w:pPr>
            <w:r>
              <w:rPr>
                <w:rFonts w:ascii="Arial" w:cs="Arial" w:eastAsia="Arial" w:hAnsi="Arial"/>
                <w:sz w:val="18"/>
                <w:szCs w:val="18"/>
                <w:color w:val="auto"/>
              </w:rPr>
              <w:t>Press Release issued by the Company, dated December 20, 2007</w:t>
            </w:r>
          </w:p>
        </w:tc>
      </w:tr>
      <w:tr>
        <w:trPr>
          <w:trHeight w:val="632"/>
        </w:trPr>
        <w:tc>
          <w:tcPr>
            <w:tcW w:w="1100" w:type="dxa"/>
            <w:vAlign w:val="bottom"/>
            <w:tcBorders>
              <w:bottom w:val="single" w:sz="8" w:color="808080"/>
            </w:tcBorders>
          </w:tcPr>
          <w:p>
            <w:pPr>
              <w:spacing w:after="0"/>
              <w:rPr>
                <w:sz w:val="24"/>
                <w:szCs w:val="24"/>
                <w:color w:val="auto"/>
              </w:rPr>
            </w:pPr>
          </w:p>
        </w:tc>
        <w:tc>
          <w:tcPr>
            <w:tcW w:w="10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REGENERON PHARMACEUTICALS, INC.</w:t>
      </w:r>
    </w:p>
    <w:p>
      <w:pPr>
        <w:spacing w:after="0" w:line="221" w:lineRule="exact"/>
        <w:rPr>
          <w:sz w:val="20"/>
          <w:szCs w:val="20"/>
          <w:color w:val="auto"/>
        </w:rPr>
      </w:pPr>
    </w:p>
    <w:p>
      <w:pPr>
        <w:spacing w:after="0"/>
        <w:tabs>
          <w:tab w:leader="none" w:pos="4680" w:val="left"/>
        </w:tabs>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December 21, 2007</w:t>
      </w:r>
      <w:r>
        <w:rPr>
          <w:sz w:val="20"/>
          <w:szCs w:val="20"/>
          <w:color w:val="auto"/>
        </w:rPr>
        <w:tab/>
      </w:r>
      <w:r>
        <w:rPr>
          <w:rFonts w:ascii="Arial" w:cs="Arial" w:eastAsia="Arial" w:hAnsi="Arial"/>
          <w:sz w:val="17"/>
          <w:szCs w:val="17"/>
          <w:b w:val="1"/>
          <w:bCs w:val="1"/>
          <w:color w:val="auto"/>
        </w:rPr>
        <w:t xml:space="preserve">By: </w:t>
      </w:r>
      <w:r>
        <w:rPr>
          <w:rFonts w:ascii="Arial" w:cs="Arial" w:eastAsia="Arial" w:hAnsi="Arial"/>
          <w:sz w:val="17"/>
          <w:szCs w:val="17"/>
          <w:color w:val="auto"/>
        </w:rPr>
        <w:t>/s/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17145</wp:posOffset>
            </wp:positionV>
            <wp:extent cx="40220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22090" cy="8890"/>
                    </a:xfrm>
                    <a:prstGeom prst="rect">
                      <a:avLst/>
                    </a:prstGeom>
                    <a:noFill/>
                  </pic:spPr>
                </pic:pic>
              </a:graphicData>
            </a:graphic>
          </wp:anchor>
        </w:drawing>
      </w:r>
    </w:p>
    <w:p>
      <w:pPr>
        <w:spacing w:after="0" w:line="1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Stuart Kolinski</w:t>
      </w:r>
    </w:p>
    <w:p>
      <w:pPr>
        <w:spacing w:after="0" w:line="2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Senior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380" w:type="dxa"/>
            <w:vAlign w:val="bottom"/>
          </w:tcPr>
          <w:p>
            <w:pPr>
              <w:ind w:left="4180"/>
              <w:spacing w:after="0"/>
              <w:rPr>
                <w:sz w:val="20"/>
                <w:szCs w:val="20"/>
                <w:color w:val="auto"/>
              </w:rPr>
            </w:pPr>
            <w:r>
              <w:rPr>
                <w:rFonts w:ascii="Arial" w:cs="Arial" w:eastAsia="Arial" w:hAnsi="Arial"/>
                <w:sz w:val="18"/>
                <w:szCs w:val="18"/>
                <w:color w:val="auto"/>
              </w:rPr>
              <w:t>Exhibit Index</w:t>
            </w:r>
          </w:p>
        </w:tc>
      </w:tr>
      <w:tr>
        <w:trPr>
          <w:trHeight w:val="432"/>
        </w:trPr>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Number</w:t>
            </w:r>
          </w:p>
        </w:tc>
        <w:tc>
          <w:tcPr>
            <w:tcW w:w="440" w:type="dxa"/>
            <w:vAlign w:val="bottom"/>
          </w:tcPr>
          <w:p>
            <w:pPr>
              <w:spacing w:after="0"/>
              <w:rPr>
                <w:sz w:val="24"/>
                <w:szCs w:val="24"/>
                <w:color w:val="auto"/>
              </w:rPr>
            </w:pPr>
          </w:p>
        </w:tc>
        <w:tc>
          <w:tcPr>
            <w:tcW w:w="10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224"/>
        </w:trPr>
        <w:tc>
          <w:tcPr>
            <w:tcW w:w="600" w:type="dxa"/>
            <w:vAlign w:val="bottom"/>
          </w:tcPr>
          <w:p>
            <w:pPr>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Press Release issued by the Company, dated December 20, 2007</w:t>
            </w:r>
          </w:p>
        </w:tc>
      </w:tr>
    </w:tbl>
    <w:p>
      <w:pPr>
        <w:sectPr>
          <w:pgSz w:w="11900" w:h="16838" w:orient="portrait"/>
          <w:cols w:equalWidth="0" w:num="1">
            <w:col w:w="11420"/>
          </w:cols>
          <w:pgMar w:left="240" w:top="419"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Closes $312 Million Common Stock Sale in Connection with Sanofi-Aventis Collaboration</w:t>
      </w:r>
    </w:p>
    <w:p>
      <w:pPr>
        <w:spacing w:after="0" w:line="117" w:lineRule="exact"/>
        <w:rPr>
          <w:sz w:val="20"/>
          <w:szCs w:val="20"/>
          <w:color w:val="auto"/>
        </w:rPr>
      </w:pPr>
    </w:p>
    <w:p>
      <w:pPr>
        <w:jc w:val="both"/>
        <w:ind w:right="240"/>
        <w:spacing w:after="0" w:line="266" w:lineRule="auto"/>
        <w:rPr>
          <w:sz w:val="20"/>
          <w:szCs w:val="20"/>
          <w:color w:val="auto"/>
        </w:rPr>
      </w:pPr>
      <w:r>
        <w:rPr>
          <w:rFonts w:ascii="Arial" w:cs="Arial" w:eastAsia="Arial" w:hAnsi="Arial"/>
          <w:sz w:val="18"/>
          <w:szCs w:val="18"/>
          <w:b w:val="1"/>
          <w:bCs w:val="1"/>
          <w:color w:val="auto"/>
        </w:rPr>
        <w:t xml:space="preserve">Tarrytown, NY – December 20, 2007 </w:t>
      </w:r>
      <w:r>
        <w:rPr>
          <w:rFonts w:ascii="Arial" w:cs="Arial" w:eastAsia="Arial" w:hAnsi="Arial"/>
          <w:sz w:val="18"/>
          <w:szCs w:val="18"/>
          <w:color w:val="auto"/>
        </w:rPr>
        <w:t>– Regeneron Pharmaceuticals, Inc. (Nasdaq:</w:t>
      </w:r>
      <w:r>
        <w:rPr>
          <w:rFonts w:ascii="Arial" w:cs="Arial" w:eastAsia="Arial" w:hAnsi="Arial"/>
          <w:sz w:val="18"/>
          <w:szCs w:val="18"/>
          <w:b w:val="1"/>
          <w:bCs w:val="1"/>
          <w:color w:val="auto"/>
        </w:rPr>
        <w:t xml:space="preserve"> REGN</w:t>
      </w:r>
      <w:r>
        <w:rPr>
          <w:rFonts w:ascii="Arial" w:cs="Arial" w:eastAsia="Arial" w:hAnsi="Arial"/>
          <w:sz w:val="18"/>
          <w:szCs w:val="18"/>
          <w:color w:val="auto"/>
        </w:rPr>
        <w:t>) announced today that following early termination of the Hart-Scott-Rodino waiting period, the Company closed the sale of 12 million newly issued shares of Regeneron common stock to the sanofi-aventis Group at a price of $26.00 per share pursuant to its previously announced agreement.</w:t>
      </w:r>
    </w:p>
    <w:p>
      <w:pPr>
        <w:spacing w:after="0" w:line="72"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The equity purchase is part of the global strategic collaboration the two companies entered into on November 28, 2007 to discover, develop, and commercialize fully-human therapeutic antibodies.</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With the proceeds of the equity sale and an $85 million upfront payment received from sanofi-aventis earlier this month, Regeneron expects to end the year with $840-$850 million in cash and securities.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Regeneron is a biopharmaceutical company that discovers, develops, and intends to commercialize therapeutic medicines for the treatment of serious medical conditions. Regeneron has therapeutic candidates in clinical trials for the potential treatment of cancer, eye diseases, and inflammatory diseases and has preclinical programs in other diseases and disorders. Additional information about Regeneron and recent news releases are available on Regeneron’s worldwide web site at </w:t>
      </w:r>
      <w:r>
        <w:rPr>
          <w:rFonts w:ascii="Arial" w:cs="Arial" w:eastAsia="Arial" w:hAnsi="Arial"/>
          <w:sz w:val="18"/>
          <w:szCs w:val="18"/>
          <w:u w:val="single" w:color="auto"/>
          <w:color w:val="auto"/>
        </w:rPr>
        <w:t>www.regeneron.com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w:t>
      </w:r>
    </w:p>
    <w:p>
      <w:pPr>
        <w:spacing w:after="0" w:line="2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our drug candidates, determinations by regulatory and administrative governmental authorities which may delay or restrict our ability to continue to develop or commercialize our drug candidates, competing drugs that are superior to our product candidates, unanticipated expenses, the availability and cost of capital, the costs of developing, producing, and selling products, the potential for any collaboration agreement, including our agreements with the sanofi-aventis Group and Bayer HealthCare,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10-Q for the quarter ended September 30, 2007. Regeneron does not undertake any obligation to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i w:val="1"/>
          <w:iCs w:val="1"/>
          <w:color w:val="auto"/>
        </w:rPr>
        <w:t>publicly any forward-looking statement, whether as a result of new information, future events, or otherwise unless required by law.</w:t>
      </w:r>
    </w:p>
    <w:p>
      <w:pPr>
        <w:spacing w:after="0" w:line="35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Charles Poole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1.914.345.7640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charles.poole@regeneron.com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Laura Lindsay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1.914.345.7800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laura.lindsay@regeneron.com</w:t>
      </w:r>
    </w:p>
    <w:sectPr>
      <w:pgSz w:w="11900" w:h="16838" w:orient="portrait"/>
      <w:cols w:equalWidth="0" w:num="1">
        <w:col w:w="10219"/>
      </w:cols>
      <w:pgMar w:left="240" w:top="9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2019-12-20T03:15:56Z</dcterms:created>
  <dcterms:modified xsi:type="dcterms:W3CDTF">2019-12-20T03:15:56Z</dcterms:modified>
</cp:coreProperties>
</file>