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Tessier-Lavigne Marc</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46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8"/>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320" w:type="dxa"/>
            <w:vAlign w:val="bottom"/>
            <w:gridSpan w:val="6"/>
          </w:tcPr>
          <w:p>
            <w:pPr>
              <w:ind w:left="240"/>
              <w:spacing w:after="0"/>
              <w:rPr>
                <w:sz w:val="20"/>
                <w:szCs w:val="20"/>
                <w:color w:val="auto"/>
              </w:rPr>
            </w:pPr>
            <w:r>
              <w:rPr>
                <w:rFonts w:ascii="Arial" w:cs="Arial" w:eastAsia="Arial" w:hAnsi="Arial"/>
                <w:sz w:val="18"/>
                <w:szCs w:val="18"/>
                <w:color w:val="0000FF"/>
              </w:rPr>
              <w:t>01/02/2020</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gridSpan w:val="4"/>
          </w:tcPr>
          <w:p>
            <w:pPr>
              <w:spacing w:after="0"/>
              <w:rPr>
                <w:sz w:val="9"/>
                <w:szCs w:val="9"/>
                <w:color w:val="auto"/>
              </w:rPr>
            </w:pPr>
          </w:p>
        </w:tc>
        <w:tc>
          <w:tcPr>
            <w:tcW w:w="1940" w:type="dxa"/>
            <w:vAlign w:val="bottom"/>
            <w:tcBorders>
              <w:bottom w:val="single" w:sz="8" w:color="2C2C2C"/>
            </w:tcBorders>
            <w:gridSpan w:val="4"/>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0"/>
          </w:tcPr>
          <w:p>
            <w:pPr>
              <w:ind w:left="3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711"/>
              <w:spacing w:after="0"/>
              <w:rPr>
                <w:sz w:val="20"/>
                <w:szCs w:val="20"/>
                <w:color w:val="auto"/>
              </w:rPr>
            </w:pPr>
            <w:r>
              <w:rPr>
                <w:rFonts w:ascii="Arial" w:cs="Arial" w:eastAsia="Arial" w:hAnsi="Arial"/>
                <w:sz w:val="18"/>
                <w:szCs w:val="18"/>
                <w:color w:val="0000FF"/>
                <w:w w:val="88"/>
              </w:rPr>
              <w:t>01/02/2020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6"/>
              </w:rPr>
              <w:t>320</w:t>
            </w:r>
          </w:p>
        </w:tc>
        <w:tc>
          <w:tcPr>
            <w:tcW w:w="680" w:type="dxa"/>
            <w:vAlign w:val="bottom"/>
            <w:tcBorders>
              <w:bottom w:val="single" w:sz="8" w:color="2C2C2C"/>
            </w:tcBorders>
            <w:gridSpan w:val="2"/>
          </w:tcPr>
          <w:p>
            <w:pPr>
              <w:ind w:left="4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ind w:left="2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0.0</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1,830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ind w:left="5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80" w:type="dxa"/>
            <w:vAlign w:val="bottom"/>
            <w:gridSpan w:val="17"/>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374.12</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01/02/2020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color w:val="0000FF"/>
              </w:rPr>
              <w:t>A</w:t>
            </w:r>
          </w:p>
        </w:tc>
        <w:tc>
          <w:tcPr>
            <w:tcW w:w="580" w:type="dxa"/>
            <w:vAlign w:val="bottom"/>
          </w:tcPr>
          <w:p>
            <w:pPr>
              <w:ind w:left="180"/>
              <w:spacing w:after="0"/>
              <w:rPr>
                <w:sz w:val="20"/>
                <w:szCs w:val="20"/>
                <w:color w:val="auto"/>
              </w:rPr>
            </w:pPr>
            <w:r>
              <w:rPr>
                <w:rFonts w:ascii="Arial" w:cs="Arial" w:eastAsia="Arial" w:hAnsi="Arial"/>
                <w:sz w:val="14"/>
                <w:szCs w:val="14"/>
                <w:color w:val="0000FF"/>
              </w:rPr>
              <w:t>4,361</w:t>
            </w:r>
          </w:p>
        </w:tc>
        <w:tc>
          <w:tcPr>
            <w:tcW w:w="340" w:type="dxa"/>
            <w:vAlign w:val="bottom"/>
          </w:tcPr>
          <w:p>
            <w:pPr>
              <w:spacing w:after="0"/>
              <w:rPr>
                <w:sz w:val="17"/>
                <w:szCs w:val="17"/>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40"/>
              <w:spacing w:after="0"/>
              <w:rPr>
                <w:sz w:val="20"/>
                <w:szCs w:val="20"/>
                <w:color w:val="auto"/>
              </w:rPr>
            </w:pPr>
            <w:r>
              <w:rPr>
                <w:rFonts w:ascii="Arial" w:cs="Arial" w:eastAsia="Arial" w:hAnsi="Arial"/>
                <w:sz w:val="14"/>
                <w:szCs w:val="14"/>
                <w:color w:val="0000FF"/>
                <w:w w:val="96"/>
              </w:rPr>
              <w:t>01/02/2030</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4,361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4,361</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an acquisition of time-based vesting restricted stock units each representing a contingent right to receive one share of the Issuer's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/s/**Marc Trevor Tessier-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01/05/2020</w:t>
            </w: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Lavigne</w:t>
            </w:r>
          </w:p>
        </w:tc>
        <w:tc>
          <w:tcPr>
            <w:tcW w:w="3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2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743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2020-01-06T15:09:03Z</dcterms:created>
  <dcterms:modified xsi:type="dcterms:W3CDTF">2020-01-06T15:09:03Z</dcterms:modified>
</cp:coreProperties>
</file>