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53"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ind w:left="1900" w:right="6639" w:hanging="523"/>
        <w:spacing w:after="0" w:line="585"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8,863,930</w:t>
      </w:r>
    </w:p>
    <w:p>
      <w:pPr>
        <w:spacing w:after="0" w:line="1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8,863,930</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8,863,930</w:t>
      </w:r>
      <w:r>
        <w:rPr>
          <w:rFonts w:ascii="Courier New" w:cs="Courier New" w:eastAsia="Courier New" w:hAnsi="Courier New"/>
          <w:sz w:val="16"/>
          <w:szCs w:val="16"/>
          <w:color w:val="auto"/>
        </w:rPr>
        <w:t>Beneficial ownership disclaimed pursuant to Rule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372" w:lineRule="exact"/>
        <w:rPr>
          <w:sz w:val="20"/>
          <w:szCs w:val="20"/>
          <w:color w:val="auto"/>
        </w:rPr>
      </w:pPr>
    </w:p>
    <w:p>
      <w:pPr>
        <w:ind w:left="540" w:right="2519" w:hanging="427"/>
        <w:spacing w:after="0" w:line="34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9.1%</w:t>
      </w:r>
    </w:p>
    <w:p>
      <w:pPr>
        <w:spacing w:after="0" w:line="1" w:lineRule="exact"/>
        <w:rPr>
          <w:rFonts w:ascii="Courier New" w:cs="Courier New" w:eastAsia="Courier New" w:hAnsi="Courier New"/>
          <w:sz w:val="18"/>
          <w:szCs w:val="18"/>
          <w:color w:val="auto"/>
        </w:rPr>
      </w:pPr>
    </w:p>
    <w:p>
      <w:pPr>
        <w:ind w:left="540" w:right="515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10" w:right="1440" w:bottom="0" w:gutter="0" w:footer="0" w:header="0"/>
          <w:type w:val="continuous"/>
        </w:sectPr>
      </w:pPr>
    </w:p>
    <w:p>
      <w:pPr>
        <w:spacing w:after="0" w:line="2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Regeneron Pharmaceuticals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10" w:right="1440" w:bottom="0" w:gutter="0" w:footer="0" w:header="0"/>
          <w:type w:val="continuous"/>
        </w:sectPr>
      </w:pP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World Investors</w:t>
      </w:r>
    </w:p>
    <w:p>
      <w:pPr>
        <w:spacing w:after="0" w:line="1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rPr>
          <w:sz w:val="20"/>
          <w:szCs w:val="20"/>
          <w:color w:val="auto"/>
        </w:rPr>
      </w:pPr>
      <w:r>
        <w:rPr>
          <w:rFonts w:ascii="Courier New" w:cs="Courier New" w:eastAsia="Courier New" w:hAnsi="Courier New"/>
          <w:sz w:val="18"/>
          <w:szCs w:val="18"/>
          <w:color w:val="auto"/>
        </w:rPr>
        <w:t>Los Angeles, CA 90071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96"/>
        </w:trPr>
        <w:tc>
          <w:tcPr>
            <w:tcW w:w="7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right="2839"/>
        <w:spacing w:after="0" w:line="265" w:lineRule="auto"/>
        <w:rPr>
          <w:sz w:val="20"/>
          <w:szCs w:val="20"/>
          <w:color w:val="auto"/>
        </w:rPr>
      </w:pPr>
      <w:r>
        <w:rPr>
          <w:rFonts w:ascii="Courier New" w:cs="Courier New" w:eastAsia="Courier New" w:hAnsi="Courier New"/>
          <w:sz w:val="18"/>
          <w:szCs w:val="18"/>
          <w:color w:val="auto"/>
        </w:rPr>
        <w:t>Capital World Investors is deemed to be the beneficial owner of 8,863,930 shares or 9.1% of the 97,389,765 shares believed to be outstanding as a result of CRMC acting as investment adviser to various investment companies registered under Section 8 of the Investment Company Act of 1940.</w:t>
      </w:r>
    </w:p>
    <w:p>
      <w:pPr>
        <w:spacing w:after="0" w:line="29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2014</w:t>
            </w:r>
          </w:p>
        </w:tc>
      </w:tr>
      <w:tr>
        <w:trPr>
          <w:trHeight w:val="311"/>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96"/>
        </w:trPr>
        <w:tc>
          <w:tcPr>
            <w:tcW w:w="1360" w:type="dxa"/>
            <w:vAlign w:val="bottom"/>
          </w:tcPr>
          <w:p>
            <w:pPr>
              <w:spacing w:after="0"/>
              <w:rPr>
                <w:sz w:val="24"/>
                <w:szCs w:val="2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06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9,2012 with respect to Fidelity National Information Services.</w:t>
      </w:r>
    </w:p>
    <w:p>
      <w:pPr>
        <w:sectPr>
          <w:pgSz w:w="11900" w:h="16838" w:orient="portrait"/>
          <w:cols w:equalWidth="0" w:num="1">
            <w:col w:w="10219"/>
          </w:cols>
          <w:pgMar w:left="240" w:top="110" w:right="1440" w:bottom="0" w:gutter="0" w:footer="0" w:header="0"/>
        </w:sectPr>
      </w:pPr>
    </w:p>
    <w:bookmarkStart w:id="3" w:name="page4"/>
    <w:bookmarkEnd w:id="3"/>
    <w:p>
      <w:pPr>
        <w:spacing w:after="0" w:line="8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2019-12-06T04:06:50Z</dcterms:created>
  <dcterms:modified xsi:type="dcterms:W3CDTF">2019-12-06T04:06:50Z</dcterms:modified>
</cp:coreProperties>
</file>