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198"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Pursuant to Section 13 or 15(d) of the Securities and Exchange Act of 1934</w:t>
      </w:r>
    </w:p>
    <w:p>
      <w:pPr>
        <w:spacing w:after="0" w:line="185" w:lineRule="exact"/>
        <w:rPr>
          <w:sz w:val="20"/>
          <w:szCs w:val="20"/>
          <w:color w:val="auto"/>
        </w:rPr>
      </w:pPr>
    </w:p>
    <w:p>
      <w:pPr>
        <w:ind w:left="240"/>
        <w:spacing w:after="0"/>
        <w:tabs>
          <w:tab w:leader="none" w:pos="4840" w:val="left"/>
        </w:tabs>
        <w:rPr>
          <w:sz w:val="20"/>
          <w:szCs w:val="20"/>
          <w:color w:val="auto"/>
        </w:rPr>
      </w:pPr>
      <w:r>
        <w:rPr>
          <w:rFonts w:ascii="Arial" w:cs="Arial" w:eastAsia="Arial" w:hAnsi="Arial"/>
          <w:sz w:val="18"/>
          <w:szCs w:val="18"/>
          <w:b w:val="1"/>
          <w:bCs w:val="1"/>
          <w:color w:val="auto"/>
        </w:rPr>
        <w:t>Date of Report (Date of earliest event reported):</w:t>
      </w:r>
      <w:r>
        <w:rPr>
          <w:sz w:val="20"/>
          <w:szCs w:val="20"/>
          <w:color w:val="auto"/>
        </w:rPr>
        <w:tab/>
      </w:r>
      <w:r>
        <w:rPr>
          <w:rFonts w:ascii="Arial" w:cs="Arial" w:eastAsia="Arial" w:hAnsi="Arial"/>
          <w:sz w:val="16"/>
          <w:szCs w:val="16"/>
          <w:b w:val="1"/>
          <w:bCs w:val="1"/>
          <w:color w:val="auto"/>
        </w:rPr>
        <w:t>July 1, 2005 (June 30, 2005)</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REGENERON PHARMACEUTICALS, INC.</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456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3420" w:type="dxa"/>
            <w:vAlign w:val="bottom"/>
          </w:tcPr>
          <w:p>
            <w:pPr>
              <w:spacing w:after="0"/>
              <w:rPr>
                <w:sz w:val="20"/>
                <w:szCs w:val="20"/>
                <w:color w:val="auto"/>
              </w:rPr>
            </w:pPr>
          </w:p>
        </w:tc>
      </w:tr>
      <w:tr>
        <w:trPr>
          <w:trHeight w:val="432"/>
        </w:trPr>
        <w:tc>
          <w:tcPr>
            <w:tcW w:w="4740" w:type="dxa"/>
            <w:vAlign w:val="bottom"/>
            <w:gridSpan w:val="3"/>
          </w:tcPr>
          <w:p>
            <w:pPr>
              <w:jc w:val="center"/>
              <w:ind w:right="1300"/>
              <w:spacing w:after="0"/>
              <w:rPr>
                <w:sz w:val="20"/>
                <w:szCs w:val="20"/>
                <w:color w:val="auto"/>
              </w:rPr>
            </w:pPr>
            <w:r>
              <w:rPr>
                <w:rFonts w:ascii="Arial" w:cs="Arial" w:eastAsia="Arial" w:hAnsi="Arial"/>
                <w:sz w:val="18"/>
                <w:szCs w:val="18"/>
                <w:b w:val="1"/>
                <w:bCs w:val="1"/>
                <w:color w:val="auto"/>
                <w:w w:val="92"/>
              </w:rPr>
              <w:t>New York</w:t>
            </w:r>
          </w:p>
        </w:tc>
        <w:tc>
          <w:tcPr>
            <w:tcW w:w="2700" w:type="dxa"/>
            <w:vAlign w:val="bottom"/>
          </w:tcPr>
          <w:p>
            <w:pPr>
              <w:jc w:val="center"/>
              <w:ind w:right="630"/>
              <w:spacing w:after="0"/>
              <w:rPr>
                <w:sz w:val="20"/>
                <w:szCs w:val="20"/>
                <w:color w:val="auto"/>
              </w:rPr>
            </w:pPr>
            <w:r>
              <w:rPr>
                <w:rFonts w:ascii="Arial" w:cs="Arial" w:eastAsia="Arial" w:hAnsi="Arial"/>
                <w:sz w:val="18"/>
                <w:szCs w:val="18"/>
                <w:b w:val="1"/>
                <w:bCs w:val="1"/>
                <w:color w:val="auto"/>
                <w:w w:val="90"/>
              </w:rPr>
              <w:t>000-19034</w:t>
            </w:r>
          </w:p>
        </w:tc>
        <w:tc>
          <w:tcPr>
            <w:tcW w:w="56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0"/>
              </w:rPr>
              <w:t>133444607</w:t>
            </w:r>
          </w:p>
        </w:tc>
      </w:tr>
      <w:tr>
        <w:trPr>
          <w:trHeight w:val="205"/>
        </w:trPr>
        <w:tc>
          <w:tcPr>
            <w:tcW w:w="344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color w:val="auto"/>
                <w:w w:val="92"/>
              </w:rPr>
              <w:t>(State or other jurisdiction of</w:t>
            </w:r>
          </w:p>
        </w:tc>
        <w:tc>
          <w:tcPr>
            <w:tcW w:w="58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700" w:type="dxa"/>
            <w:vAlign w:val="bottom"/>
            <w:tcBorders>
              <w:top w:val="single" w:sz="8" w:color="auto"/>
            </w:tcBorders>
          </w:tcPr>
          <w:p>
            <w:pPr>
              <w:jc w:val="center"/>
              <w:ind w:right="630"/>
              <w:spacing w:after="0" w:line="205" w:lineRule="exact"/>
              <w:rPr>
                <w:sz w:val="20"/>
                <w:szCs w:val="20"/>
                <w:color w:val="auto"/>
              </w:rPr>
            </w:pPr>
            <w:r>
              <w:rPr>
                <w:rFonts w:ascii="Arial" w:cs="Arial" w:eastAsia="Arial" w:hAnsi="Arial"/>
                <w:sz w:val="18"/>
                <w:szCs w:val="18"/>
                <w:color w:val="auto"/>
                <w:w w:val="92"/>
              </w:rPr>
              <w:t>(Commission File Number)</w:t>
            </w:r>
          </w:p>
        </w:tc>
        <w:tc>
          <w:tcPr>
            <w:tcW w:w="560" w:type="dxa"/>
            <w:vAlign w:val="bottom"/>
          </w:tcPr>
          <w:p>
            <w:pPr>
              <w:spacing w:after="0"/>
              <w:rPr>
                <w:sz w:val="17"/>
                <w:szCs w:val="17"/>
                <w:color w:val="auto"/>
              </w:rPr>
            </w:pPr>
          </w:p>
        </w:tc>
        <w:tc>
          <w:tcPr>
            <w:tcW w:w="342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4740" w:type="dxa"/>
            <w:vAlign w:val="bottom"/>
            <w:gridSpan w:val="3"/>
          </w:tcPr>
          <w:p>
            <w:pPr>
              <w:jc w:val="center"/>
              <w:ind w:right="1300"/>
              <w:spacing w:after="0"/>
              <w:rPr>
                <w:sz w:val="20"/>
                <w:szCs w:val="20"/>
                <w:color w:val="auto"/>
              </w:rPr>
            </w:pPr>
            <w:r>
              <w:rPr>
                <w:rFonts w:ascii="Arial" w:cs="Arial" w:eastAsia="Arial" w:hAnsi="Arial"/>
                <w:sz w:val="18"/>
                <w:szCs w:val="18"/>
                <w:color w:val="auto"/>
                <w:w w:val="94"/>
              </w:rPr>
              <w:t>incorporation)</w:t>
            </w:r>
          </w:p>
        </w:tc>
        <w:tc>
          <w:tcPr>
            <w:tcW w:w="2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Number)</w:t>
            </w:r>
          </w:p>
        </w:tc>
      </w:tr>
      <w:tr>
        <w:trPr>
          <w:trHeight w:val="432"/>
        </w:trPr>
        <w:tc>
          <w:tcPr>
            <w:tcW w:w="474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7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10591-6707</w:t>
            </w:r>
          </w:p>
        </w:tc>
      </w:tr>
      <w:tr>
        <w:trPr>
          <w:trHeight w:val="228"/>
        </w:trPr>
        <w:tc>
          <w:tcPr>
            <w:tcW w:w="474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ind w:left="280"/>
              <w:spacing w:after="0"/>
              <w:rPr>
                <w:sz w:val="20"/>
                <w:szCs w:val="20"/>
                <w:color w:val="auto"/>
              </w:rPr>
            </w:pPr>
            <w:r>
              <w:rPr>
                <w:rFonts w:ascii="Arial" w:cs="Arial" w:eastAsia="Arial" w:hAnsi="Arial"/>
                <w:sz w:val="18"/>
                <w:szCs w:val="18"/>
                <w:b w:val="1"/>
                <w:bCs w:val="1"/>
                <w:color w:val="auto"/>
              </w:rPr>
              <w:t>(Zip Code)</w:t>
            </w: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(914) 347-7000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8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registrant under any of the following provisions:</w:t>
      </w:r>
    </w:p>
    <w:p>
      <w:pPr>
        <w:spacing w:after="0" w:line="170"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587375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left="366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1.01 Entry into a Material Definitive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142240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319"/>
          </w:cols>
          <w:pgMar w:left="114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02" w:lineRule="exact"/>
        <w:rPr>
          <w:sz w:val="20"/>
          <w:szCs w:val="20"/>
          <w:color w:val="auto"/>
        </w:rPr>
      </w:pPr>
    </w:p>
    <w:p>
      <w:pPr>
        <w:ind w:left="700"/>
        <w:spacing w:after="0" w:line="270" w:lineRule="auto"/>
        <w:rPr>
          <w:sz w:val="20"/>
          <w:szCs w:val="20"/>
          <w:color w:val="auto"/>
        </w:rPr>
      </w:pPr>
      <w:r>
        <w:rPr>
          <w:rFonts w:ascii="Arial" w:cs="Arial" w:eastAsia="Arial" w:hAnsi="Arial"/>
          <w:sz w:val="17"/>
          <w:szCs w:val="17"/>
          <w:color w:val="auto"/>
        </w:rPr>
        <w:t>On June 30, 2005, the Company and The Procter &amp; Gamble Company (“P&amp;G”) agreed to amend their Focused Collaboration Agreement (the “Collaboration Agreement”) entered into as of December 31, 2000. Pursuant to the terms of the amendment and agreement entered into by the parties on June 30, 2005, the Company and P&amp;G agreed that the research activities of the parties under the Collaboration Agreement were completed on June 30, 2005, six months prior to the December 31, 2005 expiration date in the Collaboration Agreement. P&amp;G agreed to make payments of approximately $8.4 million to the Company in satisfaction of its remaining research funding obligations and the Company agreed to pay P&amp;G $950,000 to acquire certain capital equipment located at the Company’s facilities. P&amp;G and the Company divided rights to research programs and pre-clinical product candidates that were developed during the research term of the Collaboration Agreement. Neither party has the right to participate in the development or commercialization of the other party’s product candidates. The Company is entitled to receive royalties based on any future product sales of a P&amp;G pre-clinical candidate arising from the collaboration. Neither party is entitled to receive royalties or other payments based on any other products arising from the collaboration.</w:t>
      </w:r>
    </w:p>
    <w:p>
      <w:pPr>
        <w:spacing w:after="0" w:line="13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41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p>
        </w:tc>
        <w:tc>
          <w:tcPr>
            <w:tcW w:w="6360" w:type="dxa"/>
            <w:vAlign w:val="bottom"/>
            <w:gridSpan w:val="2"/>
          </w:tcPr>
          <w:p>
            <w:pPr>
              <w:ind w:left="1980"/>
              <w:spacing w:after="0"/>
              <w:rPr>
                <w:sz w:val="20"/>
                <w:szCs w:val="20"/>
                <w:color w:val="auto"/>
              </w:rPr>
            </w:pPr>
            <w:r>
              <w:rPr>
                <w:rFonts w:ascii="Arial" w:cs="Arial" w:eastAsia="Arial" w:hAnsi="Arial"/>
                <w:sz w:val="18"/>
                <w:szCs w:val="18"/>
                <w:color w:val="auto"/>
              </w:rPr>
              <w:t>REGENERON PHARMACEUTICALS, INC.</w:t>
            </w:r>
          </w:p>
        </w:tc>
      </w:tr>
      <w:tr>
        <w:trPr>
          <w:trHeight w:val="432"/>
        </w:trPr>
        <w:tc>
          <w:tcPr>
            <w:tcW w:w="3380" w:type="dxa"/>
            <w:vAlign w:val="bottom"/>
          </w:tcPr>
          <w:p>
            <w:pPr>
              <w:spacing w:after="0"/>
              <w:rPr>
                <w:sz w:val="20"/>
                <w:szCs w:val="20"/>
                <w:color w:val="auto"/>
              </w:rPr>
            </w:pPr>
            <w:r>
              <w:rPr>
                <w:rFonts w:ascii="Arial" w:cs="Arial" w:eastAsia="Arial" w:hAnsi="Arial"/>
                <w:sz w:val="18"/>
                <w:szCs w:val="18"/>
                <w:color w:val="auto"/>
              </w:rPr>
              <w:t>Dated: July 1, 2005</w:t>
            </w:r>
          </w:p>
        </w:tc>
        <w:tc>
          <w:tcPr>
            <w:tcW w:w="6360" w:type="dxa"/>
            <w:vAlign w:val="bottom"/>
            <w:gridSpan w:val="2"/>
          </w:tcPr>
          <w:p>
            <w:pPr>
              <w:ind w:left="1980"/>
              <w:spacing w:after="0"/>
              <w:rPr>
                <w:sz w:val="20"/>
                <w:szCs w:val="20"/>
                <w:color w:val="auto"/>
              </w:rPr>
            </w:pPr>
            <w:r>
              <w:rPr>
                <w:rFonts w:ascii="Arial" w:cs="Arial" w:eastAsia="Arial" w:hAnsi="Arial"/>
                <w:sz w:val="18"/>
                <w:szCs w:val="18"/>
                <w:color w:val="auto"/>
              </w:rPr>
              <w:t>By: /s/ Stuart Kolinski</w:t>
            </w:r>
          </w:p>
        </w:tc>
      </w:tr>
      <w:tr>
        <w:trPr>
          <w:trHeight w:val="195"/>
        </w:trPr>
        <w:tc>
          <w:tcPr>
            <w:tcW w:w="33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Stuart Kolinski</w:t>
            </w:r>
          </w:p>
        </w:tc>
      </w:tr>
      <w:tr>
        <w:trPr>
          <w:trHeight w:val="230"/>
        </w:trPr>
        <w:tc>
          <w:tcPr>
            <w:tcW w:w="33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Vice President and General Counsel</w:t>
            </w:r>
          </w:p>
        </w:tc>
      </w:tr>
      <w:tr>
        <w:trPr>
          <w:trHeight w:val="621"/>
        </w:trPr>
        <w:tc>
          <w:tcPr>
            <w:tcW w:w="3380" w:type="dxa"/>
            <w:vAlign w:val="bottom"/>
          </w:tcPr>
          <w:p>
            <w:pPr>
              <w:spacing w:after="0"/>
              <w:rPr>
                <w:sz w:val="24"/>
                <w:szCs w:val="24"/>
                <w:color w:val="auto"/>
              </w:rPr>
            </w:pPr>
          </w:p>
        </w:tc>
        <w:tc>
          <w:tcPr>
            <w:tcW w:w="6360" w:type="dxa"/>
            <w:vAlign w:val="bottom"/>
            <w:gridSpan w:val="2"/>
          </w:tcPr>
          <w:p>
            <w:pPr>
              <w:jc w:val="right"/>
              <w:ind w:right="3890"/>
              <w:spacing w:after="0"/>
              <w:rPr>
                <w:sz w:val="20"/>
                <w:szCs w:val="20"/>
                <w:color w:val="auto"/>
              </w:rPr>
            </w:pPr>
            <w:r>
              <w:rPr>
                <w:rFonts w:ascii="Arial" w:cs="Arial" w:eastAsia="Arial" w:hAnsi="Arial"/>
                <w:sz w:val="18"/>
                <w:szCs w:val="18"/>
                <w:color w:val="auto"/>
              </w:rPr>
              <w:t>3</w:t>
            </w:r>
          </w:p>
        </w:tc>
      </w:tr>
    </w:tbl>
    <w:p>
      <w:pPr>
        <w:spacing w:after="0" w:line="1" w:lineRule="exact"/>
        <w:rPr>
          <w:sz w:val="20"/>
          <w:szCs w:val="20"/>
          <w:color w:val="auto"/>
        </w:rPr>
      </w:pPr>
    </w:p>
    <w:sectPr>
      <w:pgSz w:w="11900" w:h="16838" w:orient="portrait"/>
      <w:cols w:equalWidth="0" w:num="1">
        <w:col w:w="10820"/>
      </w:cols>
      <w:pgMar w:left="240" w:top="419"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2019-12-20T02:47:33Z</dcterms:created>
  <dcterms:modified xsi:type="dcterms:W3CDTF">2019-12-20T02:47:33Z</dcterms:modified>
</cp:coreProperties>
</file>