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w:t>
      </w:r>
    </w:p>
    <w:p>
      <w:pPr>
        <w:jc w:val="center"/>
        <w:ind w:right="-1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 February 5, 2014 (January 30,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REGENERON PHARMACEUTICALS, INC.</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New York</w:t>
      </w:r>
    </w:p>
    <w:p>
      <w:pPr>
        <w:spacing w:after="0" w:line="21"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(State or other jurisdiction of incorporation)</w:t>
      </w:r>
    </w:p>
    <w:p>
      <w:pPr>
        <w:spacing w:after="0" w:line="219" w:lineRule="exact"/>
        <w:rPr>
          <w:sz w:val="24"/>
          <w:szCs w:val="24"/>
          <w:color w:val="auto"/>
        </w:rPr>
      </w:pPr>
    </w:p>
    <w:tbl>
      <w:tblPr>
        <w:tblLayout w:type="fixed"/>
        <w:tblInd w:w="880" w:type="dxa"/>
        <w:tblCellMar>
          <w:top w:w="0" w:type="dxa"/>
          <w:left w:w="0" w:type="dxa"/>
          <w:bottom w:w="0" w:type="dxa"/>
          <w:right w:w="0" w:type="dxa"/>
        </w:tblCellMar>
      </w:tblPr>
      <w:tr>
        <w:trPr>
          <w:trHeight w:val="212"/>
        </w:trPr>
        <w:tc>
          <w:tcPr>
            <w:tcW w:w="5620" w:type="dxa"/>
            <w:vAlign w:val="bottom"/>
          </w:tcPr>
          <w:p>
            <w:pPr>
              <w:jc w:val="center"/>
              <w:ind w:right="1521"/>
              <w:spacing w:after="0"/>
              <w:rPr>
                <w:sz w:val="20"/>
                <w:szCs w:val="20"/>
                <w:color w:val="auto"/>
              </w:rPr>
            </w:pPr>
            <w:r>
              <w:rPr>
                <w:rFonts w:ascii="Arial" w:cs="Arial" w:eastAsia="Arial" w:hAnsi="Arial"/>
                <w:sz w:val="18"/>
                <w:szCs w:val="18"/>
                <w:b w:val="1"/>
                <w:bCs w:val="1"/>
                <w:color w:val="auto"/>
                <w:w w:val="90"/>
              </w:rPr>
              <w:t>000-19034</w:t>
            </w:r>
          </w:p>
        </w:tc>
        <w:tc>
          <w:tcPr>
            <w:tcW w:w="2720" w:type="dxa"/>
            <w:vAlign w:val="bottom"/>
          </w:tcPr>
          <w:p>
            <w:pPr>
              <w:jc w:val="center"/>
              <w:ind w:left="1501"/>
              <w:spacing w:after="0"/>
              <w:rPr>
                <w:sz w:val="20"/>
                <w:szCs w:val="20"/>
                <w:color w:val="auto"/>
              </w:rPr>
            </w:pPr>
            <w:r>
              <w:rPr>
                <w:rFonts w:ascii="Arial" w:cs="Arial" w:eastAsia="Arial" w:hAnsi="Arial"/>
                <w:sz w:val="18"/>
                <w:szCs w:val="18"/>
                <w:b w:val="1"/>
                <w:bCs w:val="1"/>
                <w:color w:val="auto"/>
                <w:w w:val="89"/>
              </w:rPr>
              <w:t>13-3444607</w:t>
            </w:r>
          </w:p>
        </w:tc>
      </w:tr>
      <w:tr>
        <w:trPr>
          <w:trHeight w:val="149"/>
        </w:trPr>
        <w:tc>
          <w:tcPr>
            <w:tcW w:w="5620" w:type="dxa"/>
            <w:vAlign w:val="bottom"/>
          </w:tcPr>
          <w:p>
            <w:pPr>
              <w:jc w:val="center"/>
              <w:ind w:right="1521"/>
              <w:spacing w:after="0" w:line="149" w:lineRule="exact"/>
              <w:rPr>
                <w:sz w:val="20"/>
                <w:szCs w:val="20"/>
                <w:color w:val="auto"/>
              </w:rPr>
            </w:pPr>
            <w:r>
              <w:rPr>
                <w:rFonts w:ascii="Arial" w:cs="Arial" w:eastAsia="Arial" w:hAnsi="Arial"/>
                <w:sz w:val="14"/>
                <w:szCs w:val="14"/>
                <w:b w:val="1"/>
                <w:bCs w:val="1"/>
                <w:color w:val="auto"/>
                <w:w w:val="92"/>
              </w:rPr>
              <w:t>(Commission</w:t>
            </w:r>
          </w:p>
        </w:tc>
        <w:tc>
          <w:tcPr>
            <w:tcW w:w="2720" w:type="dxa"/>
            <w:vAlign w:val="bottom"/>
          </w:tcPr>
          <w:p>
            <w:pPr>
              <w:jc w:val="center"/>
              <w:ind w:left="152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5620" w:type="dxa"/>
            <w:vAlign w:val="bottom"/>
          </w:tcPr>
          <w:p>
            <w:pPr>
              <w:jc w:val="center"/>
              <w:ind w:right="1521"/>
              <w:spacing w:after="0"/>
              <w:rPr>
                <w:sz w:val="20"/>
                <w:szCs w:val="20"/>
                <w:color w:val="auto"/>
              </w:rPr>
            </w:pPr>
            <w:r>
              <w:rPr>
                <w:rFonts w:ascii="Arial" w:cs="Arial" w:eastAsia="Arial" w:hAnsi="Arial"/>
                <w:sz w:val="14"/>
                <w:szCs w:val="14"/>
                <w:b w:val="1"/>
                <w:bCs w:val="1"/>
                <w:color w:val="auto"/>
                <w:w w:val="95"/>
              </w:rPr>
              <w:t>File Number)</w:t>
            </w:r>
          </w:p>
        </w:tc>
        <w:tc>
          <w:tcPr>
            <w:tcW w:w="2720" w:type="dxa"/>
            <w:vAlign w:val="bottom"/>
          </w:tcPr>
          <w:p>
            <w:pPr>
              <w:jc w:val="center"/>
              <w:ind w:left="1501"/>
              <w:spacing w:after="0"/>
              <w:rPr>
                <w:sz w:val="20"/>
                <w:szCs w:val="20"/>
                <w:color w:val="auto"/>
              </w:rPr>
            </w:pPr>
            <w:r>
              <w:rPr>
                <w:rFonts w:ascii="Arial" w:cs="Arial" w:eastAsia="Arial" w:hAnsi="Arial"/>
                <w:sz w:val="14"/>
                <w:szCs w:val="14"/>
                <w:b w:val="1"/>
                <w:bCs w:val="1"/>
                <w:color w:val="auto"/>
                <w:w w:val="96"/>
              </w:rPr>
              <w:t>Identification No.)</w:t>
            </w:r>
          </w:p>
        </w:tc>
      </w:tr>
      <w:tr>
        <w:trPr>
          <w:trHeight w:val="435"/>
        </w:trPr>
        <w:tc>
          <w:tcPr>
            <w:tcW w:w="5620" w:type="dxa"/>
            <w:vAlign w:val="bottom"/>
          </w:tcPr>
          <w:p>
            <w:pPr>
              <w:jc w:val="center"/>
              <w:ind w:right="1521"/>
              <w:spacing w:after="0"/>
              <w:rPr>
                <w:sz w:val="20"/>
                <w:szCs w:val="20"/>
                <w:color w:val="auto"/>
              </w:rPr>
            </w:pPr>
            <w:r>
              <w:rPr>
                <w:rFonts w:ascii="Arial" w:cs="Arial" w:eastAsia="Arial" w:hAnsi="Arial"/>
                <w:sz w:val="18"/>
                <w:szCs w:val="18"/>
                <w:b w:val="1"/>
                <w:bCs w:val="1"/>
                <w:color w:val="auto"/>
                <w:w w:val="93"/>
              </w:rPr>
              <w:t>777 Old Saw Mill River Road, Tarrytown, New York</w:t>
            </w:r>
          </w:p>
        </w:tc>
        <w:tc>
          <w:tcPr>
            <w:tcW w:w="2720" w:type="dxa"/>
            <w:vAlign w:val="bottom"/>
          </w:tcPr>
          <w:p>
            <w:pPr>
              <w:jc w:val="center"/>
              <w:ind w:left="1501"/>
              <w:spacing w:after="0"/>
              <w:rPr>
                <w:sz w:val="20"/>
                <w:szCs w:val="20"/>
                <w:color w:val="auto"/>
              </w:rPr>
            </w:pPr>
            <w:r>
              <w:rPr>
                <w:rFonts w:ascii="Arial" w:cs="Arial" w:eastAsia="Arial" w:hAnsi="Arial"/>
                <w:sz w:val="18"/>
                <w:szCs w:val="18"/>
                <w:b w:val="1"/>
                <w:bCs w:val="1"/>
                <w:color w:val="auto"/>
                <w:w w:val="89"/>
              </w:rPr>
              <w:t>10591-6707</w:t>
            </w:r>
          </w:p>
        </w:tc>
      </w:tr>
      <w:tr>
        <w:trPr>
          <w:trHeight w:val="186"/>
        </w:trPr>
        <w:tc>
          <w:tcPr>
            <w:tcW w:w="5620" w:type="dxa"/>
            <w:vAlign w:val="bottom"/>
          </w:tcPr>
          <w:p>
            <w:pPr>
              <w:jc w:val="center"/>
              <w:ind w:right="1521"/>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720" w:type="dxa"/>
            <w:vAlign w:val="bottom"/>
          </w:tcPr>
          <w:p>
            <w:pPr>
              <w:jc w:val="center"/>
              <w:ind w:left="1501"/>
              <w:spacing w:after="0"/>
              <w:rPr>
                <w:sz w:val="20"/>
                <w:szCs w:val="20"/>
                <w:color w:val="auto"/>
              </w:rPr>
            </w:pPr>
            <w:r>
              <w:rPr>
                <w:rFonts w:ascii="Arial" w:cs="Arial" w:eastAsia="Arial" w:hAnsi="Arial"/>
                <w:sz w:val="14"/>
                <w:szCs w:val="14"/>
                <w:b w:val="1"/>
                <w:bCs w:val="1"/>
                <w:color w:val="auto"/>
                <w:w w:val="95"/>
              </w:rPr>
              <w:t>(Zip Code)</w:t>
            </w:r>
          </w:p>
        </w:tc>
      </w:tr>
    </w:tbl>
    <w:p>
      <w:pPr>
        <w:spacing w:after="0" w:line="18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Registrant’s telephone number, including area code: (914) 847-7000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4"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sectPr>
      </w:pPr>
    </w:p>
    <w:bookmarkStart w:id="1" w:name="page2"/>
    <w:bookmarkEnd w:id="1"/>
    <w:p>
      <w:pPr>
        <w:ind w:left="1140" w:right="100" w:hanging="1133"/>
        <w:spacing w:after="0" w:line="282" w:lineRule="auto"/>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58"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On January 30, 2014, Eric M. Shooter, Ph.D., notified Regeneron Pharmaceuticals, Inc. (the “</w:t>
      </w:r>
      <w:r>
        <w:rPr>
          <w:rFonts w:ascii="Arial" w:cs="Arial" w:eastAsia="Arial" w:hAnsi="Arial"/>
          <w:sz w:val="18"/>
          <w:szCs w:val="18"/>
          <w:u w:val="single" w:color="auto"/>
          <w:color w:val="auto"/>
        </w:rPr>
        <w:t>Company</w:t>
      </w:r>
      <w:r>
        <w:rPr>
          <w:rFonts w:ascii="Arial" w:cs="Arial" w:eastAsia="Arial" w:hAnsi="Arial"/>
          <w:sz w:val="18"/>
          <w:szCs w:val="18"/>
          <w:color w:val="auto"/>
        </w:rPr>
        <w:t>”) of his intention to retire from his position as a member of the board of directors of the Company (the “</w:t>
      </w:r>
      <w:r>
        <w:rPr>
          <w:rFonts w:ascii="Arial" w:cs="Arial" w:eastAsia="Arial" w:hAnsi="Arial"/>
          <w:sz w:val="18"/>
          <w:szCs w:val="18"/>
          <w:u w:val="single" w:color="auto"/>
          <w:color w:val="auto"/>
        </w:rPr>
        <w:t>Board</w:t>
      </w:r>
      <w:r>
        <w:rPr>
          <w:rFonts w:ascii="Arial" w:cs="Arial" w:eastAsia="Arial" w:hAnsi="Arial"/>
          <w:sz w:val="18"/>
          <w:szCs w:val="18"/>
          <w:color w:val="auto"/>
        </w:rPr>
        <w:t>”). Dr. Shooter, 89, who is a co-founder of the Company and a member of the Technology Committee of the Board, is retiring after 25 years of service as a non-employee member of the Board.</w:t>
      </w:r>
    </w:p>
    <w:p>
      <w:pPr>
        <w:spacing w:after="0" w:line="18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Dr. Shooter intends to retire effective as of the earlier of (i) the date of the 2014 annual meeting of the shareholders of the Company (currently expected to be held on June 13, 2014) or (ii) the effective date of the appointment of a new member of the Board pursuant to the Amended and Restated Investor Agreement, dated as of January 11, 2014, by and among Sanofi, sanofi-aventis US LLC, Aventis Pharmaceuticals Inc., sanofi-aventis Amerique du Nord, and the Company (previously filed as Exhibit 10.1 to the Company’s Current Report on Form 8-K filed with the Securities and Exchange Commission on January 13, 2014).</w:t>
      </w:r>
    </w:p>
    <w:p>
      <w:pPr>
        <w:sectPr>
          <w:pgSz w:w="11900" w:h="16838" w:orient="portrait"/>
          <w:cols w:equalWidth="0" w:num="1">
            <w:col w:w="11400"/>
          </w:cols>
          <w:pgMar w:left="240" w:top="270" w:right="2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right="680"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Date: February 5, 2014</w:t>
            </w:r>
          </w:p>
        </w:tc>
        <w:tc>
          <w:tcPr>
            <w:tcW w:w="7680" w:type="dxa"/>
            <w:vAlign w:val="bottom"/>
            <w:gridSpan w:val="2"/>
          </w:tcPr>
          <w:p>
            <w:pPr>
              <w:ind w:left="2080"/>
              <w:spacing w:after="0"/>
              <w:rPr>
                <w:sz w:val="20"/>
                <w:szCs w:val="20"/>
                <w:color w:val="auto"/>
              </w:rPr>
            </w:pPr>
            <w:r>
              <w:rPr>
                <w:rFonts w:ascii="Arial" w:cs="Arial" w:eastAsia="Arial" w:hAnsi="Arial"/>
                <w:sz w:val="18"/>
                <w:szCs w:val="18"/>
                <w:color w:val="auto"/>
              </w:rPr>
              <w:t>REGENERON PHARMACEUTICALS, INC.</w:t>
            </w:r>
          </w:p>
        </w:tc>
      </w:tr>
      <w:tr>
        <w:trPr>
          <w:trHeight w:val="432"/>
        </w:trPr>
        <w:tc>
          <w:tcPr>
            <w:tcW w:w="3740" w:type="dxa"/>
            <w:vAlign w:val="bottom"/>
          </w:tcPr>
          <w:p>
            <w:pPr>
              <w:spacing w:after="0"/>
              <w:rPr>
                <w:sz w:val="24"/>
                <w:szCs w:val="24"/>
                <w:color w:val="auto"/>
              </w:rPr>
            </w:pPr>
          </w:p>
        </w:tc>
        <w:tc>
          <w:tcPr>
            <w:tcW w:w="2660" w:type="dxa"/>
            <w:vAlign w:val="bottom"/>
          </w:tcPr>
          <w:p>
            <w:pPr>
              <w:ind w:left="2080"/>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J. LaRosa</w:t>
            </w:r>
          </w:p>
        </w:tc>
      </w:tr>
      <w:tr>
        <w:trPr>
          <w:trHeight w:val="209"/>
        </w:trPr>
        <w:tc>
          <w:tcPr>
            <w:tcW w:w="3740" w:type="dxa"/>
            <w:vAlign w:val="bottom"/>
          </w:tcPr>
          <w:p>
            <w:pPr>
              <w:spacing w:after="0"/>
              <w:rPr>
                <w:sz w:val="18"/>
                <w:szCs w:val="18"/>
                <w:color w:val="auto"/>
              </w:rPr>
            </w:pPr>
          </w:p>
        </w:tc>
        <w:tc>
          <w:tcPr>
            <w:tcW w:w="2660" w:type="dxa"/>
            <w:vAlign w:val="bottom"/>
          </w:tcPr>
          <w:p>
            <w:pPr>
              <w:ind w:left="2080"/>
              <w:spacing w:after="0"/>
              <w:rPr>
                <w:sz w:val="20"/>
                <w:szCs w:val="20"/>
                <w:color w:val="auto"/>
              </w:rPr>
            </w:pPr>
            <w:r>
              <w:rPr>
                <w:rFonts w:ascii="Arial" w:cs="Arial" w:eastAsia="Arial" w:hAnsi="Arial"/>
                <w:sz w:val="18"/>
                <w:szCs w:val="18"/>
                <w:color w:val="auto"/>
              </w:rPr>
              <w:t>Name:</w:t>
            </w:r>
          </w:p>
        </w:tc>
        <w:tc>
          <w:tcPr>
            <w:tcW w:w="5020" w:type="dxa"/>
            <w:vAlign w:val="bottom"/>
          </w:tcPr>
          <w:p>
            <w:pPr>
              <w:spacing w:after="0"/>
              <w:rPr>
                <w:sz w:val="20"/>
                <w:szCs w:val="20"/>
                <w:color w:val="auto"/>
              </w:rPr>
            </w:pPr>
            <w:r>
              <w:rPr>
                <w:rFonts w:ascii="Arial" w:cs="Arial" w:eastAsia="Arial" w:hAnsi="Arial"/>
                <w:sz w:val="18"/>
                <w:szCs w:val="18"/>
                <w:color w:val="auto"/>
              </w:rPr>
              <w:t>Joseph J. LaRosa</w:t>
            </w:r>
          </w:p>
        </w:tc>
      </w:tr>
      <w:tr>
        <w:trPr>
          <w:trHeight w:val="230"/>
        </w:trPr>
        <w:tc>
          <w:tcPr>
            <w:tcW w:w="3740" w:type="dxa"/>
            <w:vAlign w:val="bottom"/>
          </w:tcPr>
          <w:p>
            <w:pPr>
              <w:spacing w:after="0"/>
              <w:rPr>
                <w:sz w:val="20"/>
                <w:szCs w:val="20"/>
                <w:color w:val="auto"/>
              </w:rPr>
            </w:pPr>
          </w:p>
        </w:tc>
        <w:tc>
          <w:tcPr>
            <w:tcW w:w="2660" w:type="dxa"/>
            <w:vAlign w:val="bottom"/>
          </w:tcPr>
          <w:p>
            <w:pPr>
              <w:ind w:left="2080"/>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Senior Vice President, General Counsel and Secretary</w:t>
            </w:r>
          </w:p>
        </w:tc>
      </w:tr>
    </w:tbl>
    <w:p>
      <w:pPr>
        <w:spacing w:after="0" w:line="1" w:lineRule="exact"/>
        <w:rPr>
          <w:sz w:val="20"/>
          <w:szCs w:val="20"/>
          <w:color w:val="auto"/>
        </w:rPr>
      </w:pPr>
    </w:p>
    <w:sectPr>
      <w:pgSz w:w="11900" w:h="16838" w:orient="portrait"/>
      <w:cols w:equalWidth="0" w:num="1">
        <w:col w:w="11420"/>
      </w:cols>
      <w:pgMar w:left="240" w:top="27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2019-12-06T04:09:51Z</dcterms:created>
  <dcterms:modified xsi:type="dcterms:W3CDTF">2019-12-06T04:09:51Z</dcterms:modified>
</cp:coreProperties>
</file>