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SCHEDULE 13D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(Rule 13d-101)</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6)*</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688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Karen Linehan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Vice President, Legal Affairs and General Counsel</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Sanofi</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54, rue La Boétie, 75008</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Paris, France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+33 1 53 77 40 00</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Copy to:</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Michael J. Aiello, Esq.</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Weil, Gotshal &amp; Manges LLP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767 Fifth Avenue</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10153</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88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April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688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9" w:lineRule="exact"/>
        <w:rPr>
          <w:sz w:val="24"/>
          <w:szCs w:val="24"/>
          <w:color w:val="auto"/>
        </w:rPr>
      </w:pPr>
    </w:p>
    <w:p>
      <w:pPr>
        <w:ind w:right="480"/>
        <w:spacing w:after="0" w:line="302"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13d-1(f) or 13d-1(g), check the following box. x</w:t>
      </w:r>
    </w:p>
    <w:p>
      <w:pPr>
        <w:spacing w:after="0" w:line="175" w:lineRule="exact"/>
        <w:rPr>
          <w:sz w:val="24"/>
          <w:szCs w:val="24"/>
          <w:color w:val="auto"/>
        </w:rPr>
      </w:pPr>
    </w:p>
    <w:p>
      <w:pPr>
        <w:ind w:right="40"/>
        <w:spacing w:after="0" w:line="271"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02"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40"/>
        <w:spacing w:after="0" w:line="335"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360680</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6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color w:val="auto"/>
        </w:rPr>
        <w:t>13D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60" w:type="dxa"/>
            <w:vAlign w:val="bottom"/>
            <w:tcBorders>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NAME OF REPORTING PERSONS</w:t>
            </w:r>
          </w:p>
        </w:tc>
        <w:tc>
          <w:tcPr>
            <w:tcW w:w="24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Sanofi</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1640" w:type="dxa"/>
            <w:vAlign w:val="bottom"/>
          </w:tcPr>
          <w:p>
            <w:pPr>
              <w:spacing w:after="0"/>
              <w:rPr>
                <w:sz w:val="24"/>
                <w:szCs w:val="24"/>
                <w:color w:val="auto"/>
              </w:rPr>
            </w:pPr>
          </w:p>
        </w:tc>
        <w:tc>
          <w:tcPr>
            <w:tcW w:w="2720" w:type="dxa"/>
            <w:vAlign w:val="bottom"/>
            <w:tcBorders>
              <w:right w:val="single" w:sz="8" w:color="auto"/>
            </w:tcBorders>
          </w:tcPr>
          <w:p>
            <w:pPr>
              <w:ind w:left="4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720" w:type="dxa"/>
            <w:vAlign w:val="bottom"/>
            <w:tcBorders>
              <w:bottom w:val="single" w:sz="8" w:color="auto"/>
              <w:right w:val="single" w:sz="8" w:color="auto"/>
            </w:tcBorders>
          </w:tcPr>
          <w:p>
            <w:pPr>
              <w:ind w:left="4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1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SOURCE OF FUNDS</w:t>
            </w:r>
          </w:p>
        </w:tc>
        <w:tc>
          <w:tcPr>
            <w:tcW w:w="1020" w:type="dxa"/>
            <w:vAlign w:val="bottom"/>
          </w:tcPr>
          <w:p>
            <w:pPr>
              <w:ind w:left="380"/>
              <w:spacing w:after="0"/>
              <w:rPr>
                <w:sz w:val="20"/>
                <w:szCs w:val="20"/>
                <w:color w:val="auto"/>
              </w:rPr>
            </w:pPr>
            <w:r>
              <w:rPr>
                <w:rFonts w:ascii="Arial" w:cs="Arial" w:eastAsia="Arial" w:hAnsi="Arial"/>
                <w:sz w:val="18"/>
                <w:szCs w:val="18"/>
                <w:color w:val="auto"/>
              </w:rPr>
              <w:t>WC</w:t>
            </w:r>
          </w:p>
        </w:tc>
        <w:tc>
          <w:tcPr>
            <w:tcW w:w="2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2"/>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54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CHECK BOX IF DISCLOSURE OF LEGAL PROCEEDINGS  </w:t>
            </w: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Borders>
              <w:right w:val="single" w:sz="8" w:color="auto"/>
            </w:tcBorders>
            <w:shd w:val="clear" w:color="auto" w:fill="000000"/>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540" w:type="dxa"/>
            <w:vAlign w:val="bottom"/>
            <w:gridSpan w:val="3"/>
            <w:vMerge w:val="restart"/>
          </w:tcPr>
          <w:p>
            <w:pPr>
              <w:ind w:left="60"/>
              <w:spacing w:after="0"/>
              <w:rPr>
                <w:sz w:val="20"/>
                <w:szCs w:val="20"/>
                <w:color w:val="auto"/>
              </w:rPr>
            </w:pPr>
            <w:r>
              <w:rPr>
                <w:rFonts w:ascii="Arial" w:cs="Arial" w:eastAsia="Arial" w:hAnsi="Arial"/>
                <w:sz w:val="18"/>
                <w:szCs w:val="18"/>
                <w:color w:val="auto"/>
              </w:rPr>
              <w:t>IS REQUIRED PURSUANT TO ITEM 2(d) or 2(e)</w:t>
            </w:r>
          </w:p>
        </w:tc>
        <w:tc>
          <w:tcPr>
            <w:tcW w:w="1640" w:type="dxa"/>
            <w:vAlign w:val="bottom"/>
          </w:tcPr>
          <w:p>
            <w:pPr>
              <w:spacing w:after="0"/>
              <w:rPr>
                <w:sz w:val="6"/>
                <w:szCs w:val="6"/>
                <w:color w:val="auto"/>
              </w:rPr>
            </w:pPr>
          </w:p>
        </w:tc>
        <w:tc>
          <w:tcPr>
            <w:tcW w:w="2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auto"/>
              <w:right w:val="single" w:sz="8" w:color="auto"/>
            </w:tcBorders>
            <w:shd w:val="clear" w:color="auto" w:fill="000000"/>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540" w:type="dxa"/>
            <w:vAlign w:val="bottom"/>
            <w:tcBorders>
              <w:bottom w:val="single" w:sz="8" w:color="auto"/>
            </w:tcBorders>
            <w:gridSpan w:val="3"/>
            <w:vMerge w:val="continue"/>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The Republic of France</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 w:type="dxa"/>
            <w:vAlign w:val="bottom"/>
            <w:tcBorders>
              <w:right w:val="single" w:sz="8" w:color="auto"/>
            </w:tcBorders>
            <w:shd w:val="clear" w:color="auto" w:fill="000000"/>
          </w:tcPr>
          <w:p>
            <w:pPr>
              <w:spacing w:after="0"/>
              <w:rPr>
                <w:sz w:val="20"/>
                <w:szCs w:val="20"/>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NUMBER OF</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7.</w:t>
            </w:r>
          </w:p>
        </w:tc>
        <w:tc>
          <w:tcPr>
            <w:tcW w:w="1020" w:type="dxa"/>
            <w:vAlign w:val="bottom"/>
            <w:tcBorders>
              <w:right w:val="single" w:sz="8" w:color="auto"/>
            </w:tcBorders>
          </w:tcPr>
          <w:p>
            <w:pPr>
              <w:spacing w:after="0"/>
              <w:rPr>
                <w:sz w:val="20"/>
                <w:szCs w:val="20"/>
                <w:color w:val="auto"/>
              </w:rPr>
            </w:pPr>
          </w:p>
        </w:tc>
        <w:tc>
          <w:tcPr>
            <w:tcW w:w="2400" w:type="dxa"/>
            <w:vAlign w:val="bottom"/>
            <w:vMerge w:val="restart"/>
          </w:tcPr>
          <w:p>
            <w:pPr>
              <w:ind w:left="160"/>
              <w:spacing w:after="0"/>
              <w:rPr>
                <w:sz w:val="20"/>
                <w:szCs w:val="20"/>
                <w:color w:val="auto"/>
              </w:rPr>
            </w:pPr>
            <w:r>
              <w:rPr>
                <w:rFonts w:ascii="Arial" w:cs="Arial" w:eastAsia="Arial" w:hAnsi="Arial"/>
                <w:sz w:val="18"/>
                <w:szCs w:val="18"/>
                <w:color w:val="auto"/>
              </w:rPr>
              <w:t>SOLE VOTING POWER</w:t>
            </w:r>
          </w:p>
        </w:tc>
        <w:tc>
          <w:tcPr>
            <w:tcW w:w="1640" w:type="dxa"/>
            <w:vAlign w:val="bottom"/>
            <w:vMerge w:val="restart"/>
          </w:tcPr>
          <w:p>
            <w:pPr>
              <w:jc w:val="right"/>
              <w:ind w:right="1351"/>
              <w:spacing w:after="0"/>
              <w:rPr>
                <w:sz w:val="20"/>
                <w:szCs w:val="20"/>
                <w:color w:val="auto"/>
              </w:rPr>
            </w:pPr>
            <w:r>
              <w:rPr>
                <w:rFonts w:ascii="Arial" w:cs="Arial" w:eastAsia="Arial" w:hAnsi="Arial"/>
                <w:sz w:val="18"/>
                <w:szCs w:val="18"/>
                <w:color w:val="auto"/>
                <w:w w:val="81"/>
              </w:rPr>
              <w:t>-0-</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auto"/>
              <w:right w:val="single" w:sz="8" w:color="auto"/>
            </w:tcBorders>
            <w:shd w:val="clear" w:color="auto" w:fill="000000"/>
          </w:tcPr>
          <w:p>
            <w:pPr>
              <w:spacing w:after="0"/>
              <w:rPr>
                <w:sz w:val="16"/>
                <w:szCs w:val="16"/>
                <w:color w:val="auto"/>
              </w:rPr>
            </w:pPr>
          </w:p>
        </w:tc>
        <w:tc>
          <w:tcPr>
            <w:tcW w:w="1460" w:type="dxa"/>
            <w:vAlign w:val="bottom"/>
            <w:tcBorders>
              <w:right w:val="single" w:sz="8" w:color="auto"/>
            </w:tcBorders>
            <w:gridSpan w:val="2"/>
          </w:tcPr>
          <w:p>
            <w:pPr>
              <w:ind w:left="140"/>
              <w:spacing w:after="0" w:line="189" w:lineRule="exact"/>
              <w:rPr>
                <w:sz w:val="20"/>
                <w:szCs w:val="20"/>
                <w:color w:val="auto"/>
              </w:rPr>
            </w:pPr>
            <w:r>
              <w:rPr>
                <w:rFonts w:ascii="Arial" w:cs="Arial" w:eastAsia="Arial" w:hAnsi="Arial"/>
                <w:sz w:val="18"/>
                <w:szCs w:val="18"/>
                <w:color w:val="auto"/>
              </w:rPr>
              <w:t>SHARES</w:t>
            </w:r>
          </w:p>
        </w:tc>
        <w:tc>
          <w:tcPr>
            <w:tcW w:w="21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BENEFICIALLY</w:t>
            </w:r>
          </w:p>
        </w:tc>
        <w:tc>
          <w:tcPr>
            <w:tcW w:w="2120" w:type="dxa"/>
            <w:vAlign w:val="bottom"/>
            <w:vMerge w:val="restart"/>
          </w:tcPr>
          <w:p>
            <w:pPr>
              <w:ind w:left="160"/>
              <w:spacing w:after="0"/>
              <w:rPr>
                <w:sz w:val="20"/>
                <w:szCs w:val="20"/>
                <w:color w:val="auto"/>
              </w:rPr>
            </w:pPr>
            <w:r>
              <w:rPr>
                <w:rFonts w:ascii="Arial" w:cs="Arial" w:eastAsia="Arial" w:hAnsi="Arial"/>
                <w:sz w:val="18"/>
                <w:szCs w:val="18"/>
                <w:color w:val="auto"/>
              </w:rPr>
              <w:t>8.</w:t>
            </w:r>
          </w:p>
        </w:tc>
        <w:tc>
          <w:tcPr>
            <w:tcW w:w="1020" w:type="dxa"/>
            <w:vAlign w:val="bottom"/>
            <w:tcBorders>
              <w:right w:val="single" w:sz="8" w:color="auto"/>
            </w:tcBorders>
          </w:tcPr>
          <w:p>
            <w:pPr>
              <w:spacing w:after="0"/>
              <w:rPr>
                <w:sz w:val="18"/>
                <w:szCs w:val="18"/>
                <w:color w:val="auto"/>
              </w:rPr>
            </w:pPr>
          </w:p>
        </w:tc>
        <w:tc>
          <w:tcPr>
            <w:tcW w:w="404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SHARED VOTING POWER 20,018,090 (1)</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OWNED BY</w:t>
            </w:r>
          </w:p>
        </w:tc>
        <w:tc>
          <w:tcPr>
            <w:tcW w:w="21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040" w:type="dxa"/>
            <w:vAlign w:val="bottom"/>
            <w:tcBorders>
              <w:bottom w:val="single" w:sz="8" w:color="auto"/>
            </w:tcBorders>
            <w:gridSpan w:val="2"/>
            <w:vMerge w:val="continue"/>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shd w:val="clear" w:color="auto" w:fill="000000"/>
          </w:tcPr>
          <w:p>
            <w:pPr>
              <w:spacing w:after="0"/>
              <w:rPr>
                <w:sz w:val="16"/>
                <w:szCs w:val="16"/>
                <w:color w:val="auto"/>
              </w:rPr>
            </w:pPr>
          </w:p>
        </w:tc>
        <w:tc>
          <w:tcPr>
            <w:tcW w:w="1460" w:type="dxa"/>
            <w:vAlign w:val="bottom"/>
            <w:tcBorders>
              <w:right w:val="single" w:sz="8" w:color="auto"/>
            </w:tcBorders>
            <w:gridSpan w:val="2"/>
          </w:tcPr>
          <w:p>
            <w:pPr>
              <w:ind w:left="140"/>
              <w:spacing w:after="0" w:line="187" w:lineRule="exact"/>
              <w:rPr>
                <w:sz w:val="20"/>
                <w:szCs w:val="20"/>
                <w:color w:val="auto"/>
              </w:rPr>
            </w:pPr>
            <w:r>
              <w:rPr>
                <w:rFonts w:ascii="Arial" w:cs="Arial" w:eastAsia="Arial" w:hAnsi="Arial"/>
                <w:sz w:val="18"/>
                <w:szCs w:val="18"/>
                <w:color w:val="auto"/>
              </w:rPr>
              <w:t>EACH</w:t>
            </w:r>
          </w:p>
        </w:tc>
        <w:tc>
          <w:tcPr>
            <w:tcW w:w="2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shd w:val="clear" w:color="auto" w:fill="000000"/>
          </w:tcPr>
          <w:p>
            <w:pPr>
              <w:spacing w:after="0"/>
              <w:rPr>
                <w:sz w:val="18"/>
                <w:szCs w:val="18"/>
                <w:color w:val="auto"/>
              </w:rPr>
            </w:pPr>
          </w:p>
        </w:tc>
        <w:tc>
          <w:tcPr>
            <w:tcW w:w="14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REPORTING</w:t>
            </w:r>
          </w:p>
        </w:tc>
        <w:tc>
          <w:tcPr>
            <w:tcW w:w="2120" w:type="dxa"/>
            <w:vAlign w:val="bottom"/>
          </w:tcPr>
          <w:p>
            <w:pPr>
              <w:ind w:left="160"/>
              <w:spacing w:after="0"/>
              <w:rPr>
                <w:sz w:val="20"/>
                <w:szCs w:val="20"/>
                <w:color w:val="auto"/>
              </w:rPr>
            </w:pPr>
            <w:r>
              <w:rPr>
                <w:rFonts w:ascii="Arial" w:cs="Arial" w:eastAsia="Arial" w:hAnsi="Arial"/>
                <w:sz w:val="18"/>
                <w:szCs w:val="18"/>
                <w:color w:val="auto"/>
              </w:rPr>
              <w:t>9.</w:t>
            </w:r>
          </w:p>
        </w:tc>
        <w:tc>
          <w:tcPr>
            <w:tcW w:w="1020" w:type="dxa"/>
            <w:vAlign w:val="bottom"/>
            <w:tcBorders>
              <w:right w:val="single" w:sz="8" w:color="auto"/>
            </w:tcBorders>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w w:val="92"/>
              </w:rPr>
              <w:t>SOLE DISPOSITIVE POWER</w:t>
            </w:r>
          </w:p>
        </w:tc>
        <w:tc>
          <w:tcPr>
            <w:tcW w:w="1640" w:type="dxa"/>
            <w:vAlign w:val="bottom"/>
          </w:tcPr>
          <w:p>
            <w:pPr>
              <w:jc w:val="right"/>
              <w:ind w:right="951"/>
              <w:spacing w:after="0"/>
              <w:rPr>
                <w:sz w:val="20"/>
                <w:szCs w:val="20"/>
                <w:color w:val="auto"/>
              </w:rPr>
            </w:pPr>
            <w:r>
              <w:rPr>
                <w:rFonts w:ascii="Arial" w:cs="Arial" w:eastAsia="Arial" w:hAnsi="Arial"/>
                <w:sz w:val="18"/>
                <w:szCs w:val="18"/>
                <w:color w:val="auto"/>
              </w:rPr>
              <w:t>-0-</w:t>
            </w:r>
          </w:p>
        </w:tc>
        <w:tc>
          <w:tcPr>
            <w:tcW w:w="2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auto"/>
              <w:right w:val="single" w:sz="8" w:color="auto"/>
            </w:tcBorders>
            <w:shd w:val="clear" w:color="auto" w:fill="000000"/>
          </w:tcPr>
          <w:p>
            <w:pPr>
              <w:spacing w:after="0"/>
              <w:rPr>
                <w:sz w:val="2"/>
                <w:szCs w:val="2"/>
                <w:color w:val="auto"/>
              </w:rPr>
            </w:pPr>
          </w:p>
        </w:tc>
        <w:tc>
          <w:tcPr>
            <w:tcW w:w="14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PERSON</w:t>
            </w:r>
          </w:p>
        </w:tc>
        <w:tc>
          <w:tcPr>
            <w:tcW w:w="212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shd w:val="clear" w:color="auto" w:fill="000000"/>
          </w:tcPr>
          <w:p>
            <w:pPr>
              <w:spacing w:after="0"/>
              <w:rPr>
                <w:sz w:val="13"/>
                <w:szCs w:val="13"/>
                <w:color w:val="auto"/>
              </w:rPr>
            </w:pPr>
          </w:p>
        </w:tc>
        <w:tc>
          <w:tcPr>
            <w:tcW w:w="1460" w:type="dxa"/>
            <w:vAlign w:val="bottom"/>
            <w:tcBorders>
              <w:right w:val="single" w:sz="8" w:color="auto"/>
            </w:tcBorders>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1460" w:type="dxa"/>
            <w:vAlign w:val="bottom"/>
            <w:tcBorders>
              <w:bottom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WITH</w:t>
            </w:r>
          </w:p>
        </w:tc>
        <w:tc>
          <w:tcPr>
            <w:tcW w:w="2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right w:val="single" w:sz="8" w:color="auto"/>
            </w:tcBorders>
          </w:tcPr>
          <w:p>
            <w:pPr>
              <w:spacing w:after="0"/>
              <w:rPr>
                <w:sz w:val="23"/>
                <w:szCs w:val="23"/>
                <w:color w:val="auto"/>
              </w:rPr>
            </w:pPr>
          </w:p>
        </w:tc>
        <w:tc>
          <w:tcPr>
            <w:tcW w:w="40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9"/>
              </w:rPr>
              <w:t>SHARED DISPOSITIVE POWER 20,018,090 (1)</w:t>
            </w:r>
          </w:p>
        </w:tc>
        <w:tc>
          <w:tcPr>
            <w:tcW w:w="2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718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20,018,090 (1)</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7180" w:type="dxa"/>
            <w:vAlign w:val="bottom"/>
            <w:gridSpan w:val="4"/>
          </w:tcPr>
          <w:p>
            <w:pPr>
              <w:ind w:left="60"/>
              <w:spacing w:after="0"/>
              <w:rPr>
                <w:sz w:val="20"/>
                <w:szCs w:val="20"/>
                <w:color w:val="auto"/>
              </w:rPr>
            </w:pPr>
            <w:r>
              <w:rPr>
                <w:rFonts w:ascii="Arial" w:cs="Arial" w:eastAsia="Arial" w:hAnsi="Arial"/>
                <w:sz w:val="18"/>
                <w:szCs w:val="18"/>
                <w:color w:val="auto"/>
                <w:w w:val="95"/>
              </w:rPr>
              <w:t>CHECK BOX IF THE AGGREGATE AMOUNT IN ROW (11) EXCLUDES CERTAIN SHARES</w:t>
            </w:r>
          </w:p>
        </w:tc>
        <w:tc>
          <w:tcPr>
            <w:tcW w:w="2720" w:type="dxa"/>
            <w:vAlign w:val="bottom"/>
            <w:tcBorders>
              <w:right w:val="single" w:sz="8" w:color="auto"/>
            </w:tcBorders>
          </w:tcPr>
          <w:p>
            <w:pPr>
              <w:ind w:left="1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60" w:type="dxa"/>
            <w:vAlign w:val="bottom"/>
            <w:tcBorders>
              <w:right w:val="single" w:sz="8" w:color="auto"/>
            </w:tcBorders>
            <w:shd w:val="clear" w:color="auto" w:fill="000000"/>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3"/>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54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w:t>
            </w:r>
          </w:p>
        </w:tc>
        <w:tc>
          <w:tcPr>
            <w:tcW w:w="1640" w:type="dxa"/>
            <w:vAlign w:val="bottom"/>
          </w:tcPr>
          <w:p>
            <w:pPr>
              <w:spacing w:after="0"/>
              <w:rPr>
                <w:sz w:val="24"/>
                <w:szCs w:val="24"/>
                <w:color w:val="auto"/>
              </w:rPr>
            </w:pP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0" w:type="dxa"/>
            <w:vAlign w:val="bottom"/>
            <w:tcBorders>
              <w:bottom w:val="single" w:sz="8" w:color="auto"/>
              <w:right w:val="single" w:sz="8" w:color="auto"/>
            </w:tcBorders>
            <w:shd w:val="clear" w:color="auto" w:fill="000000"/>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20.5% (2)</w:t>
            </w: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0" w:type="dxa"/>
            <w:vAlign w:val="bottom"/>
            <w:tcBorders>
              <w:right w:val="single" w:sz="8" w:color="auto"/>
            </w:tcBorders>
            <w:shd w:val="clear" w:color="auto" w:fill="000000"/>
          </w:tcPr>
          <w:p>
            <w:pPr>
              <w:spacing w:after="0"/>
              <w:rPr>
                <w:sz w:val="24"/>
                <w:szCs w:val="24"/>
                <w:color w:val="auto"/>
              </w:rPr>
            </w:pPr>
          </w:p>
        </w:tc>
        <w:tc>
          <w:tcPr>
            <w:tcW w:w="13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TYPE OF REPORTING PERSON</w:t>
            </w:r>
          </w:p>
        </w:tc>
        <w:tc>
          <w:tcPr>
            <w:tcW w:w="2400" w:type="dxa"/>
            <w:vAlign w:val="bottom"/>
          </w:tcPr>
          <w:p>
            <w:pPr>
              <w:spacing w:after="0"/>
              <w:rPr>
                <w:sz w:val="24"/>
                <w:szCs w:val="24"/>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CO</w:t>
            </w:r>
          </w:p>
        </w:tc>
        <w:tc>
          <w:tcPr>
            <w:tcW w:w="2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7"/>
        <w:spacing w:after="0" w:line="252"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17,218,538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1" w:lineRule="exact"/>
        <w:rPr>
          <w:rFonts w:ascii="Arial" w:cs="Arial" w:eastAsia="Arial" w:hAnsi="Arial"/>
          <w:sz w:val="18"/>
          <w:szCs w:val="18"/>
          <w:color w:val="auto"/>
        </w:rPr>
      </w:pPr>
    </w:p>
    <w:p>
      <w:pPr>
        <w:ind w:right="60" w:firstLine="7"/>
        <w:spacing w:after="0" w:line="271" w:lineRule="auto"/>
        <w:tabs>
          <w:tab w:leader="none" w:pos="6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97,907,887 shares of Common Stock outstanding as of February 6, 2014, as reported in the Company’s Annual Report on Form 10-K filed with the Securities and Exchange Commission on February 13,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This Amendment No. 6 (this “</w:t>
      </w:r>
      <w:r>
        <w:rPr>
          <w:rFonts w:ascii="Arial" w:cs="Arial" w:eastAsia="Arial" w:hAnsi="Arial"/>
          <w:sz w:val="18"/>
          <w:szCs w:val="18"/>
          <w:u w:val="single" w:color="auto"/>
          <w:color w:val="auto"/>
        </w:rPr>
        <w:t>Amendment No. 6</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214" w:lineRule="exact"/>
        <w:rPr>
          <w:sz w:val="20"/>
          <w:szCs w:val="20"/>
          <w:color w:val="auto"/>
        </w:rPr>
      </w:pPr>
    </w:p>
    <w:p>
      <w:pPr>
        <w:ind w:right="500"/>
        <w:spacing w:after="0" w:line="277" w:lineRule="auto"/>
        <w:rPr>
          <w:sz w:val="20"/>
          <w:szCs w:val="20"/>
          <w:color w:val="auto"/>
        </w:rPr>
      </w:pPr>
      <w:r>
        <w:rPr>
          <w:rFonts w:ascii="Arial" w:cs="Arial" w:eastAsia="Arial" w:hAnsi="Arial"/>
          <w:sz w:val="17"/>
          <w:szCs w:val="17"/>
          <w:b w:val="1"/>
          <w:bCs w:val="1"/>
          <w:u w:val="single" w:color="auto"/>
          <w:color w:val="auto"/>
        </w:rPr>
        <w:t>Explanatory Note</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No. 6 is made solely to correct a typographical error appearing in Item 6 of Amendment No. 5. Specifically, the</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of Capital Stock of the Company owned by the Reporting Person was 20.03% (and not 20.3%). Except for the foregoing, no new or revised information, transactions or holdings are being reported in this Amendment No. 6. All other information in Amendment No. 5 remains the same and this Amendment No. 6 amends and restates Amendment No. 5 in its entirety reflecting the correction of the typographical error.</w:t>
      </w:r>
    </w:p>
    <w:p>
      <w:pPr>
        <w:spacing w:after="0" w:line="19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4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 the purchases it made as disclosed in Item 5(c) of this Amendment No. 6, SAAN paid an aggregate of $189,613,524.16, excluding brokerage commission and fees. The source of such funds was working capital.</w:t>
      </w:r>
    </w:p>
    <w:p>
      <w:pPr>
        <w:spacing w:after="0" w:line="19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Purpose of Transaction.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4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Reporting Person purchased, through its subsidiary SAAN, an aggregate of 613,890 shares of Common Stock in market transactions, as disclosed in Item 5(c) of this Amendment No. 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that are the subject of this filing were purchased for the purpose of making an investment in the Issuer.</w:t>
      </w:r>
    </w:p>
    <w:p>
      <w:pPr>
        <w:spacing w:after="0" w:line="248" w:lineRule="exact"/>
        <w:rPr>
          <w:sz w:val="20"/>
          <w:szCs w:val="20"/>
          <w:color w:val="auto"/>
        </w:rPr>
      </w:pPr>
    </w:p>
    <w:p>
      <w:pPr>
        <w:ind w:right="200"/>
        <w:spacing w:after="0" w:line="301" w:lineRule="auto"/>
        <w:rPr>
          <w:sz w:val="20"/>
          <w:szCs w:val="20"/>
          <w:color w:val="auto"/>
        </w:rPr>
      </w:pPr>
      <w:r>
        <w:rPr>
          <w:rFonts w:ascii="Arial" w:cs="Arial" w:eastAsia="Arial" w:hAnsi="Arial"/>
          <w:sz w:val="17"/>
          <w:szCs w:val="17"/>
          <w:color w:val="auto"/>
        </w:rPr>
        <w:t>At the Reporting Person’s request pursuant to Article 3.1 of the Amended Investor Agreement, on April 4, 2014, the Issuer named to its board of directors an Independent Designee (as defined in the Amended Investor Agreement), Robert A. Ingram, designated by the Reporting Person.</w:t>
      </w:r>
    </w:p>
    <w:p>
      <w:pPr>
        <w:spacing w:after="0" w:line="17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4"/>
          <w:szCs w:val="14"/>
          <w:b w:val="1"/>
          <w:bCs w:val="1"/>
          <w:color w:val="auto"/>
        </w:rPr>
        <w:t>Interests in the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48" w:lineRule="exact"/>
        <w:rPr>
          <w:sz w:val="20"/>
          <w:szCs w:val="20"/>
          <w:color w:val="auto"/>
        </w:rPr>
      </w:pPr>
    </w:p>
    <w:p>
      <w:pPr>
        <w:ind w:right="60" w:firstLine="970"/>
        <w:spacing w:after="0" w:line="252"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6 as of the close of business on April 7, 2014, are incorporated herein by reference. As of the close of business on April 7, 2014, the Reporting Person beneficially owned 20,018,090 shares of Common Stock, representing approximately 20.5% of the shares of Common Stock outstanding (based on 97,907,887 shares of Common Stock outstanding as of February 6, 2014, as reported in the Company’s Annual Report on Form 10-K filed with the Securities and Exchange Commission on February 13, 2014). The Reporting Person may be deemed to have shared voting and dispositive power with respect to the shares of Common Stock directly owned by SAAN and Aventis, its subsidiaries.</w:t>
      </w:r>
    </w:p>
    <w:p>
      <w:pPr>
        <w:spacing w:after="0" w:line="221" w:lineRule="exact"/>
        <w:rPr>
          <w:sz w:val="20"/>
          <w:szCs w:val="20"/>
          <w:color w:val="auto"/>
        </w:rPr>
      </w:pPr>
    </w:p>
    <w:p>
      <w:pPr>
        <w:ind w:right="280"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April 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right="400" w:firstLine="970"/>
        <w:spacing w:after="0" w:line="271" w:lineRule="auto"/>
        <w:tabs>
          <w:tab w:leader="none" w:pos="1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April 7, 2014, market transactions were effected in the Common Stock as disclosed in Schedule A to this Amendment No. 6.</w:t>
      </w:r>
    </w:p>
    <w:p>
      <w:pPr>
        <w:spacing w:after="0" w:line="200" w:lineRule="exact"/>
        <w:rPr>
          <w:sz w:val="20"/>
          <w:szCs w:val="20"/>
          <w:color w:val="auto"/>
        </w:rPr>
      </w:pPr>
    </w:p>
    <w:p>
      <w:pPr>
        <w:spacing w:after="0" w:line="242" w:lineRule="exact"/>
        <w:rPr>
          <w:sz w:val="20"/>
          <w:szCs w:val="20"/>
          <w:color w:val="auto"/>
        </w:rPr>
      </w:pPr>
    </w:p>
    <w:p>
      <w:pPr>
        <w:ind w:firstLine="963"/>
        <w:spacing w:after="0" w:line="271"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200" w:lineRule="exact"/>
        <w:rPr>
          <w:sz w:val="20"/>
          <w:szCs w:val="20"/>
          <w:color w:val="auto"/>
        </w:rPr>
      </w:pPr>
    </w:p>
    <w:p>
      <w:pPr>
        <w:spacing w:after="0" w:line="242" w:lineRule="exact"/>
        <w:rPr>
          <w:sz w:val="20"/>
          <w:szCs w:val="20"/>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260" w:hanging="290"/>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of the Issuer.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“Amended Investor Agreement, </w:t>
      </w:r>
      <w:r>
        <w:rPr>
          <w:rFonts w:ascii="Arial" w:cs="Arial" w:eastAsia="Arial" w:hAnsi="Arial"/>
          <w:sz w:val="18"/>
          <w:szCs w:val="18"/>
          <w:i w:val="1"/>
          <w:iCs w:val="1"/>
          <w:color w:val="auto"/>
        </w:rPr>
        <w:t>Board Designation Right</w:t>
      </w:r>
      <w:r>
        <w:rPr>
          <w:rFonts w:ascii="Arial" w:cs="Arial" w:eastAsia="Arial" w:hAnsi="Arial"/>
          <w:sz w:val="18"/>
          <w:szCs w:val="18"/>
          <w:color w:val="auto"/>
        </w:rPr>
        <w:t>” of the Schedule 13D is supplemented as follows:</w:t>
      </w:r>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April 4, 2014, the Reporting Person owns 20.03% of the Capital Stock of the Company. At the Reporting Person’s request pursuant to Article 3.1 of the Amended Investor Agreement, on April 4, 2014, the Issuer named to its board of directors an Independent Designee, Robert A. Ingram, designated by the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36" w:right="23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SANOFI</w:t>
      </w:r>
    </w:p>
    <w:p>
      <w:pPr>
        <w:spacing w:after="0" w:line="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John Felitti</w:t>
      </w:r>
    </w:p>
    <w:p>
      <w:pPr>
        <w:spacing w:after="0" w:line="7" w:lineRule="exact"/>
        <w:rPr>
          <w:sz w:val="20"/>
          <w:szCs w:val="20"/>
          <w:color w:val="auto"/>
        </w:rPr>
      </w:pPr>
    </w:p>
    <w:tbl>
      <w:tblPr>
        <w:tblLayout w:type="fixed"/>
        <w:tblInd w:w="7100" w:type="dxa"/>
        <w:tblCellMar>
          <w:top w:w="0" w:type="dxa"/>
          <w:left w:w="0" w:type="dxa"/>
          <w:bottom w:w="0" w:type="dxa"/>
          <w:right w:w="0" w:type="dxa"/>
        </w:tblCellMar>
      </w:tblPr>
      <w:tr>
        <w:trPr>
          <w:trHeight w:val="208"/>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John Felitti</w:t>
            </w:r>
          </w:p>
        </w:tc>
      </w:t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100"/>
              <w:spacing w:after="0"/>
              <w:rPr>
                <w:sz w:val="20"/>
                <w:szCs w:val="20"/>
                <w:color w:val="auto"/>
              </w:rPr>
            </w:pPr>
            <w:r>
              <w:rPr>
                <w:rFonts w:ascii="Arial" w:cs="Arial" w:eastAsia="Arial" w:hAnsi="Arial"/>
                <w:sz w:val="18"/>
                <w:szCs w:val="18"/>
                <w:color w:val="auto"/>
              </w:rPr>
              <w:t>Associate Vice President, Corporate Law,</w:t>
            </w:r>
          </w:p>
        </w:tc>
      </w:tr>
      <w:tr>
        <w:trPr>
          <w:trHeight w:val="227"/>
        </w:trPr>
        <w:tc>
          <w:tcPr>
            <w:tcW w:w="58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Financial &amp; Securities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240" w:top="509" w:right="1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1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02"/>
        </w:trPr>
        <w:tc>
          <w:tcPr>
            <w:tcW w:w="1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4"/>
        </w:trPr>
        <w:tc>
          <w:tcPr>
            <w:tcW w:w="1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Shares of</w:t>
            </w: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1480" w:type="dxa"/>
            <w:vAlign w:val="bottom"/>
          </w:tcPr>
          <w:p>
            <w:pPr>
              <w:spacing w:after="0"/>
              <w:rPr>
                <w:sz w:val="18"/>
                <w:szCs w:val="18"/>
                <w:color w:val="auto"/>
              </w:rPr>
            </w:pP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8"/>
              </w:rPr>
              <w:t>Trade Date</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880" w:type="dxa"/>
            <w:vAlign w:val="bottom"/>
          </w:tcPr>
          <w:p>
            <w:pPr>
              <w:jc w:val="right"/>
              <w:ind w:right="491"/>
              <w:spacing w:after="0"/>
              <w:rPr>
                <w:sz w:val="20"/>
                <w:szCs w:val="20"/>
                <w:color w:val="auto"/>
              </w:rPr>
            </w:pPr>
            <w:r>
              <w:rPr>
                <w:rFonts w:ascii="Arial" w:cs="Arial" w:eastAsia="Arial" w:hAnsi="Arial"/>
                <w:sz w:val="18"/>
                <w:szCs w:val="18"/>
                <w:color w:val="auto"/>
              </w:rPr>
              <w:t>Price per</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Entity</w:t>
            </w:r>
          </w:p>
        </w:tc>
        <w:tc>
          <w:tcPr>
            <w:tcW w:w="2180" w:type="dxa"/>
            <w:vAlign w:val="bottom"/>
          </w:tcPr>
          <w:p>
            <w:pPr>
              <w:jc w:val="center"/>
              <w:ind w:left="571"/>
              <w:spacing w:after="0"/>
              <w:rPr>
                <w:sz w:val="20"/>
                <w:szCs w:val="20"/>
                <w:color w:val="auto"/>
              </w:rPr>
            </w:pPr>
            <w:r>
              <w:rPr>
                <w:rFonts w:ascii="Arial" w:cs="Arial" w:eastAsia="Arial" w:hAnsi="Arial"/>
                <w:sz w:val="18"/>
                <w:szCs w:val="18"/>
                <w:color w:val="auto"/>
              </w:rPr>
              <w:t>(M/D/Y)</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9"/>
              </w:rPr>
              <w:t>Transaction</w:t>
            </w: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Stock*</w:t>
            </w:r>
          </w:p>
        </w:tc>
        <w:tc>
          <w:tcPr>
            <w:tcW w:w="1880" w:type="dxa"/>
            <w:vAlign w:val="bottom"/>
          </w:tcPr>
          <w:p>
            <w:pPr>
              <w:jc w:val="right"/>
              <w:ind w:right="531"/>
              <w:spacing w:after="0"/>
              <w:rPr>
                <w:sz w:val="20"/>
                <w:szCs w:val="20"/>
                <w:color w:val="auto"/>
              </w:rPr>
            </w:pPr>
            <w:r>
              <w:rPr>
                <w:rFonts w:ascii="Arial" w:cs="Arial" w:eastAsia="Arial" w:hAnsi="Arial"/>
                <w:sz w:val="18"/>
                <w:szCs w:val="18"/>
                <w:color w:val="auto"/>
              </w:rPr>
              <w:t>Share*</w:t>
            </w:r>
          </w:p>
        </w:tc>
        <w:tc>
          <w:tcPr>
            <w:tcW w:w="2280" w:type="dxa"/>
            <w:vAlign w:val="bottom"/>
            <w:gridSpan w:val="2"/>
          </w:tcPr>
          <w:p>
            <w:pPr>
              <w:jc w:val="right"/>
              <w:ind w:right="291"/>
              <w:spacing w:after="0"/>
              <w:rPr>
                <w:sz w:val="20"/>
                <w:szCs w:val="20"/>
                <w:color w:val="auto"/>
              </w:rPr>
            </w:pPr>
            <w:r>
              <w:rPr>
                <w:rFonts w:ascii="Arial" w:cs="Arial" w:eastAsia="Arial" w:hAnsi="Arial"/>
                <w:sz w:val="18"/>
                <w:szCs w:val="18"/>
                <w:color w:val="auto"/>
              </w:rPr>
              <w:t>Price Range*</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1,749</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$302.9609</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$302.87</w:t>
            </w:r>
          </w:p>
        </w:tc>
        <w:tc>
          <w:tcPr>
            <w:tcW w:w="860" w:type="dxa"/>
            <w:vAlign w:val="bottom"/>
          </w:tcPr>
          <w:p>
            <w:pPr>
              <w:jc w:val="right"/>
              <w:spacing w:after="0"/>
              <w:rPr>
                <w:sz w:val="20"/>
                <w:szCs w:val="20"/>
                <w:color w:val="auto"/>
              </w:rPr>
            </w:pPr>
            <w:r>
              <w:rPr>
                <w:rFonts w:ascii="Arial" w:cs="Arial" w:eastAsia="Arial" w:hAnsi="Arial"/>
                <w:sz w:val="18"/>
                <w:szCs w:val="18"/>
                <w:color w:val="auto"/>
              </w:rPr>
              <w:t>$303.00</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5,635</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$305.5538</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$305.00</w:t>
            </w:r>
          </w:p>
        </w:tc>
        <w:tc>
          <w:tcPr>
            <w:tcW w:w="860" w:type="dxa"/>
            <w:vAlign w:val="bottom"/>
          </w:tcPr>
          <w:p>
            <w:pPr>
              <w:jc w:val="right"/>
              <w:spacing w:after="0"/>
              <w:rPr>
                <w:sz w:val="20"/>
                <w:szCs w:val="20"/>
                <w:color w:val="auto"/>
              </w:rPr>
            </w:pPr>
            <w:r>
              <w:rPr>
                <w:rFonts w:ascii="Arial" w:cs="Arial" w:eastAsia="Arial" w:hAnsi="Arial"/>
                <w:sz w:val="18"/>
                <w:szCs w:val="18"/>
                <w:color w:val="auto"/>
              </w:rPr>
              <w:t>$305.99</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5,845</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$306.5312</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$306.01</w:t>
            </w:r>
          </w:p>
        </w:tc>
        <w:tc>
          <w:tcPr>
            <w:tcW w:w="860" w:type="dxa"/>
            <w:vAlign w:val="bottom"/>
          </w:tcPr>
          <w:p>
            <w:pPr>
              <w:jc w:val="right"/>
              <w:spacing w:after="0"/>
              <w:rPr>
                <w:sz w:val="20"/>
                <w:szCs w:val="20"/>
                <w:color w:val="auto"/>
              </w:rPr>
            </w:pPr>
            <w:r>
              <w:rPr>
                <w:rFonts w:ascii="Arial" w:cs="Arial" w:eastAsia="Arial" w:hAnsi="Arial"/>
                <w:sz w:val="18"/>
                <w:szCs w:val="18"/>
                <w:color w:val="auto"/>
              </w:rPr>
              <w:t>$307.00</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4,869</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$307.6554</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$307.05</w:t>
            </w:r>
          </w:p>
        </w:tc>
        <w:tc>
          <w:tcPr>
            <w:tcW w:w="860" w:type="dxa"/>
            <w:vAlign w:val="bottom"/>
          </w:tcPr>
          <w:p>
            <w:pPr>
              <w:jc w:val="right"/>
              <w:spacing w:after="0"/>
              <w:rPr>
                <w:sz w:val="20"/>
                <w:szCs w:val="20"/>
                <w:color w:val="auto"/>
              </w:rPr>
            </w:pPr>
            <w:r>
              <w:rPr>
                <w:rFonts w:ascii="Arial" w:cs="Arial" w:eastAsia="Arial" w:hAnsi="Arial"/>
                <w:sz w:val="18"/>
                <w:szCs w:val="18"/>
                <w:color w:val="auto"/>
              </w:rPr>
              <w:t>$308.04</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19,807</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$308.7453</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$308.13</w:t>
            </w:r>
          </w:p>
        </w:tc>
        <w:tc>
          <w:tcPr>
            <w:tcW w:w="860" w:type="dxa"/>
            <w:vAlign w:val="bottom"/>
          </w:tcPr>
          <w:p>
            <w:pPr>
              <w:jc w:val="right"/>
              <w:spacing w:after="0"/>
              <w:rPr>
                <w:sz w:val="20"/>
                <w:szCs w:val="20"/>
                <w:color w:val="auto"/>
              </w:rPr>
            </w:pPr>
            <w:r>
              <w:rPr>
                <w:rFonts w:ascii="Arial" w:cs="Arial" w:eastAsia="Arial" w:hAnsi="Arial"/>
                <w:sz w:val="18"/>
                <w:szCs w:val="18"/>
                <w:color w:val="auto"/>
              </w:rPr>
              <w:t>$309.11</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70,552</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$309.7938</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$309.13</w:t>
            </w:r>
          </w:p>
        </w:tc>
        <w:tc>
          <w:tcPr>
            <w:tcW w:w="860" w:type="dxa"/>
            <w:vAlign w:val="bottom"/>
          </w:tcPr>
          <w:p>
            <w:pPr>
              <w:jc w:val="right"/>
              <w:spacing w:after="0"/>
              <w:rPr>
                <w:sz w:val="20"/>
                <w:szCs w:val="20"/>
                <w:color w:val="auto"/>
              </w:rPr>
            </w:pPr>
            <w:r>
              <w:rPr>
                <w:rFonts w:ascii="Arial" w:cs="Arial" w:eastAsia="Arial" w:hAnsi="Arial"/>
                <w:sz w:val="18"/>
                <w:szCs w:val="18"/>
                <w:color w:val="auto"/>
              </w:rPr>
              <w:t>$310.12</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61,030</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$310.6766</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$310.13</w:t>
            </w:r>
          </w:p>
        </w:tc>
        <w:tc>
          <w:tcPr>
            <w:tcW w:w="860" w:type="dxa"/>
            <w:vAlign w:val="bottom"/>
          </w:tcPr>
          <w:p>
            <w:pPr>
              <w:jc w:val="right"/>
              <w:spacing w:after="0"/>
              <w:rPr>
                <w:sz w:val="20"/>
                <w:szCs w:val="20"/>
                <w:color w:val="auto"/>
              </w:rPr>
            </w:pPr>
            <w:r>
              <w:rPr>
                <w:rFonts w:ascii="Arial" w:cs="Arial" w:eastAsia="Arial" w:hAnsi="Arial"/>
                <w:sz w:val="18"/>
                <w:szCs w:val="18"/>
                <w:color w:val="auto"/>
              </w:rPr>
              <w:t>$311.12</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49,846</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$311.6542</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$311.13</w:t>
            </w:r>
          </w:p>
        </w:tc>
        <w:tc>
          <w:tcPr>
            <w:tcW w:w="860" w:type="dxa"/>
            <w:vAlign w:val="bottom"/>
          </w:tcPr>
          <w:p>
            <w:pPr>
              <w:jc w:val="right"/>
              <w:spacing w:after="0"/>
              <w:rPr>
                <w:sz w:val="20"/>
                <w:szCs w:val="20"/>
                <w:color w:val="auto"/>
              </w:rPr>
            </w:pPr>
            <w:r>
              <w:rPr>
                <w:rFonts w:ascii="Arial" w:cs="Arial" w:eastAsia="Arial" w:hAnsi="Arial"/>
                <w:sz w:val="18"/>
                <w:szCs w:val="18"/>
                <w:color w:val="auto"/>
              </w:rPr>
              <w:t>$312.12</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45,235</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$312.5581</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$312.13</w:t>
            </w:r>
          </w:p>
        </w:tc>
        <w:tc>
          <w:tcPr>
            <w:tcW w:w="860" w:type="dxa"/>
            <w:vAlign w:val="bottom"/>
          </w:tcPr>
          <w:p>
            <w:pPr>
              <w:jc w:val="right"/>
              <w:spacing w:after="0"/>
              <w:rPr>
                <w:sz w:val="20"/>
                <w:szCs w:val="20"/>
                <w:color w:val="auto"/>
              </w:rPr>
            </w:pPr>
            <w:r>
              <w:rPr>
                <w:rFonts w:ascii="Arial" w:cs="Arial" w:eastAsia="Arial" w:hAnsi="Arial"/>
                <w:sz w:val="18"/>
                <w:szCs w:val="18"/>
                <w:color w:val="auto"/>
              </w:rPr>
              <w:t>$313.11</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20,470</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$313.6233</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$313.13</w:t>
            </w:r>
          </w:p>
        </w:tc>
        <w:tc>
          <w:tcPr>
            <w:tcW w:w="860" w:type="dxa"/>
            <w:vAlign w:val="bottom"/>
          </w:tcPr>
          <w:p>
            <w:pPr>
              <w:jc w:val="right"/>
              <w:spacing w:after="0"/>
              <w:rPr>
                <w:sz w:val="20"/>
                <w:szCs w:val="20"/>
                <w:color w:val="auto"/>
              </w:rPr>
            </w:pPr>
            <w:r>
              <w:rPr>
                <w:rFonts w:ascii="Arial" w:cs="Arial" w:eastAsia="Arial" w:hAnsi="Arial"/>
                <w:sz w:val="18"/>
                <w:szCs w:val="18"/>
                <w:color w:val="auto"/>
              </w:rPr>
              <w:t>$314.09</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16,153</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$314.6068</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$314.13</w:t>
            </w:r>
          </w:p>
        </w:tc>
        <w:tc>
          <w:tcPr>
            <w:tcW w:w="860" w:type="dxa"/>
            <w:vAlign w:val="bottom"/>
          </w:tcPr>
          <w:p>
            <w:pPr>
              <w:jc w:val="right"/>
              <w:spacing w:after="0"/>
              <w:rPr>
                <w:sz w:val="20"/>
                <w:szCs w:val="20"/>
                <w:color w:val="auto"/>
              </w:rPr>
            </w:pPr>
            <w:r>
              <w:rPr>
                <w:rFonts w:ascii="Arial" w:cs="Arial" w:eastAsia="Arial" w:hAnsi="Arial"/>
                <w:sz w:val="18"/>
                <w:szCs w:val="18"/>
                <w:color w:val="auto"/>
              </w:rPr>
              <w:t>$315.10</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5,654</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$315.4428</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$315.14</w:t>
            </w:r>
          </w:p>
        </w:tc>
        <w:tc>
          <w:tcPr>
            <w:tcW w:w="860" w:type="dxa"/>
            <w:vAlign w:val="bottom"/>
          </w:tcPr>
          <w:p>
            <w:pPr>
              <w:jc w:val="right"/>
              <w:spacing w:after="0"/>
              <w:rPr>
                <w:sz w:val="20"/>
                <w:szCs w:val="20"/>
                <w:color w:val="auto"/>
              </w:rPr>
            </w:pPr>
            <w:r>
              <w:rPr>
                <w:rFonts w:ascii="Arial" w:cs="Arial" w:eastAsia="Arial" w:hAnsi="Arial"/>
                <w:sz w:val="18"/>
                <w:szCs w:val="18"/>
                <w:color w:val="auto"/>
              </w:rPr>
              <w:t>$316.00</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3/27/2014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$316.4900</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$316.49</w:t>
            </w:r>
          </w:p>
        </w:tc>
        <w:tc>
          <w:tcPr>
            <w:tcW w:w="860" w:type="dxa"/>
            <w:vAlign w:val="bottom"/>
          </w:tcPr>
          <w:p>
            <w:pPr>
              <w:jc w:val="right"/>
              <w:spacing w:after="0"/>
              <w:rPr>
                <w:sz w:val="20"/>
                <w:szCs w:val="20"/>
                <w:color w:val="auto"/>
              </w:rPr>
            </w:pPr>
            <w:r>
              <w:rPr>
                <w:rFonts w:ascii="Arial" w:cs="Arial" w:eastAsia="Arial" w:hAnsi="Arial"/>
                <w:sz w:val="18"/>
                <w:szCs w:val="18"/>
                <w:color w:val="auto"/>
              </w:rPr>
              <w:t>$316.49</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19,074</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$300.2759</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$299.72</w:t>
            </w:r>
          </w:p>
        </w:tc>
        <w:tc>
          <w:tcPr>
            <w:tcW w:w="860" w:type="dxa"/>
            <w:vAlign w:val="bottom"/>
          </w:tcPr>
          <w:p>
            <w:pPr>
              <w:jc w:val="right"/>
              <w:spacing w:after="0"/>
              <w:rPr>
                <w:sz w:val="20"/>
                <w:szCs w:val="20"/>
                <w:color w:val="auto"/>
              </w:rPr>
            </w:pPr>
            <w:r>
              <w:rPr>
                <w:rFonts w:ascii="Arial" w:cs="Arial" w:eastAsia="Arial" w:hAnsi="Arial"/>
                <w:sz w:val="18"/>
                <w:szCs w:val="18"/>
                <w:color w:val="auto"/>
              </w:rPr>
              <w:t>$300.69</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30,467</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$301.3207</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$300.72</w:t>
            </w:r>
          </w:p>
        </w:tc>
        <w:tc>
          <w:tcPr>
            <w:tcW w:w="860" w:type="dxa"/>
            <w:vAlign w:val="bottom"/>
          </w:tcPr>
          <w:p>
            <w:pPr>
              <w:jc w:val="right"/>
              <w:spacing w:after="0"/>
              <w:rPr>
                <w:sz w:val="20"/>
                <w:szCs w:val="20"/>
                <w:color w:val="auto"/>
              </w:rPr>
            </w:pPr>
            <w:r>
              <w:rPr>
                <w:rFonts w:ascii="Arial" w:cs="Arial" w:eastAsia="Arial" w:hAnsi="Arial"/>
                <w:sz w:val="18"/>
                <w:szCs w:val="18"/>
                <w:color w:val="auto"/>
              </w:rPr>
              <w:t>$301.71</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37,837</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$302.0951</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$301.72</w:t>
            </w:r>
          </w:p>
        </w:tc>
        <w:tc>
          <w:tcPr>
            <w:tcW w:w="860" w:type="dxa"/>
            <w:vAlign w:val="bottom"/>
          </w:tcPr>
          <w:p>
            <w:pPr>
              <w:jc w:val="right"/>
              <w:spacing w:after="0"/>
              <w:rPr>
                <w:sz w:val="20"/>
                <w:szCs w:val="20"/>
                <w:color w:val="auto"/>
              </w:rPr>
            </w:pPr>
            <w:r>
              <w:rPr>
                <w:rFonts w:ascii="Arial" w:cs="Arial" w:eastAsia="Arial" w:hAnsi="Arial"/>
                <w:sz w:val="18"/>
                <w:szCs w:val="18"/>
                <w:color w:val="auto"/>
              </w:rPr>
              <w:t>$302.71</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19,390</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$303.1871</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$302.72</w:t>
            </w:r>
          </w:p>
        </w:tc>
        <w:tc>
          <w:tcPr>
            <w:tcW w:w="860" w:type="dxa"/>
            <w:vAlign w:val="bottom"/>
          </w:tcPr>
          <w:p>
            <w:pPr>
              <w:jc w:val="right"/>
              <w:spacing w:after="0"/>
              <w:rPr>
                <w:sz w:val="20"/>
                <w:szCs w:val="20"/>
                <w:color w:val="auto"/>
              </w:rPr>
            </w:pPr>
            <w:r>
              <w:rPr>
                <w:rFonts w:ascii="Arial" w:cs="Arial" w:eastAsia="Arial" w:hAnsi="Arial"/>
                <w:sz w:val="18"/>
                <w:szCs w:val="18"/>
                <w:color w:val="auto"/>
              </w:rPr>
              <w:t>$303.66</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15,554</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$304.2796</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$303.76</w:t>
            </w:r>
          </w:p>
        </w:tc>
        <w:tc>
          <w:tcPr>
            <w:tcW w:w="860" w:type="dxa"/>
            <w:vAlign w:val="bottom"/>
          </w:tcPr>
          <w:p>
            <w:pPr>
              <w:jc w:val="right"/>
              <w:spacing w:after="0"/>
              <w:rPr>
                <w:sz w:val="20"/>
                <w:szCs w:val="20"/>
                <w:color w:val="auto"/>
              </w:rPr>
            </w:pPr>
            <w:r>
              <w:rPr>
                <w:rFonts w:ascii="Arial" w:cs="Arial" w:eastAsia="Arial" w:hAnsi="Arial"/>
                <w:sz w:val="18"/>
                <w:szCs w:val="18"/>
                <w:color w:val="auto"/>
              </w:rPr>
              <w:t>$304.73</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13,778</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$305.2687</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$304.76</w:t>
            </w:r>
          </w:p>
        </w:tc>
        <w:tc>
          <w:tcPr>
            <w:tcW w:w="860" w:type="dxa"/>
            <w:vAlign w:val="bottom"/>
          </w:tcPr>
          <w:p>
            <w:pPr>
              <w:jc w:val="right"/>
              <w:spacing w:after="0"/>
              <w:rPr>
                <w:sz w:val="20"/>
                <w:szCs w:val="20"/>
                <w:color w:val="auto"/>
              </w:rPr>
            </w:pPr>
            <w:r>
              <w:rPr>
                <w:rFonts w:ascii="Arial" w:cs="Arial" w:eastAsia="Arial" w:hAnsi="Arial"/>
                <w:sz w:val="18"/>
                <w:szCs w:val="18"/>
                <w:color w:val="auto"/>
              </w:rPr>
              <w:t>$305.75</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20,264</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$306.2120</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$305.76</w:t>
            </w:r>
          </w:p>
        </w:tc>
        <w:tc>
          <w:tcPr>
            <w:tcW w:w="860" w:type="dxa"/>
            <w:vAlign w:val="bottom"/>
          </w:tcPr>
          <w:p>
            <w:pPr>
              <w:jc w:val="right"/>
              <w:spacing w:after="0"/>
              <w:rPr>
                <w:sz w:val="20"/>
                <w:szCs w:val="20"/>
                <w:color w:val="auto"/>
              </w:rPr>
            </w:pPr>
            <w:r>
              <w:rPr>
                <w:rFonts w:ascii="Arial" w:cs="Arial" w:eastAsia="Arial" w:hAnsi="Arial"/>
                <w:sz w:val="18"/>
                <w:szCs w:val="18"/>
                <w:color w:val="auto"/>
              </w:rPr>
              <w:t>$306.75</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10,352</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$307.3155</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$306.76</w:t>
            </w:r>
          </w:p>
        </w:tc>
        <w:tc>
          <w:tcPr>
            <w:tcW w:w="860" w:type="dxa"/>
            <w:vAlign w:val="bottom"/>
          </w:tcPr>
          <w:p>
            <w:pPr>
              <w:jc w:val="right"/>
              <w:spacing w:after="0"/>
              <w:rPr>
                <w:sz w:val="20"/>
                <w:szCs w:val="20"/>
                <w:color w:val="auto"/>
              </w:rPr>
            </w:pPr>
            <w:r>
              <w:rPr>
                <w:rFonts w:ascii="Arial" w:cs="Arial" w:eastAsia="Arial" w:hAnsi="Arial"/>
                <w:sz w:val="18"/>
                <w:szCs w:val="18"/>
                <w:color w:val="auto"/>
              </w:rPr>
              <w:t>$307.75</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12,209</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$308.0990</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$307.79</w:t>
            </w:r>
          </w:p>
        </w:tc>
        <w:tc>
          <w:tcPr>
            <w:tcW w:w="860" w:type="dxa"/>
            <w:vAlign w:val="bottom"/>
          </w:tcPr>
          <w:p>
            <w:pPr>
              <w:jc w:val="right"/>
              <w:spacing w:after="0"/>
              <w:rPr>
                <w:sz w:val="20"/>
                <w:szCs w:val="20"/>
                <w:color w:val="auto"/>
              </w:rPr>
            </w:pPr>
            <w:r>
              <w:rPr>
                <w:rFonts w:ascii="Arial" w:cs="Arial" w:eastAsia="Arial" w:hAnsi="Arial"/>
                <w:sz w:val="18"/>
                <w:szCs w:val="18"/>
                <w:color w:val="auto"/>
              </w:rPr>
              <w:t>$308.77</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25,893</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$309.1943</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$308.83</w:t>
            </w:r>
          </w:p>
        </w:tc>
        <w:tc>
          <w:tcPr>
            <w:tcW w:w="860" w:type="dxa"/>
            <w:vAlign w:val="bottom"/>
          </w:tcPr>
          <w:p>
            <w:pPr>
              <w:jc w:val="right"/>
              <w:spacing w:after="0"/>
              <w:rPr>
                <w:sz w:val="20"/>
                <w:szCs w:val="20"/>
                <w:color w:val="auto"/>
              </w:rPr>
            </w:pPr>
            <w:r>
              <w:rPr>
                <w:rFonts w:ascii="Arial" w:cs="Arial" w:eastAsia="Arial" w:hAnsi="Arial"/>
                <w:sz w:val="18"/>
                <w:szCs w:val="18"/>
                <w:color w:val="auto"/>
              </w:rPr>
              <w:t>$309.82</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33,102</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$310.3466</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$309.83</w:t>
            </w:r>
          </w:p>
        </w:tc>
        <w:tc>
          <w:tcPr>
            <w:tcW w:w="860" w:type="dxa"/>
            <w:vAlign w:val="bottom"/>
          </w:tcPr>
          <w:p>
            <w:pPr>
              <w:jc w:val="right"/>
              <w:spacing w:after="0"/>
              <w:rPr>
                <w:sz w:val="20"/>
                <w:szCs w:val="20"/>
                <w:color w:val="auto"/>
              </w:rPr>
            </w:pPr>
            <w:r>
              <w:rPr>
                <w:rFonts w:ascii="Arial" w:cs="Arial" w:eastAsia="Arial" w:hAnsi="Arial"/>
                <w:sz w:val="18"/>
                <w:szCs w:val="18"/>
                <w:color w:val="auto"/>
              </w:rPr>
              <w:t>$310.82</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33,203</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$311.1933</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$310.84</w:t>
            </w:r>
          </w:p>
        </w:tc>
        <w:tc>
          <w:tcPr>
            <w:tcW w:w="860" w:type="dxa"/>
            <w:vAlign w:val="bottom"/>
          </w:tcPr>
          <w:p>
            <w:pPr>
              <w:jc w:val="right"/>
              <w:spacing w:after="0"/>
              <w:rPr>
                <w:sz w:val="20"/>
                <w:szCs w:val="20"/>
                <w:color w:val="auto"/>
              </w:rPr>
            </w:pPr>
            <w:r>
              <w:rPr>
                <w:rFonts w:ascii="Arial" w:cs="Arial" w:eastAsia="Arial" w:hAnsi="Arial"/>
                <w:sz w:val="18"/>
                <w:szCs w:val="18"/>
                <w:color w:val="auto"/>
              </w:rPr>
              <w:t>$311.82</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12,670</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$312.3055</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$311.84</w:t>
            </w:r>
          </w:p>
        </w:tc>
        <w:tc>
          <w:tcPr>
            <w:tcW w:w="860" w:type="dxa"/>
            <w:vAlign w:val="bottom"/>
          </w:tcPr>
          <w:p>
            <w:pPr>
              <w:jc w:val="right"/>
              <w:spacing w:after="0"/>
              <w:rPr>
                <w:sz w:val="20"/>
                <w:szCs w:val="20"/>
                <w:color w:val="auto"/>
              </w:rPr>
            </w:pPr>
            <w:r>
              <w:rPr>
                <w:rFonts w:ascii="Arial" w:cs="Arial" w:eastAsia="Arial" w:hAnsi="Arial"/>
                <w:sz w:val="18"/>
                <w:szCs w:val="18"/>
                <w:color w:val="auto"/>
              </w:rPr>
              <w:t>$312.75</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7,481</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$313.4171</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$312.99</w:t>
            </w:r>
          </w:p>
        </w:tc>
        <w:tc>
          <w:tcPr>
            <w:tcW w:w="860" w:type="dxa"/>
            <w:vAlign w:val="bottom"/>
          </w:tcPr>
          <w:p>
            <w:pPr>
              <w:jc w:val="right"/>
              <w:spacing w:after="0"/>
              <w:rPr>
                <w:sz w:val="20"/>
                <w:szCs w:val="20"/>
                <w:color w:val="auto"/>
              </w:rPr>
            </w:pPr>
            <w:r>
              <w:rPr>
                <w:rFonts w:ascii="Arial" w:cs="Arial" w:eastAsia="Arial" w:hAnsi="Arial"/>
                <w:sz w:val="18"/>
                <w:szCs w:val="18"/>
                <w:color w:val="auto"/>
              </w:rPr>
              <w:t>$313.97</w:t>
            </w:r>
          </w:p>
        </w:tc>
      </w:tr>
      <w:tr>
        <w:trPr>
          <w:trHeight w:val="214"/>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9,278</w:t>
            </w:r>
          </w:p>
        </w:tc>
        <w:tc>
          <w:tcPr>
            <w:tcW w:w="700" w:type="dxa"/>
            <w:vAlign w:val="bottom"/>
          </w:tcPr>
          <w:p>
            <w:pPr>
              <w:spacing w:after="0"/>
              <w:rPr>
                <w:sz w:val="18"/>
                <w:szCs w:val="18"/>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$314.3774</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$314.00</w:t>
            </w:r>
          </w:p>
        </w:tc>
        <w:tc>
          <w:tcPr>
            <w:tcW w:w="860" w:type="dxa"/>
            <w:vAlign w:val="bottom"/>
          </w:tcPr>
          <w:p>
            <w:pPr>
              <w:jc w:val="right"/>
              <w:spacing w:after="0"/>
              <w:rPr>
                <w:sz w:val="20"/>
                <w:szCs w:val="20"/>
                <w:color w:val="auto"/>
              </w:rPr>
            </w:pPr>
            <w:r>
              <w:rPr>
                <w:rFonts w:ascii="Arial" w:cs="Arial" w:eastAsia="Arial" w:hAnsi="Arial"/>
                <w:sz w:val="18"/>
                <w:szCs w:val="18"/>
                <w:color w:val="auto"/>
              </w:rPr>
              <w:t>$314.97</w:t>
            </w:r>
          </w:p>
        </w:tc>
      </w:tr>
      <w:tr>
        <w:trPr>
          <w:trHeight w:val="227"/>
        </w:trPr>
        <w:tc>
          <w:tcPr>
            <w:tcW w:w="1480" w:type="dxa"/>
            <w:vAlign w:val="bottom"/>
          </w:tcPr>
          <w:p>
            <w:pPr>
              <w:spacing w:after="0"/>
              <w:rPr>
                <w:sz w:val="20"/>
                <w:szCs w:val="20"/>
                <w:color w:val="auto"/>
              </w:rPr>
            </w:pPr>
            <w:r>
              <w:rPr>
                <w:rFonts w:ascii="Arial" w:cs="Arial" w:eastAsia="Arial" w:hAnsi="Arial"/>
                <w:sz w:val="18"/>
                <w:szCs w:val="18"/>
                <w:color w:val="auto"/>
              </w:rPr>
              <w:t>SAAN</w:t>
            </w:r>
          </w:p>
        </w:tc>
        <w:tc>
          <w:tcPr>
            <w:tcW w:w="2180" w:type="dxa"/>
            <w:vAlign w:val="bottom"/>
          </w:tcPr>
          <w:p>
            <w:pPr>
              <w:jc w:val="center"/>
              <w:ind w:left="531"/>
              <w:spacing w:after="0"/>
              <w:rPr>
                <w:sz w:val="20"/>
                <w:szCs w:val="20"/>
                <w:color w:val="auto"/>
              </w:rPr>
            </w:pPr>
            <w:r>
              <w:rPr>
                <w:rFonts w:ascii="Arial" w:cs="Arial" w:eastAsia="Arial" w:hAnsi="Arial"/>
                <w:sz w:val="18"/>
                <w:szCs w:val="18"/>
                <w:color w:val="auto"/>
                <w:w w:val="89"/>
              </w:rPr>
              <w:t>3/28/2014</w:t>
            </w:r>
          </w:p>
        </w:tc>
        <w:tc>
          <w:tcPr>
            <w:tcW w:w="1440" w:type="dxa"/>
            <w:vAlign w:val="bottom"/>
          </w:tcPr>
          <w:p>
            <w:pPr>
              <w:jc w:val="center"/>
              <w:ind w:left="111"/>
              <w:spacing w:after="0"/>
              <w:rPr>
                <w:sz w:val="20"/>
                <w:szCs w:val="20"/>
                <w:color w:val="auto"/>
              </w:rPr>
            </w:pPr>
            <w:r>
              <w:rPr>
                <w:rFonts w:ascii="Arial" w:cs="Arial" w:eastAsia="Arial" w:hAnsi="Arial"/>
                <w:sz w:val="18"/>
                <w:szCs w:val="18"/>
                <w:color w:val="auto"/>
                <w:w w:val="84"/>
              </w:rPr>
              <w:t>Purchase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6,393</w:t>
            </w:r>
          </w:p>
        </w:tc>
        <w:tc>
          <w:tcPr>
            <w:tcW w:w="700" w:type="dxa"/>
            <w:vAlign w:val="bottom"/>
          </w:tcPr>
          <w:p>
            <w:pPr>
              <w:spacing w:after="0"/>
              <w:rPr>
                <w:sz w:val="19"/>
                <w:szCs w:val="19"/>
                <w:color w:val="auto"/>
              </w:rPr>
            </w:pPr>
          </w:p>
        </w:tc>
        <w:tc>
          <w:tcPr>
            <w:tcW w:w="1880" w:type="dxa"/>
            <w:vAlign w:val="bottom"/>
          </w:tcPr>
          <w:p>
            <w:pPr>
              <w:jc w:val="right"/>
              <w:ind w:right="571"/>
              <w:spacing w:after="0"/>
              <w:rPr>
                <w:sz w:val="20"/>
                <w:szCs w:val="20"/>
                <w:color w:val="auto"/>
              </w:rPr>
            </w:pPr>
            <w:r>
              <w:rPr>
                <w:rFonts w:ascii="Arial" w:cs="Arial" w:eastAsia="Arial" w:hAnsi="Arial"/>
                <w:sz w:val="18"/>
                <w:szCs w:val="18"/>
                <w:color w:val="auto"/>
              </w:rPr>
              <w:t>$315.3258</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$315.01</w:t>
            </w:r>
          </w:p>
        </w:tc>
        <w:tc>
          <w:tcPr>
            <w:tcW w:w="860" w:type="dxa"/>
            <w:vAlign w:val="bottom"/>
          </w:tcPr>
          <w:p>
            <w:pPr>
              <w:jc w:val="right"/>
              <w:spacing w:after="0"/>
              <w:rPr>
                <w:sz w:val="20"/>
                <w:szCs w:val="20"/>
                <w:color w:val="auto"/>
              </w:rPr>
            </w:pPr>
            <w:r>
              <w:rPr>
                <w:rFonts w:ascii="Arial" w:cs="Arial" w:eastAsia="Arial" w:hAnsi="Arial"/>
                <w:sz w:val="18"/>
                <w:szCs w:val="18"/>
                <w:color w:val="auto"/>
              </w:rPr>
              <w:t>$316.00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spacing w:after="0" w:line="368" w:lineRule="auto"/>
        <w:rPr>
          <w:sz w:val="20"/>
          <w:szCs w:val="20"/>
          <w:color w:val="auto"/>
        </w:rPr>
      </w:pPr>
      <w:r>
        <w:rPr>
          <w:rFonts w:ascii="Arial" w:cs="Arial" w:eastAsia="Arial" w:hAnsi="Arial"/>
          <w:sz w:val="14"/>
          <w:szCs w:val="14"/>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w:t>
      </w:r>
    </w:p>
    <w:sectPr>
      <w:pgSz w:w="11900" w:h="16838" w:orient="portrait"/>
      <w:cols w:equalWidth="0" w:num="1">
        <w:col w:w="10980"/>
      </w:cols>
      <w:pgMar w:left="240" w:top="49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2019-12-06T04:53:14Z</dcterms:created>
  <dcterms:modified xsi:type="dcterms:W3CDTF">2019-12-06T04:53:14Z</dcterms:modified>
</cp:coreProperties>
</file>