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3)*</w:t>
      </w:r>
    </w:p>
    <w:p>
      <w:pPr>
        <w:spacing w:after="0" w:line="200" w:lineRule="exact"/>
        <w:rPr>
          <w:sz w:val="24"/>
          <w:szCs w:val="24"/>
          <w:color w:val="auto"/>
        </w:rPr>
      </w:pPr>
    </w:p>
    <w:p>
      <w:pPr>
        <w:spacing w:after="0" w:line="218"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00075886F1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76200</wp:posOffset>
            </wp:positionV>
            <wp:extent cx="2040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February 3,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8"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hanging="212"/>
        <w:spacing w:after="0" w:line="268"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ectPr>
          <w:pgSz w:w="11900" w:h="16838" w:orient="portrait"/>
          <w:cols w:equalWidth="0" w:num="1">
            <w:col w:w="11340"/>
          </w:cols>
          <w:pgMar w:left="240" w:top="219" w:right="319" w:bottom="1440" w:gutter="0" w:footer="0" w:header="0"/>
        </w:sectPr>
      </w:pPr>
    </w:p>
    <w:bookmarkStart w:id="1" w:name="page2"/>
    <w:bookmarkEnd w:id="1"/>
    <w:p>
      <w:pPr>
        <w:spacing w:after="0"/>
        <w:tabs>
          <w:tab w:leader="none" w:pos="5660" w:val="left"/>
          <w:tab w:leader="none" w:pos="10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CUSIP No. </w:t>
      </w:r>
      <w:r>
        <w:rPr>
          <w:rFonts w:ascii="Arial" w:cs="Arial" w:eastAsia="Arial" w:hAnsi="Arial"/>
          <w:sz w:val="18"/>
          <w:szCs w:val="18"/>
          <w:color w:val="auto"/>
        </w:rPr>
        <w:t>00075886F1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2 of 5 Pages</w:t>
      </w:r>
    </w:p>
    <w:p>
      <w:pPr>
        <w:spacing w:after="0" w:line="90" w:lineRule="exact"/>
        <w:rPr>
          <w:sz w:val="20"/>
          <w:szCs w:val="20"/>
          <w:color w:val="auto"/>
        </w:rPr>
      </w:pPr>
    </w:p>
    <w:p>
      <w:pPr>
        <w:ind w:left="380" w:hanging="284"/>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Amgen Inc.</w:t>
      </w:r>
    </w:p>
    <w:p>
      <w:pPr>
        <w:spacing w:after="0" w:line="24" w:lineRule="exact"/>
        <w:rPr>
          <w:sz w:val="20"/>
          <w:szCs w:val="20"/>
          <w:color w:val="auto"/>
        </w:rPr>
      </w:pPr>
    </w:p>
    <w:p>
      <w:pPr>
        <w:ind w:left="380" w:hanging="284"/>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THE APPROPRIATE BOX IF MEMBER OF A GROUP </w:t>
      </w:r>
      <w:r>
        <w:rPr>
          <w:rFonts w:ascii="Arial" w:cs="Arial" w:eastAsia="Arial" w:hAnsi="Arial"/>
          <w:sz w:val="18"/>
          <w:szCs w:val="18"/>
          <w:color w:val="auto"/>
        </w:rPr>
        <w:t>(See Instructions)</w:t>
      </w:r>
    </w:p>
    <w:p>
      <w:pPr>
        <w:spacing w:after="0" w:line="21" w:lineRule="exact"/>
        <w:rPr>
          <w:rFonts w:ascii="Arial" w:cs="Arial" w:eastAsia="Arial" w:hAnsi="Arial"/>
          <w:sz w:val="18"/>
          <w:szCs w:val="18"/>
          <w:b w:val="1"/>
          <w:bCs w:val="1"/>
          <w:color w:val="auto"/>
        </w:rPr>
      </w:pPr>
    </w:p>
    <w:p>
      <w:pPr>
        <w:ind w:left="660" w:hanging="287"/>
        <w:spacing w:after="0" w:line="207" w:lineRule="exact"/>
        <w:tabs>
          <w:tab w:leader="none" w:pos="66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 w:lineRule="exact"/>
        <w:rPr>
          <w:rFonts w:ascii="Arial" w:cs="Arial" w:eastAsia="Arial" w:hAnsi="Arial"/>
          <w:sz w:val="18"/>
          <w:szCs w:val="18"/>
          <w:color w:val="auto"/>
        </w:rPr>
      </w:pPr>
    </w:p>
    <w:p>
      <w:pPr>
        <w:ind w:left="380" w:hanging="284"/>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179" w:lineRule="exact"/>
        <w:rPr>
          <w:rFonts w:ascii="Arial" w:cs="Arial" w:eastAsia="Arial" w:hAnsi="Arial"/>
          <w:sz w:val="18"/>
          <w:szCs w:val="18"/>
          <w:b w:val="1"/>
          <w:bCs w:val="1"/>
          <w:color w:val="auto"/>
        </w:rPr>
      </w:pPr>
    </w:p>
    <w:p>
      <w:pPr>
        <w:ind w:left="380" w:hanging="284"/>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-807720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Delaware</w:t>
      </w:r>
    </w:p>
    <w:p>
      <w:pPr>
        <w:spacing w:after="0" w:line="24" w:lineRule="exact"/>
        <w:rPr>
          <w:sz w:val="20"/>
          <w:szCs w:val="20"/>
          <w:color w:val="auto"/>
        </w:rPr>
      </w:pPr>
    </w:p>
    <w:p>
      <w:pPr>
        <w:ind w:left="1700"/>
        <w:spacing w:after="0"/>
        <w:tabs>
          <w:tab w:leader="none" w:pos="20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tbl>
      <w:tblPr>
        <w:tblLayout w:type="fixed"/>
        <w:tblInd w:w="140" w:type="dxa"/>
        <w:tblCellMar>
          <w:top w:w="0" w:type="dxa"/>
          <w:left w:w="0" w:type="dxa"/>
          <w:bottom w:w="0" w:type="dxa"/>
          <w:right w:w="0" w:type="dxa"/>
        </w:tblCellMar>
      </w:tblPr>
      <w:tr>
        <w:trPr>
          <w:trHeight w:val="275"/>
        </w:trPr>
        <w:tc>
          <w:tcPr>
            <w:tcW w:w="1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500" w:type="dxa"/>
            <w:vAlign w:val="bottom"/>
          </w:tcPr>
          <w:p>
            <w:pPr>
              <w:ind w:left="5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98"/>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94"/>
              </w:rPr>
              <w:t>NUMBER OF</w:t>
            </w:r>
          </w:p>
        </w:tc>
        <w:tc>
          <w:tcPr>
            <w:tcW w:w="300" w:type="dxa"/>
            <w:vAlign w:val="bottom"/>
            <w:tcBorders>
              <w:bottom w:val="single" w:sz="8" w:color="auto"/>
            </w:tcBorders>
          </w:tcPr>
          <w:p>
            <w:pPr>
              <w:spacing w:after="0"/>
              <w:rPr>
                <w:sz w:val="8"/>
                <w:szCs w:val="8"/>
                <w:color w:val="auto"/>
              </w:rPr>
            </w:pPr>
          </w:p>
        </w:tc>
        <w:tc>
          <w:tcPr>
            <w:tcW w:w="9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480" w:type="dxa"/>
            <w:vAlign w:val="bottom"/>
            <w:vMerge w:val="continue"/>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95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55"/>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89"/>
              </w:rPr>
              <w:t>SHARES</w:t>
            </w:r>
          </w:p>
        </w:tc>
        <w:tc>
          <w:tcPr>
            <w:tcW w:w="300" w:type="dxa"/>
            <w:vAlign w:val="bottom"/>
            <w:vMerge w:val="continue"/>
          </w:tcPr>
          <w:p>
            <w:pPr>
              <w:spacing w:after="0"/>
              <w:rPr>
                <w:sz w:val="13"/>
                <w:szCs w:val="13"/>
                <w:color w:val="auto"/>
              </w:rPr>
            </w:pPr>
          </w:p>
        </w:tc>
        <w:tc>
          <w:tcPr>
            <w:tcW w:w="9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4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52"/>
              <w:spacing w:after="0"/>
              <w:rPr>
                <w:sz w:val="20"/>
                <w:szCs w:val="20"/>
                <w:color w:val="auto"/>
              </w:rPr>
            </w:pPr>
            <w:r>
              <w:rPr>
                <w:rFonts w:ascii="Arial" w:cs="Arial" w:eastAsia="Arial" w:hAnsi="Arial"/>
                <w:sz w:val="18"/>
                <w:szCs w:val="18"/>
                <w:color w:val="auto"/>
                <w:w w:val="97"/>
              </w:rPr>
              <w:t>BENEFICIALLY</w:t>
            </w:r>
          </w:p>
        </w:tc>
        <w:tc>
          <w:tcPr>
            <w:tcW w:w="300" w:type="dxa"/>
            <w:vAlign w:val="bottom"/>
          </w:tcPr>
          <w:p>
            <w:pPr>
              <w:spacing w:after="0"/>
              <w:rPr>
                <w:sz w:val="18"/>
                <w:szCs w:val="18"/>
                <w:color w:val="auto"/>
              </w:rPr>
            </w:pPr>
          </w:p>
        </w:tc>
        <w:tc>
          <w:tcPr>
            <w:tcW w:w="9500" w:type="dxa"/>
            <w:vAlign w:val="bottom"/>
            <w:vMerge w:val="restart"/>
          </w:tcPr>
          <w:p>
            <w:pPr>
              <w:ind w:left="560"/>
              <w:spacing w:after="0"/>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r>
        <w:trPr>
          <w:trHeight w:val="126"/>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95"/>
              </w:rPr>
              <w:t>OWNED BY</w:t>
            </w:r>
          </w:p>
        </w:tc>
        <w:tc>
          <w:tcPr>
            <w:tcW w:w="300" w:type="dxa"/>
            <w:vAlign w:val="bottom"/>
          </w:tcPr>
          <w:p>
            <w:pPr>
              <w:spacing w:after="0"/>
              <w:rPr>
                <w:sz w:val="10"/>
                <w:szCs w:val="10"/>
                <w:color w:val="auto"/>
              </w:rPr>
            </w:pPr>
          </w:p>
        </w:tc>
        <w:tc>
          <w:tcPr>
            <w:tcW w:w="9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480" w:type="dxa"/>
            <w:vAlign w:val="bottom"/>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480" w:type="dxa"/>
            <w:vAlign w:val="bottom"/>
          </w:tcPr>
          <w:p>
            <w:pPr>
              <w:jc w:val="center"/>
              <w:ind w:right="172"/>
              <w:spacing w:after="0" w:line="190" w:lineRule="exact"/>
              <w:rPr>
                <w:sz w:val="20"/>
                <w:szCs w:val="20"/>
                <w:color w:val="auto"/>
              </w:rPr>
            </w:pPr>
            <w:r>
              <w:rPr>
                <w:rFonts w:ascii="Arial" w:cs="Arial" w:eastAsia="Arial" w:hAnsi="Arial"/>
                <w:sz w:val="18"/>
                <w:szCs w:val="18"/>
                <w:color w:val="auto"/>
                <w:w w:val="91"/>
              </w:rPr>
              <w:t>EACH</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95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28"/>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91"/>
              </w:rPr>
              <w:t>REPORTING</w:t>
            </w:r>
          </w:p>
        </w:tc>
        <w:tc>
          <w:tcPr>
            <w:tcW w:w="300" w:type="dxa"/>
            <w:vAlign w:val="bottom"/>
            <w:vMerge w:val="continue"/>
          </w:tcPr>
          <w:p>
            <w:pPr>
              <w:spacing w:after="0"/>
              <w:rPr>
                <w:sz w:val="11"/>
                <w:szCs w:val="11"/>
                <w:color w:val="auto"/>
              </w:rPr>
            </w:pPr>
          </w:p>
        </w:tc>
        <w:tc>
          <w:tcPr>
            <w:tcW w:w="9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4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480" w:type="dxa"/>
            <w:vAlign w:val="bottom"/>
          </w:tcPr>
          <w:p>
            <w:pPr>
              <w:jc w:val="center"/>
              <w:ind w:right="172"/>
              <w:spacing w:after="0"/>
              <w:rPr>
                <w:sz w:val="20"/>
                <w:szCs w:val="20"/>
                <w:color w:val="auto"/>
              </w:rPr>
            </w:pPr>
            <w:r>
              <w:rPr>
                <w:rFonts w:ascii="Arial" w:cs="Arial" w:eastAsia="Arial" w:hAnsi="Arial"/>
                <w:sz w:val="18"/>
                <w:szCs w:val="18"/>
                <w:color w:val="auto"/>
                <w:w w:val="86"/>
              </w:rPr>
              <w:t>PERSON</w:t>
            </w:r>
          </w:p>
        </w:tc>
        <w:tc>
          <w:tcPr>
            <w:tcW w:w="300" w:type="dxa"/>
            <w:vAlign w:val="bottom"/>
          </w:tcPr>
          <w:p>
            <w:pPr>
              <w:spacing w:after="0"/>
              <w:rPr>
                <w:sz w:val="20"/>
                <w:szCs w:val="20"/>
                <w:color w:val="auto"/>
              </w:rPr>
            </w:pPr>
          </w:p>
        </w:tc>
        <w:tc>
          <w:tcPr>
            <w:tcW w:w="9500" w:type="dxa"/>
            <w:vAlign w:val="bottom"/>
          </w:tcPr>
          <w:p>
            <w:pPr>
              <w:ind w:left="560"/>
              <w:spacing w:after="0" w:line="230"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83"/>
        </w:trPr>
        <w:tc>
          <w:tcPr>
            <w:tcW w:w="1480" w:type="dxa"/>
            <w:vAlign w:val="bottom"/>
          </w:tcPr>
          <w:p>
            <w:pPr>
              <w:jc w:val="center"/>
              <w:ind w:right="172"/>
              <w:spacing w:after="0" w:line="183" w:lineRule="exact"/>
              <w:rPr>
                <w:sz w:val="20"/>
                <w:szCs w:val="20"/>
                <w:color w:val="auto"/>
              </w:rPr>
            </w:pPr>
            <w:r>
              <w:rPr>
                <w:rFonts w:ascii="Arial" w:cs="Arial" w:eastAsia="Arial" w:hAnsi="Arial"/>
                <w:sz w:val="18"/>
                <w:szCs w:val="18"/>
                <w:color w:val="auto"/>
                <w:w w:val="99"/>
              </w:rPr>
              <w:t>WITH</w:t>
            </w:r>
          </w:p>
        </w:tc>
        <w:tc>
          <w:tcPr>
            <w:tcW w:w="300" w:type="dxa"/>
            <w:vAlign w:val="bottom"/>
            <w:tcBorders>
              <w:bottom w:val="single" w:sz="8" w:color="auto"/>
            </w:tcBorders>
          </w:tcPr>
          <w:p>
            <w:pPr>
              <w:spacing w:after="0"/>
              <w:rPr>
                <w:sz w:val="15"/>
                <w:szCs w:val="15"/>
                <w:color w:val="auto"/>
              </w:rPr>
            </w:pPr>
          </w:p>
        </w:tc>
        <w:tc>
          <w:tcPr>
            <w:tcW w:w="9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14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9500" w:type="dxa"/>
            <w:vAlign w:val="bottom"/>
          </w:tcPr>
          <w:p>
            <w:pPr>
              <w:ind w:left="10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480"/>
        <w:spacing w:after="0"/>
        <w:rPr>
          <w:sz w:val="20"/>
          <w:szCs w:val="20"/>
          <w:color w:val="auto"/>
        </w:rPr>
      </w:pPr>
      <w:r>
        <w:rPr>
          <w:rFonts w:ascii="Arial" w:cs="Arial" w:eastAsia="Arial" w:hAnsi="Arial"/>
          <w:sz w:val="22"/>
          <w:szCs w:val="22"/>
          <w:color w:val="auto"/>
        </w:rPr>
        <w:t>N/A</w:t>
      </w:r>
    </w:p>
    <w:p>
      <w:pPr>
        <w:spacing w:after="0" w:line="2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9.  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CHECK BOX IF THE AGGREGATE AMOUNT IN ROW 9 EXCLUDES CERTAIN SHARES </w:t>
      </w:r>
      <w:r>
        <w:rPr>
          <w:rFonts w:ascii="Arial" w:cs="Arial" w:eastAsia="Arial" w:hAnsi="Arial"/>
          <w:sz w:val="18"/>
          <w:szCs w:val="18"/>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N/A</w:t>
      </w:r>
    </w:p>
    <w:p>
      <w:pPr>
        <w:spacing w:after="0" w:line="2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0.0%</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 w:name="page3"/>
    <w:bookmarkEnd w:id="2"/>
    <w:p>
      <w:pPr>
        <w:spacing w:after="0"/>
        <w:tabs>
          <w:tab w:leader="none" w:pos="5660" w:val="left"/>
          <w:tab w:leader="none" w:pos="10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CUSIP No. </w:t>
      </w:r>
      <w:r>
        <w:rPr>
          <w:rFonts w:ascii="Arial" w:cs="Arial" w:eastAsia="Arial" w:hAnsi="Arial"/>
          <w:sz w:val="18"/>
          <w:szCs w:val="18"/>
          <w:color w:val="auto"/>
        </w:rPr>
        <w:t>00075886F1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3 of 5 Pages</w:t>
      </w:r>
    </w:p>
    <w:p>
      <w:pPr>
        <w:spacing w:after="0" w:line="16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This Amendment No. 3 to Schedule 13G is being filed by Amgen Inc., a Delaware corporation (the “Reporting Person”), to amend and supplement the Schedule 13G filed on February 4, 2002, as amended by Amendment No. 1 filed on May 5, 2004 and Amendment No. 2 filed February 9, 2005, and Schedule 13D filed on July 26, 1995, as amended by Amendment No. 1 filed on September 25, 1995, Amendment No. 2 filed on December 6, 1995, Amendment No. 3 filed on March 5, 1996, Amendment No. 4 filed on April 15, 1996, Amendment No. 5 filed on March 7, 2000, Amendment No. 6 filed on April 5, 2000, Amendment No. 7 filed on March 13, 2001 and Amendment No. 8 filed on March 22, 2001 (the “Schedule 13D”), relating to the common stock, $.001 par value per share (the “Common Stock”) of Regeneron Pharmaceuticals, Inc. (the “Issuer”). Unless otherwise indicated, all capitalized terms used herein but not defined herein shall have the meaning assigned to them in the Schedule 13D.</w:t>
      </w:r>
    </w:p>
    <w:p>
      <w:pPr>
        <w:spacing w:after="0" w:line="10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On February 3, 2005, the Reporting Person sold all of its remaining shares of Common Stock of the Issuer. All sales were made pursuant to the divestiture requirements of the July 12, 2002 Decision and Order of the Federal Trade Commission In the Matter of Amgen Inc. and Immunex Corporation.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Item 1</w:t>
            </w:r>
          </w:p>
        </w:tc>
        <w:tc>
          <w:tcPr>
            <w:tcW w:w="580" w:type="dxa"/>
            <w:vAlign w:val="bottom"/>
          </w:tcPr>
          <w:p>
            <w:pPr>
              <w:ind w:left="120"/>
              <w:spacing w:after="0"/>
              <w:rPr>
                <w:sz w:val="20"/>
                <w:szCs w:val="20"/>
                <w:color w:val="auto"/>
              </w:rPr>
            </w:pPr>
            <w:r>
              <w:rPr>
                <w:rFonts w:ascii="Arial" w:cs="Arial" w:eastAsia="Arial" w:hAnsi="Arial"/>
                <w:sz w:val="18"/>
                <w:szCs w:val="18"/>
                <w:color w:val="auto"/>
              </w:rPr>
              <w:t>(a).</w:t>
            </w:r>
          </w:p>
        </w:tc>
        <w:tc>
          <w:tcPr>
            <w:tcW w:w="4940" w:type="dxa"/>
            <w:vAlign w:val="bottom"/>
          </w:tcPr>
          <w:p>
            <w:pPr>
              <w:ind w:left="240"/>
              <w:spacing w:after="0"/>
              <w:rPr>
                <w:sz w:val="20"/>
                <w:szCs w:val="20"/>
                <w:color w:val="auto"/>
              </w:rPr>
            </w:pPr>
            <w:r>
              <w:rPr>
                <w:rFonts w:ascii="Arial" w:cs="Arial" w:eastAsia="Arial" w:hAnsi="Arial"/>
                <w:sz w:val="18"/>
                <w:szCs w:val="18"/>
                <w:color w:val="auto"/>
              </w:rPr>
              <w:t>Name of Issuer:</w:t>
            </w:r>
          </w:p>
        </w:tc>
      </w:tr>
      <w:tr>
        <w:trPr>
          <w:trHeight w:val="284"/>
        </w:trPr>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Regeneron Pharmaceuticals, Inc.</w:t>
            </w:r>
          </w:p>
        </w:tc>
      </w:tr>
      <w:tr>
        <w:trPr>
          <w:trHeight w:val="338"/>
        </w:trPr>
        <w:tc>
          <w:tcPr>
            <w:tcW w:w="600" w:type="dxa"/>
            <w:vAlign w:val="bottom"/>
          </w:tcPr>
          <w:p>
            <w:pPr>
              <w:spacing w:after="0"/>
              <w:rPr>
                <w:sz w:val="20"/>
                <w:szCs w:val="20"/>
                <w:color w:val="auto"/>
              </w:rPr>
            </w:pPr>
            <w:r>
              <w:rPr>
                <w:rFonts w:ascii="Arial" w:cs="Arial" w:eastAsia="Arial" w:hAnsi="Arial"/>
                <w:sz w:val="18"/>
                <w:szCs w:val="18"/>
                <w:color w:val="auto"/>
              </w:rPr>
              <w:t>Item 1</w:t>
            </w:r>
          </w:p>
        </w:tc>
        <w:tc>
          <w:tcPr>
            <w:tcW w:w="580" w:type="dxa"/>
            <w:vAlign w:val="bottom"/>
          </w:tcPr>
          <w:p>
            <w:pPr>
              <w:ind w:left="120"/>
              <w:spacing w:after="0"/>
              <w:rPr>
                <w:sz w:val="20"/>
                <w:szCs w:val="20"/>
                <w:color w:val="auto"/>
              </w:rPr>
            </w:pPr>
            <w:r>
              <w:rPr>
                <w:rFonts w:ascii="Arial" w:cs="Arial" w:eastAsia="Arial" w:hAnsi="Arial"/>
                <w:sz w:val="18"/>
                <w:szCs w:val="18"/>
                <w:color w:val="auto"/>
              </w:rPr>
              <w:t>(b).</w:t>
            </w:r>
          </w:p>
        </w:tc>
        <w:tc>
          <w:tcPr>
            <w:tcW w:w="4940" w:type="dxa"/>
            <w:vAlign w:val="bottom"/>
          </w:tcPr>
          <w:p>
            <w:pPr>
              <w:ind w:left="240"/>
              <w:spacing w:after="0"/>
              <w:rPr>
                <w:sz w:val="20"/>
                <w:szCs w:val="20"/>
                <w:color w:val="auto"/>
              </w:rPr>
            </w:pPr>
            <w:r>
              <w:rPr>
                <w:rFonts w:ascii="Arial" w:cs="Arial" w:eastAsia="Arial" w:hAnsi="Arial"/>
                <w:sz w:val="18"/>
                <w:szCs w:val="18"/>
                <w:color w:val="auto"/>
              </w:rPr>
              <w:t>Address of Issuer’s Principal Executive Offices:</w:t>
            </w:r>
          </w:p>
        </w:tc>
      </w:tr>
      <w:tr>
        <w:trPr>
          <w:trHeight w:val="277"/>
        </w:trPr>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777 Old Saw Mill River Road</w:t>
            </w:r>
          </w:p>
        </w:tc>
      </w:tr>
      <w:tr>
        <w:trPr>
          <w:trHeight w:val="222"/>
        </w:trPr>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Tarrytown, New York 10591-6707</w:t>
            </w:r>
          </w:p>
        </w:tc>
      </w:tr>
      <w:tr>
        <w:trPr>
          <w:trHeight w:val="338"/>
        </w:trPr>
        <w:tc>
          <w:tcPr>
            <w:tcW w:w="60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20"/>
              <w:spacing w:after="0"/>
              <w:rPr>
                <w:sz w:val="20"/>
                <w:szCs w:val="20"/>
                <w:color w:val="auto"/>
              </w:rPr>
            </w:pPr>
            <w:r>
              <w:rPr>
                <w:rFonts w:ascii="Arial" w:cs="Arial" w:eastAsia="Arial" w:hAnsi="Arial"/>
                <w:sz w:val="18"/>
                <w:szCs w:val="18"/>
                <w:color w:val="auto"/>
              </w:rPr>
              <w:t>(a).</w:t>
            </w:r>
          </w:p>
        </w:tc>
        <w:tc>
          <w:tcPr>
            <w:tcW w:w="4940" w:type="dxa"/>
            <w:vAlign w:val="bottom"/>
          </w:tcPr>
          <w:p>
            <w:pPr>
              <w:ind w:left="240"/>
              <w:spacing w:after="0"/>
              <w:rPr>
                <w:sz w:val="20"/>
                <w:szCs w:val="20"/>
                <w:color w:val="auto"/>
              </w:rPr>
            </w:pPr>
            <w:r>
              <w:rPr>
                <w:rFonts w:ascii="Arial" w:cs="Arial" w:eastAsia="Arial" w:hAnsi="Arial"/>
                <w:sz w:val="18"/>
                <w:szCs w:val="18"/>
                <w:color w:val="auto"/>
              </w:rPr>
              <w:t>Name of Person Filing:</w:t>
            </w:r>
          </w:p>
        </w:tc>
      </w:tr>
      <w:tr>
        <w:trPr>
          <w:trHeight w:val="284"/>
        </w:trPr>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Amgen Inc.</w:t>
            </w:r>
          </w:p>
        </w:tc>
      </w:tr>
      <w:tr>
        <w:trPr>
          <w:trHeight w:val="338"/>
        </w:trPr>
        <w:tc>
          <w:tcPr>
            <w:tcW w:w="60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20"/>
              <w:spacing w:after="0"/>
              <w:rPr>
                <w:sz w:val="20"/>
                <w:szCs w:val="20"/>
                <w:color w:val="auto"/>
              </w:rPr>
            </w:pPr>
            <w:r>
              <w:rPr>
                <w:rFonts w:ascii="Arial" w:cs="Arial" w:eastAsia="Arial" w:hAnsi="Arial"/>
                <w:sz w:val="18"/>
                <w:szCs w:val="18"/>
                <w:color w:val="auto"/>
              </w:rPr>
              <w:t>(b).</w:t>
            </w:r>
          </w:p>
        </w:tc>
        <w:tc>
          <w:tcPr>
            <w:tcW w:w="4940" w:type="dxa"/>
            <w:vAlign w:val="bottom"/>
          </w:tcPr>
          <w:p>
            <w:pPr>
              <w:ind w:left="240"/>
              <w:spacing w:after="0"/>
              <w:rPr>
                <w:sz w:val="20"/>
                <w:szCs w:val="20"/>
                <w:color w:val="auto"/>
              </w:rPr>
            </w:pPr>
            <w:r>
              <w:rPr>
                <w:rFonts w:ascii="Arial" w:cs="Arial" w:eastAsia="Arial" w:hAnsi="Arial"/>
                <w:sz w:val="18"/>
                <w:szCs w:val="18"/>
                <w:color w:val="auto"/>
                <w:w w:val="97"/>
              </w:rPr>
              <w:t>Address of Principal Business Office or, if None, Residence:</w:t>
            </w:r>
          </w:p>
        </w:tc>
      </w:tr>
      <w:tr>
        <w:trPr>
          <w:trHeight w:val="277"/>
        </w:trPr>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One Amgen Center Drive</w:t>
            </w:r>
          </w:p>
        </w:tc>
      </w:tr>
      <w:tr>
        <w:trPr>
          <w:trHeight w:val="222"/>
        </w:trPr>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Thousand Oaks, CA 91320-1799</w:t>
            </w:r>
          </w:p>
        </w:tc>
      </w:tr>
      <w:tr>
        <w:trPr>
          <w:trHeight w:val="338"/>
        </w:trPr>
        <w:tc>
          <w:tcPr>
            <w:tcW w:w="60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20"/>
              <w:spacing w:after="0"/>
              <w:rPr>
                <w:sz w:val="20"/>
                <w:szCs w:val="20"/>
                <w:color w:val="auto"/>
              </w:rPr>
            </w:pPr>
            <w:r>
              <w:rPr>
                <w:rFonts w:ascii="Arial" w:cs="Arial" w:eastAsia="Arial" w:hAnsi="Arial"/>
                <w:sz w:val="18"/>
                <w:szCs w:val="18"/>
                <w:color w:val="auto"/>
              </w:rPr>
              <w:t>(c).</w:t>
            </w:r>
          </w:p>
        </w:tc>
        <w:tc>
          <w:tcPr>
            <w:tcW w:w="4940" w:type="dxa"/>
            <w:vAlign w:val="bottom"/>
          </w:tcPr>
          <w:p>
            <w:pPr>
              <w:ind w:left="240"/>
              <w:spacing w:after="0"/>
              <w:rPr>
                <w:sz w:val="20"/>
                <w:szCs w:val="20"/>
                <w:color w:val="auto"/>
              </w:rPr>
            </w:pPr>
            <w:r>
              <w:rPr>
                <w:rFonts w:ascii="Arial" w:cs="Arial" w:eastAsia="Arial" w:hAnsi="Arial"/>
                <w:sz w:val="18"/>
                <w:szCs w:val="18"/>
                <w:color w:val="auto"/>
              </w:rPr>
              <w:t>Citizenship:</w:t>
            </w:r>
          </w:p>
        </w:tc>
      </w:tr>
      <w:tr>
        <w:trPr>
          <w:trHeight w:val="284"/>
        </w:trPr>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338"/>
        </w:trPr>
        <w:tc>
          <w:tcPr>
            <w:tcW w:w="60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20"/>
              <w:spacing w:after="0"/>
              <w:rPr>
                <w:sz w:val="20"/>
                <w:szCs w:val="20"/>
                <w:color w:val="auto"/>
              </w:rPr>
            </w:pPr>
            <w:r>
              <w:rPr>
                <w:rFonts w:ascii="Arial" w:cs="Arial" w:eastAsia="Arial" w:hAnsi="Arial"/>
                <w:sz w:val="18"/>
                <w:szCs w:val="18"/>
                <w:color w:val="auto"/>
              </w:rPr>
              <w:t>(d).</w:t>
            </w:r>
          </w:p>
        </w:tc>
        <w:tc>
          <w:tcPr>
            <w:tcW w:w="4940" w:type="dxa"/>
            <w:vAlign w:val="bottom"/>
          </w:tcPr>
          <w:p>
            <w:pPr>
              <w:ind w:left="240"/>
              <w:spacing w:after="0"/>
              <w:rPr>
                <w:sz w:val="20"/>
                <w:szCs w:val="20"/>
                <w:color w:val="auto"/>
              </w:rPr>
            </w:pPr>
            <w:r>
              <w:rPr>
                <w:rFonts w:ascii="Arial" w:cs="Arial" w:eastAsia="Arial" w:hAnsi="Arial"/>
                <w:sz w:val="18"/>
                <w:szCs w:val="18"/>
                <w:color w:val="auto"/>
              </w:rPr>
              <w:t>Title of Class of Securities:</w:t>
            </w:r>
          </w:p>
        </w:tc>
      </w:tr>
      <w:tr>
        <w:trPr>
          <w:trHeight w:val="284"/>
        </w:trPr>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w w:val="88"/>
              </w:rPr>
              <w:t>Common Stock, par value $0.001 per share (the “Common Stock”)</w:t>
            </w:r>
          </w:p>
        </w:tc>
      </w:tr>
      <w:tr>
        <w:trPr>
          <w:trHeight w:val="338"/>
        </w:trPr>
        <w:tc>
          <w:tcPr>
            <w:tcW w:w="60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20"/>
              <w:spacing w:after="0"/>
              <w:rPr>
                <w:sz w:val="20"/>
                <w:szCs w:val="20"/>
                <w:color w:val="auto"/>
              </w:rPr>
            </w:pPr>
            <w:r>
              <w:rPr>
                <w:rFonts w:ascii="Arial" w:cs="Arial" w:eastAsia="Arial" w:hAnsi="Arial"/>
                <w:sz w:val="18"/>
                <w:szCs w:val="18"/>
                <w:color w:val="auto"/>
              </w:rPr>
              <w:t>(e).</w:t>
            </w:r>
          </w:p>
        </w:tc>
        <w:tc>
          <w:tcPr>
            <w:tcW w:w="4940" w:type="dxa"/>
            <w:vAlign w:val="bottom"/>
          </w:tcPr>
          <w:p>
            <w:pPr>
              <w:ind w:left="240"/>
              <w:spacing w:after="0"/>
              <w:rPr>
                <w:sz w:val="20"/>
                <w:szCs w:val="20"/>
                <w:color w:val="auto"/>
              </w:rPr>
            </w:pPr>
            <w:r>
              <w:rPr>
                <w:rFonts w:ascii="Arial" w:cs="Arial" w:eastAsia="Arial" w:hAnsi="Arial"/>
                <w:sz w:val="18"/>
                <w:szCs w:val="18"/>
                <w:color w:val="auto"/>
              </w:rPr>
              <w:t>CUSIP Number:</w:t>
            </w:r>
          </w:p>
        </w:tc>
      </w:tr>
      <w:tr>
        <w:trPr>
          <w:trHeight w:val="284"/>
        </w:trPr>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00075886F1</w:t>
            </w:r>
          </w:p>
        </w:tc>
      </w:tr>
      <w:tr>
        <w:trPr>
          <w:trHeight w:val="338"/>
        </w:trPr>
        <w:tc>
          <w:tcPr>
            <w:tcW w:w="600" w:type="dxa"/>
            <w:vAlign w:val="bottom"/>
          </w:tcPr>
          <w:p>
            <w:pPr>
              <w:spacing w:after="0"/>
              <w:rPr>
                <w:sz w:val="20"/>
                <w:szCs w:val="20"/>
                <w:color w:val="auto"/>
              </w:rPr>
            </w:pPr>
            <w:r>
              <w:rPr>
                <w:rFonts w:ascii="Arial" w:cs="Arial" w:eastAsia="Arial" w:hAnsi="Arial"/>
                <w:sz w:val="18"/>
                <w:szCs w:val="18"/>
                <w:color w:val="auto"/>
              </w:rPr>
              <w:t>Item 3.</w:t>
            </w:r>
          </w:p>
        </w:tc>
        <w:tc>
          <w:tcPr>
            <w:tcW w:w="5520" w:type="dxa"/>
            <w:vAlign w:val="bottom"/>
            <w:gridSpan w:val="2"/>
          </w:tcPr>
          <w:p>
            <w:pPr>
              <w:ind w:left="120"/>
              <w:spacing w:after="0"/>
              <w:rPr>
                <w:sz w:val="20"/>
                <w:szCs w:val="20"/>
                <w:color w:val="auto"/>
              </w:rPr>
            </w:pPr>
            <w:r>
              <w:rPr>
                <w:rFonts w:ascii="Arial" w:cs="Arial" w:eastAsia="Arial" w:hAnsi="Arial"/>
                <w:sz w:val="18"/>
                <w:szCs w:val="18"/>
                <w:color w:val="auto"/>
              </w:rPr>
              <w:t>Not applicable.</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tabs>
          <w:tab w:leader="none" w:pos="5660" w:val="left"/>
          <w:tab w:leader="none" w:pos="10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CUSIP No. </w:t>
      </w:r>
      <w:r>
        <w:rPr>
          <w:rFonts w:ascii="Arial" w:cs="Arial" w:eastAsia="Arial" w:hAnsi="Arial"/>
          <w:sz w:val="18"/>
          <w:szCs w:val="18"/>
          <w:color w:val="auto"/>
        </w:rPr>
        <w:t>00075886F1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4 of 5 Pages</w:t>
      </w:r>
    </w:p>
    <w:p>
      <w:pPr>
        <w:spacing w:after="0" w:line="19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117" w:lineRule="exact"/>
        <w:rPr>
          <w:sz w:val="20"/>
          <w:szCs w:val="20"/>
          <w:color w:val="auto"/>
        </w:rPr>
      </w:pPr>
    </w:p>
    <w:p>
      <w:pPr>
        <w:ind w:left="1000" w:hanging="30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117" w:lineRule="exact"/>
        <w:rPr>
          <w:rFonts w:ascii="Arial" w:cs="Arial" w:eastAsia="Arial" w:hAnsi="Arial"/>
          <w:sz w:val="18"/>
          <w:szCs w:val="18"/>
          <w:color w:val="auto"/>
        </w:rPr>
      </w:pPr>
    </w:p>
    <w:p>
      <w:pPr>
        <w:ind w:left="1000" w:hanging="30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0%</w:t>
      </w:r>
    </w:p>
    <w:p>
      <w:pPr>
        <w:spacing w:after="0" w:line="117" w:lineRule="exact"/>
        <w:rPr>
          <w:rFonts w:ascii="Arial" w:cs="Arial" w:eastAsia="Arial" w:hAnsi="Arial"/>
          <w:sz w:val="18"/>
          <w:szCs w:val="18"/>
          <w:color w:val="auto"/>
        </w:rPr>
      </w:pPr>
    </w:p>
    <w:p>
      <w:pPr>
        <w:ind w:left="1000" w:hanging="30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1380" w:right="7260" w:hanging="373"/>
        <w:spacing w:after="0" w:line="346" w:lineRule="auto"/>
        <w:tabs>
          <w:tab w:leader="none" w:pos="13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None</w:t>
      </w:r>
    </w:p>
    <w:p>
      <w:pPr>
        <w:spacing w:after="0" w:line="24" w:lineRule="exact"/>
        <w:rPr>
          <w:rFonts w:ascii="Arial" w:cs="Arial" w:eastAsia="Arial" w:hAnsi="Arial"/>
          <w:sz w:val="18"/>
          <w:szCs w:val="18"/>
          <w:color w:val="auto"/>
        </w:rPr>
      </w:pPr>
    </w:p>
    <w:p>
      <w:pPr>
        <w:ind w:left="1380" w:right="7080" w:hanging="373"/>
        <w:spacing w:after="0" w:line="346" w:lineRule="auto"/>
        <w:tabs>
          <w:tab w:leader="none" w:pos="13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None</w:t>
      </w:r>
    </w:p>
    <w:p>
      <w:pPr>
        <w:spacing w:after="0" w:line="24" w:lineRule="exact"/>
        <w:rPr>
          <w:rFonts w:ascii="Arial" w:cs="Arial" w:eastAsia="Arial" w:hAnsi="Arial"/>
          <w:sz w:val="18"/>
          <w:szCs w:val="18"/>
          <w:color w:val="auto"/>
        </w:rPr>
      </w:pPr>
    </w:p>
    <w:p>
      <w:pPr>
        <w:ind w:left="1380" w:right="6380" w:hanging="373"/>
        <w:spacing w:after="0" w:line="346" w:lineRule="auto"/>
        <w:tabs>
          <w:tab w:leader="none" w:pos="13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None</w:t>
      </w:r>
    </w:p>
    <w:p>
      <w:pPr>
        <w:spacing w:after="0" w:line="24" w:lineRule="exact"/>
        <w:rPr>
          <w:rFonts w:ascii="Arial" w:cs="Arial" w:eastAsia="Arial" w:hAnsi="Arial"/>
          <w:sz w:val="18"/>
          <w:szCs w:val="18"/>
          <w:color w:val="auto"/>
        </w:rPr>
      </w:pPr>
    </w:p>
    <w:p>
      <w:pPr>
        <w:ind w:left="1380" w:right="6200" w:hanging="373"/>
        <w:spacing w:after="0" w:line="346" w:lineRule="auto"/>
        <w:tabs>
          <w:tab w:leader="none" w:pos="13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None</w:t>
      </w:r>
    </w:p>
    <w:p>
      <w:pPr>
        <w:spacing w:after="0" w:line="2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77" w:lineRule="exact"/>
        <w:rPr>
          <w:sz w:val="20"/>
          <w:szCs w:val="20"/>
          <w:color w:val="auto"/>
        </w:rPr>
      </w:pPr>
    </w:p>
    <w:p>
      <w:pPr>
        <w:ind w:left="700" w:right="1340"/>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9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Not applicable.</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Not applicable.</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Not applicable.</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10. Certification.</w:t>
      </w:r>
    </w:p>
    <w:p>
      <w:pPr>
        <w:spacing w:after="0" w:line="77" w:lineRule="exact"/>
        <w:rPr>
          <w:sz w:val="20"/>
          <w:szCs w:val="20"/>
          <w:color w:val="auto"/>
        </w:rPr>
      </w:pPr>
    </w:p>
    <w:p>
      <w:pPr>
        <w:ind w:left="700" w:right="1640"/>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74" w:right="239" w:bottom="1440" w:gutter="0" w:footer="0" w:header="0"/>
        </w:sectPr>
      </w:pPr>
    </w:p>
    <w:bookmarkStart w:id="4" w:name="page5"/>
    <w:bookmarkEnd w:id="4"/>
    <w:p>
      <w:pPr>
        <w:spacing w:after="0"/>
        <w:tabs>
          <w:tab w:leader="none" w:pos="5660" w:val="left"/>
          <w:tab w:leader="none" w:pos="10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CUSIP No. </w:t>
      </w:r>
      <w:r>
        <w:rPr>
          <w:rFonts w:ascii="Arial" w:cs="Arial" w:eastAsia="Arial" w:hAnsi="Arial"/>
          <w:sz w:val="18"/>
          <w:szCs w:val="18"/>
          <w:color w:val="auto"/>
        </w:rPr>
        <w:t>00075886F1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5 Pages</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February 9, 2005</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AMGEN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300" w:type="dxa"/>
            <w:vAlign w:val="bottom"/>
          </w:tcPr>
          <w:p>
            <w:pPr>
              <w:spacing w:after="0"/>
              <w:rPr>
                <w:sz w:val="20"/>
                <w:szCs w:val="20"/>
                <w:color w:val="auto"/>
              </w:rPr>
            </w:pPr>
            <w:r>
              <w:rPr>
                <w:rFonts w:ascii="Arial" w:cs="Arial" w:eastAsia="Arial" w:hAnsi="Arial"/>
                <w:sz w:val="18"/>
                <w:szCs w:val="18"/>
                <w:color w:val="auto"/>
              </w:rPr>
              <w:t>/s/ David J. Scott</w:t>
            </w:r>
          </w:p>
        </w:tc>
      </w:tr>
      <w:tr>
        <w:trPr>
          <w:trHeight w:val="110"/>
        </w:trPr>
        <w:tc>
          <w:tcPr>
            <w:tcW w:w="580" w:type="dxa"/>
            <w:vAlign w:val="bottom"/>
          </w:tcPr>
          <w:p>
            <w:pPr>
              <w:spacing w:after="0"/>
              <w:rPr>
                <w:sz w:val="9"/>
                <w:szCs w:val="9"/>
                <w:color w:val="auto"/>
              </w:rPr>
            </w:pPr>
          </w:p>
        </w:tc>
        <w:tc>
          <w:tcPr>
            <w:tcW w:w="330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300" w:type="dxa"/>
            <w:vAlign w:val="bottom"/>
          </w:tcPr>
          <w:p>
            <w:pPr>
              <w:spacing w:after="0"/>
              <w:rPr>
                <w:sz w:val="20"/>
                <w:szCs w:val="20"/>
                <w:color w:val="auto"/>
              </w:rPr>
            </w:pPr>
            <w:r>
              <w:rPr>
                <w:rFonts w:ascii="Arial" w:cs="Arial" w:eastAsia="Arial" w:hAnsi="Arial"/>
                <w:sz w:val="18"/>
                <w:szCs w:val="18"/>
                <w:color w:val="auto"/>
              </w:rPr>
              <w:t>David J. Scott</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30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222"/>
        </w:trPr>
        <w:tc>
          <w:tcPr>
            <w:tcW w:w="58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General Counsel and Secretary</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2"/>
    </w:lvl>
    <w:lvl w:ilvl="1">
      <w:lvlJc w:val="left"/>
      <w:lvlText w:val="(%2)"/>
      <w:numFmt w:val="lowerLetter"/>
      <w:start w:val="1"/>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2019-12-11T22:13:35Z</dcterms:created>
  <dcterms:modified xsi:type="dcterms:W3CDTF">2019-12-11T22:13:35Z</dcterms:modified>
</cp:coreProperties>
</file>