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59118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820" w:right="120"/>
        <w:spacing w:after="0" w:line="266" w:lineRule="auto"/>
        <w:rPr>
          <w:sz w:val="20"/>
          <w:szCs w:val="20"/>
          <w:color w:val="auto"/>
        </w:rPr>
      </w:pPr>
      <w:r>
        <w:rPr>
          <w:rFonts w:ascii="Arial" w:cs="Arial" w:eastAsia="Arial" w:hAnsi="Arial"/>
          <w:sz w:val="18"/>
          <w:szCs w:val="18"/>
          <w:b w:val="1"/>
          <w:bCs w:val="1"/>
          <w:color w:val="E8112D"/>
        </w:rPr>
        <w:t>The information in this preliminary prospectus supplement is not complete and may be changed. This preliminary prospectus supplement and the accompanying prospectus is not an offer to sell these securities and it is not soliciting an offer to buy these securities in any jurisdiction where the offer or sale is not permitted.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Filed Pursuant to Rule 424(b)(5)</w:t>
      </w:r>
    </w:p>
    <w:p>
      <w:pPr>
        <w:spacing w:after="0" w:line="8" w:lineRule="exact"/>
        <w:rPr>
          <w:sz w:val="20"/>
          <w:szCs w:val="20"/>
          <w:color w:val="auto"/>
        </w:rPr>
      </w:pPr>
    </w:p>
    <w:p>
      <w:pPr>
        <w:ind w:left="7180"/>
        <w:spacing w:after="0"/>
        <w:rPr>
          <w:sz w:val="20"/>
          <w:szCs w:val="20"/>
          <w:color w:val="auto"/>
        </w:rPr>
      </w:pPr>
      <w:r>
        <w:rPr>
          <w:rFonts w:ascii="Arial" w:cs="Arial" w:eastAsia="Arial" w:hAnsi="Arial"/>
          <w:sz w:val="19"/>
          <w:szCs w:val="19"/>
          <w:color w:val="auto"/>
        </w:rPr>
        <w:t>Registration Statement No. 333-169786</w:t>
      </w:r>
    </w:p>
    <w:p>
      <w:pPr>
        <w:spacing w:after="0" w:line="3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E8112D"/>
        </w:rPr>
        <w:t>SUBJECT TO COMPLETION, DATED OCTOBER 6, 2010</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October 6, 2010)</w:t>
      </w:r>
    </w:p>
    <w:p>
      <w:pPr>
        <w:spacing w:after="0" w:line="54"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4,500,000 Shares</w:t>
      </w:r>
    </w:p>
    <w:p>
      <w:pPr>
        <w:spacing w:after="0" w:line="61" w:lineRule="exact"/>
        <w:rPr>
          <w:sz w:val="20"/>
          <w:szCs w:val="20"/>
          <w:color w:val="auto"/>
        </w:rPr>
      </w:pPr>
    </w:p>
    <w:p>
      <w:pPr>
        <w:jc w:val="center"/>
        <w:ind w:right="-699"/>
        <w:spacing w:after="0"/>
        <w:rPr>
          <w:sz w:val="20"/>
          <w:szCs w:val="20"/>
          <w:color w:val="auto"/>
        </w:rPr>
      </w:pPr>
      <w:r>
        <w:rPr>
          <w:rFonts w:ascii="Arial" w:cs="Arial" w:eastAsia="Arial" w:hAnsi="Arial"/>
          <w:sz w:val="36"/>
          <w:szCs w:val="36"/>
          <w:b w:val="1"/>
          <w:bCs w:val="1"/>
          <w:color w:val="auto"/>
        </w:rPr>
        <w:t>Regeneron Pharmaceuticals, Inc.</w:t>
      </w: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106680</wp:posOffset>
            </wp:positionV>
            <wp:extent cx="1132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82" w:lineRule="exact"/>
        <w:rPr>
          <w:sz w:val="20"/>
          <w:szCs w:val="20"/>
          <w:color w:val="auto"/>
        </w:rPr>
      </w:pPr>
    </w:p>
    <w:p>
      <w:pPr>
        <w:ind w:left="700" w:right="760" w:firstLine="397"/>
        <w:spacing w:after="0" w:line="277" w:lineRule="auto"/>
        <w:rPr>
          <w:sz w:val="20"/>
          <w:szCs w:val="20"/>
          <w:color w:val="auto"/>
        </w:rPr>
      </w:pPr>
      <w:r>
        <w:rPr>
          <w:rFonts w:ascii="Arial" w:cs="Arial" w:eastAsia="Arial" w:hAnsi="Arial"/>
          <w:sz w:val="18"/>
          <w:szCs w:val="18"/>
          <w:color w:val="auto"/>
        </w:rPr>
        <w:t>We are offering to sell 4,500,000 shares of our Common Stock through this prospectus supplement and the accompanying prospectus.</w:t>
      </w:r>
    </w:p>
    <w:p>
      <w:pPr>
        <w:spacing w:after="0" w:line="143"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trading symbol “REGN.” The last reported sale price of our Common Stock on October 6, 2010 was $29.18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66040</wp:posOffset>
            </wp:positionV>
            <wp:extent cx="1132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5" w:lineRule="exact"/>
        <w:rPr>
          <w:sz w:val="20"/>
          <w:szCs w:val="20"/>
          <w:color w:val="auto"/>
        </w:rPr>
      </w:pPr>
    </w:p>
    <w:p>
      <w:pPr>
        <w:ind w:left="700" w:right="160" w:firstLine="496"/>
        <w:spacing w:after="0" w:line="239"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38 of our Quarterly Report on Form 10-Q for the quarterly period ended June 30, 2010, which is incorporated herein by reference, to read about risks that you should consider before buying shares of our Common Stock.</w:t>
      </w:r>
    </w:p>
    <w:p>
      <w:pPr>
        <w:spacing w:after="0" w:line="167"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73025</wp:posOffset>
            </wp:positionV>
            <wp:extent cx="1132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29"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The underwriter has agreed to purchase the Common Stock from us at a price of $ per share which will result in $ of proceeds to us (before expenses). We have granted the underwriter a 30-day option to purchase up to an additional 675,000 shares of our Common Stock at a price of $ per share to cover any over-allotments.</w:t>
      </w:r>
    </w:p>
    <w:p>
      <w:pPr>
        <w:spacing w:after="0" w:line="154"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The underwriter may offer the Common Stock from time to time in one or more transactions in the over-the-counter market or through negotiated transactions at market prices or at negotiated prices.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underwriter expects to deliver the shares against payment in New York, New York on October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109220</wp:posOffset>
            </wp:positionV>
            <wp:extent cx="1132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59" w:lineRule="exact"/>
        <w:rPr>
          <w:sz w:val="20"/>
          <w:szCs w:val="20"/>
          <w:color w:val="auto"/>
        </w:rPr>
      </w:pPr>
    </w:p>
    <w:p>
      <w:pPr>
        <w:ind w:left="5400"/>
        <w:spacing w:after="0"/>
        <w:rPr>
          <w:sz w:val="20"/>
          <w:szCs w:val="20"/>
          <w:color w:val="auto"/>
        </w:rPr>
      </w:pPr>
      <w:r>
        <w:rPr>
          <w:rFonts w:ascii="Arial" w:cs="Arial" w:eastAsia="Arial" w:hAnsi="Arial"/>
          <w:sz w:val="32"/>
          <w:szCs w:val="32"/>
          <w:b w:val="1"/>
          <w:bCs w:val="1"/>
          <w:color w:val="auto"/>
        </w:rPr>
        <w:t>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109855</wp:posOffset>
            </wp:positionV>
            <wp:extent cx="1132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October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ind w:right="100" w:firstLine="397"/>
        <w:spacing w:after="0" w:line="295"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and the underwriter has not, authorized anyone to provide you with different information. If anyone provides you with different or inconsistent information, you should not rely on it. We are not, and the underwriter is not, making an offer to sell these securities in any jurisdiction where the offer or sale is not permitted. You should not assume that the information contained in this prospectus supplement or the accompanying prospectus is accurate as of any date other than the date on the front of this prospectus supplement or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196215</wp:posOffset>
            </wp:positionV>
            <wp:extent cx="1132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80" w:type="dxa"/>
            <w:vAlign w:val="bottom"/>
          </w:tcPr>
          <w:p>
            <w:pPr>
              <w:jc w:val="center"/>
              <w:ind w:right="305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0"/>
                <w:szCs w:val="20"/>
                <w:color w:val="auto"/>
              </w:rPr>
            </w:pPr>
          </w:p>
        </w:tc>
      </w:tr>
      <w:tr>
        <w:trPr>
          <w:trHeight w:val="44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tcPr>
          <w:p>
            <w:pPr>
              <w:jc w:val="center"/>
              <w:ind w:right="3050"/>
              <w:spacing w:after="0"/>
              <w:rPr>
                <w:sz w:val="20"/>
                <w:szCs w:val="20"/>
                <w:color w:val="auto"/>
              </w:rPr>
            </w:pPr>
            <w:r>
              <w:rPr>
                <w:rFonts w:ascii="Arial" w:cs="Arial" w:eastAsia="Arial" w:hAnsi="Arial"/>
                <w:sz w:val="18"/>
                <w:szCs w:val="18"/>
                <w:b w:val="1"/>
                <w:bCs w:val="1"/>
                <w:color w:val="auto"/>
                <w:w w:val="87"/>
              </w:rPr>
              <w:t>Prospectus Supplement</w:t>
            </w:r>
          </w:p>
        </w:tc>
        <w:tc>
          <w:tcPr>
            <w:tcW w:w="500" w:type="dxa"/>
            <w:vAlign w:val="bottom"/>
          </w:tcPr>
          <w:p>
            <w:pPr>
              <w:spacing w:after="0"/>
              <w:rPr>
                <w:sz w:val="24"/>
                <w:szCs w:val="24"/>
                <w:color w:val="auto"/>
              </w:rPr>
            </w:pPr>
          </w:p>
        </w:tc>
      </w:tr>
      <w:tr>
        <w:trPr>
          <w:trHeight w:val="38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30"/>
        </w:trPr>
        <w:tc>
          <w:tcPr>
            <w:tcW w:w="25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6880" w:type="dxa"/>
            <w:vAlign w:val="bottom"/>
            <w:gridSpan w:val="4"/>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35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Special Note About Forward-Looking Statements</w:t>
              </w:r>
            </w:hyperlink>
          </w:p>
        </w:tc>
        <w:tc>
          <w:tcPr>
            <w:tcW w:w="58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70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Dilution</w:t>
              </w:r>
            </w:hyperlink>
          </w:p>
        </w:tc>
        <w:tc>
          <w:tcPr>
            <w:tcW w:w="560" w:type="dxa"/>
            <w:vAlign w:val="bottom"/>
            <w:tcBorders>
              <w:top w:val="single" w:sz="8" w:color="0000EE"/>
            </w:tcBorders>
            <w:gridSpan w:val="4"/>
          </w:tcPr>
          <w:p>
            <w:pPr>
              <w:spacing w:after="0"/>
              <w:rPr>
                <w:sz w:val="17"/>
                <w:szCs w:val="17"/>
                <w:color w:val="auto"/>
              </w:rPr>
            </w:pPr>
          </w:p>
        </w:tc>
        <w:tc>
          <w:tcPr>
            <w:tcW w:w="82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Capitalization</w:t>
              </w:r>
            </w:hyperlink>
          </w:p>
        </w:tc>
        <w:tc>
          <w:tcPr>
            <w:tcW w:w="840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Underwriting</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Legal Matters</w:t>
              </w:r>
            </w:hyperlink>
          </w:p>
        </w:tc>
        <w:tc>
          <w:tcPr>
            <w:tcW w:w="842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Experts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Where You Can Find More Information</w:t>
              </w:r>
            </w:hyperlink>
          </w:p>
        </w:tc>
        <w:tc>
          <w:tcPr>
            <w:tcW w:w="656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Incorporation of Certain Documents By Reference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384"/>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780" w:type="dxa"/>
            <w:vAlign w:val="bottom"/>
          </w:tcPr>
          <w:p>
            <w:pPr>
              <w:jc w:val="center"/>
              <w:ind w:right="3050"/>
              <w:spacing w:after="0"/>
              <w:rPr>
                <w:sz w:val="20"/>
                <w:szCs w:val="20"/>
                <w:color w:val="auto"/>
              </w:rPr>
            </w:pPr>
            <w:r>
              <w:rPr>
                <w:rFonts w:ascii="Arial" w:cs="Arial" w:eastAsia="Arial" w:hAnsi="Arial"/>
                <w:sz w:val="18"/>
                <w:szCs w:val="18"/>
                <w:b w:val="1"/>
                <w:bCs w:val="1"/>
                <w:color w:val="auto"/>
                <w:w w:val="85"/>
              </w:rPr>
              <w:t>Prospectus</w:t>
            </w:r>
          </w:p>
        </w:tc>
        <w:tc>
          <w:tcPr>
            <w:tcW w:w="500" w:type="dxa"/>
            <w:vAlign w:val="bottom"/>
          </w:tcPr>
          <w:p>
            <w:pPr>
              <w:spacing w:after="0"/>
              <w:rPr>
                <w:sz w:val="24"/>
                <w:szCs w:val="24"/>
                <w:color w:val="auto"/>
              </w:rPr>
            </w:pP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About This Prospectus</w:t>
            </w:r>
          </w:p>
        </w:tc>
        <w:tc>
          <w:tcPr>
            <w:tcW w:w="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Summary</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Risk Factors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Ratio of Earnings to Fixed Charges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Description of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Description of Capital Stock</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Description of Debt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Description of 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Plan of Distribution</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Legal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Experts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420" w:type="dxa"/>
            <w:vAlign w:val="bottom"/>
            <w:gridSpan w:val="12"/>
          </w:tcPr>
          <w:p>
            <w:pPr>
              <w:spacing w:after="0"/>
              <w:rPr>
                <w:sz w:val="20"/>
                <w:szCs w:val="20"/>
                <w:color w:val="auto"/>
              </w:rPr>
            </w:pPr>
            <w:r>
              <w:rPr>
                <w:rFonts w:ascii="Arial" w:cs="Arial" w:eastAsia="Arial" w:hAnsi="Arial"/>
                <w:sz w:val="18"/>
                <w:szCs w:val="18"/>
                <w:color w:val="auto"/>
              </w:rPr>
              <w:t>Where You Can Find More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ABOUT THIS PROSPECTUS SUPPLEMENT</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The second part, the base prospectus, gives more general information, some of which may not apply to this offering. You should read both this prospectus supplement and the accompanying prospectus, together with the additional information described below under the headings “Where You Can Find More Information” and “Incorporation of Certain Documents by Reference.”</w:t>
      </w:r>
    </w:p>
    <w:p>
      <w:pPr>
        <w:spacing w:after="0" w:line="60"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Information contained on our website does not constitute part of this prospectus supplement or the accompanying prospectus.</w:t>
      </w:r>
    </w:p>
    <w:p>
      <w:pPr>
        <w:spacing w:after="0" w:line="142"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In this prospectus supplement, all references to “we,” “us,” “our,” “Regeneron,” the “Company” and similar designations refer to Regeneron Pharmaceuticals, Inc., unless the context indicates otherwise.</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Statements in this prospectus supplement and in the accompanying prospectus and other materials filed or to be filed with the Securities and Exchange Commission, or the SEC, (or otherwise made by Regeneron or on Regeneron’s behalf) contain various forward-looking statements within the meaning of Section 27A of the Securities Act of 1933, as amended, or the Securities Act, and Section 21E of the Securities Exchange Act of 1934, as amended, or the Exchange Act, which represent our management’s beliefs and assumptions concerning future events. When used in this prospectus supplement and in the accompanying prospectus and in other materials filed or to be filed with the SEC (or otherwise made by Regeneron or on Regeneron’s behalf), forward-looking statements include, without limitation, statements regarding financial forecasts or projections, and our expectations, beliefs, intentions or future strategies that are signified by the words “may,” “will,” “expect,” “intend,” “indicate,” “anticipate,” “believe,” “forecast,” “estimate,” “plan,” “guidance,” “outlook,” “could,” “should,” “continue” and similar terms used in connection with statements regarding the outlook of Regeneron. These statements are based upon the current beliefs and expectations of management and are subject to significant risks and uncertainties that could cause our actual results and financial position to differ materially from these statements. These statements include, but are not limited to, statements regarding:</w:t>
      </w:r>
    </w:p>
    <w:p>
      <w:pPr>
        <w:spacing w:after="0" w:line="85" w:lineRule="exact"/>
        <w:rPr>
          <w:sz w:val="20"/>
          <w:szCs w:val="20"/>
          <w:color w:val="auto"/>
        </w:rPr>
      </w:pPr>
    </w:p>
    <w:p>
      <w:pPr>
        <w:jc w:val="both"/>
        <w:ind w:left="1300" w:right="120" w:hanging="202"/>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clinical trials, development timelines, future IND filings for new product candidates, and regulatory filings and submissions for any of our product candidates in clinical development, including, without limitation, ARCALYST</w:t>
      </w:r>
      <w:r>
        <w:rPr>
          <w:rFonts w:ascii="Arial" w:cs="Arial" w:eastAsia="Arial" w:hAnsi="Arial"/>
          <w:sz w:val="15"/>
          <w:szCs w:val="15"/>
          <w:color w:val="auto"/>
        </w:rPr>
        <w:t>®</w:t>
      </w:r>
      <w:r>
        <w:rPr>
          <w:rFonts w:ascii="Arial" w:cs="Arial" w:eastAsia="Arial" w:hAnsi="Arial"/>
          <w:sz w:val="18"/>
          <w:szCs w:val="18"/>
          <w:color w:val="auto"/>
        </w:rPr>
        <w:t xml:space="preserve"> (rilonacept), aflibercept (VEGF Trap), and VEGF Trap-Eye;</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possible success of any of our current or future product candidates;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advance new antibody product candidates into clinical development;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build a successful, integrated biopharmaceutical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marketing approval for, or successfully market any of our product candidates;</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data that will be generated by ongoing and planned clinical trials and the ability to use that data to support regulatory filings, including potential applications for marketing approval for any of our product candidates;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maintenance of any of our license or collaborative relationships, including, without limitation, those with sanofi-aventis and Bayer HealthCare;</w:t>
      </w:r>
    </w:p>
    <w:p>
      <w:pPr>
        <w:spacing w:after="0" w:line="62"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liquidity and our expectations regarding our future cash needs and our expectations regarding the possibility of raising additional capital;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and our expected uses of the net proceeds of this offering.</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b w:val="1"/>
          <w:bCs w:val="1"/>
          <w:color w:val="auto"/>
        </w:rPr>
        <w:t>These forward-looking statements are subject to significant risks, uncertainties and assumptions that could cause our actual results and the timing of certain events to differ materially from those expressed in the forward-looking statements. There may be other factors not identified above, or in “Risk Factors”, of which we are not currently aware that may affect matters discussed in the forward-looking statements and may also cause actual results to differ materially from those discussed. We assume no obligation to publicly update any forward-looking statement to reflect actual results, changes in assumptions or changes in other factors affecting these estimates other than as required by law. Before deciding to purchase our securities you should carefully consider the risks described in the “Risk Factors” section beginning on page 38 of our Quarterly Report on Form 10-Q for the quarterly period ended June 30, 2010, which is incorporated herein by reference, in addition to the other documents incorporated by reference herein and therein.</w:t>
      </w: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PROSPECTUS SUPPLEMENT SUMMARY</w:t>
      </w:r>
    </w:p>
    <w:p>
      <w:pPr>
        <w:spacing w:after="0" w:line="135" w:lineRule="exact"/>
        <w:rPr>
          <w:sz w:val="20"/>
          <w:szCs w:val="20"/>
          <w:color w:val="auto"/>
        </w:rPr>
      </w:pPr>
    </w:p>
    <w:p>
      <w:pPr>
        <w:ind w:left="920" w:right="100" w:firstLine="397"/>
        <w:spacing w:after="0" w:line="297" w:lineRule="auto"/>
        <w:rPr>
          <w:sz w:val="20"/>
          <w:szCs w:val="20"/>
          <w:color w:val="auto"/>
        </w:rPr>
      </w:pPr>
      <w:r>
        <w:rPr>
          <w:rFonts w:ascii="Arial" w:cs="Arial" w:eastAsia="Arial" w:hAnsi="Arial"/>
          <w:sz w:val="16"/>
          <w:szCs w:val="16"/>
          <w:i w:val="1"/>
          <w:iCs w:val="1"/>
          <w:color w:val="auto"/>
        </w:rPr>
        <w:t>This summary highlights selected information more fully described elsewhere in this prospectus supplement and the accompanying prospectus. This summary is not complete and does not contain all of the information that may be important to you. You should read carefully this entire prospectus supplement and the accompanying prospectus, any free writing prospectus, and the other documents that we refer to and incorporate by reference herein for a more complete understanding of us and this offering, including in particular the “Risk Factors” section incorporated by reference in this prospectus supplement and the accompanying prospectus.</w:t>
      </w: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Regeneron Pharmaceuticals, Inc.</w:t>
      </w:r>
    </w:p>
    <w:p>
      <w:pPr>
        <w:spacing w:after="0" w:line="135" w:lineRule="exact"/>
        <w:rPr>
          <w:sz w:val="20"/>
          <w:szCs w:val="20"/>
          <w:color w:val="auto"/>
        </w:rPr>
      </w:pPr>
    </w:p>
    <w:p>
      <w:pPr>
        <w:ind w:left="920" w:right="120" w:firstLine="397"/>
        <w:spacing w:after="0" w:line="257"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5"/>
          <w:szCs w:val="15"/>
          <w:color w:val="auto"/>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94" w:lineRule="exact"/>
        <w:rPr>
          <w:sz w:val="20"/>
          <w:szCs w:val="20"/>
          <w:color w:val="auto"/>
        </w:rPr>
      </w:pPr>
    </w:p>
    <w:p>
      <w:pPr>
        <w:ind w:left="920" w:firstLine="397"/>
        <w:spacing w:after="0" w:line="270" w:lineRule="auto"/>
        <w:rPr>
          <w:sz w:val="20"/>
          <w:szCs w:val="20"/>
          <w:color w:val="auto"/>
        </w:rPr>
      </w:pPr>
      <w:r>
        <w:rPr>
          <w:rFonts w:ascii="Arial" w:cs="Arial" w:eastAsia="Arial" w:hAnsi="Arial"/>
          <w:sz w:val="17"/>
          <w:szCs w:val="17"/>
          <w:color w:val="auto"/>
        </w:rPr>
        <w:t>We have eight product candidates in clinical development, including three product candidates that are in late-stage (Phase 3) clinical development. Our late stage programs are ARCALYST</w:t>
      </w:r>
      <w:r>
        <w:rPr>
          <w:rFonts w:ascii="Arial" w:cs="Arial" w:eastAsia="Arial" w:hAnsi="Arial"/>
          <w:sz w:val="14"/>
          <w:szCs w:val="14"/>
          <w:color w:val="auto"/>
        </w:rPr>
        <w:t>®</w:t>
      </w:r>
      <w:r>
        <w:rPr>
          <w:rFonts w:ascii="Arial" w:cs="Arial" w:eastAsia="Arial" w:hAnsi="Arial"/>
          <w:sz w:val="17"/>
          <w:szCs w:val="17"/>
          <w:color w:val="auto"/>
        </w:rPr>
        <w:t xml:space="preserve"> (rilonacept), which is being developed for the prevention of gout-related flares in patients initiating uric acid-lowering treatment; VEGF Trap-Eye, which is being developed in eye diseases using intraocular delivery in collaboration with Bayer HealthCare LLC; and aflibercept (VEGF Trap), which is being developed in oncology in collaboration with the sanofi-aventis Group. Our earlier stage clinical programs are REGN727, an antibody to PCSK9, which is being developed for low density lipoprotein (LDL) cholesterol reduction; REGN88, an antibody to the interleukin-6 receptor (IL-6R), which is being developed in rheumatoid arthritis and ankylosing spondilitis; REGN421, an antibody to Delta-like ligand-4 (Dll4), which is being developed in oncology; REGN668, an antibody to the interleukin-4 receptor (IL-4R), which is being developed in atopic dermatitis; and REGN475, an antibody to Nerve Growth Factor (NGF), which is being developed for the treatment of pain. All five of our earlier stage clinical programs are fully human antibodies that are being developed in collaboration with sanofi-aventis.</w:t>
      </w:r>
    </w:p>
    <w:p>
      <w:pPr>
        <w:spacing w:after="0" w:line="83" w:lineRule="exact"/>
        <w:rPr>
          <w:sz w:val="20"/>
          <w:szCs w:val="20"/>
          <w:color w:val="auto"/>
        </w:rPr>
      </w:pPr>
    </w:p>
    <w:p>
      <w:pPr>
        <w:jc w:val="both"/>
        <w:ind w:left="920" w:right="140" w:firstLine="397"/>
        <w:spacing w:after="0" w:line="30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60" w:lineRule="exact"/>
        <w:rPr>
          <w:sz w:val="20"/>
          <w:szCs w:val="20"/>
          <w:color w:val="auto"/>
        </w:rPr>
      </w:pPr>
    </w:p>
    <w:p>
      <w:pPr>
        <w:ind w:left="920" w:right="20" w:firstLine="397"/>
        <w:spacing w:after="0" w:line="270" w:lineRule="auto"/>
        <w:rPr>
          <w:sz w:val="20"/>
          <w:szCs w:val="20"/>
          <w:color w:val="auto"/>
        </w:rPr>
      </w:pPr>
      <w:r>
        <w:rPr>
          <w:rFonts w:ascii="Arial" w:cs="Arial" w:eastAsia="Arial" w:hAnsi="Arial"/>
          <w:sz w:val="17"/>
          <w:szCs w:val="17"/>
          <w:color w:val="auto"/>
        </w:rPr>
        <w:t xml:space="preserve">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10"/>
          <w:szCs w:val="10"/>
          <w:color w:val="auto"/>
        </w:rPr>
        <w:t>TM</w:t>
      </w:r>
      <w:r>
        <w:rPr>
          <w:rFonts w:ascii="Arial" w:cs="Arial" w:eastAsia="Arial" w:hAnsi="Arial"/>
          <w:sz w:val="17"/>
          <w:szCs w:val="17"/>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7"/>
          <w:szCs w:val="17"/>
          <w:i w:val="1"/>
          <w:iCs w:val="1"/>
          <w:color w:val="auto"/>
        </w:rPr>
        <w:t>VelociGene</w:t>
      </w:r>
      <w:r>
        <w:rPr>
          <w:rFonts w:ascii="Arial" w:cs="Arial" w:eastAsia="Arial" w:hAnsi="Arial"/>
          <w:sz w:val="14"/>
          <w:szCs w:val="14"/>
          <w:color w:val="auto"/>
        </w:rPr>
        <w:t>®</w:t>
      </w:r>
      <w:r>
        <w:rPr>
          <w:rFonts w:ascii="Arial" w:cs="Arial" w:eastAsia="Arial" w:hAnsi="Arial"/>
          <w:sz w:val="17"/>
          <w:szCs w:val="17"/>
          <w:color w:val="auto"/>
        </w:rPr>
        <w:t xml:space="preserve"> technology to understand the role of these proteins in normal physiology as well as in models of disease. Our human monoclonal antibody technology </w:t>
      </w:r>
      <w:r>
        <w:rPr>
          <w:rFonts w:ascii="Arial" w:cs="Arial" w:eastAsia="Arial" w:hAnsi="Arial"/>
          <w:sz w:val="17"/>
          <w:szCs w:val="17"/>
          <w:i w:val="1"/>
          <w:iCs w:val="1"/>
          <w:color w:val="auto"/>
        </w:rPr>
        <w:t>(VelocImmune</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cell line expression technologies </w:t>
      </w:r>
      <w:r>
        <w:rPr>
          <w:rFonts w:ascii="Arial" w:cs="Arial" w:eastAsia="Arial" w:hAnsi="Arial"/>
          <w:sz w:val="17"/>
          <w:szCs w:val="17"/>
          <w:i w:val="1"/>
          <w:iCs w:val="1"/>
          <w:color w:val="auto"/>
        </w:rPr>
        <w:t>(VelociMab</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may then be utilized to design and produce new product candidates directed against the disease target. Our five antibody product candidates currently in clinical trials were developed using </w:t>
      </w:r>
      <w:r>
        <w:rPr>
          <w:rFonts w:ascii="Arial" w:cs="Arial" w:eastAsia="Arial" w:hAnsi="Arial"/>
          <w:sz w:val="17"/>
          <w:szCs w:val="17"/>
          <w:i w:val="1"/>
          <w:iCs w:val="1"/>
          <w:color w:val="auto"/>
        </w:rPr>
        <w:t>VelocImmune</w:t>
      </w:r>
      <w:r>
        <w:rPr>
          <w:rFonts w:ascii="Arial" w:cs="Arial" w:eastAsia="Arial" w:hAnsi="Arial"/>
          <w:sz w:val="14"/>
          <w:szCs w:val="14"/>
          <w:color w:val="auto"/>
        </w:rPr>
        <w:t>®</w:t>
      </w:r>
      <w:r>
        <w:rPr>
          <w:rFonts w:ascii="Arial" w:cs="Arial" w:eastAsia="Arial" w:hAnsi="Arial"/>
          <w:sz w:val="17"/>
          <w:szCs w:val="17"/>
          <w:color w:val="auto"/>
        </w:rPr>
        <w:t>. Under the terms of our antibody collaboration with sanofi-aventis, which was expanded during 2009, we plan to advance an average of four to five new antibody product candidates into 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83" w:lineRule="exact"/>
        <w:rPr>
          <w:sz w:val="20"/>
          <w:szCs w:val="20"/>
          <w:color w:val="auto"/>
        </w:rPr>
      </w:pPr>
    </w:p>
    <w:p>
      <w:pPr>
        <w:ind w:left="920" w:right="240" w:firstLine="397"/>
        <w:spacing w:after="0" w:line="259" w:lineRule="auto"/>
        <w:rPr>
          <w:sz w:val="20"/>
          <w:szCs w:val="20"/>
          <w:color w:val="auto"/>
        </w:rPr>
      </w:pPr>
      <w:r>
        <w:rPr>
          <w:rFonts w:ascii="Arial" w:cs="Arial" w:eastAsia="Arial" w:hAnsi="Arial"/>
          <w:sz w:val="18"/>
          <w:szCs w:val="18"/>
          <w:color w:val="auto"/>
        </w:rPr>
        <w:t>Our principal executive offices are located at 777 Old Saw Mill River Road, Tarrytown, New York 10591, and our telephone number at that address is (914) 345-7400. Our website address is www.regeneron.com. The information on, or accessible through, our website is not part of this prospectus and should not be relied upon in connection with making any investment decision with respect to the securities offered by this prospectus supplement.</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3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Regeneron Pharmaceuticals, Inc.</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Common Stock Offered</w:t>
      </w:r>
      <w:r>
        <w:rPr>
          <w:sz w:val="20"/>
          <w:szCs w:val="20"/>
          <w:color w:val="auto"/>
        </w:rPr>
        <w:tab/>
      </w:r>
      <w:r>
        <w:rPr>
          <w:rFonts w:ascii="Arial" w:cs="Arial" w:eastAsia="Arial" w:hAnsi="Arial"/>
          <w:sz w:val="15"/>
          <w:szCs w:val="15"/>
          <w:color w:val="auto"/>
        </w:rPr>
        <w:t>4,500,000 shares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Common Stock to be Outstanding After This</w:t>
      </w:r>
    </w:p>
    <w:p>
      <w:pPr>
        <w:spacing w:after="0" w:line="2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Offering</w:t>
      </w:r>
      <w:r>
        <w:rPr>
          <w:sz w:val="20"/>
          <w:szCs w:val="20"/>
          <w:color w:val="auto"/>
        </w:rPr>
        <w:tab/>
      </w:r>
      <w:r>
        <w:rPr>
          <w:rFonts w:ascii="Arial" w:cs="Arial" w:eastAsia="Arial" w:hAnsi="Arial"/>
          <w:sz w:val="18"/>
          <w:szCs w:val="18"/>
          <w:color w:val="auto"/>
        </w:rPr>
        <w:t>84,505,370 shares(1)(2)</w:t>
      </w:r>
    </w:p>
    <w:p>
      <w:pPr>
        <w:spacing w:after="0" w:line="99"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The proceeds from this offering, based on the last reported sales price of our Common</w:t>
      </w:r>
    </w:p>
    <w:p>
      <w:pPr>
        <w:spacing w:after="0" w:line="27" w:lineRule="exact"/>
        <w:rPr>
          <w:sz w:val="20"/>
          <w:szCs w:val="20"/>
          <w:color w:val="auto"/>
        </w:rPr>
      </w:pPr>
    </w:p>
    <w:p>
      <w:pPr>
        <w:ind w:left="4600" w:right="140"/>
        <w:spacing w:after="0" w:line="255" w:lineRule="auto"/>
        <w:rPr>
          <w:sz w:val="20"/>
          <w:szCs w:val="20"/>
          <w:color w:val="auto"/>
        </w:rPr>
      </w:pPr>
      <w:r>
        <w:rPr>
          <w:rFonts w:ascii="Arial" w:cs="Arial" w:eastAsia="Arial" w:hAnsi="Arial"/>
          <w:sz w:val="18"/>
          <w:szCs w:val="18"/>
          <w:color w:val="auto"/>
        </w:rPr>
        <w:t>Stock on October 6, 2010, will be approximately $131,310,000 ($151,006,500 if the underwriters exercise their option to purchase additional shares in full), before deducting fees and before expenses.</w:t>
      </w:r>
    </w:p>
    <w:p>
      <w:pPr>
        <w:spacing w:after="0" w:line="82"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We expect to use the net proceeds of the offering for general corporate purposes.</w:t>
      </w:r>
    </w:p>
    <w:p>
      <w:pPr>
        <w:spacing w:after="0" w:line="125"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Before investing in our Common Stock, you should carefully read and consider the</w:t>
      </w:r>
    </w:p>
    <w:p>
      <w:pPr>
        <w:spacing w:after="0" w:line="27" w:lineRule="exact"/>
        <w:rPr>
          <w:sz w:val="20"/>
          <w:szCs w:val="20"/>
          <w:color w:val="auto"/>
        </w:rPr>
      </w:pPr>
    </w:p>
    <w:p>
      <w:pPr>
        <w:ind w:left="4600" w:right="80"/>
        <w:spacing w:after="0" w:line="255" w:lineRule="auto"/>
        <w:rPr>
          <w:sz w:val="20"/>
          <w:szCs w:val="20"/>
          <w:color w:val="auto"/>
        </w:rPr>
      </w:pPr>
      <w:r>
        <w:rPr>
          <w:rFonts w:ascii="Arial" w:cs="Arial" w:eastAsia="Arial" w:hAnsi="Arial"/>
          <w:sz w:val="18"/>
          <w:szCs w:val="18"/>
          <w:color w:val="auto"/>
        </w:rPr>
        <w:t>information set forth in “Risk Factors” beginning on page 38 of our Quarterly Report on Form 10-Q for the quarterly period ended June 30, 2010, which is incorporated herein by reference.</w:t>
      </w:r>
    </w:p>
    <w:p>
      <w:pPr>
        <w:spacing w:after="0" w:line="78"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Trading Symbol for Our Common Stock</w:t>
      </w:r>
      <w:r>
        <w:rPr>
          <w:sz w:val="20"/>
          <w:szCs w:val="20"/>
          <w:color w:val="auto"/>
        </w:rPr>
        <w:tab/>
      </w:r>
      <w:r>
        <w:rPr>
          <w:rFonts w:ascii="Arial" w:cs="Arial" w:eastAsia="Arial" w:hAnsi="Arial"/>
          <w:sz w:val="16"/>
          <w:szCs w:val="16"/>
          <w:color w:val="auto"/>
        </w:rPr>
        <w:t>Our Common Stock is listed on the NASDAQ Global Select Market under the trading</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symbol “REGN.”</w:t>
      </w:r>
    </w:p>
    <w:p>
      <w:pPr>
        <w:spacing w:after="0" w:line="99"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Transfer Agent and Registrar</w:t>
      </w:r>
      <w:r>
        <w:rPr>
          <w:sz w:val="20"/>
          <w:szCs w:val="20"/>
          <w:color w:val="auto"/>
        </w:rPr>
        <w:tab/>
      </w:r>
      <w:r>
        <w:rPr>
          <w:rFonts w:ascii="Arial" w:cs="Arial" w:eastAsia="Arial" w:hAnsi="Arial"/>
          <w:sz w:val="16"/>
          <w:szCs w:val="16"/>
          <w:color w:val="auto"/>
        </w:rPr>
        <w:t>American Stock Transfer and Trust Company, LLC</w:t>
      </w:r>
    </w:p>
    <w:p>
      <w:pPr>
        <w:spacing w:after="0" w:line="135" w:lineRule="exact"/>
        <w:rPr>
          <w:sz w:val="20"/>
          <w:szCs w:val="20"/>
          <w:color w:val="auto"/>
        </w:rPr>
      </w:pPr>
    </w:p>
    <w:p>
      <w:pPr>
        <w:ind w:left="920" w:right="280" w:firstLine="397"/>
        <w:spacing w:after="0" w:line="277" w:lineRule="auto"/>
        <w:rPr>
          <w:sz w:val="20"/>
          <w:szCs w:val="20"/>
          <w:color w:val="auto"/>
        </w:rPr>
      </w:pPr>
      <w:r>
        <w:rPr>
          <w:rFonts w:ascii="Arial" w:cs="Arial" w:eastAsia="Arial" w:hAnsi="Arial"/>
          <w:sz w:val="18"/>
          <w:szCs w:val="18"/>
          <w:color w:val="auto"/>
        </w:rPr>
        <w:t>Unless otherwise indicated, this prospectus supplement reflects and assumes no exercise by the underwriter of its overallotment option.</w:t>
      </w:r>
    </w:p>
    <w:p>
      <w:pPr>
        <w:spacing w:after="0" w:line="170" w:lineRule="exact"/>
        <w:rPr>
          <w:sz w:val="20"/>
          <w:szCs w:val="20"/>
          <w:color w:val="auto"/>
        </w:rPr>
      </w:pPr>
    </w:p>
    <w:p>
      <w:pPr>
        <w:ind w:left="1240" w:right="500" w:hanging="311"/>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shares of Common Stock to be outstanding after this offering is based on 80,005,370 shares of Common Stock outstanding on September 15, 2010.</w:t>
      </w:r>
    </w:p>
    <w:p>
      <w:pPr>
        <w:spacing w:after="0" w:line="8" w:lineRule="exact"/>
        <w:rPr>
          <w:rFonts w:ascii="Arial" w:cs="Arial" w:eastAsia="Arial" w:hAnsi="Arial"/>
          <w:sz w:val="18"/>
          <w:szCs w:val="18"/>
          <w:color w:val="auto"/>
        </w:rPr>
      </w:pPr>
    </w:p>
    <w:p>
      <w:pPr>
        <w:ind w:left="1240" w:right="60" w:hanging="311"/>
        <w:spacing w:after="0" w:line="342"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number of shares of Common Stock to be outstanding after this offering excludes, as of September 15, 2010, 21,172,624 shares of our Common Stock subject to stock options outstanding as of that date, of which 11,895,943 were exercisable as of that date.</w:t>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 Financial Data</w:t>
      </w:r>
    </w:p>
    <w:p>
      <w:pPr>
        <w:spacing w:after="0" w:line="135" w:lineRule="exact"/>
        <w:rPr>
          <w:sz w:val="20"/>
          <w:szCs w:val="20"/>
          <w:color w:val="auto"/>
        </w:rPr>
      </w:pPr>
    </w:p>
    <w:p>
      <w:pPr>
        <w:ind w:left="920" w:right="140" w:firstLine="397"/>
        <w:spacing w:after="0" w:line="288" w:lineRule="auto"/>
        <w:rPr>
          <w:sz w:val="20"/>
          <w:szCs w:val="20"/>
          <w:color w:val="auto"/>
        </w:rPr>
      </w:pPr>
      <w:r>
        <w:rPr>
          <w:rFonts w:ascii="Arial" w:cs="Arial" w:eastAsia="Arial" w:hAnsi="Arial"/>
          <w:sz w:val="16"/>
          <w:szCs w:val="16"/>
          <w:color w:val="auto"/>
        </w:rPr>
        <w:t>The summary historical financial data presented below have been derived from our financial statements and should be read in conjunction with our financial statements and the notes thereto and “Management’s Discussion and Analysis of Financial Condition and Results of Operations” in our Annual Report on Form 10-K for the year ended December 31, 2009 and our Quarterly Report on</w:t>
      </w:r>
    </w:p>
    <w:p>
      <w:pPr>
        <w:ind w:left="920" w:right="440"/>
        <w:spacing w:after="0" w:line="323" w:lineRule="auto"/>
        <w:rPr>
          <w:sz w:val="20"/>
          <w:szCs w:val="20"/>
          <w:color w:val="auto"/>
        </w:rPr>
      </w:pPr>
      <w:r>
        <w:rPr>
          <w:rFonts w:ascii="Arial" w:cs="Arial" w:eastAsia="Arial" w:hAnsi="Arial"/>
          <w:sz w:val="16"/>
          <w:szCs w:val="16"/>
          <w:color w:val="auto"/>
        </w:rPr>
        <w:t>Form 10-Q for the period ended June 30, 2010, each of which are incorporated by reference into this prospectus supplement and the accompanying prospectus. The information presented below is not necessarily indicative of the results of our future operations.</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10"/>
            <w:vMerge w:val="restart"/>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11"/>
          </w:tcPr>
          <w:p>
            <w:pPr>
              <w:jc w:val="right"/>
              <w:ind w:right="60"/>
              <w:spacing w:after="0"/>
              <w:rPr>
                <w:sz w:val="20"/>
                <w:szCs w:val="20"/>
                <w:color w:val="auto"/>
              </w:rPr>
            </w:pPr>
            <w:r>
              <w:rPr>
                <w:rFonts w:ascii="Arial" w:cs="Arial" w:eastAsia="Arial" w:hAnsi="Arial"/>
                <w:sz w:val="14"/>
                <w:szCs w:val="14"/>
                <w:b w:val="1"/>
                <w:bCs w:val="1"/>
                <w:color w:val="auto"/>
                <w:w w:val="93"/>
              </w:rPr>
              <w:t>(In thousands, except per share data)</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Revenues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Collaboration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180,334</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133,186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314,457</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185,138</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87,648</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47,763</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Technology licensing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20,075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40,013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28,421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manufacturing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Net product sales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15,049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18,364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research and other</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219,420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165,013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379,268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238,457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125,024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241,997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174,538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398,762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274,903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202,468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137,064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155,581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manufacturing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28,902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23,052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52,923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48,880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37,929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25,892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goods sold</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272,021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198,417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453,371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324,706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240,397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(52,601)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(33,404)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(74,103)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(86,249)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(115,373)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(107,655)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(124,421)</w:t>
            </w:r>
          </w:p>
        </w:tc>
        <w:tc>
          <w:tcPr>
            <w:tcW w:w="0" w:type="dxa"/>
            <w:vAlign w:val="bottom"/>
          </w:tcPr>
          <w:p>
            <w:pPr>
              <w:spacing w:after="0"/>
              <w:rPr>
                <w:sz w:val="1"/>
                <w:szCs w:val="1"/>
                <w:color w:val="auto"/>
              </w:rPr>
            </w:pPr>
          </w:p>
        </w:tc>
      </w:tr>
      <w:tr>
        <w:trPr>
          <w:trHeight w:val="207"/>
        </w:trPr>
        <w:tc>
          <w:tcPr>
            <w:tcW w:w="418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contract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Investment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18,161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20,897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16,548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(4,426)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(2,337)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(12,043)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Loss on early extinguishment of debt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(938)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80" w:type="dxa"/>
            <w:vAlign w:val="bottom"/>
            <w:gridSpan w:val="2"/>
          </w:tcPr>
          <w:p>
            <w:pPr>
              <w:spacing w:after="0"/>
              <w:rPr>
                <w:sz w:val="20"/>
                <w:szCs w:val="20"/>
                <w:color w:val="auto"/>
              </w:rPr>
            </w:pPr>
            <w:r>
              <w:rPr>
                <w:rFonts w:ascii="Arial" w:cs="Arial" w:eastAsia="Arial" w:hAnsi="Arial"/>
                <w:sz w:val="16"/>
                <w:szCs w:val="16"/>
                <w:color w:val="auto"/>
                <w:w w:val="94"/>
              </w:rPr>
              <w:t>Net loss before income tax expense and cumulative effect of a</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change in accounting principle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(55,996)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(30,326)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(71,952)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(76,778)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(106,519)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(103,150)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(95,446)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80" w:type="dxa"/>
            <w:vAlign w:val="bottom"/>
            <w:gridSpan w:val="2"/>
          </w:tcPr>
          <w:p>
            <w:pPr>
              <w:spacing w:after="0"/>
              <w:rPr>
                <w:sz w:val="20"/>
                <w:szCs w:val="20"/>
                <w:color w:val="auto"/>
              </w:rPr>
            </w:pPr>
            <w:r>
              <w:rPr>
                <w:rFonts w:ascii="Arial" w:cs="Arial" w:eastAsia="Arial" w:hAnsi="Arial"/>
                <w:sz w:val="16"/>
                <w:szCs w:val="16"/>
                <w:color w:val="auto"/>
                <w:w w:val="99"/>
              </w:rPr>
              <w:t>Net loss before cumulative effect of a change in accounting</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principle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(55,996)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(30,326)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(67,830)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(79,129)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(106,519)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(103,150)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(95,446)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w w:val="96"/>
              </w:rPr>
              <w:t>Cumulative effect of a change in accounting principle related</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 share-based payments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(55,996)</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(30,326)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(67,830)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(79,129)</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(106,519)</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(102,337)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(95,446)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basic and diluted: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w w:val="95"/>
              </w:rPr>
              <w:t>Net loss before cumulative effect of a change in accounting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ind w:left="300"/>
              <w:spacing w:after="0"/>
              <w:rPr>
                <w:sz w:val="20"/>
                <w:szCs w:val="20"/>
                <w:color w:val="auto"/>
              </w:rPr>
            </w:pPr>
            <w:r>
              <w:rPr>
                <w:rFonts w:ascii="Arial" w:cs="Arial" w:eastAsia="Arial" w:hAnsi="Arial"/>
                <w:sz w:val="16"/>
                <w:szCs w:val="16"/>
                <w:color w:val="auto"/>
              </w:rPr>
              <w:t>principle</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(0.69)</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(0.38)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(0.85)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(1.78)</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Cumulative effect of a change in accounting principle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related to share-based payments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(0.69)</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(0.38)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(0.85)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At</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At December 31,</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Cash, cash equivalents, restricted</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cash, and marketable securities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(current and non-current)</w:t>
            </w:r>
          </w:p>
        </w:tc>
        <w:tc>
          <w:tcPr>
            <w:tcW w:w="1020" w:type="dxa"/>
            <w:vAlign w:val="bottom"/>
          </w:tcPr>
          <w:p>
            <w:pPr>
              <w:jc w:val="right"/>
              <w:ind w:right="138"/>
              <w:spacing w:after="0"/>
              <w:rPr>
                <w:sz w:val="20"/>
                <w:szCs w:val="20"/>
                <w:color w:val="auto"/>
              </w:rPr>
            </w:pPr>
            <w:r>
              <w:rPr>
                <w:rFonts w:ascii="Arial" w:cs="Arial" w:eastAsia="Arial" w:hAnsi="Arial"/>
                <w:sz w:val="18"/>
                <w:szCs w:val="18"/>
                <w:color w:val="auto"/>
              </w:rPr>
              <w:t>$380,202</w:t>
            </w:r>
          </w:p>
        </w:tc>
        <w:tc>
          <w:tcPr>
            <w:tcW w:w="20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$390,010</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$527,461</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$846,279</w:t>
            </w:r>
          </w:p>
        </w:tc>
        <w:tc>
          <w:tcPr>
            <w:tcW w:w="200" w:type="dxa"/>
            <w:vAlign w:val="bottom"/>
          </w:tcPr>
          <w:p>
            <w:pPr>
              <w:spacing w:after="0"/>
              <w:rPr>
                <w:sz w:val="20"/>
                <w:szCs w:val="20"/>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$522,859</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$316,654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790,641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741,202</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724,220</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957,881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585,090</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423,501</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Notes payable — current portion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9"/>
              </w:rPr>
              <w:t>Notes payable — long-term portion</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9"/>
              </w:rPr>
              <w:t>Facility lease obligations — current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and long-term portions</w:t>
            </w:r>
          </w:p>
        </w:tc>
        <w:tc>
          <w:tcPr>
            <w:tcW w:w="1020" w:type="dxa"/>
            <w:vAlign w:val="bottom"/>
          </w:tcPr>
          <w:p>
            <w:pPr>
              <w:jc w:val="right"/>
              <w:ind w:right="138"/>
              <w:spacing w:after="0"/>
              <w:rPr>
                <w:sz w:val="20"/>
                <w:szCs w:val="20"/>
                <w:color w:val="auto"/>
              </w:rPr>
            </w:pPr>
            <w:r>
              <w:rPr>
                <w:rFonts w:ascii="Arial" w:cs="Arial" w:eastAsia="Arial" w:hAnsi="Arial"/>
                <w:sz w:val="18"/>
                <w:szCs w:val="18"/>
                <w:color w:val="auto"/>
              </w:rPr>
              <w:t>157,807</w:t>
            </w:r>
          </w:p>
        </w:tc>
        <w:tc>
          <w:tcPr>
            <w:tcW w:w="20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109,022</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54,182</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21,623</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371,216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396,762</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421,514</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459,348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216,624</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114,002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500" w:firstLine="397"/>
        <w:spacing w:after="0" w:line="264" w:lineRule="auto"/>
        <w:rPr>
          <w:sz w:val="20"/>
          <w:szCs w:val="20"/>
          <w:color w:val="auto"/>
        </w:rPr>
      </w:pPr>
      <w:r>
        <w:rPr>
          <w:rFonts w:ascii="Arial" w:cs="Arial" w:eastAsia="Arial" w:hAnsi="Arial"/>
          <w:sz w:val="18"/>
          <w:szCs w:val="18"/>
          <w:color w:val="auto"/>
        </w:rPr>
        <w:t>The proceeds from this offering, based on the last reported sales price of our Common Stock on October 6, 2010, will be approximately $131,310,000 ($151,006,500 if the underwriters exercise their option to purchase additional shares in full), before deducting fees and before expenses.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use the net proceeds from this offering for general corporate purposes.</w:t>
      </w:r>
    </w:p>
    <w:p>
      <w:pPr>
        <w:spacing w:after="0" w:line="343"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Regeneron, organized under the laws of the State of New York, is subject to Sections 510 and 513 of the New York Business Corporation Law, which govern the payment of dividends on or the repurchase or redemption of its capital stock. We are restricted from engaging in any of these activities unless we maintain a capital surplus.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DILUTION</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If you invest in our Common Stock, your interest will be diluted immediately to the extent of the difference between the public offering price per share of our Common Stock and the adjusted net tangible book value per common share after this offering.</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net tangible book value of our common shares as of June 30, 2010, was approximately $371.2 million, or approximately $4.52 per share. Net tangible book value per share represents the amount of our total tangible assets less total liabilities divided by the total number of shares of our Common Stock and Class A Stock outstanding.</w:t>
      </w:r>
    </w:p>
    <w:p>
      <w:pPr>
        <w:spacing w:after="0" w:line="87" w:lineRule="exact"/>
        <w:rPr>
          <w:sz w:val="20"/>
          <w:szCs w:val="20"/>
          <w:color w:val="auto"/>
        </w:rPr>
      </w:pPr>
    </w:p>
    <w:p>
      <w:pPr>
        <w:ind w:left="700" w:right="360" w:firstLine="397"/>
        <w:spacing w:after="0" w:line="342"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for our Common Stock in this offering and the net tangible book value per common share immediately following the completion of this offering.</w:t>
      </w:r>
    </w:p>
    <w:p>
      <w:pPr>
        <w:spacing w:after="0" w:line="29"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After giving effect to the sale of shares of Common Stock offered by this prospectus supplement at an assumed offering price of $29.18 per share (which was the last reported sale price on October 6, 2010) in connection with this offering and before deducting the estimated underwriting discounts and our estimated offering expenses, our pro forma net tangible book value as of June 30, 2010 would have been approximately $502.5 million or approximately $5.80 per share. This represents an immediate increase in net tangible book value of approximately $1.28 per share to our existing stockholders and an immediate dilution in pro forma net tangible book value of approximately $23.38 per share to purchasers of our Common Stock in this offering, as illustrated by the following table:</w:t>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29.18</w:t>
            </w: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Net tangible book value per share as of June 30, 2010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new investors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w w:val="96"/>
              </w:rPr>
              <w:t>Pro forma net tangible book value per share as of June 30, 2010 after giving effect to this offering</w:t>
            </w:r>
          </w:p>
        </w:tc>
        <w:tc>
          <w:tcPr>
            <w:tcW w:w="5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6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23.38</w:t>
            </w:r>
          </w:p>
        </w:tc>
        <w:tc>
          <w:tcPr>
            <w:tcW w:w="6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The discussion of dilution, and the table quantifying it, assume no exercise of any outstanding options or other potentially dilutive securities. The exercise of potentially dilutive securities having an exercise price less than the offering price would increase the dilutive effect to new investors.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table above excludes the following potentially dilutive securities as of June 30, 2010:</w:t>
      </w:r>
    </w:p>
    <w:p>
      <w:pPr>
        <w:spacing w:after="0" w:line="131" w:lineRule="exact"/>
        <w:rPr>
          <w:sz w:val="20"/>
          <w:szCs w:val="20"/>
          <w:color w:val="auto"/>
        </w:rPr>
      </w:pPr>
    </w:p>
    <w:p>
      <w:pPr>
        <w:ind w:left="1300" w:right="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20,388,616 shares issuable upon the exercise of stock options at a weighted average exercise price of $17.89 per share, of which 10,903,046 shares were exercisable as of that date.</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capitalization as of June 30, 2010:</w:t>
      </w:r>
    </w:p>
    <w:p>
      <w:pPr>
        <w:spacing w:after="0" w:line="131"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300" w:right="82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adjusted to give effect to this offering and the application of the estimated proceeds of this offering as described under “Use of Proceeds.”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table assumes that the underwriters’ options to purchase additional shares related to this offering are not exercised.</w:t>
      </w:r>
    </w:p>
    <w:p>
      <w:pPr>
        <w:spacing w:after="0" w:line="131" w:lineRule="exact"/>
        <w:rPr>
          <w:sz w:val="20"/>
          <w:szCs w:val="20"/>
          <w:color w:val="auto"/>
        </w:rPr>
      </w:pPr>
    </w:p>
    <w:p>
      <w:pPr>
        <w:ind w:left="700" w:right="860" w:firstLine="397"/>
        <w:spacing w:after="0" w:line="264" w:lineRule="auto"/>
        <w:rPr>
          <w:sz w:val="20"/>
          <w:szCs w:val="20"/>
          <w:color w:val="auto"/>
        </w:rPr>
      </w:pPr>
      <w:r>
        <w:rPr>
          <w:rFonts w:ascii="Arial" w:cs="Arial" w:eastAsia="Arial" w:hAnsi="Arial"/>
          <w:sz w:val="18"/>
          <w:szCs w:val="18"/>
          <w:color w:val="auto"/>
        </w:rPr>
        <w:t>You should read this table together with our financial statements and notes thereto and other financial and operating data included elsewhere in this prospectus supplement or in the accompanying prospectus or incorporated by reference into this prospectus supplement or the accompanying prospectus.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92"/>
              </w:rPr>
              <w:t>June 30, 2010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left="456"/>
              <w:spacing w:after="0" w:line="119"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Facility lease obligations, current portion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Facility lease obligations, long-term portion</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157,359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facility lease obligations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157,807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70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4"/>
              </w:rPr>
              <w:t>Preferred stock, $0.01 par value; 30,000,000 shares authorized, no shares issued and outstanding</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1"/>
              </w:rPr>
              <w:t>Class A Stock, convertible, $0.001 par value; 40,000,000 shares authorized, 2,182,036 shares issued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160,000,000 shares authorized, 79,923,216 shares issued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actual; 84,423,216 shares issued and outstanding, as adjusted</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1,368,531</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1,499,837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(997,091)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(997,091)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371,216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502,526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700"/>
              <w:spacing w:after="0"/>
              <w:rPr>
                <w:sz w:val="20"/>
                <w:szCs w:val="20"/>
                <w:color w:val="auto"/>
              </w:rPr>
            </w:pPr>
            <w:r>
              <w:rPr>
                <w:rFonts w:ascii="Arial" w:cs="Arial" w:eastAsia="Arial" w:hAnsi="Arial"/>
                <w:sz w:val="18"/>
                <w:szCs w:val="18"/>
                <w:color w:val="auto"/>
              </w:rPr>
              <w:t>Total capitalization</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660,333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420" w:type="dxa"/>
            <w:vAlign w:val="bottom"/>
            <w:vMerge w:val="restart"/>
          </w:tcPr>
          <w:p>
            <w:pPr>
              <w:ind w:left="4840"/>
              <w:spacing w:after="0"/>
              <w:rPr>
                <w:sz w:val="20"/>
                <w:szCs w:val="20"/>
                <w:color w:val="auto"/>
              </w:rPr>
            </w:pPr>
            <w:r>
              <w:rPr>
                <w:rFonts w:ascii="Arial" w:cs="Arial" w:eastAsia="Arial" w:hAnsi="Arial"/>
                <w:sz w:val="18"/>
                <w:szCs w:val="18"/>
                <w:color w:val="auto"/>
              </w:rPr>
              <w:t>S-7</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We intend to offer shares of our Common Stock through Citigroup Global Markets Inc. We have agreed to sell to the underwriter, and the underwriter has agreed to purchase from us, 4,500,000 shares of our Common Stock.</w:t>
      </w:r>
    </w:p>
    <w:p>
      <w:pPr>
        <w:spacing w:after="0" w:line="76"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The underwriter has agreed to purchase all of the shares of our Common Stock (other than those covered by the over-allotment option described below) sold under the underwriting agreement. The underwriter is offering the shares of our Common Stock, when, as and if issued to and accepted by it, subject to approval of legal matters by its counsel, including the validity of the Common Stock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64"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and to contribute to payments that the underwriter may be required to make in respect of those liabilities.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Discounts</w:t>
      </w:r>
    </w:p>
    <w:p>
      <w:pPr>
        <w:spacing w:after="0" w:line="135"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In connection with the sale of the shares of Common Stock offered hereby, the underwriter may be deemed to have received compensation in the form of underwriting discounts. The underwriter proposes to offer the shares of Common Stock from time to time for sale in one or more transactions in the over-the-counter market, through negotiated transactions or otherwise at market prices prevailing at the time of sale, at prices related to prevailing market prices or negotiated prices, subject to receipt and acceptance by it and subject to its right to reject any order in whole or in part. The underwriter may effect such transactions by selling shares of Common Stock to or through dealers, and such dealers may receive compensation in the form of discounts, concessions or commissions from the underwriter and/or purchasers of shares of Common Stock for whom it may act as agent or to whom it may sell as principal.</w:t>
      </w:r>
    </w:p>
    <w:p>
      <w:pPr>
        <w:spacing w:after="0" w:line="73"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The expenses of the offering are estimated to be approximately $ . We are responsible for all expenses related to the offering, whether or not it is completed.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Over-Allotment Option</w:t>
      </w:r>
    </w:p>
    <w:p>
      <w:pPr>
        <w:spacing w:after="0" w:line="135" w:lineRule="exact"/>
        <w:rPr>
          <w:sz w:val="20"/>
          <w:szCs w:val="20"/>
          <w:color w:val="auto"/>
        </w:rPr>
      </w:pPr>
    </w:p>
    <w:p>
      <w:pPr>
        <w:ind w:left="1080"/>
        <w:spacing w:after="0"/>
        <w:tabs>
          <w:tab w:leader="none" w:pos="9720" w:val="left"/>
        </w:tabs>
        <w:rPr>
          <w:sz w:val="20"/>
          <w:szCs w:val="20"/>
          <w:color w:val="auto"/>
        </w:rPr>
      </w:pPr>
      <w:r>
        <w:rPr>
          <w:rFonts w:ascii="Arial" w:cs="Arial" w:eastAsia="Arial" w:hAnsi="Arial"/>
          <w:sz w:val="18"/>
          <w:szCs w:val="18"/>
          <w:color w:val="auto"/>
        </w:rPr>
        <w:t>We have granted an option to the underwriter to purchase up to 675,000 additional shares of our Common Stock at $</w:t>
      </w:r>
      <w:r>
        <w:rPr>
          <w:sz w:val="20"/>
          <w:szCs w:val="20"/>
          <w:color w:val="auto"/>
        </w:rPr>
        <w:tab/>
      </w:r>
      <w:r>
        <w:rPr>
          <w:rFonts w:ascii="Arial" w:cs="Arial" w:eastAsia="Arial" w:hAnsi="Arial"/>
          <w:sz w:val="15"/>
          <w:szCs w:val="15"/>
          <w:color w:val="auto"/>
        </w:rPr>
        <w:t>per share.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underwriter may exercise this option for 30 days from the date of this prospectus supplement solely to cover any over-allotments.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left="700" w:right="340" w:firstLine="397"/>
        <w:spacing w:after="0" w:line="302" w:lineRule="auto"/>
        <w:rPr>
          <w:sz w:val="20"/>
          <w:szCs w:val="20"/>
          <w:color w:val="auto"/>
        </w:rPr>
      </w:pPr>
      <w:r>
        <w:rPr>
          <w:rFonts w:ascii="Arial" w:cs="Arial" w:eastAsia="Arial" w:hAnsi="Arial"/>
          <w:sz w:val="16"/>
          <w:szCs w:val="16"/>
          <w:color w:val="auto"/>
        </w:rPr>
        <w:t>For a period of 45 days after the date of this prospectus supplement, we will not, without the prior written consent of Citigroup Global Markets Inc., purchase or sell or dispose of or hedge any shares of our Common Stock or any securities convertible into or exercisable or exchangeable for shares of our Common Stock, other than issuances of shares of restricted stock or stock options (or shares issued upon the exercise of stock options), in each case, to our employees or directors pursuant to our equity incentive plans.</w:t>
      </w:r>
    </w:p>
    <w:p>
      <w:pPr>
        <w:spacing w:after="0" w:line="60"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We have imposed a blackout period on trading in our Common Stock for our executive officers and our directors for a period of 30 days after the date of this prospectus supplement. As a result, they will not purchase or sell any shares of our Common Stock or any securities convertible into or exercisable or exchangeable for shares of our Common Stock during this 30-day period. The Company has also agreed not to waive any existing lockup agreements that exist as of the date of this prospectus supplement during such 30-day period.</w:t>
      </w:r>
    </w:p>
    <w:p>
      <w:pPr>
        <w:spacing w:after="0" w:line="94"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Notwithstanding the above, our executive officers and directors may sell or otherwise transfer shares of our Common Stock, or securities convertible into or exercisable for shares of our Common Stock pursuant to any written trading plan under Rule 10b5-1 of the Exchange Act, which exists as of the date of this prospectus supplement.</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35"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Until distribution of the shares of our Common Stock is completed, SEC rules may limit the underwriter from bidding for and purchasing shares of our Common Stock. However, the underwriter may engage in transactions that stabilize the price of the shares of our Common Stock, such as bids or purchases to peg, fix or maintain that price.</w:t>
      </w:r>
    </w:p>
    <w:p>
      <w:pPr>
        <w:spacing w:after="0" w:line="87"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If the underwriter creates a short position in our Common Stock in connection with this offering (i.e., if it sells more shares of our Common Stock than are listed on the cover page of this prospectus supplement), the underwriter may reduce that short position by purchasing shares of our Common Stock in the open market. The underwriter may also elect to reduce any short position by exercising all or part of the over-allotment option described above. Purchases of shares of our Common Stock to stabilize its price or to reduce a short position may cause the price of shares of our Common Stock to be higher than it might be in the absence of such purchases.</w:t>
      </w:r>
    </w:p>
    <w:p>
      <w:pPr>
        <w:spacing w:after="0" w:line="64"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The underwriter also may impose a penalty bid, whereby the underwriter may reclaim selling concessions allowed to other broker-dealers in respect of the Common Stock sold in the offering for its account if the underwriter repurchases the shares in stabilizing or covering transactions. These activities may stabilize, maintain or otherwise affect the market price of the Common Stock, which may be higher than the price that might otherwise prevail in the open market. The imposition of a penalty bid may also affect the price of the shares of our Common Stock in that it discourages resales of those shares of our Common Stock.</w:t>
      </w:r>
    </w:p>
    <w:p>
      <w:pPr>
        <w:spacing w:after="0" w:line="78"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underwriter has advised us that these transactions may be effected on the NASDAQ Global Select Market or otherwise. Neither we nor the underwriter make any representation or prediction as to the direction or magnitude of any effect that the transactions described above may have on the price of shares of our Common Stock. In addition, neither we nor the underwriter makes any representation that the underwriter will engage in these transactions or that these transactions, once commenced, will not be discontinued without notice.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Relationship with Regeneron</w:t>
      </w:r>
    </w:p>
    <w:p>
      <w:pPr>
        <w:spacing w:after="0" w:line="135" w:lineRule="exact"/>
        <w:rPr>
          <w:sz w:val="20"/>
          <w:szCs w:val="20"/>
          <w:color w:val="auto"/>
        </w:rPr>
      </w:pPr>
    </w:p>
    <w:p>
      <w:pPr>
        <w:ind w:left="700" w:right="300" w:firstLine="397"/>
        <w:spacing w:after="0" w:line="286" w:lineRule="auto"/>
        <w:rPr>
          <w:sz w:val="20"/>
          <w:szCs w:val="20"/>
          <w:color w:val="auto"/>
        </w:rPr>
      </w:pPr>
      <w:r>
        <w:rPr>
          <w:rFonts w:ascii="Arial" w:cs="Arial" w:eastAsia="Arial" w:hAnsi="Arial"/>
          <w:sz w:val="17"/>
          <w:szCs w:val="17"/>
          <w:color w:val="auto"/>
        </w:rPr>
        <w:t>In the ordinary course of business, the underwriter and its affiliates have in the past, and may in the future, engage in investment banking or other transactions of a financial nature with us, including the provision of certain advisory services to us or financing transactions for which they have received, and may in the future receive, customary compensation.</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The validity of our Common Stock offered in this offering and certain other legal matters will be passed on for us by Skadden, Arps, Slate, Meagher &amp; Flom LLP, New York, New York, and for the underwriters by Ropes &amp; Gray LLP, New York, New York.</w:t>
      </w:r>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300" w:firstLine="397"/>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2009 have been so incorporated in reliance on the report of PricewaterhouseCoopers LLP, an independent registered public accounting firm, given on the authority of said firm as experts in accounting and auditing.</w:t>
      </w:r>
    </w:p>
    <w:p>
      <w:pPr>
        <w:spacing w:after="0" w:line="30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We are subject to the reporting requirements of the Exchange Act and must file annual, quarterly and special reports, proxy statements and other information with the SEC. You may also read and copy documents filed by us at the SEC’s public reference room at 100 F Street, E, Washington, D.C. 20549. You may obtain information on the operation of the SEC’s public reference room by calling the SEC at 1-800-SEC-0330. The SEC maintains a web site that contains reports, proxy and information statements and other information we have filed electronically with the SEC. This web site is located at </w:t>
      </w:r>
      <w:r>
        <w:rPr>
          <w:rFonts w:ascii="Arial" w:cs="Arial" w:eastAsia="Arial" w:hAnsi="Arial"/>
          <w:sz w:val="18"/>
          <w:szCs w:val="18"/>
          <w:u w:val="single" w:color="auto"/>
          <w:color w:val="auto"/>
        </w:rPr>
        <w:t>http://www.sec.gov</w:t>
      </w:r>
      <w:r>
        <w:rPr>
          <w:rFonts w:ascii="Arial" w:cs="Arial" w:eastAsia="Arial" w:hAnsi="Arial"/>
          <w:sz w:val="18"/>
          <w:szCs w:val="18"/>
          <w:color w:val="auto"/>
        </w:rPr>
        <w:t>. Our Common Stock is listed on the NASDAQ Global Select</w:t>
      </w:r>
    </w:p>
    <w:p>
      <w:pPr>
        <w:spacing w:after="0" w:line="3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 xml:space="preserve">Market. Accordingly, certain reports, proxy statements and other information we have filed with the SEC may also be inspected at the offices of the NASDAQ Stock Market, One Liberty Plaza, 165 Broadway, New York, New York 10006. Certain information is also available at our web site or from links on our web site at </w:t>
      </w:r>
      <w:r>
        <w:rPr>
          <w:rFonts w:ascii="Arial" w:cs="Arial" w:eastAsia="Arial" w:hAnsi="Arial"/>
          <w:sz w:val="18"/>
          <w:szCs w:val="18"/>
          <w:u w:val="single" w:color="auto"/>
          <w:color w:val="auto"/>
        </w:rPr>
        <w:t>http://www.regeneron.com</w:t>
      </w:r>
      <w:r>
        <w:rPr>
          <w:rFonts w:ascii="Arial" w:cs="Arial" w:eastAsia="Arial" w:hAnsi="Arial"/>
          <w:sz w:val="18"/>
          <w:szCs w:val="18"/>
          <w:color w:val="auto"/>
        </w:rPr>
        <w:t>. Information on our web site does not constitute part of this prospectus supplement.</w:t>
      </w:r>
    </w:p>
    <w:p>
      <w:pPr>
        <w:spacing w:after="0" w:line="92" w:lineRule="exact"/>
        <w:rPr>
          <w:sz w:val="20"/>
          <w:szCs w:val="20"/>
          <w:color w:val="auto"/>
        </w:rPr>
      </w:pPr>
    </w:p>
    <w:p>
      <w:pPr>
        <w:ind w:left="700" w:right="260" w:firstLine="397"/>
        <w:spacing w:after="0" w:line="293" w:lineRule="auto"/>
        <w:rPr>
          <w:sz w:val="20"/>
          <w:szCs w:val="20"/>
          <w:color w:val="auto"/>
        </w:rPr>
      </w:pPr>
      <w:r>
        <w:rPr>
          <w:rFonts w:ascii="Arial" w:cs="Arial" w:eastAsia="Arial" w:hAnsi="Arial"/>
          <w:sz w:val="16"/>
          <w:szCs w:val="16"/>
          <w:color w:val="auto"/>
        </w:rPr>
        <w:t>We have filed a registration statement (together with all amendments to the registration statement, collectively, the “Registration Statement”) with the SEC under the Securities Act, with respect to the securities offered under this prospectus. This prospectus supplement does not contain all of the information included in the Registration Statement and the exhibits and schedules thereto. For further information with respect to Regeneron and our securities, we refer you to the Registration Statement and the exhibits thereto. Statements in this prospectus supplement concerning the provisions of documents are necessarily summaries of such documents, and each such statement is qualified in its entirety by reference to the copy of the applicable document filed with the SEC.</w:t>
      </w:r>
    </w:p>
    <w:p>
      <w:pPr>
        <w:spacing w:after="0" w:line="28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them, which means that we can disclose important information to you by referring you to those documents. Any statement contained or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superseded such earlier statement. Any statement so modified or superseded shall not be deemed, except as so modified or superseded, to constitute a part of this prospectus supplement. We incorporate by reference the documents listed below (except as specifically set forth below, other than information that we have furnished on Form 8-K, which information is expressly not incorporated by reference herein):</w:t>
      </w:r>
    </w:p>
    <w:p>
      <w:pPr>
        <w:spacing w:after="0" w:line="98"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2009, filed on February 18, 2010.</w:t>
      </w:r>
    </w:p>
    <w:p>
      <w:pPr>
        <w:spacing w:after="0" w:line="117" w:lineRule="exact"/>
        <w:rPr>
          <w:rFonts w:ascii="Arial" w:cs="Arial" w:eastAsia="Arial" w:hAnsi="Arial"/>
          <w:sz w:val="18"/>
          <w:szCs w:val="18"/>
          <w:color w:val="auto"/>
        </w:rPr>
      </w:pPr>
    </w:p>
    <w:p>
      <w:pPr>
        <w:ind w:left="1300" w:right="66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 ended March 31, 2010, filed on April 29, 2010 and for the quarterly period ended June 30, 2010, filed on July 28, 2010.</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Current Reports on Form 8-K, filed on February 16, 2010, May 13, 2010, June 10, 2010, June 14, 2010 and July 29, 2010.</w:t>
      </w:r>
    </w:p>
    <w:p>
      <w:pPr>
        <w:spacing w:after="0" w:line="15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All documents that we file pursuant to Section 13(a), 13(c), 14, or 15(d) of the Exchange Act subsequent to the date of this prospectus including on a Current Report on Form 8-K with respect to certain exhibits to the registration statement in connection with this offering, and, in all events, prior to the termination of this offering shall be deemed to be incorporated by reference into this prospectus and to be a part of this prospectus from the respective dates of filing of such documents, except for information furnished under Item 2.02 and Item 7.01 of Form 8-K and related exhibits, which is not deemed filed and not incorporated by reference herein. Any statement contained in a document incorporated or deemed to be incorporated by reference in this prospectus shall be deemed to be modified or superseded for purposes of this prospectus to the extent that a statement contained in this prospectus or in any other subsequently filed document which also is, or is deemed to be, incorporated by reference herein modifies or supersedes such statement.</w:t>
      </w:r>
    </w:p>
    <w:p>
      <w:pPr>
        <w:spacing w:after="0" w:line="72"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You may request a copy of any document we incorporate by reference, except exhibits to the documents (unless the exhibits are specifically incorporated by reference), at no cost, by writing or calling us at:</w:t>
      </w:r>
    </w:p>
    <w:p>
      <w:pPr>
        <w:spacing w:after="0" w:line="184"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80" w:right="4380" w:hanging="386"/>
        <w:spacing w:after="0" w:line="852" w:lineRule="auto"/>
        <w:tabs>
          <w:tab w:leader="none" w:pos="5522" w:val="left"/>
        </w:tabs>
        <w:numPr>
          <w:ilvl w:val="0"/>
          <w:numId w:val="6"/>
        </w:numPr>
        <w:rPr>
          <w:rFonts w:ascii="Arial" w:cs="Arial" w:eastAsia="Arial" w:hAnsi="Arial"/>
          <w:sz w:val="16"/>
          <w:szCs w:val="16"/>
          <w:color w:val="auto"/>
        </w:rPr>
      </w:pPr>
      <w:r>
        <w:rPr>
          <w:rFonts w:ascii="Arial" w:cs="Arial" w:eastAsia="Arial" w:hAnsi="Arial"/>
          <w:sz w:val="16"/>
          <w:szCs w:val="16"/>
          <w:color w:val="auto"/>
        </w:rPr>
        <w:t>345-7741 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14"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Regeneron Pharmaceuticals, Inc.</w:t>
      </w:r>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WARRANTS</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from time to time offer to sell together or separately in one or more offerings:</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 and convertible or non-convertible;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87"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This prospectus may not be used to sell securities unless accompanied by a prospectus supplement or a free writing prospectus.</w:t>
      </w:r>
    </w:p>
    <w:p>
      <w:pPr>
        <w:spacing w:after="0" w:line="154" w:lineRule="exact"/>
        <w:rPr>
          <w:sz w:val="20"/>
          <w:szCs w:val="20"/>
          <w:color w:val="auto"/>
        </w:rPr>
      </w:pPr>
    </w:p>
    <w:p>
      <w:pPr>
        <w:ind w:left="700" w:right="800" w:firstLine="397"/>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trading symbol “REGN.” Each prospectus supplement will indicate if the securities offered thereby will be listed on any securities exchange.</w:t>
      </w:r>
    </w:p>
    <w:p>
      <w:pPr>
        <w:spacing w:after="0" w:line="63" w:lineRule="exact"/>
        <w:rPr>
          <w:sz w:val="20"/>
          <w:szCs w:val="20"/>
          <w:color w:val="auto"/>
        </w:rPr>
      </w:pPr>
    </w:p>
    <w:p>
      <w:pPr>
        <w:ind w:left="700" w:right="500" w:firstLine="496"/>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“Risk Factors” on page 2 before you make your investment decision.</w:t>
      </w:r>
    </w:p>
    <w:p>
      <w:pPr>
        <w:spacing w:after="0" w:line="77"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The date of this prospectus is October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80" w:type="dxa"/>
            <w:vAlign w:val="bottom"/>
            <w:gridSpan w:val="2"/>
          </w:tcPr>
          <w:p>
            <w:pPr>
              <w:ind w:left="11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800" w:type="dxa"/>
            <w:vAlign w:val="bottom"/>
          </w:tcPr>
          <w:p>
            <w:pPr>
              <w:spacing w:after="0"/>
              <w:rPr>
                <w:sz w:val="24"/>
                <w:szCs w:val="24"/>
                <w:color w:val="auto"/>
              </w:rPr>
            </w:pPr>
          </w:p>
        </w:tc>
      </w:tr>
      <w:tr>
        <w:trPr>
          <w:trHeight w:val="223"/>
        </w:trPr>
        <w:tc>
          <w:tcPr>
            <w:tcW w:w="700" w:type="dxa"/>
            <w:vAlign w:val="bottom"/>
          </w:tcPr>
          <w:p>
            <w:pPr>
              <w:spacing w:after="0"/>
              <w:rPr>
                <w:sz w:val="19"/>
                <w:szCs w:val="19"/>
                <w:color w:val="auto"/>
              </w:rPr>
            </w:pPr>
          </w:p>
        </w:tc>
        <w:tc>
          <w:tcPr>
            <w:tcW w:w="1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w:t>
              </w:r>
            </w:hyperlink>
          </w:p>
        </w:tc>
        <w:tc>
          <w:tcPr>
            <w:tcW w:w="7900" w:type="dxa"/>
            <w:vAlign w:val="bottom"/>
            <w:gridSpan w:val="7"/>
          </w:tcPr>
          <w:p>
            <w:pPr>
              <w:spacing w:after="0"/>
              <w:rPr>
                <w:sz w:val="19"/>
                <w:szCs w:val="19"/>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ii</w:t>
            </w:r>
          </w:p>
        </w:tc>
        <w:tc>
          <w:tcPr>
            <w:tcW w:w="80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8840" w:type="dxa"/>
            <w:vAlign w:val="bottom"/>
            <w:gridSpan w:val="1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8640" w:type="dxa"/>
            <w:vAlign w:val="bottom"/>
            <w:gridSpan w:val="11"/>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Ratio of Earnings to Fixed Charges</w:t>
              </w:r>
            </w:hyperlink>
          </w:p>
        </w:tc>
        <w:tc>
          <w:tcPr>
            <w:tcW w:w="7000" w:type="dxa"/>
            <w:vAlign w:val="bottom"/>
            <w:gridSpan w:val="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Securities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Capital Stock</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Debt Securities</w:t>
              </w:r>
            </w:hyperlink>
          </w:p>
        </w:tc>
        <w:tc>
          <w:tcPr>
            <w:tcW w:w="7360" w:type="dxa"/>
            <w:vAlign w:val="bottom"/>
            <w:gridSpan w:val="4"/>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Description of Warrants</w:t>
              </w:r>
            </w:hyperlink>
          </w:p>
        </w:tc>
        <w:tc>
          <w:tcPr>
            <w:tcW w:w="7760" w:type="dxa"/>
            <w:vAlign w:val="bottom"/>
            <w:gridSpan w:val="6"/>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2"/>
          </w:tcPr>
          <w:p>
            <w:pPr>
              <w:spacing w:after="0"/>
              <w:rPr>
                <w:sz w:val="17"/>
                <w:szCs w:val="17"/>
                <w:color w:val="auto"/>
              </w:rPr>
            </w:pPr>
          </w:p>
        </w:tc>
        <w:tc>
          <w:tcPr>
            <w:tcW w:w="8120" w:type="dxa"/>
            <w:vAlign w:val="bottom"/>
            <w:gridSpan w:val="8"/>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Experts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5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Cautionary Statement Regarding Forward-Looking Statements</w:t>
              </w:r>
            </w:hyperlink>
          </w:p>
        </w:tc>
        <w:tc>
          <w:tcPr>
            <w:tcW w:w="5020" w:type="dxa"/>
            <w:vAlign w:val="bottom"/>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54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20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260" w:type="dxa"/>
            <w:vAlign w:val="bottom"/>
            <w:tcBorders>
              <w:top w:val="single" w:sz="8" w:color="0000EE"/>
              <w:bottom w:val="single" w:sz="8" w:color="808080"/>
            </w:tcBorders>
          </w:tcPr>
          <w:p>
            <w:pPr>
              <w:spacing w:after="0"/>
              <w:rPr>
                <w:sz w:val="21"/>
                <w:szCs w:val="21"/>
                <w:color w:val="auto"/>
              </w:rPr>
            </w:pPr>
          </w:p>
        </w:tc>
        <w:tc>
          <w:tcPr>
            <w:tcW w:w="22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26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360" w:type="dxa"/>
            <w:vAlign w:val="bottom"/>
            <w:tcBorders>
              <w:top w:val="single" w:sz="8" w:color="0000EE"/>
              <w:bottom w:val="single" w:sz="8" w:color="808080"/>
            </w:tcBorders>
          </w:tcPr>
          <w:p>
            <w:pPr>
              <w:spacing w:after="0"/>
              <w:rPr>
                <w:sz w:val="21"/>
                <w:szCs w:val="21"/>
                <w:color w:val="auto"/>
              </w:rPr>
            </w:pPr>
          </w:p>
        </w:tc>
        <w:tc>
          <w:tcPr>
            <w:tcW w:w="320" w:type="dxa"/>
            <w:vAlign w:val="bottom"/>
            <w:tcBorders>
              <w:top w:val="single" w:sz="8" w:color="0000EE"/>
              <w:bottom w:val="single" w:sz="8" w:color="808080"/>
            </w:tcBorders>
          </w:tcPr>
          <w:p>
            <w:pPr>
              <w:spacing w:after="0"/>
              <w:rPr>
                <w:sz w:val="21"/>
                <w:szCs w:val="21"/>
                <w:color w:val="auto"/>
              </w:rPr>
            </w:pPr>
          </w:p>
        </w:tc>
        <w:tc>
          <w:tcPr>
            <w:tcW w:w="1660" w:type="dxa"/>
            <w:vAlign w:val="bottom"/>
            <w:tcBorders>
              <w:bottom w:val="single" w:sz="8" w:color="808080"/>
            </w:tcBorders>
          </w:tcPr>
          <w:p>
            <w:pPr>
              <w:spacing w:after="0"/>
              <w:rPr>
                <w:sz w:val="21"/>
                <w:szCs w:val="21"/>
                <w:color w:val="auto"/>
              </w:rPr>
            </w:pPr>
          </w:p>
        </w:tc>
        <w:tc>
          <w:tcPr>
            <w:tcW w:w="502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87"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64"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71"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73"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87"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In this prospectus, unless otherwise specified or the context requires otherwise, we use the terms “Regeneron,” the “Company,” “we,” “us” and “our” to refer to Regeneron Pharmaceuticals, Inc. References to our “Common Stock” refer to shares of our common stock, par value $0.001 per share, references to our Class A Stock refer to our Class A Stock, par value $0.001 per share and references to our “common shares” shall mean, collectively, shares of Common Stock and shares of Class A Stock.</w:t>
      </w:r>
    </w:p>
    <w:p>
      <w:pPr>
        <w:spacing w:after="0" w:line="36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80" w:firstLine="397"/>
        <w:spacing w:after="0" w:line="264"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Regeneron Pharmaceuticals, Inc.</w:t>
      </w:r>
    </w:p>
    <w:p>
      <w:pPr>
        <w:spacing w:after="0" w:line="135" w:lineRule="exact"/>
        <w:rPr>
          <w:sz w:val="20"/>
          <w:szCs w:val="20"/>
          <w:color w:val="auto"/>
        </w:rPr>
      </w:pPr>
    </w:p>
    <w:p>
      <w:pPr>
        <w:ind w:left="920" w:right="120" w:firstLine="397"/>
        <w:spacing w:after="0" w:line="257"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5"/>
          <w:szCs w:val="15"/>
          <w:color w:val="auto"/>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94" w:lineRule="exact"/>
        <w:rPr>
          <w:sz w:val="20"/>
          <w:szCs w:val="20"/>
          <w:color w:val="auto"/>
        </w:rPr>
      </w:pPr>
    </w:p>
    <w:p>
      <w:pPr>
        <w:ind w:left="920" w:firstLine="397"/>
        <w:spacing w:after="0" w:line="270" w:lineRule="auto"/>
        <w:rPr>
          <w:sz w:val="20"/>
          <w:szCs w:val="20"/>
          <w:color w:val="auto"/>
        </w:rPr>
      </w:pPr>
      <w:r>
        <w:rPr>
          <w:rFonts w:ascii="Arial" w:cs="Arial" w:eastAsia="Arial" w:hAnsi="Arial"/>
          <w:sz w:val="17"/>
          <w:szCs w:val="17"/>
          <w:color w:val="auto"/>
        </w:rPr>
        <w:t>We have eight product candidates in clinical development, including three product candidates that are in late-stage (Phase 3) clinical development. Our late stage programs are ARCALYST</w:t>
      </w:r>
      <w:r>
        <w:rPr>
          <w:rFonts w:ascii="Arial" w:cs="Arial" w:eastAsia="Arial" w:hAnsi="Arial"/>
          <w:sz w:val="14"/>
          <w:szCs w:val="14"/>
          <w:color w:val="auto"/>
        </w:rPr>
        <w:t>®</w:t>
      </w:r>
      <w:r>
        <w:rPr>
          <w:rFonts w:ascii="Arial" w:cs="Arial" w:eastAsia="Arial" w:hAnsi="Arial"/>
          <w:sz w:val="17"/>
          <w:szCs w:val="17"/>
          <w:color w:val="auto"/>
        </w:rPr>
        <w:t xml:space="preserve"> (rilonacept), which is being developed for the prevention of gout-related flares in patients initiating uric acid-lowering treatment; VEGF Trap-Eye, which is being developed in eye diseases using intraocular delivery in collaboration with Bayer HealthCare LLC; and aflibercept (VEGF Trap), which is being developed in oncology in collaboration with the sanofi-aventis Group. Our earlier stage clinical programs are REGN727, an antibody to PCSK9, which is being developed for low density lipoprotein (LDL) cholesterol reduction; REGN88, an antibody to the interleukin-6 receptor (IL-6R), which is being developed in rheumatoid arthritis and ankylosing spondilitis; REGN421, an antibody to Delta-like ligand-4 (Dll4), which is being developed in oncology; REGN668, an antibody to the interleukin-4 receptor (IL-4R), which is being developed in atopic dermatitis; and REGN475, an antibody to Nerve Growth Factor (NGF), which is being developed for the treatment of pain. All five of our earlier stage clinical programs are fully human antibodies that are being developed in collaboration with sanofi-aventis.</w:t>
      </w:r>
    </w:p>
    <w:p>
      <w:pPr>
        <w:spacing w:after="0" w:line="83" w:lineRule="exact"/>
        <w:rPr>
          <w:sz w:val="20"/>
          <w:szCs w:val="20"/>
          <w:color w:val="auto"/>
        </w:rPr>
      </w:pPr>
    </w:p>
    <w:p>
      <w:pPr>
        <w:jc w:val="both"/>
        <w:ind w:left="920" w:right="140" w:firstLine="397"/>
        <w:spacing w:after="0" w:line="30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60" w:lineRule="exact"/>
        <w:rPr>
          <w:sz w:val="20"/>
          <w:szCs w:val="20"/>
          <w:color w:val="auto"/>
        </w:rPr>
      </w:pPr>
    </w:p>
    <w:p>
      <w:pPr>
        <w:ind w:left="920" w:right="20" w:firstLine="397"/>
        <w:spacing w:after="0" w:line="270" w:lineRule="auto"/>
        <w:rPr>
          <w:sz w:val="20"/>
          <w:szCs w:val="20"/>
          <w:color w:val="auto"/>
        </w:rPr>
      </w:pPr>
      <w:r>
        <w:rPr>
          <w:rFonts w:ascii="Arial" w:cs="Arial" w:eastAsia="Arial" w:hAnsi="Arial"/>
          <w:sz w:val="17"/>
          <w:szCs w:val="17"/>
          <w:color w:val="auto"/>
        </w:rPr>
        <w:t xml:space="preserve">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10"/>
          <w:szCs w:val="10"/>
          <w:color w:val="auto"/>
        </w:rPr>
        <w:t>TM</w:t>
      </w:r>
      <w:r>
        <w:rPr>
          <w:rFonts w:ascii="Arial" w:cs="Arial" w:eastAsia="Arial" w:hAnsi="Arial"/>
          <w:sz w:val="17"/>
          <w:szCs w:val="17"/>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7"/>
          <w:szCs w:val="17"/>
          <w:i w:val="1"/>
          <w:iCs w:val="1"/>
          <w:color w:val="auto"/>
        </w:rPr>
        <w:t>VelociGene</w:t>
      </w:r>
      <w:r>
        <w:rPr>
          <w:rFonts w:ascii="Arial" w:cs="Arial" w:eastAsia="Arial" w:hAnsi="Arial"/>
          <w:sz w:val="14"/>
          <w:szCs w:val="14"/>
          <w:color w:val="auto"/>
        </w:rPr>
        <w:t>®</w:t>
      </w:r>
      <w:r>
        <w:rPr>
          <w:rFonts w:ascii="Arial" w:cs="Arial" w:eastAsia="Arial" w:hAnsi="Arial"/>
          <w:sz w:val="17"/>
          <w:szCs w:val="17"/>
          <w:color w:val="auto"/>
        </w:rPr>
        <w:t xml:space="preserve"> technology to understand the role of these proteins in normal physiology as well as in models of disease. Our human monoclonal antibody technology </w:t>
      </w:r>
      <w:r>
        <w:rPr>
          <w:rFonts w:ascii="Arial" w:cs="Arial" w:eastAsia="Arial" w:hAnsi="Arial"/>
          <w:sz w:val="17"/>
          <w:szCs w:val="17"/>
          <w:i w:val="1"/>
          <w:iCs w:val="1"/>
          <w:color w:val="auto"/>
        </w:rPr>
        <w:t>(VelocImmune</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cell line expression technologies </w:t>
      </w:r>
      <w:r>
        <w:rPr>
          <w:rFonts w:ascii="Arial" w:cs="Arial" w:eastAsia="Arial" w:hAnsi="Arial"/>
          <w:sz w:val="17"/>
          <w:szCs w:val="17"/>
          <w:i w:val="1"/>
          <w:iCs w:val="1"/>
          <w:color w:val="auto"/>
        </w:rPr>
        <w:t>(VelociMab</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may then be utilized to design and produce new product candidates directed against the disease target. Our five antibody product candidates currently in clinical trials were developed using </w:t>
      </w:r>
      <w:r>
        <w:rPr>
          <w:rFonts w:ascii="Arial" w:cs="Arial" w:eastAsia="Arial" w:hAnsi="Arial"/>
          <w:sz w:val="17"/>
          <w:szCs w:val="17"/>
          <w:i w:val="1"/>
          <w:iCs w:val="1"/>
          <w:color w:val="auto"/>
        </w:rPr>
        <w:t>VelocImmune</w:t>
      </w:r>
      <w:r>
        <w:rPr>
          <w:rFonts w:ascii="Arial" w:cs="Arial" w:eastAsia="Arial" w:hAnsi="Arial"/>
          <w:sz w:val="14"/>
          <w:szCs w:val="14"/>
          <w:color w:val="auto"/>
        </w:rPr>
        <w:t>®</w:t>
      </w:r>
      <w:r>
        <w:rPr>
          <w:rFonts w:ascii="Arial" w:cs="Arial" w:eastAsia="Arial" w:hAnsi="Arial"/>
          <w:sz w:val="17"/>
          <w:szCs w:val="17"/>
          <w:color w:val="auto"/>
        </w:rPr>
        <w:t>. Under the terms of our antibody collaboration with sanofi-aventis, which was expanded during 2009, we plan to advance an average of four to five new antibody product candidates into 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83" w:lineRule="exact"/>
        <w:rPr>
          <w:sz w:val="20"/>
          <w:szCs w:val="20"/>
          <w:color w:val="auto"/>
        </w:rPr>
      </w:pPr>
    </w:p>
    <w:p>
      <w:pPr>
        <w:ind w:left="920" w:right="240" w:firstLine="397"/>
        <w:spacing w:after="0" w:line="259" w:lineRule="auto"/>
        <w:rPr>
          <w:sz w:val="20"/>
          <w:szCs w:val="20"/>
          <w:color w:val="auto"/>
        </w:rPr>
      </w:pPr>
      <w:r>
        <w:rPr>
          <w:rFonts w:ascii="Arial" w:cs="Arial" w:eastAsia="Arial" w:hAnsi="Arial"/>
          <w:sz w:val="18"/>
          <w:szCs w:val="18"/>
          <w:color w:val="auto"/>
        </w:rPr>
        <w:t>Our principal executive offices are located at 777 Old Saw Mill River Road, Tarrytown, New York 10591, and our telephone number at that address is (914) 345-7400. Our website address is www.regeneron.com. The information on, or accessible through, our website is not part of this prospectus and should not be relied upon in connection with making any investment decision with respect to the securities offered by this prospectus.</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You should consider the specific risks described in our Annual Report on Form 10-K for the year ended December 31, 2009 and our Quarterly Report on Form 10-Q for the quarter ended June 30, 2010,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18 of this prospectus.</w:t>
      </w:r>
    </w:p>
    <w:p>
      <w:pPr>
        <w:spacing w:after="0" w:line="28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1"/>
              </w:rPr>
              <w:t>June 30</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7"/>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2008(B)</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(Dollars</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Earnings: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rPr>
              <w:t>Pretax income (loss) from continuing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320"/>
              <w:spacing w:after="0"/>
              <w:rPr>
                <w:sz w:val="20"/>
                <w:szCs w:val="20"/>
                <w:color w:val="auto"/>
              </w:rPr>
            </w:pPr>
            <w:r>
              <w:rPr>
                <w:rFonts w:ascii="Arial" w:cs="Arial" w:eastAsia="Arial" w:hAnsi="Arial"/>
                <w:sz w:val="16"/>
                <w:szCs w:val="16"/>
                <w:color w:val="auto"/>
                <w:w w:val="95"/>
              </w:rPr>
              <w:t>operations before income (loss) from 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6"/>
                <w:szCs w:val="16"/>
                <w:color w:val="auto"/>
              </w:rPr>
              <w:t>investee</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(55,996)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(71,952)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8"/>
              <w:spacing w:after="0"/>
              <w:rPr>
                <w:sz w:val="20"/>
                <w:szCs w:val="20"/>
                <w:color w:val="auto"/>
              </w:rPr>
            </w:pPr>
            <w:r>
              <w:rPr>
                <w:rFonts w:ascii="Arial" w:cs="Arial" w:eastAsia="Arial" w:hAnsi="Arial"/>
                <w:sz w:val="16"/>
                <w:szCs w:val="16"/>
                <w:color w:val="auto"/>
                <w:w w:val="90"/>
              </w:rPr>
              <w:t>(76,778)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w w:val="90"/>
              </w:rPr>
              <w:t>(106,519)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(103,150)</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$(95,456)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charges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10,067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13,643</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13,687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rPr>
              <w:t>Amortization of capitalized interest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capitalized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(2,836)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6"/>
                <w:szCs w:val="16"/>
                <w:color w:val="auto"/>
              </w:rPr>
              <w:t>Adjusted earnings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00" w:type="dxa"/>
            <w:vAlign w:val="bottom"/>
            <w:gridSpan w:val="2"/>
            <w:vMerge w:val="continue"/>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(50,305)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(66,890)</w:t>
            </w:r>
          </w:p>
        </w:tc>
        <w:tc>
          <w:tcPr>
            <w:tcW w:w="2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228"/>
              <w:spacing w:after="0"/>
              <w:rPr>
                <w:sz w:val="20"/>
                <w:szCs w:val="20"/>
                <w:color w:val="auto"/>
              </w:rPr>
            </w:pPr>
            <w:r>
              <w:rPr>
                <w:rFonts w:ascii="Arial" w:cs="Arial" w:eastAsia="Arial" w:hAnsi="Arial"/>
                <w:sz w:val="16"/>
                <w:szCs w:val="16"/>
                <w:color w:val="auto"/>
                <w:w w:val="90"/>
              </w:rPr>
              <w:t>(66,691)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(92,482)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(89,434)</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Fixed charges: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4,426</w:t>
            </w:r>
          </w:p>
        </w:tc>
        <w:tc>
          <w:tcPr>
            <w:tcW w:w="3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2,337</w:t>
            </w:r>
          </w:p>
        </w:tc>
        <w:tc>
          <w:tcPr>
            <w:tcW w:w="3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7,752</w:t>
            </w:r>
          </w:p>
        </w:tc>
        <w:tc>
          <w:tcPr>
            <w:tcW w:w="3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12,043</w:t>
            </w:r>
          </w:p>
        </w:tc>
        <w:tc>
          <w:tcPr>
            <w:tcW w:w="3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12,043</w:t>
            </w:r>
          </w:p>
        </w:tc>
        <w:tc>
          <w:tcPr>
            <w:tcW w:w="3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$ 12,046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capitalized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w w:val="94"/>
              </w:rPr>
              <w:t>Assumed interest component of rental charges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Total fixed charges</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8,517</w:t>
            </w:r>
          </w:p>
        </w:tc>
        <w:tc>
          <w:tcPr>
            <w:tcW w:w="3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3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10,067</w:t>
            </w:r>
          </w:p>
        </w:tc>
        <w:tc>
          <w:tcPr>
            <w:tcW w:w="3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3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13,643</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$ 13,687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6"/>
                <w:szCs w:val="16"/>
                <w:color w:val="auto"/>
              </w:rPr>
              <w:t>Ratio of earnings to fixed charges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jc w:val="both"/>
        <w:ind w:left="1040" w:right="20" w:hanging="347"/>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the Company’s losses for the six months ended June 30, 2010 and for the years ended December 31, 2009, 2008, 2007, 2006, and 2005, the ratio coverage was less than 1:1. To achieve a coverage ratio of 1:1, the Company must generate additional earnings of the amounts shown in the table below.</w:t>
      </w:r>
    </w:p>
    <w:p>
      <w:pPr>
        <w:spacing w:after="0" w:line="19" w:lineRule="exact"/>
        <w:rPr>
          <w:rFonts w:ascii="Arial" w:cs="Arial" w:eastAsia="Arial" w:hAnsi="Arial"/>
          <w:sz w:val="18"/>
          <w:szCs w:val="18"/>
          <w:color w:val="auto"/>
        </w:rPr>
      </w:pPr>
    </w:p>
    <w:p>
      <w:pPr>
        <w:ind w:left="1040" w:right="20" w:hanging="347"/>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year ended December 31,2008, the Company repurchased $82.5 million and repaid the remaining $117.5 million of its convertible senior subordinate notes. As of December 31, 2008, the Company therefore did not have any registered debt outstanding.</w:t>
      </w: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60" w:type="dxa"/>
            <w:vAlign w:val="bottom"/>
            <w:gridSpan w:val="5"/>
            <w:vMerge w:val="restart"/>
          </w:tcPr>
          <w:p>
            <w:pPr>
              <w:jc w:val="right"/>
              <w:ind w:right="808"/>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June 30</w:t>
            </w: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2008(B)</w:t>
            </w:r>
          </w:p>
        </w:tc>
        <w:tc>
          <w:tcPr>
            <w:tcW w:w="1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0"/>
                <w:szCs w:val="20"/>
                <w:color w:val="auto"/>
              </w:rPr>
            </w:pPr>
            <w:r>
              <w:rPr>
                <w:rFonts w:ascii="Arial" w:cs="Arial" w:eastAsia="Arial" w:hAnsi="Arial"/>
                <w:sz w:val="18"/>
                <w:szCs w:val="18"/>
                <w:color w:val="auto"/>
              </w:rPr>
              <w:t>Coverage deficiency</w:t>
            </w:r>
          </w:p>
        </w:tc>
        <w:tc>
          <w:tcPr>
            <w:tcW w:w="1220" w:type="dxa"/>
            <w:vAlign w:val="bottom"/>
          </w:tcPr>
          <w:p>
            <w:pPr>
              <w:jc w:val="right"/>
              <w:ind w:right="284"/>
              <w:spacing w:after="0"/>
              <w:rPr>
                <w:sz w:val="20"/>
                <w:szCs w:val="20"/>
                <w:color w:val="auto"/>
              </w:rPr>
            </w:pPr>
            <w:r>
              <w:rPr>
                <w:rFonts w:ascii="Arial" w:cs="Arial" w:eastAsia="Arial" w:hAnsi="Arial"/>
                <w:sz w:val="18"/>
                <w:szCs w:val="18"/>
                <w:color w:val="auto"/>
              </w:rPr>
              <w:t>$58,822</w:t>
            </w:r>
          </w:p>
        </w:tc>
        <w:tc>
          <w:tcPr>
            <w:tcW w:w="200" w:type="dxa"/>
            <w:vAlign w:val="bottom"/>
          </w:tcPr>
          <w:p>
            <w:pPr>
              <w:spacing w:after="0"/>
              <w:rPr>
                <w:sz w:val="22"/>
                <w:szCs w:val="22"/>
                <w:color w:val="auto"/>
              </w:rPr>
            </w:pPr>
          </w:p>
        </w:tc>
        <w:tc>
          <w:tcPr>
            <w:tcW w:w="920" w:type="dxa"/>
            <w:vAlign w:val="bottom"/>
          </w:tcPr>
          <w:p>
            <w:pPr>
              <w:jc w:val="right"/>
              <w:ind w:right="139"/>
              <w:spacing w:after="0"/>
              <w:rPr>
                <w:sz w:val="20"/>
                <w:szCs w:val="20"/>
                <w:color w:val="auto"/>
              </w:rPr>
            </w:pPr>
            <w:r>
              <w:rPr>
                <w:rFonts w:ascii="Arial" w:cs="Arial" w:eastAsia="Arial" w:hAnsi="Arial"/>
                <w:sz w:val="18"/>
                <w:szCs w:val="18"/>
                <w:color w:val="auto"/>
              </w:rPr>
              <w:t>$72,448</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$76,758</w:t>
            </w:r>
          </w:p>
        </w:tc>
        <w:tc>
          <w:tcPr>
            <w:tcW w:w="1340" w:type="dxa"/>
            <w:vAlign w:val="bottom"/>
            <w:gridSpan w:val="3"/>
          </w:tcPr>
          <w:p>
            <w:pPr>
              <w:jc w:val="right"/>
              <w:ind w:right="128"/>
              <w:spacing w:after="0"/>
              <w:rPr>
                <w:sz w:val="20"/>
                <w:szCs w:val="20"/>
                <w:color w:val="auto"/>
              </w:rPr>
            </w:pPr>
            <w:r>
              <w:rPr>
                <w:rFonts w:ascii="Arial" w:cs="Arial" w:eastAsia="Arial" w:hAnsi="Arial"/>
                <w:sz w:val="18"/>
                <w:szCs w:val="18"/>
                <w:color w:val="auto"/>
              </w:rPr>
              <w:t>$106,496</w:t>
            </w:r>
          </w:p>
        </w:tc>
        <w:tc>
          <w:tcPr>
            <w:tcW w:w="1220" w:type="dxa"/>
            <w:vAlign w:val="bottom"/>
            <w:gridSpan w:val="2"/>
          </w:tcPr>
          <w:p>
            <w:pPr>
              <w:jc w:val="right"/>
              <w:ind w:right="128"/>
              <w:spacing w:after="0"/>
              <w:rPr>
                <w:sz w:val="20"/>
                <w:szCs w:val="20"/>
                <w:color w:val="auto"/>
              </w:rPr>
            </w:pPr>
            <w:r>
              <w:rPr>
                <w:rFonts w:ascii="Arial" w:cs="Arial" w:eastAsia="Arial" w:hAnsi="Arial"/>
                <w:sz w:val="18"/>
                <w:szCs w:val="18"/>
                <w:color w:val="auto"/>
              </w:rPr>
              <w:t>$103,077</w:t>
            </w: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$95,378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SECURITIES</w:t>
      </w:r>
    </w:p>
    <w:p>
      <w:pPr>
        <w:spacing w:after="0" w:line="135"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color w:val="auto"/>
        </w:rPr>
        <w:t>Our authorized capital stock consists of 160,000,000 shares of Common Stock, par value $0.001 per share, of which 80,005,370 shares were issued and outstanding as of September 15, 2010, 40,000,000 shares of Class A Stock, par value $0.001 per share, of which 2,181,831 shares were issued and outstanding as of September 15, 2010, and 30,000,000 shares of preferred stock, par value $0.01 per share, none of which were issued and outstanding as of September 15, 2010.</w:t>
      </w:r>
    </w:p>
    <w:p>
      <w:pPr>
        <w:spacing w:after="0" w:line="77"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 and Class A Stock</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rights of holders of Common Stock and holders of Class A Stock are identical except for voting rights,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and restrictions on transferability.</w:t>
      </w:r>
    </w:p>
    <w:p>
      <w:pPr>
        <w:spacing w:after="0" w:line="76"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Class A Stock are entitled to ten votes per share and the holders of Common Stock are entitled to one</w:t>
      </w:r>
      <w:r>
        <w:rPr>
          <w:rFonts w:ascii="Arial" w:cs="Arial" w:eastAsia="Arial" w:hAnsi="Arial"/>
          <w:sz w:val="16"/>
          <w:szCs w:val="16"/>
          <w:i w:val="1"/>
          <w:iCs w:val="1"/>
          <w:color w:val="auto"/>
        </w:rPr>
        <w:t xml:space="preserve"> </w:t>
      </w:r>
      <w:r>
        <w:rPr>
          <w:rFonts w:ascii="Arial" w:cs="Arial" w:eastAsia="Arial" w:hAnsi="Arial"/>
          <w:sz w:val="16"/>
          <w:szCs w:val="16"/>
          <w:color w:val="auto"/>
        </w:rPr>
        <w:t>vote per share. 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Class A Stock is subject to certain limitations on transfer that do not apply to the Common Stock.</w:t>
      </w:r>
    </w:p>
    <w:p>
      <w:pPr>
        <w:spacing w:after="0" w:line="13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i w:val="1"/>
          <w:iCs w:val="1"/>
          <w:color w:val="auto"/>
        </w:rPr>
        <w:t xml:space="preserve">Dividends and Liquidation. </w:t>
      </w:r>
      <w:r>
        <w:rPr>
          <w:rFonts w:ascii="Arial" w:cs="Arial" w:eastAsia="Arial" w:hAnsi="Arial"/>
          <w:sz w:val="17"/>
          <w:szCs w:val="17"/>
          <w:color w:val="auto"/>
        </w:rPr>
        <w:t>Except as described in this paragraph, holders of Class A Stock and holders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84"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i w:val="1"/>
          <w:iCs w:val="1"/>
          <w:color w:val="auto"/>
        </w:rPr>
        <w:t xml:space="preserve">Optional Conversion Rights. </w:t>
      </w:r>
      <w:r>
        <w:rPr>
          <w:rFonts w:ascii="Arial" w:cs="Arial" w:eastAsia="Arial" w:hAnsi="Arial"/>
          <w:sz w:val="18"/>
          <w:szCs w:val="18"/>
          <w:color w:val="auto"/>
        </w:rPr>
        <w:t>Each share of Class A Stock may, at any time and at the option of the holder, be converted into one</w:t>
      </w:r>
      <w:r>
        <w:rPr>
          <w:rFonts w:ascii="Arial" w:cs="Arial" w:eastAsia="Arial" w:hAnsi="Arial"/>
          <w:sz w:val="18"/>
          <w:szCs w:val="18"/>
          <w:i w:val="1"/>
          <w:iCs w:val="1"/>
          <w:color w:val="auto"/>
        </w:rPr>
        <w:t xml:space="preserve"> </w:t>
      </w:r>
      <w:r>
        <w:rPr>
          <w:rFonts w:ascii="Arial" w:cs="Arial" w:eastAsia="Arial" w:hAnsi="Arial"/>
          <w:sz w:val="18"/>
          <w:szCs w:val="18"/>
          <w:color w:val="auto"/>
        </w:rPr>
        <w:t>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94" w:lineRule="exact"/>
        <w:rPr>
          <w:sz w:val="20"/>
          <w:szCs w:val="20"/>
          <w:color w:val="auto"/>
        </w:rPr>
      </w:pPr>
    </w:p>
    <w:p>
      <w:pPr>
        <w:ind w:left="700" w:right="200" w:firstLine="397"/>
        <w:spacing w:after="0" w:line="286" w:lineRule="auto"/>
        <w:rPr>
          <w:sz w:val="20"/>
          <w:szCs w:val="20"/>
          <w:color w:val="auto"/>
        </w:rPr>
      </w:pPr>
      <w:r>
        <w:rPr>
          <w:rFonts w:ascii="Arial" w:cs="Arial" w:eastAsia="Arial" w:hAnsi="Arial"/>
          <w:sz w:val="17"/>
          <w:szCs w:val="17"/>
          <w:i w:val="1"/>
          <w:iCs w:val="1"/>
          <w:color w:val="auto"/>
        </w:rPr>
        <w:t xml:space="preserve">Other Provisions. </w:t>
      </w:r>
      <w:r>
        <w:rPr>
          <w:rFonts w:ascii="Arial" w:cs="Arial" w:eastAsia="Arial" w:hAnsi="Arial"/>
          <w:sz w:val="17"/>
          <w:szCs w:val="17"/>
          <w:color w:val="auto"/>
        </w:rPr>
        <w:t>Holders of Class A Stock and Common Stock have no preemptive rights to subscribe for any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any class which we may issue and there are no redemption provisions or sinking fund provisions applicable to either such class, nor are our shares of Class A Stock or the Common Stock subject to calls or assessments.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NASDAQ Global Select Market under the symbol “REGN.”</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1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American Stock Transfer &amp;</w:t>
      </w:r>
      <w:r>
        <w:rPr>
          <w:rFonts w:ascii="Arial" w:cs="Arial" w:eastAsia="Arial" w:hAnsi="Arial"/>
          <w:sz w:val="18"/>
          <w:szCs w:val="18"/>
          <w:i w:val="1"/>
          <w:iCs w:val="1"/>
          <w:color w:val="auto"/>
        </w:rPr>
        <w:t xml:space="preserve"> </w:t>
      </w:r>
      <w:r>
        <w:rPr>
          <w:rFonts w:ascii="Arial" w:cs="Arial" w:eastAsia="Arial" w:hAnsi="Arial"/>
          <w:sz w:val="18"/>
          <w:szCs w:val="18"/>
          <w:color w:val="auto"/>
        </w:rPr>
        <w:t>Trust Company.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200" w:firstLine="397"/>
        <w:spacing w:after="0" w:line="257" w:lineRule="auto"/>
        <w:rPr>
          <w:sz w:val="20"/>
          <w:szCs w:val="20"/>
          <w:color w:val="auto"/>
        </w:rPr>
      </w:pPr>
      <w:r>
        <w:rPr>
          <w:rFonts w:ascii="Arial" w:cs="Arial" w:eastAsia="Arial" w:hAnsi="Arial"/>
          <w:sz w:val="18"/>
          <w:szCs w:val="18"/>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w:t>
      </w:r>
    </w:p>
    <w:p>
      <w:pPr>
        <w:spacing w:after="0" w:line="9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Restated Certificate of Incorporation allows us to issue up to 30,000,000 shares of preferred stock in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and as may be determined by our board of directors. As of September 15, 2010,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Restated Certificate of Incorporation relating to such series. A prospectus supplement relating to such series will describe the terms of the preferred stock of the series, including the following:</w:t>
      </w:r>
    </w:p>
    <w:p>
      <w:pPr>
        <w:spacing w:after="0" w:line="72"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in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designation for that series by number, letter or title that shall distinguish the series from any other series of preferred stock;</w:t>
      </w:r>
    </w:p>
    <w:p>
      <w:pPr>
        <w:spacing w:after="0" w:line="140" w:lineRule="exact"/>
        <w:rPr>
          <w:rFonts w:ascii="Arial" w:cs="Arial" w:eastAsia="Arial" w:hAnsi="Arial"/>
          <w:sz w:val="16"/>
          <w:szCs w:val="16"/>
          <w:color w:val="auto"/>
        </w:rPr>
      </w:pPr>
    </w:p>
    <w:p>
      <w:pPr>
        <w:ind w:left="1300" w:right="12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liquidation preference per share of that series of 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conversion or exchange provisions applicable to that series of 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redemption or sinking fund provisions applicable to that series of 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voting rights of that series of preferred stock;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any other preferences or rights applicable to that series of preferred stock.</w:t>
      </w:r>
    </w:p>
    <w:p>
      <w:pPr>
        <w:spacing w:after="0" w:line="131"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Permanent Global Preferred Securities. </w:t>
      </w:r>
      <w:r>
        <w:rPr>
          <w:rFonts w:ascii="Arial" w:cs="Arial" w:eastAsia="Arial" w:hAnsi="Arial"/>
          <w:sz w:val="18"/>
          <w:szCs w:val="18"/>
          <w:color w:val="auto"/>
        </w:rPr>
        <w:t>A series of preferred stock may be issued in whole or in part in the form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that 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94"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each series of preferred stock will be set forth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76" w:lineRule="exact"/>
        <w:rPr>
          <w:sz w:val="20"/>
          <w:szCs w:val="20"/>
          <w:color w:val="auto"/>
        </w:rPr>
      </w:pPr>
    </w:p>
    <w:p>
      <w:pPr>
        <w:jc w:val="both"/>
        <w:ind w:left="700" w:right="220" w:firstLine="397"/>
        <w:spacing w:after="0" w:line="302" w:lineRule="auto"/>
        <w:rPr>
          <w:sz w:val="20"/>
          <w:szCs w:val="20"/>
          <w:color w:val="auto"/>
        </w:rPr>
      </w:pPr>
      <w:r>
        <w:rPr>
          <w:rFonts w:ascii="Arial" w:cs="Arial" w:eastAsia="Arial" w:hAnsi="Arial"/>
          <w:sz w:val="16"/>
          <w:szCs w:val="16"/>
          <w:i w:val="1"/>
          <w:iCs w:val="1"/>
          <w:color w:val="auto"/>
        </w:rPr>
        <w:t xml:space="preserve">Anti-Take-Over Effects. </w:t>
      </w:r>
      <w:r>
        <w:rPr>
          <w:rFonts w:ascii="Arial" w:cs="Arial" w:eastAsia="Arial" w:hAnsi="Arial"/>
          <w:sz w:val="16"/>
          <w:szCs w:val="16"/>
          <w:color w:val="auto"/>
        </w:rPr>
        <w:t>Our board of directors may authorize, without shareholder approval, the issuance of preferred stock with</w:t>
      </w:r>
      <w:r>
        <w:rPr>
          <w:rFonts w:ascii="Arial" w:cs="Arial" w:eastAsia="Arial" w:hAnsi="Arial"/>
          <w:sz w:val="16"/>
          <w:szCs w:val="16"/>
          <w:i w:val="1"/>
          <w:iCs w:val="1"/>
          <w:color w:val="auto"/>
        </w:rPr>
        <w:t xml:space="preserve"> </w:t>
      </w:r>
      <w:r>
        <w:rPr>
          <w:rFonts w:ascii="Arial" w:cs="Arial" w:eastAsia="Arial" w:hAnsi="Arial"/>
          <w:sz w:val="16"/>
          <w:szCs w:val="16"/>
          <w:color w:val="auto"/>
        </w:rPr>
        <w:t>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135"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One of our shareholders has registration rights. Under the registration rights agreement between us and such shareholder, after December 20, 2017, such shareholder (and certain of its transferees) may request that we file registration statements under the Securities Act and, upon such request and subject to minimum size and other conditions,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For a description of anti-takeover effects of various provisions of our charter, by-laws, and the New York Business Corporation Law, please see “RISK FACTORS — Risks Related To Our Common Stock — </w:t>
      </w:r>
      <w:r>
        <w:rPr>
          <w:rFonts w:ascii="Arial" w:cs="Arial" w:eastAsia="Arial" w:hAnsi="Arial"/>
          <w:sz w:val="18"/>
          <w:szCs w:val="18"/>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Annual Report on Form 10-K for the year ended December 31, 2009 and our Quarterly Report on Form 10-Q for the quarter ended June 30, 2010.</w:t>
      </w: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DEBT SECURITIES</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Terms of the Indenture</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94"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76"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or not we will issue the series of debt securities in global form and, if so, the terms and who the depositary will be;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73" w:lineRule="exact"/>
        <w:rPr>
          <w:rFonts w:ascii="Arial" w:cs="Arial" w:eastAsia="Arial" w:hAnsi="Arial"/>
          <w:sz w:val="18"/>
          <w:szCs w:val="18"/>
          <w:color w:val="auto"/>
        </w:rPr>
      </w:pPr>
    </w:p>
    <w:p>
      <w:pPr>
        <w:ind w:left="1300" w:right="200" w:hanging="202"/>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form and terms of any guarantee of any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1300" w:right="140" w:hanging="202"/>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17" w:lineRule="exact"/>
        <w:rPr>
          <w:rFonts w:ascii="Arial" w:cs="Arial" w:eastAsia="Arial" w:hAnsi="Arial"/>
          <w:sz w:val="18"/>
          <w:szCs w:val="18"/>
          <w:color w:val="auto"/>
        </w:rPr>
      </w:pPr>
    </w:p>
    <w:p>
      <w:pPr>
        <w:ind w:left="1300" w:right="240" w:hanging="202"/>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pay dividends, make distributions in respect of our capital stock and the capital stock of our subsidiaries or transfer assets;</w:t>
      </w:r>
    </w:p>
    <w:p>
      <w:pPr>
        <w:spacing w:after="0" w:line="140" w:lineRule="exact"/>
        <w:rPr>
          <w:rFonts w:ascii="Arial" w:cs="Arial" w:eastAsia="Arial" w:hAnsi="Arial"/>
          <w:sz w:val="16"/>
          <w:szCs w:val="16"/>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indenture will require us to maintain any interest coverage, fixed charge, cash flow-based, asset-based or other financial ratios;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117" w:lineRule="exact"/>
        <w:rPr>
          <w:rFonts w:ascii="Arial" w:cs="Arial" w:eastAsia="Arial" w:hAnsi="Arial"/>
          <w:sz w:val="18"/>
          <w:szCs w:val="18"/>
          <w:color w:val="auto"/>
        </w:rPr>
      </w:pPr>
    </w:p>
    <w:p>
      <w:pPr>
        <w:ind w:left="1300" w:right="60" w:hanging="202"/>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p>
      <w:pPr>
        <w:spacing w:after="0" w:line="9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76"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Senior Debt Securities</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Senior Subordinated Debt Securities</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342" w:lineRule="auto"/>
        <w:rPr>
          <w:sz w:val="20"/>
          <w:szCs w:val="20"/>
          <w:color w:val="auto"/>
        </w:rPr>
      </w:pPr>
      <w:r>
        <w:rPr>
          <w:rFonts w:ascii="Arial" w:cs="Arial" w:eastAsia="Arial" w:hAnsi="Arial"/>
          <w:sz w:val="16"/>
          <w:szCs w:val="16"/>
          <w:color w:val="auto"/>
        </w:rPr>
        <w:t>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Subordinated Debt Securities</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Junior Subordinated Debt Securities</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Conversion or Exchange Rights</w:t>
      </w:r>
    </w:p>
    <w:p>
      <w:pPr>
        <w:spacing w:after="0" w:line="135"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29"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Sale</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92"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Unless otherwise indicated, the term “Event of Default,” when used in the indenture in respect of a series of debt securities, means any of the following:</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2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interest when due and payable and our failure continues for 90 days and the time for payment has not been extended or deferred;</w:t>
      </w:r>
    </w:p>
    <w:p>
      <w:pPr>
        <w:spacing w:after="0" w:line="62"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payable and the time for payment has not been extended or delayed;</w:t>
      </w:r>
    </w:p>
    <w:p>
      <w:pPr>
        <w:spacing w:after="0" w:line="62" w:lineRule="exact"/>
        <w:rPr>
          <w:rFonts w:ascii="Arial" w:cs="Arial" w:eastAsia="Arial" w:hAnsi="Arial"/>
          <w:sz w:val="18"/>
          <w:szCs w:val="18"/>
          <w:color w:val="auto"/>
        </w:rPr>
      </w:pPr>
    </w:p>
    <w:p>
      <w:pPr>
        <w:ind w:left="1300" w:right="280" w:hanging="202"/>
        <w:spacing w:after="0" w:line="31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38" w:lineRule="exact"/>
        <w:rPr>
          <w:rFonts w:ascii="Arial" w:cs="Arial" w:eastAsia="Arial" w:hAnsi="Arial"/>
          <w:sz w:val="16"/>
          <w:szCs w:val="16"/>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of our company; or</w:t>
      </w:r>
    </w:p>
    <w:p>
      <w:pPr>
        <w:spacing w:after="0" w:line="117"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will be due and payable without any notice or other action on the part of the trustee or any holder.</w:t>
      </w:r>
    </w:p>
    <w:p>
      <w:pPr>
        <w:spacing w:after="0" w:line="84" w:lineRule="exact"/>
        <w:rPr>
          <w:sz w:val="20"/>
          <w:szCs w:val="20"/>
          <w:color w:val="auto"/>
        </w:rPr>
      </w:pPr>
    </w:p>
    <w:p>
      <w:pPr>
        <w:jc w:val="both"/>
        <w:ind w:left="700" w:right="380" w:firstLine="397"/>
        <w:spacing w:after="0" w:line="312"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52"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9"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indenture; and</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of 1939, the trustee need not take any action that might involve it in personal liability or might be unduly prejudicial to the holders not involved in the proceeding.</w:t>
      </w:r>
    </w:p>
    <w:p>
      <w:pPr>
        <w:spacing w:after="0" w:line="76"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76"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1300" w:right="400" w:hanging="202"/>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20" w:hanging="202"/>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29"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Global Securities</w:t>
      </w:r>
    </w:p>
    <w:p>
      <w:pPr>
        <w:spacing w:after="0" w:line="135"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35" w:lineRule="exact"/>
        <w:rPr>
          <w:sz w:val="20"/>
          <w:szCs w:val="20"/>
          <w:color w:val="auto"/>
        </w:rPr>
      </w:pPr>
    </w:p>
    <w:p>
      <w:pPr>
        <w:jc w:val="both"/>
        <w:ind w:left="700" w:right="400" w:firstLine="397"/>
        <w:spacing w:after="0" w:line="264" w:lineRule="auto"/>
        <w:rPr>
          <w:sz w:val="20"/>
          <w:szCs w:val="20"/>
          <w:color w:val="auto"/>
        </w:rPr>
      </w:pPr>
      <w:r>
        <w:rPr>
          <w:rFonts w:ascii="Arial" w:cs="Arial" w:eastAsia="Arial" w:hAnsi="Arial"/>
          <w:sz w:val="18"/>
          <w:szCs w:val="18"/>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87"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w:t>
      </w:r>
    </w:p>
    <w:p>
      <w:pPr>
        <w:ind w:left="700" w:right="60"/>
        <w:spacing w:after="0" w:line="323" w:lineRule="auto"/>
        <w:rPr>
          <w:sz w:val="20"/>
          <w:szCs w:val="20"/>
          <w:color w:val="auto"/>
        </w:rPr>
      </w:pPr>
      <w:r>
        <w:rPr>
          <w:rFonts w:ascii="Arial" w:cs="Arial" w:eastAsia="Arial" w:hAnsi="Arial"/>
          <w:sz w:val="16"/>
          <w:szCs w:val="16"/>
          <w:color w:val="auto"/>
        </w:rPr>
        <w:t>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44"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60" w:lineRule="exact"/>
        <w:rPr>
          <w:sz w:val="20"/>
          <w:szCs w:val="20"/>
          <w:color w:val="auto"/>
        </w:rPr>
      </w:pPr>
    </w:p>
    <w:p>
      <w:pPr>
        <w:ind w:left="1300" w:hanging="202"/>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73" w:lineRule="exact"/>
        <w:rPr>
          <w:rFonts w:ascii="Arial" w:cs="Arial" w:eastAsia="Arial" w:hAnsi="Arial"/>
          <w:sz w:val="18"/>
          <w:szCs w:val="18"/>
          <w:color w:val="auto"/>
        </w:rPr>
      </w:pPr>
    </w:p>
    <w:p>
      <w:pPr>
        <w:ind w:left="1300" w:right="80" w:hanging="202"/>
        <w:spacing w:after="0" w:line="297"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the Indenture; Waiver</w:t>
      </w:r>
    </w:p>
    <w:p>
      <w:pPr>
        <w:spacing w:after="0" w:line="243"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184" w:lineRule="exact"/>
        <w:rPr>
          <w:sz w:val="20"/>
          <w:szCs w:val="20"/>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225"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 Consolidation, Merger or Sale”;</w:t>
      </w:r>
    </w:p>
    <w:p>
      <w:pPr>
        <w:spacing w:after="0" w:line="225"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 of 1939;</w:t>
      </w:r>
    </w:p>
    <w:p>
      <w:pPr>
        <w:spacing w:after="0" w:line="170"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25"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that purpose;</w:t>
      </w:r>
    </w:p>
    <w:p>
      <w:pPr>
        <w:spacing w:after="0" w:line="225"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170" w:lineRule="exact"/>
        <w:rPr>
          <w:rFonts w:ascii="Arial" w:cs="Arial" w:eastAsia="Arial" w:hAnsi="Arial"/>
          <w:sz w:val="18"/>
          <w:szCs w:val="18"/>
          <w:color w:val="auto"/>
        </w:rPr>
      </w:pPr>
    </w:p>
    <w:p>
      <w:pPr>
        <w:ind w:left="1300" w:right="100" w:hanging="202"/>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165" w:lineRule="exact"/>
        <w:rPr>
          <w:rFonts w:ascii="Arial" w:cs="Arial" w:eastAsia="Arial" w:hAnsi="Arial"/>
          <w:sz w:val="17"/>
          <w:szCs w:val="17"/>
          <w:color w:val="auto"/>
        </w:rPr>
      </w:pPr>
    </w:p>
    <w:p>
      <w:pPr>
        <w:ind w:left="1300" w:hanging="202"/>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change anything that does not materially adversely affect the interests of any holder of debt securities of any series.</w:t>
      </w:r>
    </w:p>
    <w:p>
      <w:pPr>
        <w:spacing w:after="0" w:line="25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200"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89"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reducing the percentage of debt securities, the holders of which are required to consent to any supplemental indenture.</w:t>
      </w:r>
    </w:p>
    <w:p>
      <w:pPr>
        <w:spacing w:after="0" w:line="31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Concerning the Trustee</w:t>
      </w:r>
    </w:p>
    <w:p>
      <w:pPr>
        <w:spacing w:after="0" w:line="1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92" w:lineRule="exact"/>
        <w:rPr>
          <w:sz w:val="20"/>
          <w:szCs w:val="20"/>
          <w:color w:val="auto"/>
        </w:rPr>
      </w:pPr>
    </w:p>
    <w:p>
      <w:pPr>
        <w:jc w:val="both"/>
        <w:ind w:left="700" w:right="280" w:firstLine="397"/>
        <w:spacing w:after="0" w:line="259" w:lineRule="auto"/>
        <w:rPr>
          <w:sz w:val="20"/>
          <w:szCs w:val="20"/>
          <w:color w:val="auto"/>
        </w:rPr>
      </w:pPr>
      <w:r>
        <w:rPr>
          <w:rFonts w:ascii="Arial" w:cs="Arial" w:eastAsia="Arial" w:hAnsi="Arial"/>
          <w:sz w:val="18"/>
          <w:szCs w:val="18"/>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92"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28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DESCRIPTION OF WARRANTS</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78"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76"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117"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117"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securities purchasable upon exercise of the warrants will be separately transferable;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117"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Exercise of Warrants</w:t>
      </w:r>
    </w:p>
    <w:p>
      <w:pPr>
        <w:spacing w:after="0" w:line="13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87"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 page 18 of this prospectus. We urge you to read the applicable warrant certificate, the applicable warrant agreement, and any applicable prospectus supplement in their entirety.</w:t>
      </w:r>
    </w:p>
    <w:p>
      <w:pPr>
        <w:spacing w:after="0" w:line="290"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jc w:val="center"/>
        <w:ind w:right="-939"/>
        <w:spacing w:after="0"/>
        <w:rPr>
          <w:sz w:val="20"/>
          <w:szCs w:val="20"/>
          <w:color w:val="auto"/>
        </w:rPr>
      </w:pPr>
      <w:r>
        <w:rPr>
          <w:rFonts w:ascii="Arial" w:cs="Arial" w:eastAsia="Arial" w:hAnsi="Arial"/>
          <w:sz w:val="17"/>
          <w:szCs w:val="17"/>
          <w:color w:val="auto"/>
        </w:rPr>
        <w:t>We may sell the securities offered by this prospectus from time to time in one or more transactions, including without limitation:</w:t>
      </w:r>
    </w:p>
    <w:p>
      <w:pPr>
        <w:spacing w:after="0" w:line="142"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131" w:lineRule="exact"/>
        <w:rPr>
          <w:sz w:val="20"/>
          <w:szCs w:val="20"/>
          <w:color w:val="auto"/>
        </w:rPr>
      </w:pPr>
    </w:p>
    <w:p>
      <w:pPr>
        <w:ind w:left="700" w:right="360" w:firstLine="397"/>
        <w:spacing w:after="0" w:line="342" w:lineRule="auto"/>
        <w:rPr>
          <w:sz w:val="20"/>
          <w:szCs w:val="20"/>
          <w:color w:val="auto"/>
        </w:rPr>
      </w:pPr>
      <w:r>
        <w:rPr>
          <w:rFonts w:ascii="Arial" w:cs="Arial" w:eastAsia="Arial" w:hAnsi="Arial"/>
          <w:sz w:val="16"/>
          <w:szCs w:val="16"/>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29"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 through:</w:t>
      </w:r>
    </w:p>
    <w:p>
      <w:pPr>
        <w:spacing w:after="0" w:line="76" w:lineRule="exact"/>
        <w:rPr>
          <w:sz w:val="20"/>
          <w:szCs w:val="20"/>
          <w:color w:val="auto"/>
        </w:rPr>
      </w:pPr>
    </w:p>
    <w:p>
      <w:pPr>
        <w:ind w:left="1300" w:right="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131" w:lineRule="exact"/>
        <w:rPr>
          <w:sz w:val="20"/>
          <w:szCs w:val="20"/>
          <w:color w:val="auto"/>
        </w:rPr>
      </w:pPr>
    </w:p>
    <w:p>
      <w:pPr>
        <w:ind w:left="1300" w:right="320" w:hanging="202"/>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to close out its short positions;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62"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76"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prospectus supplement with respect to each offering of securities will state the terms of the offering of the securities, including:</w:t>
      </w:r>
    </w:p>
    <w:p>
      <w:pPr>
        <w:spacing w:after="0" w:line="154" w:lineRule="exact"/>
        <w:rPr>
          <w:sz w:val="20"/>
          <w:szCs w:val="20"/>
          <w:color w:val="auto"/>
        </w:rPr>
      </w:pPr>
    </w:p>
    <w:p>
      <w:pPr>
        <w:ind w:left="1300" w:right="3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or names of any underwriters or agents and the amounts of securities underwritten or purchased by each of them, if any;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131"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76"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Underwriters and Agents</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99"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78"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or pricing supplement, as the case may be will identify any remarketing firm and will describe the terms of its agreement, if any, with us and its compensation.</w:t>
      </w:r>
    </w:p>
    <w:p>
      <w:pPr>
        <w:spacing w:after="0" w:line="76"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Dealers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 Sales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Institutional Purchasers</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92"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 Other Relationships</w:t>
      </w:r>
    </w:p>
    <w:p>
      <w:pPr>
        <w:spacing w:after="0" w:line="135"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on the National Association of Securities Dealers, Inc. automated quotation system; any such listing with respect to any particular debt securities, preferred stock, or warrants will be described in the applicable prospectus supplement or pricing supplement, as the case may be.</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80"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Fees and Commissions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compliance with the guidelines of the Financial Industry Regulatory Authority (the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or pricing supplement, as the case may be; however, it is anticipated that the maximum commission or discount to be received in any particular offering of securities will be significantly less than this amount.</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30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2009 have been so incorporated in reliance on the report of PricewaterhouseCoopers LLP, an independent registered public accounting firm, given on the authority of said firm as experts in auditing and accounting.</w:t>
      </w:r>
    </w:p>
    <w:p>
      <w:pPr>
        <w:spacing w:after="0" w:line="30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3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This prospectus, any accompanying prospectus supplements, and the documents incorporated by reference contain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commercial success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shareholders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29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60" w:firstLine="397"/>
        <w:spacing w:after="0" w:line="288" w:lineRule="auto"/>
        <w:rPr>
          <w:sz w:val="20"/>
          <w:szCs w:val="20"/>
          <w:color w:val="auto"/>
        </w:rPr>
      </w:pPr>
      <w:r>
        <w:rPr>
          <w:rFonts w:ascii="Arial" w:cs="Arial" w:eastAsia="Arial" w:hAnsi="Arial"/>
          <w:sz w:val="16"/>
          <w:szCs w:val="16"/>
          <w:color w:val="auto"/>
        </w:rPr>
        <w:t>We file annual, quarterly and current reports, proxy statements, and other information with the SEC under the Exchange Act. You may inspect without charge any documents filed by us at the SEC’s Public Reference Room at 100 F Street, N.E., Room 1580, Washington, D.C. 20549. You may obtain information on the operation of the Public Reference Room by calling the SEC at</w:t>
      </w:r>
    </w:p>
    <w:p>
      <w:pPr>
        <w:ind w:left="700" w:right="280"/>
        <w:spacing w:after="0" w:line="323" w:lineRule="auto"/>
        <w:rPr>
          <w:sz w:val="20"/>
          <w:szCs w:val="20"/>
          <w:color w:val="auto"/>
        </w:rPr>
      </w:pPr>
      <w:r>
        <w:rPr>
          <w:rFonts w:ascii="Arial" w:cs="Arial" w:eastAsia="Arial" w:hAnsi="Arial"/>
          <w:sz w:val="16"/>
          <w:szCs w:val="16"/>
          <w:color w:val="auto"/>
        </w:rPr>
        <w:t xml:space="preserve">1-800-SEC-0330. The SEC also maintains an Internet site, </w:t>
      </w:r>
      <w:r>
        <w:rPr>
          <w:rFonts w:ascii="Arial" w:cs="Arial" w:eastAsia="Arial" w:hAnsi="Arial"/>
          <w:sz w:val="16"/>
          <w:szCs w:val="16"/>
          <w:i w:val="1"/>
          <w:iCs w:val="1"/>
          <w:color w:val="auto"/>
        </w:rPr>
        <w:t>www.sec.gov</w:t>
      </w:r>
      <w:r>
        <w:rPr>
          <w:rFonts w:ascii="Arial" w:cs="Arial" w:eastAsia="Arial" w:hAnsi="Arial"/>
          <w:sz w:val="16"/>
          <w:szCs w:val="16"/>
          <w:color w:val="auto"/>
        </w:rPr>
        <w:t>, that contains reports, proxy and information statements, and other information regarding issuers that file electronically with the SEC, including Regeneron Pharmaceuticals, Inc.</w:t>
      </w:r>
    </w:p>
    <w:p>
      <w:pPr>
        <w:spacing w:after="0" w:line="4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and any accompanying prospectus supplement,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95" w:lineRule="exact"/>
        <w:rPr>
          <w:sz w:val="20"/>
          <w:szCs w:val="20"/>
          <w:color w:val="auto"/>
        </w:rPr>
      </w:pPr>
    </w:p>
    <w:p>
      <w:pPr>
        <w:ind w:left="5560" w:right="1520" w:hanging="4462"/>
        <w:spacing w:after="0" w:line="747" w:lineRule="auto"/>
        <w:tabs>
          <w:tab w:leader="none" w:pos="12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2009, filed on February 18, 2010.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8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 ended March 31, 2010, filed on April 29, 2010, and for the quarterly period ended June 30, 2010, filed on July 28, 2010.</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Current Reports on Form 8-K, filed on February 16, 2010, May 13, 2010, June 10, 2010, June 14, 2010 and July 29, 2010.</w:t>
      </w:r>
    </w:p>
    <w:p>
      <w:pPr>
        <w:spacing w:after="0" w:line="140" w:lineRule="exact"/>
        <w:rPr>
          <w:rFonts w:ascii="Arial" w:cs="Arial" w:eastAsia="Arial" w:hAnsi="Arial"/>
          <w:sz w:val="16"/>
          <w:szCs w:val="16"/>
          <w:color w:val="auto"/>
        </w:rPr>
      </w:pPr>
    </w:p>
    <w:p>
      <w:pPr>
        <w:ind w:left="1300" w:right="220" w:hanging="202"/>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description of our common stock set forth in a Registration Statement on Form 8-A, including any amendment or report filed for the purpose of updating such description (filing date October 15, 1996: Commission File No. 000-19034).</w:t>
      </w:r>
    </w:p>
    <w:p>
      <w:pPr>
        <w:spacing w:after="0" w:line="29"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 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94" w:lineRule="exact"/>
        <w:rPr>
          <w:sz w:val="20"/>
          <w:szCs w:val="20"/>
          <w:color w:val="auto"/>
        </w:rPr>
      </w:pPr>
    </w:p>
    <w:p>
      <w:pPr>
        <w:jc w:val="both"/>
        <w:ind w:left="700" w:firstLine="397"/>
        <w:spacing w:after="0" w:line="312" w:lineRule="auto"/>
        <w:rPr>
          <w:sz w:val="20"/>
          <w:szCs w:val="20"/>
          <w:color w:val="auto"/>
        </w:rPr>
      </w:pPr>
      <w:r>
        <w:rPr>
          <w:rFonts w:ascii="Arial" w:cs="Arial" w:eastAsia="Arial" w:hAnsi="Arial"/>
          <w:sz w:val="16"/>
          <w:szCs w:val="16"/>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Tarrytown, New York 10591</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4,500,000 Shares</w:t>
      </w:r>
    </w:p>
    <w:p>
      <w:pPr>
        <w:spacing w:after="0" w:line="57" w:lineRule="exact"/>
        <w:rPr>
          <w:sz w:val="20"/>
          <w:szCs w:val="20"/>
          <w:color w:val="auto"/>
        </w:rPr>
      </w:pPr>
    </w:p>
    <w:p>
      <w:pPr>
        <w:jc w:val="center"/>
        <w:ind w:right="-1100"/>
        <w:spacing w:after="0"/>
        <w:rPr>
          <w:sz w:val="20"/>
          <w:szCs w:val="20"/>
          <w:color w:val="auto"/>
        </w:rPr>
      </w:pPr>
      <w:r>
        <w:rPr>
          <w:rFonts w:ascii="Arial" w:cs="Arial" w:eastAsia="Arial" w:hAnsi="Arial"/>
          <w:sz w:val="38"/>
          <w:szCs w:val="38"/>
          <w:b w:val="1"/>
          <w:bCs w:val="1"/>
          <w:color w:val="auto"/>
        </w:rPr>
        <w:t>Regeneron Pharmaceuticals, Inc.</w:t>
      </w:r>
    </w:p>
    <w:p>
      <w:pPr>
        <w:spacing w:after="0" w:line="151" w:lineRule="exact"/>
        <w:rPr>
          <w:sz w:val="20"/>
          <w:szCs w:val="20"/>
          <w:color w:val="auto"/>
        </w:rPr>
      </w:pPr>
    </w:p>
    <w:p>
      <w:pPr>
        <w:ind w:left="48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63500</wp:posOffset>
            </wp:positionV>
            <wp:extent cx="6261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PRELIMINARY PROSPECTUS SUPPLEMENT</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October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137795</wp:posOffset>
            </wp:positionV>
            <wp:extent cx="6261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30" w:lineRule="exact"/>
        <w:rPr>
          <w:sz w:val="20"/>
          <w:szCs w:val="20"/>
          <w:color w:val="auto"/>
        </w:rPr>
      </w:pPr>
    </w:p>
    <w:p>
      <w:pPr>
        <w:ind w:left="5340"/>
        <w:spacing w:after="0"/>
        <w:rPr>
          <w:sz w:val="20"/>
          <w:szCs w:val="20"/>
          <w:color w:val="auto"/>
        </w:rPr>
      </w:pPr>
      <w:r>
        <w:rPr>
          <w:rFonts w:ascii="Arial" w:cs="Arial" w:eastAsia="Arial" w:hAnsi="Arial"/>
          <w:sz w:val="40"/>
          <w:szCs w:val="40"/>
          <w:b w:val="1"/>
          <w:bCs w:val="1"/>
          <w:color w:val="auto"/>
        </w:rPr>
        <w:t>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64135</wp:posOffset>
            </wp:positionV>
            <wp:extent cx="630301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914"/>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upperLetter"/>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lvl w:ilvl="1">
      <w:lvlJc w:val="left"/>
      <w:lvlText w:val="•"/>
      <w:numFmt w:val="bullet"/>
      <w:start w:val="1"/>
    </w:lvl>
  </w:abstractNum>
  <w:abstractNum w:abstractNumId="10">
    <w:nsid w:val="436C6125"/>
    <w:multiLevelType w:val="hybridMultilevel"/>
    <w:lvl w:ilvl="0">
      <w:lvlJc w:val="left"/>
      <w:lvlText w:val="•"/>
      <w:numFmt w:val="bullet"/>
      <w:start w:val="1"/>
    </w:lvl>
    <w:lvl w:ilvl="1">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2019-12-10T09:32:14Z</dcterms:created>
  <dcterms:modified xsi:type="dcterms:W3CDTF">2019-12-10T09:32:14Z</dcterms:modified>
</cp:coreProperties>
</file>