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40" w:type="dxa"/>
        <w:tblCellMar>
          <w:top w:w="0" w:type="dxa"/>
          <w:left w:w="0" w:type="dxa"/>
          <w:bottom w:w="0" w:type="dxa"/>
          <w:right w:w="0" w:type="dxa"/>
        </w:tblCellMar>
      </w:tblPr>
      <w:tr>
        <w:trPr>
          <w:trHeight w:val="204"/>
        </w:trPr>
        <w:tc>
          <w:tcPr>
            <w:tcW w:w="6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AS FILED WITH THE SECURITIES AND EXCHANGE COMMISSION ON JULY 30,</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REGISTRATION NOS.: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333-80663</w:t>
            </w:r>
          </w:p>
        </w:tc>
      </w:tr>
      <w:tr>
        <w:trPr>
          <w:trHeight w:val="203"/>
        </w:trPr>
        <w:tc>
          <w:tcPr>
            <w:tcW w:w="5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333-50480</w:t>
            </w:r>
          </w:p>
        </w:tc>
      </w:tr>
      <w:tr>
        <w:trPr>
          <w:trHeight w:val="203"/>
        </w:trPr>
        <w:tc>
          <w:tcPr>
            <w:tcW w:w="5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333-85330</w:t>
            </w:r>
          </w:p>
        </w:tc>
      </w:tr>
      <w:tr>
        <w:trPr>
          <w:trHeight w:val="203"/>
        </w:trPr>
        <w:tc>
          <w:tcPr>
            <w:tcW w:w="5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333-97176</w:t>
            </w:r>
          </w:p>
        </w:tc>
      </w:tr>
      <w:tr>
        <w:trPr>
          <w:trHeight w:val="203"/>
        </w:trPr>
        <w:tc>
          <w:tcPr>
            <w:tcW w:w="5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333-33891</w:t>
            </w:r>
          </w:p>
        </w:tc>
      </w:tr>
      <w:tr>
        <w:trPr>
          <w:trHeight w:val="405"/>
        </w:trPr>
        <w:tc>
          <w:tcPr>
            <w:tcW w:w="6800" w:type="dxa"/>
            <w:vAlign w:val="bottom"/>
            <w:gridSpan w:val="2"/>
          </w:tcPr>
          <w:p>
            <w:pPr>
              <w:jc w:val="center"/>
              <w:ind w:left="292"/>
              <w:spacing w:after="0"/>
              <w:rPr>
                <w:sz w:val="20"/>
                <w:szCs w:val="20"/>
                <w:color w:val="auto"/>
              </w:rPr>
            </w:pPr>
            <w:r>
              <w:rPr>
                <w:rFonts w:ascii="Courier New" w:cs="Courier New" w:eastAsia="Courier New" w:hAnsi="Courier New"/>
                <w:sz w:val="18"/>
                <w:szCs w:val="18"/>
                <w:color w:val="auto"/>
                <w:w w:val="97"/>
              </w:rPr>
              <w:t>SECURITIES AND EXCHANGE COMMISSION</w:t>
            </w:r>
          </w:p>
        </w:tc>
        <w:tc>
          <w:tcPr>
            <w:tcW w:w="1000" w:type="dxa"/>
            <w:vAlign w:val="bottom"/>
          </w:tcPr>
          <w:p>
            <w:pPr>
              <w:spacing w:after="0"/>
              <w:rPr>
                <w:sz w:val="24"/>
                <w:szCs w:val="24"/>
                <w:color w:val="auto"/>
              </w:rPr>
            </w:pPr>
          </w:p>
        </w:tc>
      </w:tr>
      <w:tr>
        <w:trPr>
          <w:trHeight w:val="203"/>
        </w:trPr>
        <w:tc>
          <w:tcPr>
            <w:tcW w:w="526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WASHINGTON, D.C. 20549</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5260" w:type="dxa"/>
            <w:vAlign w:val="bottom"/>
          </w:tcPr>
          <w:p>
            <w:pPr>
              <w:jc w:val="center"/>
              <w:ind w:left="1812"/>
              <w:spacing w:after="0"/>
              <w:rPr>
                <w:sz w:val="20"/>
                <w:szCs w:val="20"/>
                <w:color w:val="auto"/>
              </w:rPr>
            </w:pPr>
            <w:r>
              <w:rPr>
                <w:rFonts w:ascii="Courier New" w:cs="Courier New" w:eastAsia="Courier New" w:hAnsi="Courier New"/>
                <w:sz w:val="18"/>
                <w:szCs w:val="18"/>
                <w:color w:val="auto"/>
                <w:w w:val="97"/>
              </w:rPr>
              <w:t>POST-EFFECTIVE AMENDMENT NO. 1</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26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2"/>
              </w:rPr>
              <w:t>TO</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FORM S-8</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jc w:val="center"/>
              <w:ind w:left="1912"/>
              <w:spacing w:after="0" w:line="203" w:lineRule="exact"/>
              <w:rPr>
                <w:sz w:val="20"/>
                <w:szCs w:val="20"/>
                <w:color w:val="auto"/>
              </w:rPr>
            </w:pPr>
            <w:r>
              <w:rPr>
                <w:rFonts w:ascii="Courier New" w:cs="Courier New" w:eastAsia="Courier New" w:hAnsi="Courier New"/>
                <w:sz w:val="18"/>
                <w:szCs w:val="18"/>
                <w:color w:val="auto"/>
                <w:w w:val="97"/>
              </w:rPr>
              <w:t>REGISTRATION STATEMENTS</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jc w:val="center"/>
              <w:ind w:left="1932"/>
              <w:spacing w:after="0" w:line="203" w:lineRule="exact"/>
              <w:rPr>
                <w:sz w:val="20"/>
                <w:szCs w:val="20"/>
                <w:color w:val="auto"/>
              </w:rPr>
            </w:pPr>
            <w:r>
              <w:rPr>
                <w:rFonts w:ascii="Courier New" w:cs="Courier New" w:eastAsia="Courier New" w:hAnsi="Courier New"/>
                <w:sz w:val="18"/>
                <w:szCs w:val="18"/>
                <w:color w:val="auto"/>
                <w:w w:val="96"/>
              </w:rPr>
              <w:t>UNDER</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60" w:type="dxa"/>
            <w:vAlign w:val="bottom"/>
          </w:tcPr>
          <w:p>
            <w:pPr>
              <w:jc w:val="center"/>
              <w:ind w:left="1832"/>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5260" w:type="dxa"/>
            <w:vAlign w:val="bottom"/>
          </w:tcPr>
          <w:p>
            <w:pPr>
              <w:jc w:val="center"/>
              <w:ind w:left="1912"/>
              <w:spacing w:after="0"/>
              <w:rPr>
                <w:sz w:val="20"/>
                <w:szCs w:val="20"/>
                <w:color w:val="auto"/>
              </w:rPr>
            </w:pPr>
            <w:r>
              <w:rPr>
                <w:rFonts w:ascii="Courier New" w:cs="Courier New" w:eastAsia="Courier New" w:hAnsi="Courier New"/>
                <w:sz w:val="18"/>
                <w:szCs w:val="18"/>
                <w:color w:val="auto"/>
                <w:w w:val="97"/>
              </w:rPr>
              <w:t>REGENERON PHARMACEUTICALS, INC.</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800" w:type="dxa"/>
            <w:vAlign w:val="bottom"/>
            <w:gridSpan w:val="2"/>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1000" w:type="dxa"/>
            <w:vAlign w:val="bottom"/>
          </w:tcPr>
          <w:p>
            <w:pPr>
              <w:spacing w:after="0"/>
              <w:rPr>
                <w:sz w:val="17"/>
                <w:szCs w:val="17"/>
                <w:color w:val="auto"/>
              </w:rPr>
            </w:pPr>
          </w:p>
        </w:tc>
      </w:tr>
      <w:tr>
        <w:trPr>
          <w:trHeight w:val="405"/>
        </w:trPr>
        <w:tc>
          <w:tcPr>
            <w:tcW w:w="5260" w:type="dxa"/>
            <w:vAlign w:val="bottom"/>
          </w:tcPr>
          <w:p>
            <w:pPr>
              <w:jc w:val="center"/>
              <w:ind w:right="1172"/>
              <w:spacing w:after="0"/>
              <w:rPr>
                <w:sz w:val="20"/>
                <w:szCs w:val="20"/>
                <w:color w:val="auto"/>
              </w:rPr>
            </w:pPr>
            <w:r>
              <w:rPr>
                <w:rFonts w:ascii="Courier New" w:cs="Courier New" w:eastAsia="Courier New" w:hAnsi="Courier New"/>
                <w:sz w:val="18"/>
                <w:szCs w:val="18"/>
                <w:color w:val="auto"/>
                <w:w w:val="97"/>
              </w:rPr>
              <w:t>NEW YORK</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13-3444607</w:t>
            </w:r>
          </w:p>
        </w:tc>
        <w:tc>
          <w:tcPr>
            <w:tcW w:w="1000" w:type="dxa"/>
            <w:vAlign w:val="bottom"/>
          </w:tcPr>
          <w:p>
            <w:pPr>
              <w:spacing w:after="0"/>
              <w:rPr>
                <w:sz w:val="24"/>
                <w:szCs w:val="24"/>
                <w:color w:val="auto"/>
              </w:rPr>
            </w:pPr>
          </w:p>
        </w:tc>
      </w:tr>
      <w:tr>
        <w:trPr>
          <w:trHeight w:val="203"/>
        </w:trPr>
        <w:tc>
          <w:tcPr>
            <w:tcW w:w="5260" w:type="dxa"/>
            <w:vAlign w:val="bottom"/>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INCORPORATION OR ORGANIZATION)</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IDENTIFICATION</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r>
    </w:tbl>
    <w:p>
      <w:pPr>
        <w:spacing w:after="0" w:line="201"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777 OLD SAW MILL RIVER ROAD</w:t>
      </w:r>
    </w:p>
    <w:p>
      <w:pPr>
        <w:ind w:left="3160"/>
        <w:spacing w:after="0" w:line="238" w:lineRule="auto"/>
        <w:rPr>
          <w:sz w:val="20"/>
          <w:szCs w:val="20"/>
          <w:color w:val="auto"/>
        </w:rPr>
      </w:pPr>
      <w:r>
        <w:rPr>
          <w:rFonts w:ascii="Courier New" w:cs="Courier New" w:eastAsia="Courier New" w:hAnsi="Courier New"/>
          <w:sz w:val="18"/>
          <w:szCs w:val="18"/>
          <w:color w:val="auto"/>
        </w:rPr>
        <w:t>TARRYTOWN, NEW YORK 10591</w:t>
      </w:r>
    </w:p>
    <w:p>
      <w:pPr>
        <w:ind w:left="3700"/>
        <w:spacing w:after="0"/>
        <w:rPr>
          <w:sz w:val="20"/>
          <w:szCs w:val="20"/>
          <w:color w:val="auto"/>
        </w:rPr>
      </w:pPr>
      <w:r>
        <w:rPr>
          <w:rFonts w:ascii="Courier New" w:cs="Courier New" w:eastAsia="Courier New" w:hAnsi="Courier New"/>
          <w:sz w:val="18"/>
          <w:szCs w:val="18"/>
          <w:color w:val="auto"/>
        </w:rPr>
        <w:t>(914) 347-7000</w:t>
      </w:r>
    </w:p>
    <w:p>
      <w:pPr>
        <w:spacing w:after="0" w:line="3" w:lineRule="exact"/>
        <w:rPr>
          <w:sz w:val="24"/>
          <w:szCs w:val="24"/>
          <w:color w:val="auto"/>
        </w:rPr>
      </w:pPr>
    </w:p>
    <w:p>
      <w:pPr>
        <w:ind w:left="1060" w:right="2319" w:firstLine="737"/>
        <w:spacing w:after="0" w:line="290"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64"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1990 LONG-TERM INCENTIVE PLAN</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(FULL TITLE OF THE PLANS)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STUART A. KOLINSKI, ESQ.</w:t>
      </w:r>
    </w:p>
    <w:p>
      <w:pPr>
        <w:ind w:left="3800"/>
        <w:spacing w:after="0" w:line="238" w:lineRule="auto"/>
        <w:rPr>
          <w:sz w:val="20"/>
          <w:szCs w:val="20"/>
          <w:color w:val="auto"/>
        </w:rPr>
      </w:pPr>
      <w:r>
        <w:rPr>
          <w:rFonts w:ascii="Courier New" w:cs="Courier New" w:eastAsia="Courier New" w:hAnsi="Courier New"/>
          <w:sz w:val="18"/>
          <w:szCs w:val="18"/>
          <w:color w:val="auto"/>
        </w:rPr>
        <w:t>GENERAL COUNSEL</w:t>
      </w: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ind w:left="3160"/>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306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3900"/>
        <w:spacing w:after="0"/>
        <w:rPr>
          <w:sz w:val="20"/>
          <w:szCs w:val="20"/>
          <w:color w:val="auto"/>
        </w:rPr>
      </w:pPr>
      <w:r>
        <w:rPr>
          <w:rFonts w:ascii="Courier New" w:cs="Courier New" w:eastAsia="Courier New" w:hAnsi="Courier New"/>
          <w:sz w:val="18"/>
          <w:szCs w:val="18"/>
          <w:color w:val="auto"/>
        </w:rPr>
        <w:t>(914) 347-7000</w:t>
      </w:r>
    </w:p>
    <w:p>
      <w:pPr>
        <w:ind w:left="1700"/>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w:t>
      </w:r>
    </w:p>
    <w:p>
      <w:pPr>
        <w:ind w:left="2440"/>
        <w:spacing w:after="0"/>
        <w:rPr>
          <w:sz w:val="20"/>
          <w:szCs w:val="20"/>
          <w:color w:val="auto"/>
        </w:rPr>
      </w:pPr>
      <w:r>
        <w:rPr>
          <w:rFonts w:ascii="Courier New" w:cs="Courier New" w:eastAsia="Courier New" w:hAnsi="Courier New"/>
          <w:sz w:val="18"/>
          <w:szCs w:val="18"/>
          <w:color w:val="auto"/>
        </w:rPr>
        <w:t>INCLUDING AREA CODE, OF AGENT FOR SERVICE)</w:t>
      </w:r>
    </w:p>
    <w:p>
      <w:pPr>
        <w:spacing w:after="0" w:line="200"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DAVID J. GOLDSCHMIDT</w:t>
      </w:r>
    </w:p>
    <w:p>
      <w:pPr>
        <w:jc w:val="center"/>
        <w:ind w:right="939"/>
        <w:spacing w:after="0" w:line="238" w:lineRule="auto"/>
        <w:rPr>
          <w:sz w:val="20"/>
          <w:szCs w:val="20"/>
          <w:color w:val="auto"/>
        </w:rPr>
      </w:pPr>
      <w:r>
        <w:rPr>
          <w:rFonts w:ascii="Courier New" w:cs="Courier New" w:eastAsia="Courier New" w:hAnsi="Courier New"/>
          <w:sz w:val="18"/>
          <w:szCs w:val="18"/>
          <w:color w:val="auto"/>
        </w:rPr>
        <w:t>SKADDEN, ARPS, SLATE, MEAGHER &amp; FLOM LLP</w:t>
      </w:r>
    </w:p>
    <w:p>
      <w:pPr>
        <w:jc w:val="center"/>
        <w:ind w:right="1039"/>
        <w:spacing w:after="0"/>
        <w:rPr>
          <w:sz w:val="20"/>
          <w:szCs w:val="20"/>
          <w:color w:val="auto"/>
        </w:rPr>
      </w:pPr>
      <w:r>
        <w:rPr>
          <w:rFonts w:ascii="Courier New" w:cs="Courier New" w:eastAsia="Courier New" w:hAnsi="Courier New"/>
          <w:sz w:val="18"/>
          <w:szCs w:val="18"/>
          <w:color w:val="auto"/>
        </w:rPr>
        <w:t>FOUR TIMES SQUARE</w:t>
      </w:r>
    </w:p>
    <w:p>
      <w:pPr>
        <w:jc w:val="center"/>
        <w:ind w:right="1039"/>
        <w:spacing w:after="0" w:line="237" w:lineRule="auto"/>
        <w:rPr>
          <w:sz w:val="20"/>
          <w:szCs w:val="20"/>
          <w:color w:val="auto"/>
        </w:rPr>
      </w:pPr>
      <w:r>
        <w:rPr>
          <w:rFonts w:ascii="Courier New" w:cs="Courier New" w:eastAsia="Courier New" w:hAnsi="Courier New"/>
          <w:sz w:val="18"/>
          <w:szCs w:val="18"/>
          <w:color w:val="auto"/>
        </w:rPr>
        <w:t>NEW YORK, NEW YORK 10036-6522(212) 735-3000</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Post Effective Amendment No. 1 to the Registration Statements shall become effective upon filing in accordance with Rule 464 under the Securities Act of 1933, as amended (the "Securities Act").</w:t>
      </w:r>
    </w:p>
    <w:p>
      <w:pPr>
        <w:sectPr>
          <w:pgSz w:w="11900" w:h="16838" w:orient="portrait"/>
          <w:cols w:equalWidth="0" w:num="1">
            <w:col w:w="10219"/>
          </w:cols>
          <w:pgMar w:left="240" w:top="447" w:right="1440" w:bottom="1440" w:gutter="0" w:footer="0" w:header="0"/>
        </w:sectPr>
      </w:pPr>
    </w:p>
    <w:bookmarkStart w:id="1" w:name="page2"/>
    <w:bookmarkEnd w:id="1"/>
    <w:p>
      <w:pPr>
        <w:ind w:right="1779" w:firstLine="948"/>
        <w:spacing w:after="0" w:line="237" w:lineRule="auto"/>
        <w:rPr>
          <w:sz w:val="20"/>
          <w:szCs w:val="20"/>
          <w:color w:val="auto"/>
        </w:rPr>
      </w:pPr>
      <w:r>
        <w:rPr>
          <w:rFonts w:ascii="Courier New" w:cs="Courier New" w:eastAsia="Courier New" w:hAnsi="Courier New"/>
          <w:sz w:val="18"/>
          <w:szCs w:val="18"/>
          <w:color w:val="auto"/>
        </w:rPr>
        <w:t>This Post-Effective Amendment No. 1 to the Registration Statements is being filed with the Securities Exchange Commission (the "SEC") pursuant to Rule 464 under the Securities Act, and includes the registration statement facing page, this page and the signature page.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RE-ALLOCATION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Between August 1992 and June 1999, Regeneron Pharmaceuticals, Inc. (the "Registrant") registered in excess of 6,900,000 shares of Common Stock for issuance under the Registrant's 1990 Long-Term Incentive Plan, as amended and restated (the "1990 Plan") on Form S-8 Registration Statements filed with the SEC having the following File Numbers and filing dates: 333-50480 (August 5, 1992), 333-85330 (October 19, 1994), 333-97176 (September 20, 1995), 333-33891 (August 19, 1997) and 333-80663 (June 15, 1999). On June 14, 2002, 316,184 of those shares were transferred from the 1990 Plan to the Registrant's 2000 Long-Term Incentive Plan (the "2000 Plan"), which is the successor plan to the 1990 Plan. Therefore, Registrant is hereby re-allocating 316,184 of the previously registered shares under the 1990 Plan to the 2000 Plan, such re-allocation will be effective immediately upon the filing of this Post-Effective Amendment No. 1. The Registrant will carry forward those 316,184 shares to a new Form S-8 Registration Statement related to the 2000 Plan. As of June 14, 2002, no further option grants or stock issuances in respect of new grants will be made under the 1990 Plan.</w:t>
      </w:r>
    </w:p>
    <w:p>
      <w:pPr>
        <w:sectPr>
          <w:pgSz w:w="11900" w:h="16838" w:orient="portrait"/>
          <w:cols w:equalWidth="0" w:num="1">
            <w:col w:w="10219"/>
          </w:cols>
          <w:pgMar w:left="240" w:top="520" w:right="1440" w:bottom="1440" w:gutter="0" w:footer="0" w:header="0"/>
        </w:sectPr>
      </w:pPr>
    </w:p>
    <w:bookmarkStart w:id="2" w:name="page3"/>
    <w:bookmarkEnd w:id="2"/>
    <w:p>
      <w:pPr>
        <w:jc w:val="center"/>
        <w:ind w:right="28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40"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OF THIS POST-EFFECTIVE AMENDMENT NO. 1 TO THE FORM S-8 REGISTRATION STATEMENTS LISTED ABOVE, AND HAS DULY CAUSED THIS POST-EFFECTIVE AMENDMENT NO. 1 TO THE REGISTRATION STATEMENTS TO BE SIGNED ON ITS BEHALF BY THE UNDERSIGNED, THEREUNTO DULY AUTHORIZED, IN THE VILLAGE OF TARRYTOWN, STATE OF NEW YORK, ON THE 30TH DAY OF JULY, 2002.</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By:</w:t>
        <w:tab/>
        <w:t>/s/ Leonard S. Schleifer, M.D., Ph.D.</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Leonard S. Schleifer, M.D., Ph.D.</w:t>
      </w:r>
    </w:p>
    <w:p>
      <w:pPr>
        <w:ind w:left="41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p>
      <w:pPr>
        <w:ind w:right="2940" w:firstLine="948"/>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POST-EFFECTIVE AMENDMENT NO. 1 TO THE FORM S-8 REGISTRATION STATEMENTS HAS BEEN SIGNED BY THE FOLLOWING PERSONS IN THE CAPACITIES AND ON THE DATES INDICATED.</w:t>
      </w:r>
    </w:p>
    <w:p>
      <w:pPr>
        <w:sectPr>
          <w:pgSz w:w="11900" w:h="16838" w:orient="portrait"/>
          <w:cols w:equalWidth="0" w:num="1">
            <w:col w:w="11280"/>
          </w:cols>
          <w:pgMar w:left="240" w:top="51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NAME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 Roy Vagelos, 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 Roy Vagelos, M.D.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Leonard S. Schleifer, M.D., Ph.D.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Leonard S. Schleifer, M.D., Ph.D.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Murray A. Goldberg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Murray A. Goldberg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TITLE</w:t>
      </w:r>
    </w:p>
    <w:p>
      <w:pPr>
        <w:ind w:left="21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President and Chief Executive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(Principal Executive Officer)</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Senior Vice President, Finance &amp;</w:t>
      </w:r>
    </w:p>
    <w:p>
      <w:pPr>
        <w:spacing w:after="0" w:line="238" w:lineRule="auto"/>
        <w:rPr>
          <w:sz w:val="20"/>
          <w:szCs w:val="20"/>
          <w:color w:val="auto"/>
        </w:rPr>
      </w:pPr>
      <w:r>
        <w:rPr>
          <w:rFonts w:ascii="Courier New" w:cs="Courier New" w:eastAsia="Courier New" w:hAnsi="Courier New"/>
          <w:sz w:val="18"/>
          <w:szCs w:val="18"/>
          <w:color w:val="auto"/>
        </w:rPr>
        <w:t>Administration, Chief Financial Officer,</w:t>
      </w:r>
    </w:p>
    <w:p>
      <w:pPr>
        <w:spacing w:after="0"/>
        <w:tabs>
          <w:tab w:leader="none" w:pos="2620" w:val="left"/>
        </w:tabs>
        <w:rPr>
          <w:sz w:val="20"/>
          <w:szCs w:val="20"/>
          <w:color w:val="auto"/>
        </w:rPr>
      </w:pPr>
      <w:r>
        <w:rPr>
          <w:rFonts w:ascii="Courier New" w:cs="Courier New" w:eastAsia="Courier New" w:hAnsi="Courier New"/>
          <w:sz w:val="18"/>
          <w:szCs w:val="18"/>
          <w:color w:val="auto"/>
        </w:rPr>
        <w:t>Treasurer and Assistant</w:t>
      </w:r>
      <w:r>
        <w:rPr>
          <w:sz w:val="20"/>
          <w:szCs w:val="20"/>
          <w:color w:val="auto"/>
        </w:rPr>
        <w:tab/>
      </w:r>
      <w:r>
        <w:rPr>
          <w:rFonts w:ascii="Courier New" w:cs="Courier New" w:eastAsia="Courier New" w:hAnsi="Courier New"/>
          <w:sz w:val="16"/>
          <w:szCs w:val="16"/>
          <w:color w:val="auto"/>
        </w:rPr>
        <w:t>Secretary</w:t>
      </w:r>
    </w:p>
    <w:p>
      <w:pPr>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July 30,</w:t>
      </w:r>
      <w:r>
        <w:rPr>
          <w:sz w:val="20"/>
          <w:szCs w:val="20"/>
          <w:color w:val="auto"/>
        </w:rPr>
        <w:tab/>
      </w:r>
      <w:r>
        <w:rPr>
          <w:rFonts w:ascii="Courier New" w:cs="Courier New" w:eastAsia="Courier New" w:hAnsi="Courier New"/>
          <w:sz w:val="16"/>
          <w:szCs w:val="16"/>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30,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30, 2002</w:t>
      </w:r>
    </w:p>
    <w:p>
      <w:pPr>
        <w:spacing w:after="0" w:line="807" w:lineRule="exact"/>
        <w:rPr>
          <w:sz w:val="20"/>
          <w:szCs w:val="20"/>
          <w:color w:val="auto"/>
        </w:rPr>
      </w:pPr>
    </w:p>
    <w:p>
      <w:pPr>
        <w:sectPr>
          <w:pgSz w:w="11900" w:h="16838" w:orient="portrait"/>
          <w:cols w:equalWidth="0" w:num="3">
            <w:col w:w="4120" w:space="420"/>
            <w:col w:w="4540" w:space="720"/>
            <w:col w:w="1480"/>
          </w:cols>
          <w:pgMar w:left="240" w:top="514" w:right="3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Douglas S. McCorkle</w:t>
      </w:r>
    </w:p>
    <w:p>
      <w:pPr>
        <w:sectPr>
          <w:pgSz w:w="11900" w:h="16838" w:orient="portrait"/>
          <w:cols w:equalWidth="0" w:num="1">
            <w:col w:w="11280"/>
          </w:cols>
          <w:pgMar w:left="240" w:top="514" w:right="37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Douglas S. McCorkle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Baker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Charles A. Baker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S. Brown, 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Michael S. Brown, M.D.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Alfred G. Gilman, M.D., Ph.D.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Controller and Assistant Treasurer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100"/>
        <w:spacing w:after="0" w:line="871" w:lineRule="auto"/>
        <w:rPr>
          <w:sz w:val="20"/>
          <w:szCs w:val="20"/>
          <w:color w:val="auto"/>
        </w:rPr>
      </w:pPr>
      <w:r>
        <w:rPr>
          <w:rFonts w:ascii="Courier New" w:cs="Courier New" w:eastAsia="Courier New" w:hAnsi="Courier New"/>
          <w:sz w:val="16"/>
          <w:szCs w:val="16"/>
          <w:color w:val="auto"/>
        </w:rPr>
        <w:t>July 30, 2002 July 30, 2002 July 30, 2002 July 30, 2002</w:t>
      </w:r>
    </w:p>
    <w:p>
      <w:pPr>
        <w:spacing w:after="0" w:line="2" w:lineRule="exact"/>
        <w:rPr>
          <w:sz w:val="20"/>
          <w:szCs w:val="20"/>
          <w:color w:val="auto"/>
        </w:rPr>
      </w:pPr>
    </w:p>
    <w:p>
      <w:pPr>
        <w:sectPr>
          <w:pgSz w:w="11900" w:h="16838" w:orient="portrait"/>
          <w:cols w:equalWidth="0" w:num="4">
            <w:col w:w="4120" w:space="420"/>
            <w:col w:w="3800" w:space="200"/>
            <w:col w:w="640" w:space="620"/>
            <w:col w:w="1480"/>
          </w:cols>
          <w:pgMar w:left="240" w:top="514" w:right="379"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Alfred G. Gilman, M.D., Ph.D.</w:t>
      </w:r>
    </w:p>
    <w:p>
      <w:pPr>
        <w:sectPr>
          <w:pgSz w:w="11900" w:h="16838" w:orient="portrait"/>
          <w:cols w:equalWidth="0" w:num="1">
            <w:col w:w="11280"/>
          </w:cols>
          <w:pgMar w:left="240" w:top="514" w:right="379" w:bottom="1440" w:gutter="0" w:footer="0" w:header="0"/>
          <w:type w:val="continuous"/>
        </w:sectPr>
      </w:pPr>
    </w:p>
    <w:bookmarkStart w:id="3" w:name="page4"/>
    <w:bookmarkEnd w:id="3"/>
    <w:p>
      <w:pPr>
        <w:spacing w:after="0"/>
        <w:tabs>
          <w:tab w:leader="none" w:pos="520" w:val="left"/>
        </w:tabs>
        <w:rPr>
          <w:sz w:val="20"/>
          <w:szCs w:val="20"/>
          <w:color w:val="auto"/>
        </w:rPr>
      </w:pPr>
      <w:r>
        <w:rPr>
          <w:rFonts w:ascii="Courier New" w:cs="Courier New" w:eastAsia="Courier New" w:hAnsi="Courier New"/>
          <w:sz w:val="16"/>
          <w:szCs w:val="16"/>
          <w:color w:val="auto"/>
        </w:rPr>
        <w:t>/s/</w:t>
        <w:tab/>
        <w:t>Joseph L. Goldstein, M.D.</w:t>
      </w:r>
    </w:p>
    <w:p>
      <w:pPr>
        <w:sectPr>
          <w:pgSz w:w="11900" w:h="16838" w:orient="portrait"/>
          <w:cols w:equalWidth="0" w:num="1">
            <w:col w:w="11180"/>
          </w:cols>
          <w:pgMar w:left="240" w:top="925" w:right="479"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2002</w:t>
      </w:r>
    </w:p>
    <w:p>
      <w:pPr>
        <w:spacing w:after="0" w:line="16" w:lineRule="exact"/>
        <w:rPr>
          <w:sz w:val="20"/>
          <w:szCs w:val="20"/>
          <w:color w:val="auto"/>
        </w:rPr>
      </w:pPr>
    </w:p>
    <w:p>
      <w:pPr>
        <w:sectPr>
          <w:pgSz w:w="11900" w:h="16838" w:orient="portrait"/>
          <w:cols w:equalWidth="0" w:num="3">
            <w:col w:w="4120" w:space="620"/>
            <w:col w:w="4340" w:space="720"/>
            <w:col w:w="1380"/>
          </w:cols>
          <w:pgMar w:left="240" w:top="925" w:right="479" w:bottom="1440" w:gutter="0" w:footer="0" w:header="0"/>
          <w:type w:val="continuous"/>
        </w:sectPr>
      </w:pPr>
    </w:p>
    <w:p>
      <w:pPr>
        <w:ind w:left="860"/>
        <w:spacing w:after="0"/>
        <w:rPr>
          <w:sz w:val="20"/>
          <w:szCs w:val="20"/>
          <w:color w:val="auto"/>
        </w:rPr>
      </w:pPr>
      <w:r>
        <w:rPr>
          <w:rFonts w:ascii="Courier New" w:cs="Courier New" w:eastAsia="Courier New" w:hAnsi="Courier New"/>
          <w:sz w:val="18"/>
          <w:szCs w:val="18"/>
          <w:color w:val="auto"/>
        </w:rPr>
        <w:t>Joseph L. Goldstein, M.D.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George D. Yancopoulos, M.D., Ph.D.</w:t>
      </w:r>
    </w:p>
    <w:p>
      <w:pPr>
        <w:sectPr>
          <w:pgSz w:w="11900" w:h="16838" w:orient="portrait"/>
          <w:cols w:equalWidth="0" w:num="1">
            <w:col w:w="11180"/>
          </w:cols>
          <w:pgMar w:left="240" w:top="925" w:right="47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2002</w:t>
      </w:r>
    </w:p>
    <w:p>
      <w:pPr>
        <w:spacing w:after="0" w:line="21" w:lineRule="exact"/>
        <w:rPr>
          <w:sz w:val="20"/>
          <w:szCs w:val="20"/>
          <w:color w:val="auto"/>
        </w:rPr>
      </w:pPr>
    </w:p>
    <w:p>
      <w:pPr>
        <w:sectPr>
          <w:pgSz w:w="11900" w:h="16838" w:orient="portrait"/>
          <w:cols w:equalWidth="0" w:num="3">
            <w:col w:w="4120" w:space="620"/>
            <w:col w:w="4340" w:space="720"/>
            <w:col w:w="1380"/>
          </w:cols>
          <w:pgMar w:left="240" w:top="925" w:right="479"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George D. Yancopoulos, M.D., Ph.D.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Eric M. Shooter, Ph.D.</w:t>
      </w:r>
    </w:p>
    <w:p>
      <w:pPr>
        <w:sectPr>
          <w:pgSz w:w="11900" w:h="16838" w:orient="portrait"/>
          <w:cols w:equalWidth="0" w:num="1">
            <w:col w:w="11180"/>
          </w:cols>
          <w:pgMar w:left="240" w:top="925" w:right="4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30, 2002</w:t>
      </w:r>
    </w:p>
    <w:p>
      <w:pPr>
        <w:spacing w:after="0" w:line="21" w:lineRule="exact"/>
        <w:rPr>
          <w:sz w:val="20"/>
          <w:szCs w:val="20"/>
          <w:color w:val="auto"/>
        </w:rPr>
      </w:pPr>
    </w:p>
    <w:p>
      <w:pPr>
        <w:sectPr>
          <w:pgSz w:w="11900" w:h="16838" w:orient="portrait"/>
          <w:cols w:equalWidth="0" w:num="3">
            <w:col w:w="4120" w:space="620"/>
            <w:col w:w="4340" w:space="720"/>
            <w:col w:w="1380"/>
          </w:cols>
          <w:pgMar w:left="240" w:top="925" w:right="479"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Eric M. Shooter, Ph.D.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Sing</w:t>
      </w:r>
    </w:p>
    <w:p>
      <w:pPr>
        <w:sectPr>
          <w:pgSz w:w="11900" w:h="16838" w:orient="portrait"/>
          <w:cols w:equalWidth="0" w:num="1">
            <w:col w:w="11180"/>
          </w:cols>
          <w:pgMar w:left="240" w:top="925" w:right="4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30, 2002</w:t>
      </w:r>
    </w:p>
    <w:p>
      <w:pPr>
        <w:spacing w:after="0" w:line="21" w:lineRule="exact"/>
        <w:rPr>
          <w:sz w:val="20"/>
          <w:szCs w:val="20"/>
          <w:color w:val="auto"/>
        </w:rPr>
      </w:pPr>
    </w:p>
    <w:p>
      <w:pPr>
        <w:sectPr>
          <w:pgSz w:w="11900" w:h="16838" w:orient="portrait"/>
          <w:cols w:equalWidth="0" w:num="3">
            <w:col w:w="4120" w:space="620"/>
            <w:col w:w="4340" w:space="720"/>
            <w:col w:w="1380"/>
          </w:cols>
          <w:pgMar w:left="240" w:top="925" w:right="479"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George Sing</w:t>
      </w:r>
    </w:p>
    <w:sectPr>
      <w:pgSz w:w="11900" w:h="16838" w:orient="portrait"/>
      <w:cols w:equalWidth="0" w:num="1">
        <w:col w:w="11180"/>
      </w:cols>
      <w:pgMar w:left="240" w:top="925"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2019-12-20T02:25:02Z</dcterms:created>
  <dcterms:modified xsi:type="dcterms:W3CDTF">2019-12-20T02:25:02Z</dcterms:modified>
</cp:coreProperties>
</file>