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3, 2022</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REGENERON PHARMACEUTICALS,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13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16"/>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10591-6707</w:t>
            </w:r>
          </w:p>
        </w:tc>
      </w:tr>
      <w:tr>
        <w:trPr>
          <w:trHeight w:val="238"/>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r>
        <w:trPr>
          <w:trHeight w:val="237"/>
        </w:trPr>
        <w:tc>
          <w:tcPr>
            <w:tcW w:w="4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par value $0.001 per share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REGN</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ind w:left="980" w:right="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October 3, 2022,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Regeneron Pharmaceuticals,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elected Craig B. Thompson, M.D. as a director. With the addition of Dr. Thompson, the Board has been expanded from 12 to 13 members. Dr. Thompson has also been appointed to serve on the Technology Committee of the Board. In accordance with the requirements of the New York Business Corporation Law, Dr. Thompson will hold office until the 2023 Annual Shareholder Meeting of the Company.</w:t>
      </w:r>
    </w:p>
    <w:p>
      <w:pPr>
        <w:spacing w:after="0" w:line="180"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Dr. Thompson will receive compensation from the Company for his service as a director in accordance with the Company’s compensation practices for non-employee directors, as described under the caption “Compensation of Directors” in the Company’s definitive proxy statement filed on April 21, 2022.</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is no arrangement or understanding between Dr. Thompson and any other person pursuant to which he was selected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2022-10-03T06:19:55Z</dcterms:created>
  <dcterms:modified xsi:type="dcterms:W3CDTF">2022-10-03T06:19:55Z</dcterms:modified>
</cp:coreProperties>
</file>