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Act of 1934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6, 2007 (February 5, 2007)</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u w:val="single" w:color="auto"/>
          <w:color w:val="auto"/>
        </w:rPr>
        <w:t>REGENERON PHARMACEUTICALS,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New York</w:t>
            </w:r>
          </w:p>
        </w:tc>
        <w:tc>
          <w:tcPr>
            <w:tcW w:w="400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000-19034</w:t>
            </w:r>
          </w:p>
        </w:tc>
        <w:tc>
          <w:tcPr>
            <w:tcW w:w="398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133444607</w:t>
            </w:r>
          </w:p>
        </w:tc>
      </w:tr>
      <w:tr>
        <w:trPr>
          <w:trHeight w:val="201"/>
        </w:trPr>
        <w:tc>
          <w:tcPr>
            <w:tcW w:w="34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58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w:t>
            </w:r>
          </w:p>
        </w:tc>
        <w:tc>
          <w:tcPr>
            <w:tcW w:w="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32"/>
        </w:trPr>
        <w:tc>
          <w:tcPr>
            <w:tcW w:w="7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w:t>
            </w:r>
          </w:p>
        </w:tc>
        <w:tc>
          <w:tcPr>
            <w:tcW w:w="3980" w:type="dxa"/>
            <w:vAlign w:val="bottom"/>
            <w:tcBorders>
              <w:bottom w:val="single" w:sz="8" w:color="auto"/>
            </w:tcBorders>
            <w:gridSpan w:val="2"/>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10591-6707</w:t>
            </w:r>
          </w:p>
        </w:tc>
      </w:tr>
      <w:tr>
        <w:trPr>
          <w:trHeight w:val="232"/>
        </w:trPr>
        <w:tc>
          <w:tcPr>
            <w:tcW w:w="7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(914) 347-7000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registrant under any of the following provisions: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572770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21"/>
          <w:szCs w:val="21"/>
          <w:b w:val="1"/>
          <w:bCs w:val="1"/>
          <w:u w:val="single" w:color="auto"/>
          <w:color w:val="auto"/>
        </w:rPr>
        <w:t>TABLE OF CONTENTS</w:t>
      </w:r>
    </w:p>
    <w:p>
      <w:pPr>
        <w:spacing w:after="0" w:line="222"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1.01 Entry Into a Material Definitive Agreement</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9.01 Financial Statements and Exhibits</w:t>
        </w:r>
      </w:hyperlink>
    </w:p>
    <w:p>
      <w:pPr>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21" w:lineRule="exact"/>
        <w:rPr>
          <w:sz w:val="20"/>
          <w:szCs w:val="20"/>
          <w:color w:val="auto"/>
        </w:rPr>
      </w:pPr>
    </w:p>
    <w:p>
      <w:pPr>
        <w:ind w:left="240"/>
        <w:spacing w:after="0" w:line="256" w:lineRule="auto"/>
        <w:rPr>
          <w:sz w:val="20"/>
          <w:szCs w:val="20"/>
          <w:color w:val="auto"/>
        </w:rPr>
      </w:pPr>
      <w:r>
        <w:rPr>
          <w:rFonts w:ascii="Times New Roman" w:cs="Times New Roman" w:eastAsia="Times New Roman" w:hAnsi="Times New Roman"/>
          <w:sz w:val="18"/>
          <w:szCs w:val="18"/>
          <w:color w:val="auto"/>
        </w:rPr>
        <w:t>On February 5, 2007, the Company announced that it had entered into a non-exclusive license agreement with AstraZeneca granting AstraZeneca certain rights to use Regeneron’s VelocImmune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to discover human monoclonal antibodies. Pursuant to the terms of the agreement, AstraZeneca will make a $20 million upfront payment to Regeneron. AstraZeneca also will make up to five additional annual payments of $20 million, subject to its ability to terminate the agreement after making the first three additional payments or if the technology does not meet minimum performance criteria. Regeneron is entitled to receive a mid-single-digit royalty on any future sales of antibody products discovered by AstraZeneca using Regeneron’s VelocImmune technology.</w:t>
      </w:r>
    </w:p>
    <w:p>
      <w:pPr>
        <w:spacing w:after="0" w:line="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copy of the press release announcing the agreement is furnished as Exhibit 99(a) to this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480" w:hanging="247"/>
        <w:spacing w:after="0"/>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99(a) Press Release of Regeneron Pharmaceuticals, Inc. dated February 5, 2007.</w:t>
      </w:r>
    </w:p>
    <w:p>
      <w:pPr>
        <w:spacing w:after="0" w:line="117" w:lineRule="exact"/>
        <w:rPr>
          <w:sz w:val="20"/>
          <w:szCs w:val="20"/>
          <w:color w:val="auto"/>
        </w:rPr>
      </w:pPr>
    </w:p>
    <w:p>
      <w:pPr>
        <w:ind w:right="600"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REGENERON PHARMACEUTICALS,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6, 2007</w:t>
            </w:r>
          </w:p>
        </w:tc>
        <w:tc>
          <w:tcPr>
            <w:tcW w:w="618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Stuart Kolinski</w:t>
            </w:r>
          </w:p>
        </w:tc>
        <w:tc>
          <w:tcPr>
            <w:tcW w:w="1680" w:type="dxa"/>
            <w:vAlign w:val="bottom"/>
          </w:tcPr>
          <w:p>
            <w:pPr>
              <w:spacing w:after="0"/>
              <w:rPr>
                <w:sz w:val="24"/>
                <w:szCs w:val="24"/>
                <w:color w:val="auto"/>
              </w:rPr>
            </w:pPr>
          </w:p>
        </w:tc>
      </w:tr>
      <w:tr>
        <w:trPr>
          <w:trHeight w:val="191"/>
        </w:trPr>
        <w:tc>
          <w:tcPr>
            <w:tcW w:w="35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Stuart Kolinski</w:t>
            </w:r>
          </w:p>
        </w:tc>
        <w:tc>
          <w:tcPr>
            <w:tcW w:w="1680" w:type="dxa"/>
            <w:vAlign w:val="bottom"/>
          </w:tcPr>
          <w:p>
            <w:pPr>
              <w:spacing w:after="0"/>
              <w:rPr>
                <w:sz w:val="16"/>
                <w:szCs w:val="16"/>
                <w:color w:val="auto"/>
              </w:rPr>
            </w:pPr>
          </w:p>
        </w:tc>
      </w:tr>
      <w:tr>
        <w:trPr>
          <w:trHeight w:val="234"/>
        </w:trPr>
        <w:tc>
          <w:tcPr>
            <w:tcW w:w="35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General Counsel</w:t>
            </w:r>
          </w:p>
        </w:tc>
        <w:tc>
          <w:tcPr>
            <w:tcW w:w="1680" w:type="dxa"/>
            <w:vAlign w:val="bottom"/>
          </w:tcPr>
          <w:p>
            <w:pPr>
              <w:spacing w:after="0"/>
              <w:rPr>
                <w:sz w:val="20"/>
                <w:szCs w:val="20"/>
                <w:color w:val="auto"/>
              </w:rPr>
            </w:pPr>
          </w:p>
        </w:tc>
      </w:tr>
      <w:tr>
        <w:trPr>
          <w:trHeight w:val="621"/>
        </w:trPr>
        <w:tc>
          <w:tcPr>
            <w:tcW w:w="3560" w:type="dxa"/>
            <w:vAlign w:val="bottom"/>
          </w:tcPr>
          <w:p>
            <w:pPr>
              <w:spacing w:after="0"/>
              <w:rPr>
                <w:sz w:val="24"/>
                <w:szCs w:val="24"/>
                <w:color w:val="auto"/>
              </w:rPr>
            </w:pPr>
          </w:p>
        </w:tc>
        <w:tc>
          <w:tcPr>
            <w:tcW w:w="6180" w:type="dxa"/>
            <w:vAlign w:val="bottom"/>
            <w:gridSpan w:val="2"/>
          </w:tcPr>
          <w:p>
            <w:pPr>
              <w:jc w:val="right"/>
              <w:ind w:right="389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33"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4"/>
          <w:szCs w:val="14"/>
          <w:b w:val="1"/>
          <w:bCs w:val="1"/>
          <w:u w:val="single" w:color="auto"/>
          <w:color w:val="auto"/>
        </w:rPr>
        <w:t>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7620</wp:posOffset>
            </wp:positionV>
            <wp:extent cx="67919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2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99(a)</w:t>
      </w:r>
      <w:r>
        <w:rPr>
          <w:sz w:val="20"/>
          <w:szCs w:val="20"/>
          <w:color w:val="auto"/>
        </w:rPr>
        <w:tab/>
      </w:r>
      <w:r>
        <w:rPr>
          <w:rFonts w:ascii="Times New Roman" w:cs="Times New Roman" w:eastAsia="Times New Roman" w:hAnsi="Times New Roman"/>
          <w:sz w:val="18"/>
          <w:szCs w:val="18"/>
          <w:color w:val="auto"/>
        </w:rPr>
        <w:t>Press Release of Regeneron Pharmaceuticals, Inc. dated February 5, 2007.</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19"/>
          </w:cols>
          <w:pgMar w:left="240" w:top="415"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ASTRAZENECA LICENSES REGENERON’S</w:t>
      </w:r>
    </w:p>
    <w:p>
      <w:pPr>
        <w:jc w:val="center"/>
        <w:spacing w:after="0" w:line="200" w:lineRule="auto"/>
        <w:rPr>
          <w:sz w:val="20"/>
          <w:szCs w:val="20"/>
          <w:color w:val="auto"/>
        </w:rPr>
      </w:pPr>
      <w:r>
        <w:rPr>
          <w:rFonts w:ascii="Times New Roman" w:cs="Times New Roman" w:eastAsia="Times New Roman" w:hAnsi="Times New Roman"/>
          <w:sz w:val="18"/>
          <w:szCs w:val="18"/>
          <w:b w:val="1"/>
          <w:bCs w:val="1"/>
          <w:i w:val="1"/>
          <w:iCs w:val="1"/>
          <w:color w:val="auto"/>
        </w:rPr>
        <w:t>VELOCIMMUNE</w:t>
      </w:r>
      <w:r>
        <w:rPr>
          <w:rFonts w:ascii="Times New Roman" w:cs="Times New Roman" w:eastAsia="Times New Roman" w:hAnsi="Times New Roman"/>
          <w:sz w:val="26"/>
          <w:szCs w:val="26"/>
          <w:b w:val="1"/>
          <w:bCs w:val="1"/>
          <w:color w:val="auto"/>
          <w:vertAlign w:val="superscript"/>
        </w:rPr>
        <w:t>®</w:t>
      </w:r>
    </w:p>
    <w:p>
      <w:pPr>
        <w:jc w:val="center"/>
        <w:spacing w:after="0"/>
        <w:rPr>
          <w:sz w:val="20"/>
          <w:szCs w:val="20"/>
          <w:color w:val="auto"/>
        </w:rPr>
      </w:pPr>
      <w:r>
        <w:rPr>
          <w:rFonts w:ascii="Times New Roman" w:cs="Times New Roman" w:eastAsia="Times New Roman" w:hAnsi="Times New Roman"/>
          <w:sz w:val="18"/>
          <w:szCs w:val="18"/>
          <w:b w:val="1"/>
          <w:bCs w:val="1"/>
          <w:color w:val="auto"/>
        </w:rPr>
        <w:t>TECHNOLOGY FOR DISCOVERING HUMAN MONOCLONAL</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ANTIBODIES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AstraZeneca Is First Licensee of Novel </w:t>
      </w:r>
      <w:r>
        <w:rPr>
          <w:rFonts w:ascii="Times New Roman" w:cs="Times New Roman" w:eastAsia="Times New Roman" w:hAnsi="Times New Roman"/>
          <w:sz w:val="18"/>
          <w:szCs w:val="18"/>
          <w:b w:val="1"/>
          <w:bCs w:val="1"/>
          <w:i w:val="1"/>
          <w:iCs w:val="1"/>
          <w:color w:val="auto"/>
        </w:rPr>
        <w:t>VelocImmu</w:t>
      </w:r>
      <w:r>
        <w:rPr>
          <w:rFonts w:ascii="Times New Roman" w:cs="Times New Roman" w:eastAsia="Times New Roman" w:hAnsi="Times New Roman"/>
          <w:sz w:val="18"/>
          <w:szCs w:val="18"/>
          <w:b w:val="1"/>
          <w:bCs w:val="1"/>
          <w:color w:val="auto"/>
        </w:rPr>
        <w:t>ne Technology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License Fees Total up to $120 Million Over Six Years</w:t>
      </w:r>
    </w:p>
    <w:p>
      <w:pPr>
        <w:spacing w:after="0" w:line="99"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 xml:space="preserve">Tarrytown, NY — (February 5, 2007) — Regeneron Pharmaceuticals, Inc. (Nasdaq: REGN) announced today it has entered into a non-exclusive license agreement that will allow AstraZeneca (LSE: AZN, NYSE: AZN) to utilize Regeneron’s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technology in its internal research programs to discover human monoclonal antibodies. AstraZeneca will conduct the work at Cambridge Antibody Technology (CAT) in the UK as part of its recently stated aim of building a biopharmaceutical capability.</w:t>
      </w:r>
    </w:p>
    <w:p>
      <w:pPr>
        <w:spacing w:after="0" w:line="9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AstraZeneca will pay $20 million upfront and will make up to five additional annual payments of $20 million, subject to the ability to terminate the agreement after making the first three additional payments. Upon commercialization of any antibody products discovered utilizing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AstraZeneca will pay to Regeneron a mid-single-digit royalty on product sales.</w:t>
      </w:r>
    </w:p>
    <w:p>
      <w:pPr>
        <w:spacing w:after="0" w:line="66"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is the centerpiece of Regeneron’s suite of technologies for the discovery and development of fully human antibodies,” said George D. Yancopoulos, M.D., Ph.D., President of Regeneron Research Laboratories and Regeneron’s Chief Scientific Officer. “We are pleased that AstraZeneca, a company with a clear strategic commitment to developing therapeutic antibodies, has selected the </w:t>
      </w:r>
      <w:r>
        <w:rPr>
          <w:rFonts w:ascii="Times New Roman" w:cs="Times New Roman" w:eastAsia="Times New Roman" w:hAnsi="Times New Roman"/>
          <w:sz w:val="18"/>
          <w:szCs w:val="18"/>
          <w:i w:val="1"/>
          <w:iCs w:val="1"/>
          <w:color w:val="auto"/>
        </w:rPr>
        <w:t>VelocImmune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platform for its internal development program.”</w:t>
      </w:r>
    </w:p>
    <w:p>
      <w:pPr>
        <w:spacing w:after="0" w:line="115"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“AstraZeneca is committed to becoming a leader in the area of biologicals and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is an important part of our strategy to succeed in this field,” said Jan Lundberg, Ph.D., Executive VP Global Discovery Research.</w:t>
      </w:r>
    </w:p>
    <w:p>
      <w:pPr>
        <w:spacing w:after="0" w:line="5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Alex Duncan, Ph.D., CAT’s SVP Drug Discovery, commented, “This combination of CAT’s display technologies and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platform will provide enormous potential for creating antibody therapeutics.”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VelocImmune </w:t>
      </w:r>
      <w:r>
        <w:rPr>
          <w:rFonts w:ascii="Times New Roman" w:cs="Times New Roman" w:eastAsia="Times New Roman" w:hAnsi="Times New Roman"/>
          <w:sz w:val="18"/>
          <w:szCs w:val="18"/>
          <w:b w:val="1"/>
          <w:bCs w:val="1"/>
          <w:u w:val="single" w:color="auto"/>
          <w:color w:val="auto"/>
        </w:rPr>
        <w:t>and Regeneron’s Discovery Platforms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Regeneron’s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offers the potential to increase dramatically the speed and efficiency of discovering fully-human, therapeutic monoclonal antibodies.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platform generates fully human monoclonal antibodies (hMAbs) to address clinically relevant targets of therapeutic interest. The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mouse, unlike other hMAb mice, mounts a robust immune response that is virtually indistinguishable from that of a wild type mouse, resulting in a reliable and efficient platform for discovering fully human monoclonal antibodies.</w:t>
      </w:r>
    </w:p>
    <w:p>
      <w:pPr>
        <w:spacing w:after="0" w:line="72"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 xml:space="preserve">Regeneron has developed and validated a suite of inter-related technology platforms —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VeliciMouse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 that the Company believes can accelerate its therapeutic drug discovery programs and improve its ability to discover new hMAb product candidates through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These discovery platforms are designed to identify specific genes of therapeutic interest for a particular disease or cell type and validate targets through high-throughput production of mammalian models.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uses a proprietary</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7" w:name="page8"/>
    <w:bookmarkEnd w:id="7"/>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process to create genetic modifications in a mouse in a precise and high-throughput manner and was recently selected by the National Institutes of Health for use in its Knockout Mouse Project. </w:t>
      </w:r>
      <w:r>
        <w:rPr>
          <w:rFonts w:ascii="Times New Roman" w:cs="Times New Roman" w:eastAsia="Times New Roman" w:hAnsi="Times New Roman"/>
          <w:sz w:val="18"/>
          <w:szCs w:val="18"/>
          <w:i w:val="1"/>
          <w:iCs w:val="1"/>
          <w:color w:val="auto"/>
        </w:rPr>
        <w:t>VelociGene</w:t>
      </w:r>
      <w:r>
        <w:rPr>
          <w:rFonts w:ascii="Times New Roman" w:cs="Times New Roman" w:eastAsia="Times New Roman" w:hAnsi="Times New Roman"/>
          <w:sz w:val="18"/>
          <w:szCs w:val="18"/>
          <w:color w:val="auto"/>
        </w:rPr>
        <w:t xml:space="preserve"> allows Regeneron to produce mouse embryonic stem (ES) cells rapidly for elucidating the function of the altered genes. </w:t>
      </w:r>
      <w:r>
        <w:rPr>
          <w:rFonts w:ascii="Times New Roman" w:cs="Times New Roman" w:eastAsia="Times New Roman" w:hAnsi="Times New Roman"/>
          <w:sz w:val="18"/>
          <w:szCs w:val="18"/>
          <w:i w:val="1"/>
          <w:iCs w:val="1"/>
          <w:color w:val="auto"/>
        </w:rPr>
        <w:t>VelociMouse</w:t>
      </w:r>
      <w:r>
        <w:rPr>
          <w:rFonts w:ascii="Times New Roman" w:cs="Times New Roman" w:eastAsia="Times New Roman" w:hAnsi="Times New Roman"/>
          <w:sz w:val="18"/>
          <w:szCs w:val="18"/>
          <w:color w:val="auto"/>
        </w:rPr>
        <w:t xml:space="preserve"> allows Regeneron scientists to generate mammalian models directly from ES cells without the need for chimeras or breeding. </w:t>
      </w:r>
      <w:r>
        <w:rPr>
          <w:rFonts w:ascii="Times New Roman" w:cs="Times New Roman" w:eastAsia="Times New Roman" w:hAnsi="Times New Roman"/>
          <w:sz w:val="18"/>
          <w:szCs w:val="18"/>
          <w:i w:val="1"/>
          <w:iCs w:val="1"/>
          <w:color w:val="auto"/>
        </w:rPr>
        <w:t xml:space="preserve">VelocImmune </w:t>
      </w:r>
      <w:r>
        <w:rPr>
          <w:rFonts w:ascii="Times New Roman" w:cs="Times New Roman" w:eastAsia="Times New Roman" w:hAnsi="Times New Roman"/>
          <w:sz w:val="18"/>
          <w:szCs w:val="18"/>
          <w:color w:val="auto"/>
        </w:rPr>
        <w:t>provides antibodies that address the targets identified in the mammalian models that can be developed as potential therapeutics.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AstraZeneca</w:t>
      </w:r>
    </w:p>
    <w:p>
      <w:pPr>
        <w:spacing w:after="0" w:line="12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AstraZeneca is a major international healthcare business engaged in the research, development, manufacture and marketing of prescription pharmaceuticals and the supply of healthcare services. It is one of the world’s leading pharmaceutical companies with healthcare sales of $26.47 billion and leading positions in sales of gastrointestinal, cardiovascular, neuroscience, respiratory, oncology and infection products. AstraZeneca is listed in the Dow Jones Sustainability Index (Global) as well as the FTSE4 Good Index.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Cambridge Antibody Technology</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Cambridge Antibody Technology (CAT) is a biopharmaceutical company using its capabilities and technologies in the discovery and development of new and innovative antibody medicines in selected therapeutic areas to bring improvements to seriously ill patients’ lives. CAT is a leader in the discovery and development of human therapeutic antibodies and has an advanced proprietary platform technology for rapidly isolating human monoclonal antibodies using phage display and ribosome display systems. CAT has extensive phage antibody libraries, currently incorporating more than 100 billion distinct antibodies. These libraries form the basis for the Company’s strategy to develop a portfolio of antibody-based drugs. CAT is part of the AstraZeneca group of companies. CAT employs around 300 people and is based near Cambridge, UK and in Palo Alto, USA. For more information: </w:t>
      </w:r>
      <w:r>
        <w:rPr>
          <w:rFonts w:ascii="Times New Roman" w:cs="Times New Roman" w:eastAsia="Times New Roman" w:hAnsi="Times New Roman"/>
          <w:sz w:val="18"/>
          <w:szCs w:val="18"/>
          <w:u w:val="single" w:color="auto"/>
          <w:color w:val="auto"/>
        </w:rPr>
        <w:t>www.cambridgeantibody.com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Regeneron Pharmaceuticals, Inc.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 is a biopharmaceutical company that discovers, develops, and intends to commercialize therapeutic medicines for the treatment of</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8" w:name="page9"/>
    <w:bookmarkEnd w:id="8"/>
    <w:p>
      <w:pPr>
        <w:ind w:right="540"/>
        <w:spacing w:after="0" w:line="282" w:lineRule="auto"/>
        <w:rPr>
          <w:sz w:val="20"/>
          <w:szCs w:val="20"/>
          <w:color w:val="auto"/>
        </w:rPr>
      </w:pPr>
      <w:r>
        <w:rPr>
          <w:rFonts w:ascii="Times New Roman" w:cs="Times New Roman" w:eastAsia="Times New Roman" w:hAnsi="Times New Roman"/>
          <w:sz w:val="18"/>
          <w:szCs w:val="18"/>
          <w:color w:val="auto"/>
        </w:rPr>
        <w:t>serious medical conditions. Regeneron has therapeutic candidates in clinical trials for the potential treatment of cancer, eye diseases, and inflammatory diseases, and has preclinical programs in other diseases and disorders.</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agreements with the sanofi-aventis Group and Bayer HealthCare,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and Form 10-Q for the quarter ended September 30, 2006. Regeneron does not undertake any obligation to update publicly any forward-looking statement, whether as a result of new information, future events, or otherwise unless required by law.</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Regeneron Contacts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Media:</w:t>
      </w:r>
    </w:p>
    <w:p>
      <w:pPr>
        <w:spacing w:after="0" w:line="134"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Lauren Tortorete, Tel: 212 845 5609</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ltortorete@biosector2.com</w:t>
      </w:r>
    </w:p>
    <w:p>
      <w:pPr>
        <w:spacing w:after="0" w:line="248"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Investor Relations:</w:t>
      </w:r>
    </w:p>
    <w:p>
      <w:pPr>
        <w:spacing w:after="0" w:line="134" w:lineRule="exact"/>
        <w:rPr>
          <w:rFonts w:ascii="Times New Roman" w:cs="Times New Roman" w:eastAsia="Times New Roman" w:hAnsi="Times New Roman"/>
          <w:sz w:val="18"/>
          <w:szCs w:val="18"/>
          <w:b w:val="1"/>
          <w:bCs w:val="1"/>
          <w:color w:val="auto"/>
        </w:rPr>
      </w:pPr>
    </w:p>
    <w:p>
      <w:pPr>
        <w:ind w:left="900" w:right="8100" w:hanging="446"/>
        <w:spacing w:after="0" w:line="313" w:lineRule="auto"/>
        <w:tabs>
          <w:tab w:leader="none" w:pos="9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Charles Poole, Tel: 914 345 7640 </w:t>
      </w:r>
      <w:r>
        <w:rPr>
          <w:rFonts w:ascii="Times New Roman" w:cs="Times New Roman" w:eastAsia="Times New Roman" w:hAnsi="Times New Roman"/>
          <w:sz w:val="17"/>
          <w:szCs w:val="17"/>
          <w:u w:val="single" w:color="auto"/>
          <w:color w:val="auto"/>
        </w:rPr>
        <w:t>charles.poole@regeneron.com</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sectPr>
      <w:pgSz w:w="11900" w:h="16838" w:orient="portrait"/>
      <w:cols w:equalWidth="0" w:num="1">
        <w:col w:w="11400"/>
      </w:cols>
      <w:pgMar w:left="240" w:top="93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2019-12-20T02:55:08Z</dcterms:created>
  <dcterms:modified xsi:type="dcterms:W3CDTF">2019-12-20T02:55:08Z</dcterms:modified>
</cp:coreProperties>
</file>