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859"/>
        <w:spacing w:after="0"/>
        <w:rPr>
          <w:sz w:val="20"/>
          <w:szCs w:val="20"/>
          <w:color w:val="auto"/>
        </w:rPr>
      </w:pPr>
      <w:r>
        <w:rPr>
          <w:rFonts w:ascii="Arial" w:cs="Arial" w:eastAsia="Arial" w:hAnsi="Arial"/>
          <w:sz w:val="18"/>
          <w:szCs w:val="18"/>
          <w:color w:val="auto"/>
        </w:rPr>
        <w:t>SCHEDULE 14A</w:t>
      </w:r>
    </w:p>
    <w:p>
      <w:pPr>
        <w:jc w:val="right"/>
        <w:ind w:right="3919"/>
        <w:spacing w:after="0" w:line="234" w:lineRule="auto"/>
        <w:rPr>
          <w:sz w:val="20"/>
          <w:szCs w:val="20"/>
          <w:color w:val="auto"/>
        </w:rPr>
      </w:pPr>
      <w:r>
        <w:rPr>
          <w:rFonts w:ascii="Arial" w:cs="Arial" w:eastAsia="Arial" w:hAnsi="Arial"/>
          <w:sz w:val="18"/>
          <w:szCs w:val="18"/>
          <w:color w:val="auto"/>
        </w:rPr>
        <w:t>(Rule 14a-101)</w:t>
      </w:r>
    </w:p>
    <w:p>
      <w:pPr>
        <w:jc w:val="center"/>
        <w:ind w:right="-1100"/>
        <w:spacing w:after="0" w:line="235" w:lineRule="auto"/>
        <w:rPr>
          <w:sz w:val="20"/>
          <w:szCs w:val="20"/>
          <w:color w:val="auto"/>
        </w:rPr>
      </w:pPr>
      <w:r>
        <w:rPr>
          <w:rFonts w:ascii="Arial" w:cs="Arial" w:eastAsia="Arial" w:hAnsi="Arial"/>
          <w:sz w:val="18"/>
          <w:szCs w:val="18"/>
          <w:color w:val="auto"/>
        </w:rPr>
        <w:t>INFORMATION REQUIRED IN PROXY STATEMENT</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SCHEDULE 14A INFORMATION</w:t>
      </w:r>
    </w:p>
    <w:p>
      <w:pPr>
        <w:spacing w:after="0" w:line="19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 the</w:t>
      </w:r>
    </w:p>
    <w:p>
      <w:pPr>
        <w:jc w:val="center"/>
        <w:ind w:right="-1120"/>
        <w:spacing w:after="0"/>
        <w:tabs>
          <w:tab w:leader="none" w:pos="140" w:val="left"/>
        </w:tabs>
        <w:rPr>
          <w:sz w:val="20"/>
          <w:szCs w:val="20"/>
          <w:color w:val="auto"/>
        </w:rPr>
      </w:pPr>
      <w:r>
        <w:rPr>
          <w:rFonts w:ascii="Arial" w:cs="Arial" w:eastAsia="Arial" w:hAnsi="Arial"/>
          <w:sz w:val="18"/>
          <w:szCs w:val="18"/>
          <w:color w:val="auto"/>
        </w:rPr>
        <w:t>Securities Exchange Act of 1934 (Amendment No.</w:t>
        <w:tab/>
        <w:t>)</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8" w:lineRule="exact"/>
        <w:rPr>
          <w:rFonts w:ascii="Arial" w:cs="Arial" w:eastAsia="Arial" w:hAnsi="Arial"/>
          <w:sz w:val="18"/>
          <w:szCs w:val="18"/>
          <w:color w:val="auto"/>
        </w:rPr>
      </w:pPr>
    </w:p>
    <w:p>
      <w:pPr>
        <w:ind w:left="340" w:right="7279" w:hanging="332"/>
        <w:spacing w:after="0" w:line="23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1"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68" w:lineRule="exact"/>
        <w:rPr>
          <w:sz w:val="24"/>
          <w:szCs w:val="24"/>
          <w:color w:val="auto"/>
        </w:rPr>
      </w:pPr>
    </w:p>
    <w:p>
      <w:pPr>
        <w:ind w:left="3640"/>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ind w:left="27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12"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92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92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00ADEE"/>
        </w:rPr>
        <w:t>2022</w:t>
      </w:r>
    </w:p>
    <w:p>
      <w:pPr>
        <w:spacing w:after="0" w:line="37" w:lineRule="exact"/>
        <w:rPr>
          <w:sz w:val="20"/>
          <w:szCs w:val="20"/>
          <w:color w:val="auto"/>
        </w:rPr>
      </w:pPr>
    </w:p>
    <w:p>
      <w:pPr>
        <w:ind w:left="360"/>
        <w:spacing w:after="0"/>
        <w:rPr>
          <w:sz w:val="20"/>
          <w:szCs w:val="20"/>
          <w:color w:val="auto"/>
        </w:rPr>
      </w:pPr>
      <w:r>
        <w:rPr>
          <w:rFonts w:ascii="Arial" w:cs="Arial" w:eastAsia="Arial" w:hAnsi="Arial"/>
          <w:sz w:val="33"/>
          <w:szCs w:val="33"/>
          <w:b w:val="1"/>
          <w:bCs w:val="1"/>
          <w:color w:val="215BA8"/>
        </w:rPr>
        <w:t>PROXY STATEMENT</w:t>
      </w:r>
    </w:p>
    <w:p>
      <w:pPr>
        <w:ind w:left="360"/>
        <w:spacing w:after="0" w:line="239" w:lineRule="auto"/>
        <w:rPr>
          <w:sz w:val="20"/>
          <w:szCs w:val="20"/>
          <w:color w:val="auto"/>
        </w:rPr>
      </w:pPr>
      <w:r>
        <w:rPr>
          <w:rFonts w:ascii="Arial" w:cs="Arial" w:eastAsia="Arial" w:hAnsi="Arial"/>
          <w:sz w:val="33"/>
          <w:szCs w:val="33"/>
          <w:b w:val="1"/>
          <w:bCs w:val="1"/>
          <w:color w:val="215BA8"/>
        </w:rPr>
        <w:t>AND NOTICE OF ANNUAL</w:t>
      </w:r>
    </w:p>
    <w:p>
      <w:pPr>
        <w:ind w:left="360"/>
        <w:spacing w:after="0"/>
        <w:rPr>
          <w:sz w:val="20"/>
          <w:szCs w:val="20"/>
          <w:color w:val="auto"/>
        </w:rPr>
      </w:pPr>
      <w:r>
        <w:rPr>
          <w:rFonts w:ascii="Arial" w:cs="Arial" w:eastAsia="Arial" w:hAnsi="Arial"/>
          <w:sz w:val="32"/>
          <w:szCs w:val="32"/>
          <w:b w:val="1"/>
          <w:bCs w:val="1"/>
          <w:color w:val="215BA8"/>
        </w:rPr>
        <w:t>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5818505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551180</wp:posOffset>
            </wp:positionH>
            <wp:positionV relativeFrom="page">
              <wp:posOffset>268605</wp:posOffset>
            </wp:positionV>
            <wp:extent cx="142303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23035" cy="171450"/>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b w:val="1"/>
          <w:bCs w:val="1"/>
          <w:color w:val="D60058"/>
        </w:rPr>
        <w:t>PLEASE VIEW OUR 2021 RESPONSIBILITY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94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investor.regeneron.com/2021RR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101600</wp:posOffset>
            </wp:positionV>
            <wp:extent cx="7132320" cy="1808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08480"/>
                    </a:xfrm>
                    <a:prstGeom prst="rect">
                      <a:avLst/>
                    </a:prstGeom>
                    <a:noFill/>
                  </pic:spPr>
                </pic:pic>
              </a:graphicData>
            </a:graphic>
          </wp:anchor>
        </w:drawing>
      </w:r>
    </w:p>
    <w:p>
      <w:pPr>
        <w:sectPr>
          <w:pgSz w:w="11900" w:h="16838" w:orient="portrait"/>
          <w:cols w:equalWidth="0" w:num="1">
            <w:col w:w="9599"/>
          </w:cols>
          <w:pgMar w:left="860" w:top="1440" w:right="1440" w:bottom="1440" w:gutter="0" w:footer="0" w:header="0"/>
        </w:sectPr>
      </w:pPr>
    </w:p>
    <w:bookmarkStart w:id="3" w:name="page4"/>
    <w:bookmarkEnd w:id="3"/>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95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9579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50"/>
          <w:szCs w:val="50"/>
          <w:b w:val="1"/>
          <w:bCs w:val="1"/>
          <w:color w:val="auto"/>
        </w:rPr>
        <w:t>REGENERON BY THE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8160385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860" w:right="4380"/>
        <w:spacing w:after="0" w:line="282" w:lineRule="auto"/>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32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20165"/>
                    </a:xfrm>
                    <a:prstGeom prst="rect">
                      <a:avLst/>
                    </a:prstGeom>
                    <a:noFill/>
                  </pic:spPr>
                </pic:pic>
              </a:graphicData>
            </a:graphic>
          </wp:anchor>
        </w:drawing>
        <w:t>COMPANY LETTER TO SHAREHOLDERS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3"/>
          <w:szCs w:val="23"/>
          <w:b w:val="1"/>
          <w:bCs w:val="1"/>
          <w:color w:val="D60058"/>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446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13" w:lineRule="exact"/>
        <w:rPr>
          <w:sz w:val="20"/>
          <w:szCs w:val="20"/>
          <w:color w:val="auto"/>
        </w:rPr>
      </w:pPr>
    </w:p>
    <w:p>
      <w:pPr>
        <w:ind w:right="800"/>
        <w:spacing w:after="0" w:line="254" w:lineRule="auto"/>
        <w:rPr>
          <w:sz w:val="20"/>
          <w:szCs w:val="20"/>
          <w:color w:val="auto"/>
        </w:rPr>
      </w:pPr>
      <w:r>
        <w:rPr>
          <w:rFonts w:ascii="Arial" w:cs="Arial" w:eastAsia="Arial" w:hAnsi="Arial"/>
          <w:sz w:val="15"/>
          <w:szCs w:val="15"/>
          <w:color w:val="auto"/>
        </w:rPr>
        <w:t>Despite another year marked by uncertainty and upheaval caused by the COVID-19 pandemic, in 2021 our Regeneron team continued to drive forward our mission of turning world-class science into much-needed medicines and delivered a notably successful and productive year. Our relentless quest to innovate has improved millions of lives while delivering strong top- and bottom-line growth for our shareholders.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Regeneron’s 2021 financial results were driven by the continued growth in our core brands,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Dupixent</w:t>
      </w:r>
      <w:r>
        <w:rPr>
          <w:rFonts w:ascii="Arial" w:cs="Arial" w:eastAsia="Arial" w:hAnsi="Arial"/>
          <w:sz w:val="26"/>
          <w:szCs w:val="26"/>
          <w:color w:val="auto"/>
          <w:vertAlign w:val="superscript"/>
        </w:rPr>
        <w:t>®</w:t>
      </w:r>
    </w:p>
    <w:p>
      <w:pPr>
        <w:ind w:right="1060"/>
        <w:spacing w:after="0" w:line="204" w:lineRule="auto"/>
        <w:rPr>
          <w:sz w:val="20"/>
          <w:szCs w:val="20"/>
          <w:color w:val="auto"/>
        </w:rPr>
      </w:pPr>
      <w:r>
        <w:rPr>
          <w:rFonts w:ascii="Arial" w:cs="Arial" w:eastAsia="Arial" w:hAnsi="Arial"/>
          <w:sz w:val="15"/>
          <w:szCs w:val="15"/>
          <w:color w:val="auto"/>
        </w:rPr>
        <w:t>(dupilumab), and Libtayo</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(cemiplimab-rwlc), as well as our novel investigational COVID-19 treatment REGEN-COV</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(casirivimab and imdevimab). In 2021, GAAP net income was $8.08 billion and total revenues were $16.07 billion, with $6.19 billion in revenue attributable to</w:t>
      </w:r>
    </w:p>
    <w:p>
      <w:pPr>
        <w:spacing w:after="0" w:line="1" w:lineRule="exact"/>
        <w:rPr>
          <w:sz w:val="20"/>
          <w:szCs w:val="20"/>
          <w:color w:val="auto"/>
        </w:rPr>
      </w:pPr>
    </w:p>
    <w:p>
      <w:pPr>
        <w:ind w:right="780"/>
        <w:spacing w:after="0" w:line="204" w:lineRule="auto"/>
        <w:rPr>
          <w:sz w:val="20"/>
          <w:szCs w:val="20"/>
          <w:color w:val="auto"/>
        </w:rPr>
      </w:pPr>
      <w:r>
        <w:rPr>
          <w:rFonts w:ascii="Arial" w:cs="Arial" w:eastAsia="Arial" w:hAnsi="Arial"/>
          <w:sz w:val="15"/>
          <w:szCs w:val="15"/>
          <w:color w:val="auto"/>
        </w:rPr>
        <w:t>REGEN-COV.</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Total revenues excluding REGEN-COV2 grew 19% in 2021, a testament to our diversified and enduring core business. We also returned significant value to shareholders in 2021 by repurchasing $1.7 billion of our common stock and allocated an additional $3.0 billion for</w:t>
      </w:r>
    </w:p>
    <w:p>
      <w:pPr>
        <w:spacing w:after="0" w:line="1" w:lineRule="exact"/>
        <w:rPr>
          <w:sz w:val="20"/>
          <w:szCs w:val="20"/>
          <w:color w:val="auto"/>
        </w:rPr>
      </w:pPr>
    </w:p>
    <w:p>
      <w:pPr>
        <w:ind w:right="940"/>
        <w:spacing w:after="0" w:line="202" w:lineRule="auto"/>
        <w:rPr>
          <w:sz w:val="20"/>
          <w:szCs w:val="20"/>
          <w:color w:val="auto"/>
        </w:rPr>
      </w:pPr>
      <w:r>
        <w:rPr>
          <w:rFonts w:ascii="Arial" w:cs="Arial" w:eastAsia="Arial" w:hAnsi="Arial"/>
          <w:sz w:val="16"/>
          <w:szCs w:val="16"/>
          <w:color w:val="auto"/>
        </w:rPr>
        <w:t>future repurchases.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These successes were all realized while continuing to advance and broaden our pipeline of more than 30 investigational medicines, positioning us well for continued and diversified growth.</w:t>
      </w:r>
    </w:p>
    <w:p>
      <w:pPr>
        <w:spacing w:after="0" w:line="164" w:lineRule="exact"/>
        <w:rPr>
          <w:sz w:val="20"/>
          <w:szCs w:val="20"/>
          <w:color w:val="auto"/>
        </w:rPr>
      </w:pPr>
    </w:p>
    <w:p>
      <w:pPr>
        <w:jc w:val="both"/>
        <w:ind w:right="560"/>
        <w:spacing w:after="0" w:line="232" w:lineRule="auto"/>
        <w:rPr>
          <w:sz w:val="20"/>
          <w:szCs w:val="20"/>
          <w:color w:val="auto"/>
        </w:rPr>
      </w:pPr>
      <w:r>
        <w:rPr>
          <w:rFonts w:ascii="Arial" w:cs="Arial" w:eastAsia="Arial" w:hAnsi="Arial"/>
          <w:sz w:val="16"/>
          <w:szCs w:val="16"/>
          <w:color w:val="auto"/>
        </w:rPr>
        <w:t>EYLEA 2021 full year global net product sales grew 19% year-over-year to $9.4 billion, and U.S. net product sales increased 17%. As the category leader and with more than 40 million injections administered, EYLEA stands as an enduring product with a significant future. We also look forward to continued progress in our work against retinal diseases, including the results from our Phase 3 aflibercept 8 mg trials in wet age-related macular degeneration and diabetic macular edema scheduled to be reported later in 2022.</w:t>
      </w:r>
    </w:p>
    <w:p>
      <w:pPr>
        <w:spacing w:after="0" w:line="163" w:lineRule="exact"/>
        <w:rPr>
          <w:sz w:val="20"/>
          <w:szCs w:val="20"/>
          <w:color w:val="auto"/>
        </w:rPr>
      </w:pPr>
    </w:p>
    <w:p>
      <w:pPr>
        <w:ind w:right="580"/>
        <w:spacing w:after="0" w:line="218" w:lineRule="auto"/>
        <w:rPr>
          <w:sz w:val="20"/>
          <w:szCs w:val="20"/>
          <w:color w:val="auto"/>
        </w:rPr>
      </w:pPr>
      <w:r>
        <w:rPr>
          <w:rFonts w:ascii="Arial" w:cs="Arial" w:eastAsia="Arial" w:hAnsi="Arial"/>
          <w:sz w:val="16"/>
          <w:szCs w:val="16"/>
          <w:color w:val="auto"/>
        </w:rPr>
        <w:t>Dupixent achieved 2021 full year global net product sales of $6.2 billion, growing 53% year-over-year</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and delivering on its promise of providing a pipeline in a product. Dupixent is now approved in patients as young as 6 years of age in both asthma and atopic dermatitis and in chronic rhinosinusitis with nasal polyps in adults. Its outlook is promising, with significant opportunities to reach even more patients in approved indications and expand to additional type 2 inflammatory diseases such as prurigo nodularis and eosinophilic esophagitis. With this potential for multiple new indications and increased adoption among approved patient populations where there is still significant unmet need, Dupixent’s growth prospects over the coming years are substantial.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We also made significant strides in our oncology programs, both from a commercial and development perspective. Libtayo 2021 full year global</w:t>
      </w:r>
    </w:p>
    <w:p>
      <w:pPr>
        <w:ind w:right="960"/>
        <w:spacing w:after="0" w:line="233" w:lineRule="auto"/>
        <w:rPr>
          <w:sz w:val="20"/>
          <w:szCs w:val="20"/>
          <w:color w:val="auto"/>
        </w:rPr>
      </w:pPr>
      <w:r>
        <w:rPr>
          <w:rFonts w:ascii="Arial" w:cs="Arial" w:eastAsia="Arial" w:hAnsi="Arial"/>
          <w:sz w:val="15"/>
          <w:szCs w:val="15"/>
          <w:color w:val="auto"/>
        </w:rPr>
        <w:t>net product sales increased 32% compared to 2020.</w:t>
      </w:r>
      <w:r>
        <w:rPr>
          <w:rFonts w:ascii="Arial" w:cs="Arial" w:eastAsia="Arial" w:hAnsi="Arial"/>
          <w:sz w:val="25"/>
          <w:szCs w:val="25"/>
          <w:color w:val="auto"/>
          <w:vertAlign w:val="superscript"/>
        </w:rPr>
        <w:t>5</w:t>
      </w:r>
      <w:r>
        <w:rPr>
          <w:rFonts w:ascii="Arial" w:cs="Arial" w:eastAsia="Arial" w:hAnsi="Arial"/>
          <w:sz w:val="15"/>
          <w:szCs w:val="15"/>
          <w:color w:val="auto"/>
        </w:rPr>
        <w:t xml:space="preserve"> In 2021, both the U.S. Food and Drug Administration (“FDA”) and European Medicines Agency approved Libtayo for advanced non-small cell lung cancer (“NSCLC”). They also both approved the medicine for advanced basal cell carcinoma, establishing Libtayo as a leading treatment for non-melanoma skin cancers. Looking forward, we are optimistic about a potential Libtayo plus chemotherapy approval later this year for the broader population of advanced NSCLC patients, and our investigational footprint continues to expand with Phase 1/2 candidates across many cancer settings, including monoclonal antibodies, T-cell engaging bispecific antibodies, and costimulatory bispecifics, as well as a variety of potential combination therapies. We look forward to sharing our progress in difficult-to-treat solid tumors such as ovarian and prostate cancers, which are settings with historically low response rates to immunotherapy.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64465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31" w:lineRule="exact"/>
        <w:rPr>
          <w:sz w:val="20"/>
          <w:szCs w:val="20"/>
          <w:color w:val="auto"/>
        </w:rPr>
      </w:pPr>
    </w:p>
    <w:p>
      <w:pPr>
        <w:ind w:left="220" w:right="1040" w:hanging="212"/>
        <w:spacing w:after="0" w:line="182" w:lineRule="auto"/>
        <w:tabs>
          <w:tab w:leader="none" w:pos="220" w:val="left"/>
        </w:tabs>
        <w:numPr>
          <w:ilvl w:val="0"/>
          <w:numId w:val="6"/>
        </w:numPr>
        <w:rPr>
          <w:rFonts w:ascii="Arial" w:cs="Arial" w:eastAsia="Arial" w:hAnsi="Arial"/>
          <w:sz w:val="28"/>
          <w:szCs w:val="28"/>
          <w:color w:val="215BA8"/>
          <w:vertAlign w:val="superscript"/>
        </w:rPr>
      </w:pPr>
      <w:r>
        <w:rPr>
          <w:rFonts w:ascii="Arial" w:cs="Arial" w:eastAsia="Arial" w:hAnsi="Arial"/>
          <w:sz w:val="14"/>
          <w:szCs w:val="14"/>
          <w:color w:val="1A1A1A"/>
        </w:rPr>
        <w:t>The casirivimab and imdevimab antibody cocktail is known as REGEN-COV in the United States and Ronapreve</w:t>
      </w:r>
      <w:r>
        <w:rPr>
          <w:rFonts w:ascii="Arial" w:cs="Arial" w:eastAsia="Arial" w:hAnsi="Arial"/>
          <w:sz w:val="22"/>
          <w:szCs w:val="22"/>
          <w:color w:val="1A1A1A"/>
          <w:vertAlign w:val="superscript"/>
        </w:rPr>
        <w:t>TM</w:t>
      </w:r>
      <w:r>
        <w:rPr>
          <w:rFonts w:ascii="Arial" w:cs="Arial" w:eastAsia="Arial" w:hAnsi="Arial"/>
          <w:sz w:val="14"/>
          <w:szCs w:val="14"/>
          <w:color w:val="1A1A1A"/>
        </w:rPr>
        <w:t xml:space="preserve"> in other countries. The Company records net product sales of REGEN-COV in the United States and Roche records net product sales of Ronapreve outside the United States.</w:t>
      </w:r>
    </w:p>
    <w:p>
      <w:pPr>
        <w:spacing w:after="0" w:line="71" w:lineRule="exact"/>
        <w:rPr>
          <w:sz w:val="20"/>
          <w:szCs w:val="20"/>
          <w:color w:val="auto"/>
        </w:rPr>
      </w:pPr>
    </w:p>
    <w:p>
      <w:pPr>
        <w:ind w:left="220" w:right="600" w:hanging="212"/>
        <w:spacing w:after="0" w:line="258" w:lineRule="auto"/>
        <w:tabs>
          <w:tab w:leader="none" w:pos="220" w:val="left"/>
        </w:tabs>
        <w:numPr>
          <w:ilvl w:val="0"/>
          <w:numId w:val="7"/>
        </w:numPr>
        <w:rPr>
          <w:rFonts w:ascii="Arial" w:cs="Arial" w:eastAsia="Arial" w:hAnsi="Arial"/>
          <w:sz w:val="14"/>
          <w:szCs w:val="14"/>
          <w:color w:val="215BA8"/>
        </w:rPr>
      </w:pPr>
      <w:r>
        <w:rPr>
          <w:rFonts w:ascii="Arial" w:cs="Arial" w:eastAsia="Arial" w:hAnsi="Arial"/>
          <w:sz w:val="14"/>
          <w:szCs w:val="14"/>
          <w:color w:val="1A1A1A"/>
        </w:rPr>
        <w:t>Revenues excluding REGEN-COV is a measure not calculated in accordance with U.S. Generally Accepted Accounting Principles (“GAAP”). See Appendix A for a definition of this measure and a reconciliation of this measure to the most directly comparable GAAP financial measure.</w:t>
      </w:r>
    </w:p>
    <w:p>
      <w:pPr>
        <w:spacing w:after="0" w:line="5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215BA8"/>
        </w:rPr>
      </w:pPr>
      <w:r>
        <w:rPr>
          <w:rFonts w:ascii="Arial" w:cs="Arial" w:eastAsia="Arial" w:hAnsi="Arial"/>
          <w:sz w:val="14"/>
          <w:szCs w:val="14"/>
          <w:color w:val="1A1A1A"/>
        </w:rPr>
        <w:t>Of the $3.0 billion authorized for future repurchases, $2.8 billion remained available as of December 31, 2021.</w:t>
      </w:r>
    </w:p>
    <w:p>
      <w:pPr>
        <w:spacing w:after="0" w:line="82" w:lineRule="exact"/>
        <w:rPr>
          <w:rFonts w:ascii="Arial" w:cs="Arial" w:eastAsia="Arial" w:hAnsi="Arial"/>
          <w:sz w:val="14"/>
          <w:szCs w:val="14"/>
          <w:color w:val="215BA8"/>
        </w:rPr>
      </w:pPr>
    </w:p>
    <w:p>
      <w:pPr>
        <w:spacing w:after="0"/>
        <w:rPr>
          <w:rFonts w:ascii="Arial" w:cs="Arial" w:eastAsia="Arial" w:hAnsi="Arial"/>
          <w:sz w:val="14"/>
          <w:szCs w:val="14"/>
          <w:color w:val="215BA8"/>
        </w:rPr>
      </w:pPr>
      <w:r>
        <w:rPr>
          <w:rFonts w:ascii="Arial" w:cs="Arial" w:eastAsia="Arial" w:hAnsi="Arial"/>
          <w:sz w:val="14"/>
          <w:szCs w:val="14"/>
          <w:color w:val="215BA8"/>
        </w:rPr>
        <w:t xml:space="preserve">4  </w:t>
      </w:r>
      <w:r>
        <w:rPr>
          <w:rFonts w:ascii="Arial" w:cs="Arial" w:eastAsia="Arial" w:hAnsi="Arial"/>
          <w:sz w:val="14"/>
          <w:szCs w:val="14"/>
          <w:color w:val="1A1A1A"/>
        </w:rPr>
        <w:t>Our collaborator Sanofi records global net product sales of Dupixent.</w:t>
      </w:r>
    </w:p>
    <w:p>
      <w:pPr>
        <w:spacing w:after="0" w:line="82" w:lineRule="exact"/>
        <w:rPr>
          <w:rFonts w:ascii="Arial" w:cs="Arial" w:eastAsia="Arial" w:hAnsi="Arial"/>
          <w:sz w:val="14"/>
          <w:szCs w:val="14"/>
          <w:color w:val="215BA8"/>
        </w:rPr>
      </w:pPr>
    </w:p>
    <w:p>
      <w:pPr>
        <w:spacing w:after="0"/>
        <w:rPr>
          <w:rFonts w:ascii="Arial" w:cs="Arial" w:eastAsia="Arial" w:hAnsi="Arial"/>
          <w:sz w:val="14"/>
          <w:szCs w:val="14"/>
          <w:color w:val="215BA8"/>
        </w:rPr>
      </w:pPr>
      <w:r>
        <w:rPr>
          <w:rFonts w:ascii="Arial" w:cs="Arial" w:eastAsia="Arial" w:hAnsi="Arial"/>
          <w:sz w:val="14"/>
          <w:szCs w:val="14"/>
          <w:color w:val="215BA8"/>
        </w:rPr>
        <w:t xml:space="preserve">5  </w:t>
      </w:r>
      <w:r>
        <w:rPr>
          <w:rFonts w:ascii="Arial" w:cs="Arial" w:eastAsia="Arial" w:hAnsi="Arial"/>
          <w:sz w:val="14"/>
          <w:szCs w:val="14"/>
          <w:color w:val="1A1A1A"/>
        </w:rPr>
        <w:t>Our collaborator Sanofi records net product sales of Libtayo outside the United States.</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163195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00"/>
          </w:cols>
          <w:pgMar w:left="860" w:top="82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25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0"/>
        <w:spacing w:after="0" w:line="209" w:lineRule="auto"/>
        <w:rPr>
          <w:sz w:val="20"/>
          <w:szCs w:val="20"/>
          <w:color w:val="auto"/>
        </w:rPr>
      </w:pPr>
      <w:r>
        <w:rPr>
          <w:rFonts w:ascii="Arial" w:cs="Arial" w:eastAsia="Arial" w:hAnsi="Arial"/>
          <w:sz w:val="16"/>
          <w:szCs w:val="16"/>
          <w:color w:val="auto"/>
        </w:rPr>
        <w:t>Last year also marked the launch of our tenth FDA-approved or authorized medicine, Evkeeza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(evinacumab), for patients 12 years and older with the rare disease homozygous familial hypercholesterolemia. We were pleased to extend the reach of this important medicine outside the U.S. by entering into a new collaboration with Ultragenyx Pharmaceutical Inc. in early 2022.</w:t>
      </w:r>
    </w:p>
    <w:p>
      <w:pPr>
        <w:spacing w:after="0" w:line="165" w:lineRule="exact"/>
        <w:rPr>
          <w:sz w:val="20"/>
          <w:szCs w:val="20"/>
          <w:color w:val="auto"/>
        </w:rPr>
      </w:pPr>
    </w:p>
    <w:p>
      <w:pPr>
        <w:ind w:left="540" w:right="20"/>
        <w:spacing w:after="0" w:line="232" w:lineRule="auto"/>
        <w:rPr>
          <w:sz w:val="20"/>
          <w:szCs w:val="20"/>
          <w:color w:val="auto"/>
        </w:rPr>
      </w:pPr>
      <w:r>
        <w:rPr>
          <w:rFonts w:ascii="Arial" w:cs="Arial" w:eastAsia="Arial" w:hAnsi="Arial"/>
          <w:sz w:val="16"/>
          <w:szCs w:val="16"/>
          <w:color w:val="auto"/>
        </w:rPr>
        <w:t>In 2020, we discovered and developed REGEN-COV in record time and, in 2021, we delivered nearly 3 million doses to the U.S. government. We are proud of the positive impact we have been able to have on the lives of millions of patients who received REGEN-COV. Earlier in the pandemic, REGEN-COV received an Emergency Use Authorization (“EUA”) from the FDA and approvals from other regulatory authorities around the globe for indications from prevention to hospitalization of COVID-19.</w:t>
      </w:r>
    </w:p>
    <w:p>
      <w:pPr>
        <w:spacing w:after="0" w:line="150" w:lineRule="exact"/>
        <w:rPr>
          <w:sz w:val="20"/>
          <w:szCs w:val="20"/>
          <w:color w:val="auto"/>
        </w:rPr>
      </w:pPr>
    </w:p>
    <w:p>
      <w:pPr>
        <w:ind w:left="540"/>
        <w:spacing w:after="0" w:line="232" w:lineRule="auto"/>
        <w:rPr>
          <w:sz w:val="20"/>
          <w:szCs w:val="20"/>
          <w:color w:val="auto"/>
        </w:rPr>
      </w:pPr>
      <w:r>
        <w:rPr>
          <w:rFonts w:ascii="Arial" w:cs="Arial" w:eastAsia="Arial" w:hAnsi="Arial"/>
          <w:sz w:val="16"/>
          <w:szCs w:val="16"/>
          <w:color w:val="auto"/>
        </w:rPr>
        <w:t xml:space="preserve">Our scientists had predicted that the COVID-19 virus would mutate, and in fact published a paper in the premier academic journal </w:t>
      </w:r>
      <w:r>
        <w:rPr>
          <w:rFonts w:ascii="Arial" w:cs="Arial" w:eastAsia="Arial" w:hAnsi="Arial"/>
          <w:sz w:val="16"/>
          <w:szCs w:val="16"/>
          <w:i w:val="1"/>
          <w:iCs w:val="1"/>
          <w:color w:val="auto"/>
        </w:rPr>
        <w:t>Science</w:t>
      </w:r>
      <w:r>
        <w:rPr>
          <w:rFonts w:ascii="Arial" w:cs="Arial" w:eastAsia="Arial" w:hAnsi="Arial"/>
          <w:sz w:val="16"/>
          <w:szCs w:val="16"/>
          <w:color w:val="auto"/>
        </w:rPr>
        <w:t xml:space="preserve"> that specified some of the exact mutations that were ultimately seen in variants of concern. That is why we created REGEN-COV as an “antibody cocktail,” to retain activity in case one of the antibodies would lose efficacy against an emerging variant. Our approach was validated as REGEN-COV retained activity through all major variants through the severe Delta surge. But as we anticipated, eventually, a variant emerged that evaded our treatment – based on preclinical data, in early 2022 we announced that REGEN-COV is highly unlikely to be active against the Omicron variant. In January 2022, the FDA amended the EUA for REGEN-COV, effectively stopping use in the U.S. where the Omicron variant had become dominant. We had prepared for this contingency and assembled a large collection of next generation candidates. We are progressing several candidates that are active against Omicron, Delta, and other variants of concern, and have already initiated a first-in-human clinical trial of one of these investigational antibodies. We believe there remains a significant need for monoclonal antibodies and especially for use to help prevent infection in immunocompromised individuals who do not respond adequately to COVID-19 vaccines. We are confident that if the world needs Regeneron again in the fight against COVID-19, we will be ready.</w:t>
      </w:r>
    </w:p>
    <w:p>
      <w:pPr>
        <w:spacing w:after="0" w:line="166" w:lineRule="exact"/>
        <w:rPr>
          <w:sz w:val="20"/>
          <w:szCs w:val="20"/>
          <w:color w:val="auto"/>
        </w:rPr>
      </w:pPr>
    </w:p>
    <w:p>
      <w:pPr>
        <w:ind w:left="540" w:right="100"/>
        <w:spacing w:after="0" w:line="241" w:lineRule="auto"/>
        <w:rPr>
          <w:sz w:val="20"/>
          <w:szCs w:val="20"/>
          <w:color w:val="auto"/>
        </w:rPr>
      </w:pPr>
      <w:r>
        <w:rPr>
          <w:rFonts w:ascii="Arial" w:cs="Arial" w:eastAsia="Arial" w:hAnsi="Arial"/>
          <w:sz w:val="15"/>
          <w:szCs w:val="15"/>
          <w:color w:val="auto"/>
        </w:rPr>
        <w:t>Strong execution across our organization made these accomplishments possible, despite the unique headwinds posed by the pandemic. This progress was also enabled by years of investment in our core technologies and research, work that continues with vigor each day. Our innovative</w:t>
      </w:r>
    </w:p>
    <w:p>
      <w:pPr>
        <w:ind w:left="540"/>
        <w:spacing w:after="0" w:line="181" w:lineRule="auto"/>
        <w:rPr>
          <w:sz w:val="20"/>
          <w:szCs w:val="20"/>
          <w:color w:val="auto"/>
        </w:rPr>
      </w:pPr>
      <w:r>
        <w:rPr>
          <w:rFonts w:ascii="Arial" w:cs="Arial" w:eastAsia="Arial" w:hAnsi="Arial"/>
          <w:sz w:val="15"/>
          <w:szCs w:val="15"/>
          <w:color w:val="auto"/>
        </w:rPr>
        <w:t xml:space="preserve">and evolving </w:t>
      </w:r>
      <w:r>
        <w:rPr>
          <w:rFonts w:ascii="Arial" w:cs="Arial" w:eastAsia="Arial" w:hAnsi="Arial"/>
          <w:sz w:val="15"/>
          <w:szCs w:val="15"/>
          <w:i w:val="1"/>
          <w:iCs w:val="1"/>
          <w:color w:val="auto"/>
        </w:rPr>
        <w:t>VelocImmune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VelociSuite</w:t>
      </w:r>
      <w:r>
        <w:rPr>
          <w:rFonts w:ascii="Arial" w:cs="Arial" w:eastAsia="Arial" w:hAnsi="Arial"/>
          <w:sz w:val="25"/>
          <w:szCs w:val="25"/>
          <w:color w:val="auto"/>
          <w:vertAlign w:val="superscript"/>
        </w:rPr>
        <w:t>®</w:t>
      </w:r>
      <w:r>
        <w:rPr>
          <w:rFonts w:ascii="Arial" w:cs="Arial" w:eastAsia="Arial" w:hAnsi="Arial"/>
          <w:sz w:val="15"/>
          <w:szCs w:val="15"/>
          <w:color w:val="auto"/>
        </w:rPr>
        <w:t xml:space="preserve"> platforms make it possible to develop top-quality, fully-human antibodies efficiently. Notably, with</w:t>
      </w:r>
    </w:p>
    <w:p>
      <w:pPr>
        <w:ind w:left="540" w:right="20"/>
        <w:spacing w:after="0" w:line="216" w:lineRule="auto"/>
        <w:rPr>
          <w:sz w:val="20"/>
          <w:szCs w:val="20"/>
          <w:color w:val="auto"/>
        </w:rPr>
      </w:pPr>
      <w:r>
        <w:rPr>
          <w:rFonts w:ascii="Arial" w:cs="Arial" w:eastAsia="Arial" w:hAnsi="Arial"/>
          <w:sz w:val="16"/>
          <w:szCs w:val="16"/>
          <w:color w:val="auto"/>
        </w:rPr>
        <w:t xml:space="preserve">novel platform modifications like </w:t>
      </w:r>
      <w:r>
        <w:rPr>
          <w:rFonts w:ascii="Arial" w:cs="Arial" w:eastAsia="Arial" w:hAnsi="Arial"/>
          <w:sz w:val="16"/>
          <w:szCs w:val="16"/>
          <w:i w:val="1"/>
          <w:iCs w:val="1"/>
          <w:color w:val="auto"/>
        </w:rPr>
        <w:t>VelociBi</w:t>
      </w:r>
      <w:r>
        <w:rPr>
          <w:rFonts w:ascii="Arial" w:cs="Arial" w:eastAsia="Arial" w:hAnsi="Arial"/>
          <w:sz w:val="26"/>
          <w:szCs w:val="26"/>
          <w:color w:val="auto"/>
          <w:vertAlign w:val="superscript"/>
        </w:rPr>
        <w:t>®</w:t>
      </w:r>
      <w:r>
        <w:rPr>
          <w:rFonts w:ascii="Arial" w:cs="Arial" w:eastAsia="Arial" w:hAnsi="Arial"/>
          <w:sz w:val="16"/>
          <w:szCs w:val="16"/>
          <w:color w:val="auto"/>
        </w:rPr>
        <w:t>, we are able to quickly develop high-quality bispecific antibodies and we currently have ten bispecific antibodies in our pre-clinical and clinical pipeline. Thanks to our exceptional Industrial Operations and Product Supply (“IOPS”) team, we continually enhance our large-scale manufacturing process to provide medicines for our clinical trials and approved indications. To that end, in 2021, our U.S. IOPS operations successfully completed the installation and start-up of our first filling line and continued to advance the build-out of our fill-and-finish facility, despite COVID-19 driven supply chain delays.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Genetics medicine has emerged as a promising area of leadership, both through the early discoveries and integrated insights of the Regeneron</w:t>
      </w:r>
    </w:p>
    <w:p>
      <w:pPr>
        <w:ind w:left="540" w:right="80"/>
        <w:spacing w:after="0" w:line="221" w:lineRule="auto"/>
        <w:rPr>
          <w:sz w:val="20"/>
          <w:szCs w:val="20"/>
          <w:color w:val="auto"/>
        </w:rPr>
      </w:pPr>
      <w:r>
        <w:rPr>
          <w:rFonts w:ascii="Arial" w:cs="Arial" w:eastAsia="Arial" w:hAnsi="Arial"/>
          <w:sz w:val="16"/>
          <w:szCs w:val="16"/>
          <w:color w:val="auto"/>
        </w:rPr>
        <w:t>Genetics Center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(“RGC”) and through our expansive toolkit of proprietary and partnered technologies for gene editing, gene silencing, and viral vector delivery. In 2021, we advanced three genetic medicines programs driven by siRNA and CRISPR technology (in collaboration with Alnylam Pharmaceuticals, Inc. and Intellia Therapeutics, Inc., respectively) into clinical development. We also celebrated an exciting milestone with Intellia when we reported positive initial data from the Phase 1 trial of NTLA-2001 in people living with hereditary transthyretin amyloidosis with polyneuropathy – the first-ever clinical data supporting safety and efficacy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genome editing in humans and proof of concept for our ongoing multi-target collaboration. Meanwhile, the RGC progressed a number of additional targets toward clinical development and has 25 additional programs in the research and candidate selection phase. In June 2021, the RGC announced its discovery of rare </w:t>
      </w:r>
      <w:r>
        <w:rPr>
          <w:rFonts w:ascii="Arial" w:cs="Arial" w:eastAsia="Arial" w:hAnsi="Arial"/>
          <w:sz w:val="16"/>
          <w:szCs w:val="16"/>
          <w:i w:val="1"/>
          <w:iCs w:val="1"/>
          <w:color w:val="auto"/>
        </w:rPr>
        <w:t>GPR75</w:t>
      </w:r>
      <w:r>
        <w:rPr>
          <w:rFonts w:ascii="Arial" w:cs="Arial" w:eastAsia="Arial" w:hAnsi="Arial"/>
          <w:sz w:val="16"/>
          <w:szCs w:val="16"/>
          <w:color w:val="auto"/>
        </w:rPr>
        <w:t xml:space="preserve"> genetic mutations that are associated with profound protection against obesity, paving the way for potential antibody, gene silencing, or small molecule interventions.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680"/>
          </w:cols>
          <w:pgMar w:left="320" w:top="1440" w:right="89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30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80"/>
        <w:spacing w:after="0" w:line="231" w:lineRule="auto"/>
        <w:rPr>
          <w:sz w:val="20"/>
          <w:szCs w:val="20"/>
          <w:color w:val="auto"/>
        </w:rPr>
      </w:pPr>
      <w:r>
        <w:rPr>
          <w:rFonts w:ascii="Arial" w:cs="Arial" w:eastAsia="Arial" w:hAnsi="Arial"/>
          <w:sz w:val="16"/>
          <w:szCs w:val="16"/>
          <w:color w:val="auto"/>
        </w:rPr>
        <w:t>As we reflect on the year, we are incredibly proud of our team’s resilience, creativity, and unwavering commitment to patients. Our people are our greatest resource, and we are focused on supporting this brilliant team through a commitment to health and well-being as well as our efforts in diversity, equity, and inclusion. Our employees are crucial to delivering our mission, and as our business grows, so does our team. In 2021, we welcomed colleagues at our new offices in Canada, Germany, and the Netherlands, and grew to more than 10,300 people strong across all our sites. We expect to welcome even more colleagues in 2022 and beyond; and with this growth in mind, we broke ground in January 2022 on a 100-acre campus expansion at our Tarrytown site.</w:t>
      </w:r>
    </w:p>
    <w:p>
      <w:pPr>
        <w:spacing w:after="0" w:line="150" w:lineRule="exact"/>
        <w:rPr>
          <w:sz w:val="20"/>
          <w:szCs w:val="20"/>
          <w:color w:val="auto"/>
        </w:rPr>
      </w:pPr>
    </w:p>
    <w:p>
      <w:pPr>
        <w:ind w:right="680"/>
        <w:spacing w:after="0" w:line="252" w:lineRule="auto"/>
        <w:rPr>
          <w:sz w:val="20"/>
          <w:szCs w:val="20"/>
          <w:color w:val="auto"/>
        </w:rPr>
      </w:pPr>
      <w:r>
        <w:rPr>
          <w:rFonts w:ascii="Arial" w:cs="Arial" w:eastAsia="Arial" w:hAnsi="Arial"/>
          <w:sz w:val="15"/>
          <w:szCs w:val="15"/>
          <w:color w:val="auto"/>
        </w:rPr>
        <w:t xml:space="preserve">Keeping with our company motto of </w:t>
      </w:r>
      <w:r>
        <w:rPr>
          <w:rFonts w:ascii="Arial" w:cs="Arial" w:eastAsia="Arial" w:hAnsi="Arial"/>
          <w:sz w:val="15"/>
          <w:szCs w:val="15"/>
          <w:i w:val="1"/>
          <w:iCs w:val="1"/>
          <w:color w:val="auto"/>
        </w:rPr>
        <w:t>Doing Well by Doing Good</w:t>
      </w:r>
      <w:r>
        <w:rPr>
          <w:rFonts w:ascii="Arial" w:cs="Arial" w:eastAsia="Arial" w:hAnsi="Arial"/>
          <w:sz w:val="15"/>
          <w:szCs w:val="15"/>
          <w:color w:val="auto"/>
        </w:rPr>
        <w:t>, we continue to advance our environmental, social, and governance practices. In 2021, we were once again recognized as a corporate responsibility leader by being named in the Dow Jones Sustainability World Index for the third year in a row. As we know that there is more we can do, we are working diligently to meet our ambitious global 2025 responsibility goals, including removing barriers to patient access, investing in renewable energy, and providing engaging science, technology, engineering, and math experiences to millions of students. We continue to be amazed at the students whom we engage via our sponsorship of the world’s premier high school science competitions, the Regeneron Science Talent Search and the Regeneron International Science and Engineering Fair.</w:t>
      </w:r>
    </w:p>
    <w:p>
      <w:pPr>
        <w:spacing w:after="0" w:line="158" w:lineRule="exact"/>
        <w:rPr>
          <w:sz w:val="20"/>
          <w:szCs w:val="20"/>
          <w:color w:val="auto"/>
        </w:rPr>
      </w:pPr>
    </w:p>
    <w:p>
      <w:pPr>
        <w:jc w:val="both"/>
        <w:ind w:right="1060"/>
        <w:spacing w:after="0" w:line="265" w:lineRule="auto"/>
        <w:rPr>
          <w:sz w:val="20"/>
          <w:szCs w:val="20"/>
          <w:color w:val="auto"/>
        </w:rPr>
      </w:pPr>
      <w:r>
        <w:rPr>
          <w:rFonts w:ascii="Arial" w:cs="Arial" w:eastAsia="Arial" w:hAnsi="Arial"/>
          <w:sz w:val="15"/>
          <w:szCs w:val="15"/>
          <w:color w:val="auto"/>
        </w:rPr>
        <w:t>With 2022 well underway, we remain confident in the impact that Regeneron will continue to have on patients’ lives and believe we are well positioned to deliver strong performance. We appreciate your ongoing support as we work to transform lives through science and medicine.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865505" cy="2825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5505" cy="28257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101600</wp:posOffset>
            </wp:positionV>
            <wp:extent cx="119126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91260" cy="31686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101600</wp:posOffset>
            </wp:positionV>
            <wp:extent cx="80581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58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Arial" w:cs="Arial" w:eastAsia="Arial" w:hAnsi="Arial"/>
                <w:sz w:val="16"/>
                <w:szCs w:val="16"/>
                <w:b w:val="1"/>
                <w:bCs w:val="1"/>
                <w:color w:val="215BA8"/>
              </w:rPr>
              <w:t>P. Roy Vagelos,</w:t>
            </w:r>
          </w:p>
        </w:tc>
        <w:tc>
          <w:tcPr>
            <w:tcW w:w="3860" w:type="dxa"/>
            <w:vAlign w:val="bottom"/>
            <w:vMerge w:val="restart"/>
          </w:tcPr>
          <w:p>
            <w:pPr>
              <w:ind w:left="700"/>
              <w:spacing w:after="0"/>
              <w:rPr>
                <w:sz w:val="20"/>
                <w:szCs w:val="20"/>
                <w:color w:val="auto"/>
              </w:rPr>
            </w:pPr>
            <w:r>
              <w:rPr>
                <w:rFonts w:ascii="Arial" w:cs="Arial" w:eastAsia="Arial" w:hAnsi="Arial"/>
                <w:sz w:val="16"/>
                <w:szCs w:val="16"/>
                <w:b w:val="1"/>
                <w:bCs w:val="1"/>
                <w:color w:val="215BA8"/>
              </w:rPr>
              <w:t>Leonard S. Schleifer,</w:t>
            </w:r>
          </w:p>
        </w:tc>
        <w:tc>
          <w:tcPr>
            <w:tcW w:w="3120" w:type="dxa"/>
            <w:vAlign w:val="bottom"/>
          </w:tcPr>
          <w:p>
            <w:pPr>
              <w:ind w:left="580"/>
              <w:spacing w:after="0"/>
              <w:rPr>
                <w:sz w:val="20"/>
                <w:szCs w:val="20"/>
                <w:color w:val="auto"/>
              </w:rPr>
            </w:pPr>
            <w:r>
              <w:rPr>
                <w:rFonts w:ascii="Arial" w:cs="Arial" w:eastAsia="Arial" w:hAnsi="Arial"/>
                <w:sz w:val="16"/>
                <w:szCs w:val="16"/>
                <w:b w:val="1"/>
                <w:bCs w:val="1"/>
                <w:color w:val="215BA8"/>
              </w:rPr>
              <w:t>George D. Yancopoulos,</w:t>
            </w:r>
          </w:p>
        </w:tc>
        <w:tc>
          <w:tcPr>
            <w:tcW w:w="0" w:type="dxa"/>
            <w:vAlign w:val="bottom"/>
          </w:tcPr>
          <w:p>
            <w:pPr>
              <w:spacing w:after="0"/>
              <w:rPr>
                <w:sz w:val="1"/>
                <w:szCs w:val="1"/>
                <w:color w:val="auto"/>
              </w:rPr>
            </w:pPr>
          </w:p>
        </w:tc>
      </w:tr>
      <w:tr>
        <w:trPr>
          <w:trHeight w:val="68"/>
        </w:trPr>
        <w:tc>
          <w:tcPr>
            <w:tcW w:w="1980" w:type="dxa"/>
            <w:vAlign w:val="bottom"/>
            <w:vMerge w:val="restart"/>
          </w:tcPr>
          <w:p>
            <w:pPr>
              <w:spacing w:after="0"/>
              <w:rPr>
                <w:sz w:val="20"/>
                <w:szCs w:val="20"/>
                <w:color w:val="auto"/>
              </w:rPr>
            </w:pPr>
            <w:r>
              <w:rPr>
                <w:rFonts w:ascii="Arial" w:cs="Arial" w:eastAsia="Arial" w:hAnsi="Arial"/>
                <w:sz w:val="16"/>
                <w:szCs w:val="16"/>
                <w:b w:val="1"/>
                <w:bCs w:val="1"/>
                <w:color w:val="215BA8"/>
              </w:rPr>
              <w:t>M.D.,</w:t>
            </w:r>
          </w:p>
        </w:tc>
        <w:tc>
          <w:tcPr>
            <w:tcW w:w="3860" w:type="dxa"/>
            <w:vAlign w:val="bottom"/>
            <w:vMerge w:val="continue"/>
          </w:tcPr>
          <w:p>
            <w:pPr>
              <w:spacing w:after="0"/>
              <w:rPr>
                <w:sz w:val="5"/>
                <w:szCs w:val="5"/>
                <w:color w:val="auto"/>
              </w:rPr>
            </w:pPr>
          </w:p>
        </w:tc>
        <w:tc>
          <w:tcPr>
            <w:tcW w:w="3120" w:type="dxa"/>
            <w:vAlign w:val="bottom"/>
            <w:vMerge w:val="restart"/>
          </w:tcPr>
          <w:p>
            <w:pPr>
              <w:ind w:left="580"/>
              <w:spacing w:after="0"/>
              <w:rPr>
                <w:sz w:val="20"/>
                <w:szCs w:val="20"/>
                <w:color w:val="auto"/>
              </w:rPr>
            </w:pPr>
            <w:r>
              <w:rPr>
                <w:rFonts w:ascii="Arial" w:cs="Arial" w:eastAsia="Arial" w:hAnsi="Arial"/>
                <w:sz w:val="16"/>
                <w:szCs w:val="16"/>
                <w:b w:val="1"/>
                <w:bCs w:val="1"/>
                <w:color w:val="215BA8"/>
              </w:rPr>
              <w:t>M.D., Ph.D.,</w:t>
            </w:r>
          </w:p>
        </w:tc>
        <w:tc>
          <w:tcPr>
            <w:tcW w:w="0" w:type="dxa"/>
            <w:vAlign w:val="bottom"/>
          </w:tcPr>
          <w:p>
            <w:pPr>
              <w:spacing w:after="0"/>
              <w:rPr>
                <w:sz w:val="1"/>
                <w:szCs w:val="1"/>
                <w:color w:val="auto"/>
              </w:rPr>
            </w:pPr>
          </w:p>
        </w:tc>
      </w:tr>
      <w:tr>
        <w:trPr>
          <w:trHeight w:val="128"/>
        </w:trPr>
        <w:tc>
          <w:tcPr>
            <w:tcW w:w="1980" w:type="dxa"/>
            <w:vAlign w:val="bottom"/>
            <w:vMerge w:val="continue"/>
          </w:tcPr>
          <w:p>
            <w:pPr>
              <w:spacing w:after="0"/>
              <w:rPr>
                <w:sz w:val="11"/>
                <w:szCs w:val="11"/>
                <w:color w:val="auto"/>
              </w:rPr>
            </w:pPr>
          </w:p>
        </w:tc>
        <w:tc>
          <w:tcPr>
            <w:tcW w:w="3860" w:type="dxa"/>
            <w:vAlign w:val="bottom"/>
            <w:vMerge w:val="restart"/>
          </w:tcPr>
          <w:p>
            <w:pPr>
              <w:ind w:left="700"/>
              <w:spacing w:after="0"/>
              <w:rPr>
                <w:sz w:val="20"/>
                <w:szCs w:val="20"/>
                <w:color w:val="auto"/>
              </w:rPr>
            </w:pPr>
            <w:r>
              <w:rPr>
                <w:rFonts w:ascii="Arial" w:cs="Arial" w:eastAsia="Arial" w:hAnsi="Arial"/>
                <w:sz w:val="16"/>
                <w:szCs w:val="16"/>
                <w:b w:val="1"/>
                <w:bCs w:val="1"/>
                <w:color w:val="215BA8"/>
              </w:rPr>
              <w:t>M.D., Ph.D.,</w:t>
            </w:r>
          </w:p>
        </w:tc>
        <w:tc>
          <w:tcPr>
            <w:tcW w:w="3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980" w:type="dxa"/>
            <w:vAlign w:val="bottom"/>
            <w:vMerge w:val="restart"/>
          </w:tcPr>
          <w:p>
            <w:pPr>
              <w:spacing w:after="0"/>
              <w:rPr>
                <w:sz w:val="20"/>
                <w:szCs w:val="20"/>
                <w:color w:val="auto"/>
              </w:rPr>
            </w:pPr>
            <w:r>
              <w:rPr>
                <w:rFonts w:ascii="Arial" w:cs="Arial" w:eastAsia="Arial" w:hAnsi="Arial"/>
                <w:sz w:val="16"/>
                <w:szCs w:val="16"/>
                <w:color w:val="auto"/>
              </w:rPr>
              <w:t>Chair of the Board</w:t>
            </w:r>
          </w:p>
        </w:tc>
        <w:tc>
          <w:tcPr>
            <w:tcW w:w="3860" w:type="dxa"/>
            <w:vAlign w:val="bottom"/>
            <w:vMerge w:val="continue"/>
          </w:tcPr>
          <w:p>
            <w:pPr>
              <w:spacing w:after="0"/>
              <w:rPr>
                <w:sz w:val="5"/>
                <w:szCs w:val="5"/>
                <w:color w:val="auto"/>
              </w:rPr>
            </w:pPr>
          </w:p>
        </w:tc>
        <w:tc>
          <w:tcPr>
            <w:tcW w:w="3120" w:type="dxa"/>
            <w:vAlign w:val="bottom"/>
            <w:vMerge w:val="restart"/>
          </w:tcPr>
          <w:p>
            <w:pPr>
              <w:ind w:left="580"/>
              <w:spacing w:after="0"/>
              <w:rPr>
                <w:sz w:val="20"/>
                <w:szCs w:val="20"/>
                <w:color w:val="auto"/>
              </w:rPr>
            </w:pPr>
            <w:r>
              <w:rPr>
                <w:rFonts w:ascii="Arial" w:cs="Arial" w:eastAsia="Arial" w:hAnsi="Arial"/>
                <w:sz w:val="16"/>
                <w:szCs w:val="16"/>
                <w:color w:val="auto"/>
                <w:w w:val="96"/>
              </w:rPr>
              <w:t>President and Chief Scientific Officer</w:t>
            </w:r>
          </w:p>
        </w:tc>
        <w:tc>
          <w:tcPr>
            <w:tcW w:w="0" w:type="dxa"/>
            <w:vAlign w:val="bottom"/>
          </w:tcPr>
          <w:p>
            <w:pPr>
              <w:spacing w:after="0"/>
              <w:rPr>
                <w:sz w:val="1"/>
                <w:szCs w:val="1"/>
                <w:color w:val="auto"/>
              </w:rPr>
            </w:pPr>
          </w:p>
        </w:tc>
      </w:tr>
      <w:tr>
        <w:trPr>
          <w:trHeight w:val="134"/>
        </w:trPr>
        <w:tc>
          <w:tcPr>
            <w:tcW w:w="1980" w:type="dxa"/>
            <w:vAlign w:val="bottom"/>
            <w:vMerge w:val="continue"/>
          </w:tcPr>
          <w:p>
            <w:pPr>
              <w:spacing w:after="0"/>
              <w:rPr>
                <w:sz w:val="11"/>
                <w:szCs w:val="11"/>
                <w:color w:val="auto"/>
              </w:rPr>
            </w:pPr>
          </w:p>
        </w:tc>
        <w:tc>
          <w:tcPr>
            <w:tcW w:w="3860" w:type="dxa"/>
            <w:vAlign w:val="bottom"/>
            <w:vMerge w:val="restart"/>
          </w:tcPr>
          <w:p>
            <w:pPr>
              <w:ind w:left="700"/>
              <w:spacing w:after="0"/>
              <w:rPr>
                <w:sz w:val="20"/>
                <w:szCs w:val="20"/>
                <w:color w:val="auto"/>
              </w:rPr>
            </w:pPr>
            <w:r>
              <w:rPr>
                <w:rFonts w:ascii="Arial" w:cs="Arial" w:eastAsia="Arial" w:hAnsi="Arial"/>
                <w:sz w:val="16"/>
                <w:szCs w:val="16"/>
                <w:color w:val="auto"/>
              </w:rPr>
              <w:t>President and Chief Executive Officer</w:t>
            </w:r>
          </w:p>
        </w:tc>
        <w:tc>
          <w:tcPr>
            <w:tcW w:w="3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980" w:type="dxa"/>
            <w:vAlign w:val="bottom"/>
          </w:tcPr>
          <w:p>
            <w:pPr>
              <w:spacing w:after="0"/>
              <w:rPr>
                <w:sz w:val="4"/>
                <w:szCs w:val="4"/>
                <w:color w:val="auto"/>
              </w:rPr>
            </w:pPr>
          </w:p>
        </w:tc>
        <w:tc>
          <w:tcPr>
            <w:tcW w:w="3860" w:type="dxa"/>
            <w:vAlign w:val="bottom"/>
            <w:vMerge w:val="continue"/>
          </w:tcPr>
          <w:p>
            <w:pPr>
              <w:spacing w:after="0"/>
              <w:rPr>
                <w:sz w:val="4"/>
                <w:szCs w:val="4"/>
                <w:color w:val="auto"/>
              </w:rPr>
            </w:pPr>
          </w:p>
        </w:tc>
        <w:tc>
          <w:tcPr>
            <w:tcW w:w="3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163195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00"/>
          </w:cols>
          <w:pgMar w:left="860" w:top="1440"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7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9172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left="860"/>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320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320165"/>
                    </a:xfrm>
                    <a:prstGeom prst="rect">
                      <a:avLst/>
                    </a:prstGeom>
                    <a:noFill/>
                  </pic:spPr>
                </pic:pic>
              </a:graphicData>
            </a:graphic>
          </wp:anchor>
        </w:drawing>
        <w:t>BOARD LETTER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3"/>
          <w:szCs w:val="23"/>
          <w:b w:val="1"/>
          <w:bCs w:val="1"/>
          <w:color w:val="D60058"/>
        </w:rPr>
        <w:t>DEAR FELLOW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446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19" w:lineRule="exact"/>
        <w:rPr>
          <w:sz w:val="20"/>
          <w:szCs w:val="20"/>
          <w:color w:val="auto"/>
        </w:rPr>
      </w:pPr>
    </w:p>
    <w:p>
      <w:pPr>
        <w:ind w:right="540"/>
        <w:spacing w:after="0" w:line="234" w:lineRule="auto"/>
        <w:rPr>
          <w:sz w:val="20"/>
          <w:szCs w:val="20"/>
          <w:color w:val="auto"/>
        </w:rPr>
      </w:pPr>
      <w:r>
        <w:rPr>
          <w:rFonts w:ascii="Arial" w:cs="Arial" w:eastAsia="Arial" w:hAnsi="Arial"/>
          <w:sz w:val="16"/>
          <w:szCs w:val="16"/>
          <w:color w:val="auto"/>
        </w:rPr>
        <w:t>On behalf of the board of directors of Regeneron Pharmaceuticals, Inc., we invite you to attend Regeneron’s 2022 Annual Meeting of Shareholders to be held on June 10, 2022. The accompanying Notice of 2022 Annual Meeting of Shareholders and Proxy Statement contain important information about the business to be conducted at the Annual Meeting.</w:t>
      </w:r>
    </w:p>
    <w:p>
      <w:pPr>
        <w:spacing w:after="0" w:line="164" w:lineRule="exact"/>
        <w:rPr>
          <w:sz w:val="20"/>
          <w:szCs w:val="20"/>
          <w:color w:val="auto"/>
        </w:rPr>
      </w:pPr>
    </w:p>
    <w:p>
      <w:pPr>
        <w:ind w:right="600"/>
        <w:spacing w:after="0" w:line="243" w:lineRule="auto"/>
        <w:rPr>
          <w:sz w:val="20"/>
          <w:szCs w:val="20"/>
          <w:color w:val="auto"/>
        </w:rPr>
      </w:pPr>
      <w:r>
        <w:rPr>
          <w:rFonts w:ascii="Arial" w:cs="Arial" w:eastAsia="Arial" w:hAnsi="Arial"/>
          <w:sz w:val="15"/>
          <w:szCs w:val="15"/>
          <w:color w:val="auto"/>
        </w:rPr>
        <w:t>We had sincerely hoped that our letter to you this year would not begin with COVID-19, but unfortunately the pandemic continued to challenge Regeneron and the entire global community in 2021. Yet again, Regeneron colleagues rose to the occasion, rallying together and delivering on Regeneron’s mission of using the power of science to bring important medicines to patients in need. This mission, paired with the Company’s commitment to “Doing Well by Doing Good,” has been exemplified in Regeneron’s fight against COVID-19 for the last couple of years, culminating</w:t>
      </w:r>
    </w:p>
    <w:p>
      <w:pPr>
        <w:ind w:right="800"/>
        <w:spacing w:after="0" w:line="213" w:lineRule="auto"/>
        <w:rPr>
          <w:sz w:val="20"/>
          <w:szCs w:val="20"/>
          <w:color w:val="auto"/>
        </w:rPr>
      </w:pPr>
      <w:r>
        <w:rPr>
          <w:rFonts w:ascii="Arial" w:cs="Arial" w:eastAsia="Arial" w:hAnsi="Arial"/>
          <w:sz w:val="16"/>
          <w:szCs w:val="16"/>
          <w:color w:val="auto"/>
        </w:rPr>
        <w:t>in 2021 by the delivery of more than 3 million doses of the REGEN-COV</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(casirivimab and imdevimab) antibody cocktail to patients around the globe (together with our collaborator Roche). We believe this and many other 2021 accomplishments would not have been realized without a business model committed to long-term investment in deep scientific and technological capabilities, which have been instrumental in driving research, preclinical development, clinical, and manufacturing efforts at life-saving speeds.</w:t>
      </w:r>
    </w:p>
    <w:p>
      <w:pPr>
        <w:spacing w:after="0" w:line="166" w:lineRule="exact"/>
        <w:rPr>
          <w:sz w:val="20"/>
          <w:szCs w:val="20"/>
          <w:color w:val="auto"/>
        </w:rPr>
      </w:pPr>
    </w:p>
    <w:p>
      <w:pPr>
        <w:ind w:right="620"/>
        <w:spacing w:after="0" w:line="232" w:lineRule="auto"/>
        <w:rPr>
          <w:sz w:val="20"/>
          <w:szCs w:val="20"/>
          <w:color w:val="auto"/>
        </w:rPr>
      </w:pPr>
      <w:r>
        <w:rPr>
          <w:rFonts w:ascii="Arial" w:cs="Arial" w:eastAsia="Arial" w:hAnsi="Arial"/>
          <w:sz w:val="16"/>
          <w:szCs w:val="16"/>
          <w:color w:val="auto"/>
        </w:rPr>
        <w:t>As members of Regeneron’s board of directors, we remain focused on fulfilling our duties in a way that furthers Regeneron’s mission and promotes long-term, sustainable growth for our shareholders, and we deeply value investor feedback toward these objectives. Following last year’s annual shareholder meeting, we led an extensive shareholder outreach to solicit feedback on key compensation and governance matters. After carefully considering the feedback received, we took several responsive actions as detailed in the accompanying Proxy Statement, including our adoption of an annual say-on-pay vote effective as of the 2022 Annual Meeting of Shareholders.</w:t>
      </w:r>
    </w:p>
    <w:p>
      <w:pPr>
        <w:spacing w:after="0" w:line="164" w:lineRule="exact"/>
        <w:rPr>
          <w:sz w:val="20"/>
          <w:szCs w:val="20"/>
          <w:color w:val="auto"/>
        </w:rPr>
      </w:pPr>
    </w:p>
    <w:p>
      <w:pPr>
        <w:ind w:right="700"/>
        <w:spacing w:after="0" w:line="231" w:lineRule="auto"/>
        <w:rPr>
          <w:sz w:val="20"/>
          <w:szCs w:val="20"/>
          <w:color w:val="auto"/>
        </w:rPr>
      </w:pPr>
      <w:r>
        <w:rPr>
          <w:rFonts w:ascii="Arial" w:cs="Arial" w:eastAsia="Arial" w:hAnsi="Arial"/>
          <w:sz w:val="16"/>
          <w:szCs w:val="16"/>
          <w:color w:val="auto"/>
        </w:rPr>
        <w:t>We also remain inspired by Regeneron’s corporate culture, defined by loyal and motivated employees with an entrepreneurial spirit who are dedicated to Regeneron’s mission. We are committed to nurturing this culture, including through our oversight of diversity, equity, and inclusion (“DEI”) matters at the Company. In 2021, Regeneron consolidated its DEI efforts under the leadership of a newly hired Chief DEI Officer. We are proud of Regeneron’s record in promoting diversity at all levels of the Company – including on the board, where each of the three recently added directors is diverse by gender and/or race or ethnicity; the efforts Regeneron has made to promote women and minorities in science; and the Company’s continued work (such as the establishment of a clinical trial DEI taskforce) to ensure that patient populations enrolled in Regeneron-sponsored clinical trials represent more closely the diversity of people living with the particular disease.</w:t>
      </w:r>
    </w:p>
    <w:p>
      <w:pPr>
        <w:spacing w:after="0" w:line="164" w:lineRule="exact"/>
        <w:rPr>
          <w:sz w:val="20"/>
          <w:szCs w:val="20"/>
          <w:color w:val="auto"/>
        </w:rPr>
      </w:pPr>
    </w:p>
    <w:p>
      <w:pPr>
        <w:ind w:right="700"/>
        <w:spacing w:after="0" w:line="232" w:lineRule="auto"/>
        <w:rPr>
          <w:sz w:val="20"/>
          <w:szCs w:val="20"/>
          <w:color w:val="auto"/>
        </w:rPr>
      </w:pPr>
      <w:r>
        <w:rPr>
          <w:rFonts w:ascii="Arial" w:cs="Arial" w:eastAsia="Arial" w:hAnsi="Arial"/>
          <w:sz w:val="16"/>
          <w:szCs w:val="16"/>
          <w:color w:val="auto"/>
        </w:rPr>
        <w:t>Regeneron stayed true to its mission in 2021 and delivered not only for patients and communities, but also for shareholders by generating a total shareholder return of 32% and outperforming relevant industry indices and the broader market. Over the last decade, Regeneron’s total shareholder return exceeded 1,000%, a testament to our unwavering belief that staying focused on the science will yield strong long-term results for our shareholders.</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163195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00"/>
          </w:cols>
          <w:pgMar w:left="860" w:top="1361"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200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line="236" w:lineRule="auto"/>
        <w:rPr>
          <w:sz w:val="20"/>
          <w:szCs w:val="20"/>
          <w:color w:val="auto"/>
        </w:rPr>
      </w:pPr>
      <w:r>
        <w:rPr>
          <w:rFonts w:ascii="Arial" w:cs="Arial" w:eastAsia="Arial" w:hAnsi="Arial"/>
          <w:sz w:val="16"/>
          <w:szCs w:val="16"/>
          <w:color w:val="auto"/>
        </w:rPr>
        <w:t>Thank you for your continued support of Regeneron. We look forward to our ongoing engagement with you, including at the 2022 Annual Meeting of Shareholders.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196215</wp:posOffset>
            </wp:positionV>
            <wp:extent cx="865505"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5505" cy="28321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316230</wp:posOffset>
            </wp:positionV>
            <wp:extent cx="125158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51585" cy="1631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101600</wp:posOffset>
            </wp:positionV>
            <wp:extent cx="91694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6940" cy="377190"/>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P. Roy Vagelos,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15BA8"/>
        </w:rPr>
        <w:t>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Bonnie L. Bassler,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215BA8"/>
        </w:rPr>
        <w:t>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Michael S. Brown,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215BA8"/>
        </w:rPr>
        <w:t>M.D.</w:t>
      </w:r>
    </w:p>
    <w:p>
      <w:pPr>
        <w:spacing w:after="0" w:line="4" w:lineRule="exact"/>
        <w:rPr>
          <w:sz w:val="20"/>
          <w:szCs w:val="20"/>
          <w:color w:val="auto"/>
        </w:rPr>
      </w:pPr>
    </w:p>
    <w:p>
      <w:pPr>
        <w:sectPr>
          <w:pgSz w:w="11900" w:h="16838" w:orient="portrait"/>
          <w:cols w:equalWidth="0" w:num="3">
            <w:col w:w="3180" w:space="720"/>
            <w:col w:w="2640" w:space="720"/>
            <w:col w:w="3320"/>
          </w:cols>
          <w:pgMar w:left="320" w:top="1440" w:right="999" w:bottom="1440" w:gutter="0" w:footer="0" w:header="0"/>
          <w:type w:val="continuous"/>
        </w:sectPr>
      </w:pPr>
    </w:p>
    <w:p>
      <w:pPr>
        <w:ind w:left="540"/>
        <w:spacing w:after="0"/>
        <w:rPr>
          <w:sz w:val="20"/>
          <w:szCs w:val="20"/>
          <w:color w:val="auto"/>
        </w:rPr>
      </w:pPr>
      <w:r>
        <w:rPr>
          <w:rFonts w:ascii="Arial" w:cs="Arial" w:eastAsia="Arial" w:hAnsi="Arial"/>
          <w:sz w:val="15"/>
          <w:szCs w:val="15"/>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341630</wp:posOffset>
            </wp:positionV>
            <wp:extent cx="89979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99795" cy="3003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255905</wp:posOffset>
            </wp:positionV>
            <wp:extent cx="1208405"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8405" cy="38608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393065</wp:posOffset>
            </wp:positionV>
            <wp:extent cx="899795" cy="248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99795" cy="248920"/>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N. Anthony Coles,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15BA8"/>
        </w:rPr>
        <w:t>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273050</wp:posOffset>
            </wp:positionV>
            <wp:extent cx="899795"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9979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Joseph L. Goldstein,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215BA8"/>
        </w:rPr>
        <w:t>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1045845"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584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344805</wp:posOffset>
            </wp:positionV>
            <wp:extent cx="934085" cy="377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4085" cy="377190"/>
                    </a:xfrm>
                    <a:prstGeom prst="rect">
                      <a:avLst/>
                    </a:prstGeom>
                    <a:noFill/>
                  </pic:spPr>
                </pic:pic>
              </a:graphicData>
            </a:graphic>
          </wp:anchor>
        </w:drawing>
      </w:r>
    </w:p>
    <w:p>
      <w:pPr>
        <w:spacing w:after="0" w:line="407" w:lineRule="exact"/>
        <w:rPr>
          <w:sz w:val="20"/>
          <w:szCs w:val="20"/>
          <w:color w:val="auto"/>
        </w:rPr>
      </w:pPr>
    </w:p>
    <w:p>
      <w:pPr>
        <w:sectPr>
          <w:pgSz w:w="11900" w:h="16838" w:orient="portrait"/>
          <w:cols w:equalWidth="0" w:num="3">
            <w:col w:w="3180" w:space="720"/>
            <w:col w:w="2640" w:space="720"/>
            <w:col w:w="3320"/>
          </w:cols>
          <w:pgMar w:left="320" w:top="144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387350</wp:posOffset>
            </wp:positionV>
            <wp:extent cx="891540" cy="265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154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20"/>
        <w:spacing w:after="0"/>
        <w:rPr>
          <w:sz w:val="20"/>
          <w:szCs w:val="20"/>
          <w:color w:val="auto"/>
        </w:rPr>
      </w:pPr>
      <w:r>
        <w:rPr>
          <w:rFonts w:ascii="Arial" w:cs="Arial" w:eastAsia="Arial" w:hAnsi="Arial"/>
          <w:sz w:val="15"/>
          <w:szCs w:val="15"/>
          <w:b w:val="1"/>
          <w:bCs w:val="1"/>
          <w:color w:val="215BA8"/>
        </w:rPr>
        <w:t>George L. Sing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Marc Tessier-Lavigne,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215BA8"/>
        </w:rPr>
        <w:t>Ph.D.</w:t>
      </w:r>
    </w:p>
    <w:p>
      <w:pPr>
        <w:spacing w:after="0" w:line="200" w:lineRule="exact"/>
        <w:rPr>
          <w:sz w:val="20"/>
          <w:szCs w:val="20"/>
          <w:color w:val="auto"/>
        </w:rPr>
      </w:pPr>
    </w:p>
    <w:p>
      <w:pPr>
        <w:sectPr>
          <w:pgSz w:w="11900" w:h="16838" w:orient="portrait"/>
          <w:cols w:equalWidth="0" w:num="3">
            <w:col w:w="3180" w:space="720"/>
            <w:col w:w="2640" w:space="720"/>
            <w:col w:w="3320"/>
          </w:cols>
          <w:pgMar w:left="320" w:top="144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15BA8"/>
        </w:rPr>
        <w:t>Huda Y. Zoghbi, M.D.</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0"/>
          </w:cols>
          <w:pgMar w:left="320" w:top="1440" w:right="9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94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00" cy="894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FFFFFF"/>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360"/>
          </w:cols>
          <w:pgMar w:left="1440" w:top="1440" w:right="1099" w:bottom="1440" w:gutter="0" w:footer="0" w:header="0"/>
        </w:sectPr>
      </w:pPr>
    </w:p>
    <w:bookmarkStart w:id="11" w:name="page12"/>
    <w:bookmarkEnd w:id="11"/>
    <w:p>
      <w:pPr>
        <w:ind w:left="5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551180</wp:posOffset>
            </wp:positionH>
            <wp:positionV relativeFrom="page">
              <wp:posOffset>551815</wp:posOffset>
            </wp:positionV>
            <wp:extent cx="176593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214630"/>
                    </a:xfrm>
                    <a:prstGeom prst="rect">
                      <a:avLst/>
                    </a:prstGeom>
                    <a:noFill/>
                  </pic:spPr>
                </pic:pic>
              </a:graphicData>
            </a:graphic>
          </wp:anchor>
        </w:drawing>
        <w:t>REGENERON PHARMACEUTICALS, INC.</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777 Old Saw Mill River Road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Tarrytown, New York 10591-6707</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620"/>
        <w:spacing w:after="0" w:line="234" w:lineRule="auto"/>
        <w:rPr>
          <w:sz w:val="20"/>
          <w:szCs w:val="20"/>
          <w:color w:val="auto"/>
        </w:rPr>
      </w:pPr>
      <w:r>
        <w:rPr>
          <w:rFonts w:ascii="Arial" w:cs="Arial" w:eastAsia="Arial" w:hAnsi="Arial"/>
          <w:sz w:val="16"/>
          <w:szCs w:val="16"/>
          <w:color w:val="auto"/>
        </w:rPr>
        <w:t xml:space="preserve">The 2022 Annual Meeting of Shareholders of Regeneron Pharmaceuticals, Inc. (the “Company”) will be held on Friday, June 10, 2022, commencing at 10:30 a.m., Eastern Time, virtually via the Internet at </w:t>
      </w:r>
      <w:r>
        <w:rPr>
          <w:rFonts w:ascii="Arial" w:cs="Arial" w:eastAsia="Arial" w:hAnsi="Arial"/>
          <w:sz w:val="16"/>
          <w:szCs w:val="16"/>
          <w:b w:val="1"/>
          <w:bCs w:val="1"/>
          <w:color w:val="auto"/>
        </w:rPr>
        <w:t>www.virtualshareholdermeeting.com/REGN2022</w:t>
      </w:r>
      <w:r>
        <w:rPr>
          <w:rFonts w:ascii="Arial" w:cs="Arial" w:eastAsia="Arial" w:hAnsi="Arial"/>
          <w:sz w:val="16"/>
          <w:szCs w:val="16"/>
          <w:color w:val="auto"/>
        </w:rPr>
        <w:t>, for the following purposes:</w:t>
      </w:r>
    </w:p>
    <w:p>
      <w:pPr>
        <w:spacing w:after="0" w:line="164" w:lineRule="exact"/>
        <w:rPr>
          <w:sz w:val="20"/>
          <w:szCs w:val="20"/>
          <w:color w:val="auto"/>
        </w:rPr>
      </w:pPr>
    </w:p>
    <w:p>
      <w:pPr>
        <w:ind w:left="760" w:hanging="212"/>
        <w:spacing w:after="0"/>
        <w:tabs>
          <w:tab w:leader="none" w:pos="760" w:val="left"/>
        </w:tabs>
        <w:numPr>
          <w:ilvl w:val="0"/>
          <w:numId w:val="9"/>
        </w:numPr>
        <w:rPr>
          <w:rFonts w:ascii="Arial" w:cs="Arial" w:eastAsia="Arial" w:hAnsi="Arial"/>
          <w:sz w:val="16"/>
          <w:szCs w:val="16"/>
          <w:b w:val="1"/>
          <w:bCs w:val="1"/>
          <w:color w:val="215BA8"/>
        </w:rPr>
      </w:pPr>
      <w:r>
        <w:rPr>
          <w:rFonts w:ascii="Arial" w:cs="Arial" w:eastAsia="Arial" w:hAnsi="Arial"/>
          <w:sz w:val="16"/>
          <w:szCs w:val="16"/>
          <w:color w:val="auto"/>
        </w:rPr>
        <w:t>to elect four Class I directors for a three-year term;</w:t>
      </w:r>
    </w:p>
    <w:p>
      <w:pPr>
        <w:spacing w:after="0" w:line="73" w:lineRule="exact"/>
        <w:rPr>
          <w:sz w:val="20"/>
          <w:szCs w:val="20"/>
          <w:color w:val="auto"/>
        </w:rPr>
      </w:pPr>
    </w:p>
    <w:p>
      <w:pPr>
        <w:ind w:left="760" w:right="220" w:hanging="212"/>
        <w:spacing w:after="0" w:line="236" w:lineRule="auto"/>
        <w:tabs>
          <w:tab w:leader="none" w:pos="760" w:val="left"/>
        </w:tabs>
        <w:numPr>
          <w:ilvl w:val="0"/>
          <w:numId w:val="10"/>
        </w:numPr>
        <w:rPr>
          <w:rFonts w:ascii="Arial" w:cs="Arial" w:eastAsia="Arial" w:hAnsi="Arial"/>
          <w:sz w:val="16"/>
          <w:szCs w:val="16"/>
          <w:b w:val="1"/>
          <w:bCs w:val="1"/>
          <w:color w:val="215BA8"/>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2022;</w:t>
      </w:r>
    </w:p>
    <w:p>
      <w:pPr>
        <w:spacing w:after="0" w:line="70" w:lineRule="exact"/>
        <w:rPr>
          <w:sz w:val="20"/>
          <w:szCs w:val="20"/>
          <w:color w:val="auto"/>
        </w:rPr>
      </w:pPr>
    </w:p>
    <w:p>
      <w:pPr>
        <w:ind w:left="760" w:right="120" w:hanging="212"/>
        <w:spacing w:after="0" w:line="236" w:lineRule="auto"/>
        <w:tabs>
          <w:tab w:leader="none" w:pos="760" w:val="left"/>
        </w:tabs>
        <w:numPr>
          <w:ilvl w:val="0"/>
          <w:numId w:val="11"/>
        </w:numPr>
        <w:rPr>
          <w:rFonts w:ascii="Arial" w:cs="Arial" w:eastAsia="Arial" w:hAnsi="Arial"/>
          <w:sz w:val="16"/>
          <w:szCs w:val="16"/>
          <w:b w:val="1"/>
          <w:bCs w:val="1"/>
          <w:color w:val="215BA8"/>
        </w:rPr>
      </w:pPr>
      <w:r>
        <w:rPr>
          <w:rFonts w:ascii="Arial" w:cs="Arial" w:eastAsia="Arial" w:hAnsi="Arial"/>
          <w:sz w:val="16"/>
          <w:szCs w:val="16"/>
          <w:color w:val="auto"/>
        </w:rPr>
        <w:t>to cast an advisory vote to approve the compensation of the Company’s Named Executive Officers as disclosed in these proxy materials (say-on-pay); and</w:t>
      </w:r>
    </w:p>
    <w:p>
      <w:pPr>
        <w:spacing w:after="0" w:line="70" w:lineRule="exact"/>
        <w:rPr>
          <w:sz w:val="20"/>
          <w:szCs w:val="20"/>
          <w:color w:val="auto"/>
        </w:rPr>
      </w:pPr>
    </w:p>
    <w:p>
      <w:pPr>
        <w:ind w:left="760" w:hanging="212"/>
        <w:spacing w:after="0"/>
        <w:tabs>
          <w:tab w:leader="none" w:pos="760" w:val="left"/>
        </w:tabs>
        <w:numPr>
          <w:ilvl w:val="0"/>
          <w:numId w:val="12"/>
        </w:numPr>
        <w:rPr>
          <w:rFonts w:ascii="Arial" w:cs="Arial" w:eastAsia="Arial" w:hAnsi="Arial"/>
          <w:sz w:val="16"/>
          <w:szCs w:val="16"/>
          <w:b w:val="1"/>
          <w:bCs w:val="1"/>
          <w:color w:val="215BA8"/>
        </w:rPr>
      </w:pPr>
      <w:r>
        <w:rPr>
          <w:rFonts w:ascii="Arial" w:cs="Arial" w:eastAsia="Arial" w:hAnsi="Arial"/>
          <w:sz w:val="16"/>
          <w:szCs w:val="16"/>
          <w:color w:val="auto"/>
        </w:rPr>
        <w:t>to act upon such other matters as may properly come before the meeting and any adjournment(s) or postponement(s) thereof.</w:t>
      </w:r>
    </w:p>
    <w:p>
      <w:pPr>
        <w:spacing w:after="0" w:line="167" w:lineRule="exact"/>
        <w:rPr>
          <w:sz w:val="20"/>
          <w:szCs w:val="20"/>
          <w:color w:val="auto"/>
        </w:rPr>
      </w:pPr>
    </w:p>
    <w:p>
      <w:pPr>
        <w:ind w:left="540" w:right="180"/>
        <w:spacing w:after="0" w:line="236" w:lineRule="auto"/>
        <w:rPr>
          <w:sz w:val="20"/>
          <w:szCs w:val="20"/>
          <w:color w:val="auto"/>
        </w:rPr>
      </w:pPr>
      <w:r>
        <w:rPr>
          <w:rFonts w:ascii="Arial" w:cs="Arial" w:eastAsia="Arial" w:hAnsi="Arial"/>
          <w:sz w:val="16"/>
          <w:szCs w:val="16"/>
          <w:color w:val="auto"/>
        </w:rPr>
        <w:t>The board of directors has fixed the close of business on April 12, 2022 as the record date for determining shareholders entitled to notice of, and to vote at, the Annual Meeting and at any adjournment(s) or postponement(s) thereof.</w:t>
      </w:r>
    </w:p>
    <w:p>
      <w:pPr>
        <w:spacing w:after="0" w:line="165" w:lineRule="exact"/>
        <w:rPr>
          <w:sz w:val="20"/>
          <w:szCs w:val="20"/>
          <w:color w:val="auto"/>
        </w:rPr>
      </w:pPr>
    </w:p>
    <w:p>
      <w:pPr>
        <w:ind w:left="540" w:right="220"/>
        <w:spacing w:after="0" w:line="247" w:lineRule="auto"/>
        <w:rPr>
          <w:sz w:val="20"/>
          <w:szCs w:val="20"/>
          <w:color w:val="auto"/>
        </w:rPr>
      </w:pPr>
      <w:r>
        <w:rPr>
          <w:rFonts w:ascii="Arial" w:cs="Arial" w:eastAsia="Arial" w:hAnsi="Arial"/>
          <w:sz w:val="15"/>
          <w:szCs w:val="15"/>
          <w:color w:val="auto"/>
        </w:rPr>
        <w:t>Pursuant to the rules of the Securities and Exchange Commission (the “SEC”), we have elected to use the “Notice and Access” method of providing our proxy materials over the Internet. Accordingly, we will mail, beginning on or about April 21, 2022, a Notice of Internet Availability of Proxy Materials to our shareholders of record and beneficial owners as of the record date (other than (i) those who previously elected to receive proxy materials by e-mail, (ii) those who have previously asked to receive paper copies of the proxy materials, and (iii) shareholders who participate and hold shares of common stock in the Regeneron Pharmaceuticals, Inc. 401(k) Savings Plan or the Regeneron Ireland Share Participation Plan).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161" w:lineRule="exact"/>
        <w:rPr>
          <w:sz w:val="20"/>
          <w:szCs w:val="20"/>
          <w:color w:val="auto"/>
        </w:rPr>
      </w:pPr>
    </w:p>
    <w:p>
      <w:pPr>
        <w:ind w:left="540" w:right="140"/>
        <w:spacing w:after="0" w:line="254" w:lineRule="auto"/>
        <w:rPr>
          <w:sz w:val="20"/>
          <w:szCs w:val="20"/>
          <w:color w:val="auto"/>
        </w:rPr>
      </w:pPr>
      <w:r>
        <w:rPr>
          <w:rFonts w:ascii="Arial" w:cs="Arial" w:eastAsia="Arial" w:hAnsi="Arial"/>
          <w:sz w:val="15"/>
          <w:szCs w:val="15"/>
          <w:color w:val="auto"/>
        </w:rPr>
        <w:t>The Notice of Internet Availability of Proxy Materials also contains a toll-free telephone number, an e-mail address, and a website where shareholders can request a paper or electronic copy of the proxy statement, our 2021 annual report, and/or a form of proxy relating to the Annual Meeting. These materials are available free of charge. The Notice also contains information on how to access and vote the form of proxy.</w:t>
      </w:r>
    </w:p>
    <w:p>
      <w:pPr>
        <w:spacing w:after="0" w:line="154" w:lineRule="exact"/>
        <w:rPr>
          <w:sz w:val="20"/>
          <w:szCs w:val="20"/>
          <w:color w:val="auto"/>
        </w:rPr>
      </w:pPr>
    </w:p>
    <w:p>
      <w:pPr>
        <w:ind w:left="540"/>
        <w:spacing w:after="0" w:line="232" w:lineRule="auto"/>
        <w:rPr>
          <w:sz w:val="20"/>
          <w:szCs w:val="20"/>
          <w:color w:val="auto"/>
        </w:rPr>
      </w:pPr>
      <w:r>
        <w:rPr>
          <w:rFonts w:ascii="Arial" w:cs="Arial" w:eastAsia="Arial" w:hAnsi="Arial"/>
          <w:sz w:val="16"/>
          <w:szCs w:val="16"/>
          <w:color w:val="auto"/>
        </w:rPr>
        <w:t xml:space="preserve">We have opted to hold the Annual Meeting as a virtual-only meeting, which means that you will not be able to attend the Annual Meeting in person. All shareholders will be able to attend the Annual Meeting and participate electronically, which will allow them to vote their shares on the date of the Annual Meeting and ask questions during the meeting. Please visit our website at </w:t>
      </w:r>
      <w:r>
        <w:rPr>
          <w:rFonts w:ascii="Arial" w:cs="Arial" w:eastAsia="Arial" w:hAnsi="Arial"/>
          <w:sz w:val="16"/>
          <w:szCs w:val="16"/>
          <w:b w:val="1"/>
          <w:bCs w:val="1"/>
          <w:color w:val="auto"/>
        </w:rPr>
        <w:t>http://newsroom.regeneron.com</w:t>
      </w:r>
      <w:r>
        <w:rPr>
          <w:rFonts w:ascii="Arial" w:cs="Arial" w:eastAsia="Arial" w:hAnsi="Arial"/>
          <w:sz w:val="16"/>
          <w:szCs w:val="16"/>
          <w:color w:val="auto"/>
        </w:rPr>
        <w:t xml:space="preserve"> for the most up-to-date information about the Annual Meeting. We have designed the format of the Annual Meeting to ensure that shareholders are afforded similar rights and opportunities to participate as they would at an in-person meeting.</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33020</wp:posOffset>
            </wp:positionV>
            <wp:extent cx="1294130" cy="420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41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Joseph J. LaRosa</w:t>
      </w:r>
    </w:p>
    <w:p>
      <w:pPr>
        <w:ind w:left="540"/>
        <w:spacing w:after="0" w:line="228" w:lineRule="auto"/>
        <w:rPr>
          <w:sz w:val="20"/>
          <w:szCs w:val="20"/>
          <w:color w:val="auto"/>
        </w:rPr>
      </w:pPr>
      <w:r>
        <w:rPr>
          <w:rFonts w:ascii="Arial" w:cs="Arial" w:eastAsia="Arial" w:hAnsi="Arial"/>
          <w:sz w:val="16"/>
          <w:szCs w:val="16"/>
          <w:color w:val="auto"/>
        </w:rPr>
        <w:t>Executive Vice President, General Counsel and Secretary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April 21, 2022</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700"/>
          </w:cols>
          <w:pgMar w:left="320" w:top="1368" w:right="87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98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00" cy="898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FFFFFF"/>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360"/>
          </w:cols>
          <w:pgMar w:left="1440" w:top="1440" w:right="1099" w:bottom="1440" w:gutter="0" w:footer="0" w:header="0"/>
        </w:sectPr>
      </w:pPr>
    </w:p>
    <w:bookmarkStart w:id="13" w:name="page14"/>
    <w:bookmarkEnd w:id="13"/>
    <w:p>
      <w:pPr>
        <w:ind w:left="540"/>
        <w:spacing w:after="0"/>
        <w:rPr>
          <w:sz w:val="20"/>
          <w:szCs w:val="20"/>
          <w:color w:val="auto"/>
        </w:rPr>
      </w:pPr>
      <w:r>
        <w:rPr>
          <w:rFonts w:ascii="Arial" w:cs="Arial" w:eastAsia="Arial" w:hAnsi="Arial"/>
          <w:sz w:val="40"/>
          <w:szCs w:val="40"/>
          <w:b w:val="1"/>
          <w:bCs w:val="1"/>
          <w:color w:val="215BA8"/>
        </w:rPr>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4600" w:type="dxa"/>
            <w:vAlign w:val="bottom"/>
          </w:tcPr>
          <w:p>
            <w:pPr>
              <w:spacing w:after="0"/>
              <w:rPr>
                <w:rFonts w:ascii="Arial" w:cs="Arial" w:eastAsia="Arial" w:hAnsi="Arial"/>
                <w:sz w:val="16"/>
                <w:szCs w:val="16"/>
                <w:b w:val="1"/>
                <w:bCs w:val="1"/>
                <w:color w:val="215BA8"/>
              </w:rPr>
            </w:pPr>
            <w:hyperlink w:anchor="page16">
              <w:r>
                <w:rPr>
                  <w:rFonts w:ascii="Arial" w:cs="Arial" w:eastAsia="Arial" w:hAnsi="Arial"/>
                  <w:sz w:val="16"/>
                  <w:szCs w:val="16"/>
                  <w:b w:val="1"/>
                  <w:bCs w:val="1"/>
                  <w:color w:val="215BA8"/>
                </w:rPr>
                <w:t>Users’ Guide</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215BA8"/>
              </w:rPr>
              <w:t>1</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16">
              <w:r>
                <w:rPr>
                  <w:rFonts w:ascii="Arial" w:cs="Arial" w:eastAsia="Arial" w:hAnsi="Arial"/>
                  <w:sz w:val="16"/>
                  <w:szCs w:val="16"/>
                  <w:b w:val="1"/>
                  <w:bCs w:val="1"/>
                  <w:color w:val="auto"/>
                </w:rPr>
                <w:t>Proxy Dashboard</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17">
              <w:r>
                <w:rPr>
                  <w:rFonts w:ascii="Arial" w:cs="Arial" w:eastAsia="Arial" w:hAnsi="Arial"/>
                  <w:sz w:val="16"/>
                  <w:szCs w:val="16"/>
                  <w:b w:val="1"/>
                  <w:bCs w:val="1"/>
                  <w:color w:val="auto"/>
                </w:rPr>
                <w:t>Proxy Highlights</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270"/>
        </w:trPr>
        <w:tc>
          <w:tcPr>
            <w:tcW w:w="4600" w:type="dxa"/>
            <w:vAlign w:val="bottom"/>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Board Responsiveness in 2021</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600" w:type="dxa"/>
            <w:vAlign w:val="bottom"/>
          </w:tcPr>
          <w:p>
            <w:pPr>
              <w:ind w:left="180"/>
              <w:spacing w:after="0"/>
              <w:rPr>
                <w:rFonts w:ascii="Arial" w:cs="Arial" w:eastAsia="Arial" w:hAnsi="Arial"/>
                <w:sz w:val="16"/>
                <w:szCs w:val="16"/>
                <w:color w:val="auto"/>
              </w:rPr>
            </w:pPr>
            <w:hyperlink w:anchor="page18">
              <w:r>
                <w:rPr>
                  <w:rFonts w:ascii="Arial" w:cs="Arial" w:eastAsia="Arial" w:hAnsi="Arial"/>
                  <w:sz w:val="16"/>
                  <w:szCs w:val="16"/>
                  <w:color w:val="auto"/>
                </w:rPr>
                <w:t>2021 Board Actions Explained</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600" w:type="dxa"/>
            <w:vAlign w:val="bottom"/>
          </w:tcPr>
          <w:p>
            <w:pPr>
              <w:spacing w:after="0"/>
              <w:rPr>
                <w:rFonts w:ascii="Arial" w:cs="Arial" w:eastAsia="Arial" w:hAnsi="Arial"/>
                <w:sz w:val="16"/>
                <w:szCs w:val="16"/>
                <w:b w:val="1"/>
                <w:bCs w:val="1"/>
                <w:color w:val="215BA8"/>
              </w:rPr>
            </w:pPr>
            <w:hyperlink w:anchor="page21">
              <w:r>
                <w:rPr>
                  <w:rFonts w:ascii="Arial" w:cs="Arial" w:eastAsia="Arial" w:hAnsi="Arial"/>
                  <w:sz w:val="16"/>
                  <w:szCs w:val="16"/>
                  <w:b w:val="1"/>
                  <w:bCs w:val="1"/>
                  <w:color w:val="215BA8"/>
                </w:rPr>
                <w:t>Board of Directors</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215BA8"/>
              </w:rPr>
              <w:t>6</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21">
              <w:r>
                <w:rPr>
                  <w:rFonts w:ascii="Arial" w:cs="Arial" w:eastAsia="Arial" w:hAnsi="Arial"/>
                  <w:sz w:val="16"/>
                  <w:szCs w:val="16"/>
                  <w:b w:val="1"/>
                  <w:bCs w:val="1"/>
                  <w:color w:val="auto"/>
                </w:rPr>
                <w:t>Meet the Board</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35">
              <w:r>
                <w:rPr>
                  <w:rFonts w:ascii="Arial" w:cs="Arial" w:eastAsia="Arial" w:hAnsi="Arial"/>
                  <w:sz w:val="16"/>
                  <w:szCs w:val="16"/>
                  <w:b w:val="1"/>
                  <w:bCs w:val="1"/>
                  <w:color w:val="auto"/>
                </w:rPr>
                <w:t>Board Committees</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20</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37">
              <w:r>
                <w:rPr>
                  <w:rFonts w:ascii="Arial" w:cs="Arial" w:eastAsia="Arial" w:hAnsi="Arial"/>
                  <w:sz w:val="16"/>
                  <w:szCs w:val="16"/>
                  <w:b w:val="1"/>
                  <w:bCs w:val="1"/>
                  <w:color w:val="auto"/>
                </w:rPr>
                <w:t>Board Governance</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270"/>
        </w:trPr>
        <w:tc>
          <w:tcPr>
            <w:tcW w:w="4600" w:type="dxa"/>
            <w:vAlign w:val="bottom"/>
          </w:tcPr>
          <w:p>
            <w:pPr>
              <w:ind w:left="180"/>
              <w:spacing w:after="0"/>
              <w:rPr>
                <w:rFonts w:ascii="Arial" w:cs="Arial" w:eastAsia="Arial" w:hAnsi="Arial"/>
                <w:sz w:val="16"/>
                <w:szCs w:val="16"/>
                <w:color w:val="auto"/>
              </w:rPr>
            </w:pPr>
            <w:hyperlink w:anchor="page37">
              <w:r>
                <w:rPr>
                  <w:rFonts w:ascii="Arial" w:cs="Arial" w:eastAsia="Arial" w:hAnsi="Arial"/>
                  <w:sz w:val="16"/>
                  <w:szCs w:val="16"/>
                  <w:color w:val="auto"/>
                </w:rPr>
                <w:t>Board Structure</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4600" w:type="dxa"/>
            <w:vAlign w:val="bottom"/>
          </w:tcPr>
          <w:p>
            <w:pPr>
              <w:ind w:left="180"/>
              <w:spacing w:after="0"/>
              <w:rPr>
                <w:rFonts w:ascii="Arial" w:cs="Arial" w:eastAsia="Arial" w:hAnsi="Arial"/>
                <w:sz w:val="16"/>
                <w:szCs w:val="16"/>
                <w:color w:val="auto"/>
              </w:rPr>
            </w:pPr>
            <w:hyperlink w:anchor="page37">
              <w:r>
                <w:rPr>
                  <w:rFonts w:ascii="Arial" w:cs="Arial" w:eastAsia="Arial" w:hAnsi="Arial"/>
                  <w:sz w:val="16"/>
                  <w:szCs w:val="16"/>
                  <w:color w:val="auto"/>
                </w:rPr>
                <w:t>Board Meetings and Attendance of Directors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4600" w:type="dxa"/>
            <w:vAlign w:val="bottom"/>
          </w:tcPr>
          <w:p>
            <w:pPr>
              <w:ind w:left="180"/>
              <w:spacing w:after="0"/>
              <w:rPr>
                <w:rFonts w:ascii="Arial" w:cs="Arial" w:eastAsia="Arial" w:hAnsi="Arial"/>
                <w:sz w:val="16"/>
                <w:szCs w:val="16"/>
                <w:color w:val="auto"/>
              </w:rPr>
            </w:pPr>
            <w:hyperlink w:anchor="page37">
              <w:r>
                <w:rPr>
                  <w:rFonts w:ascii="Arial" w:cs="Arial" w:eastAsia="Arial" w:hAnsi="Arial"/>
                  <w:sz w:val="16"/>
                  <w:szCs w:val="16"/>
                  <w:color w:val="auto"/>
                </w:rPr>
                <w:t>Director Refreshment Philosophy</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64"/>
        </w:trPr>
        <w:tc>
          <w:tcPr>
            <w:tcW w:w="4600" w:type="dxa"/>
            <w:vAlign w:val="bottom"/>
          </w:tcPr>
          <w:p>
            <w:pPr>
              <w:ind w:left="180"/>
              <w:spacing w:after="0"/>
              <w:rPr>
                <w:rFonts w:ascii="Arial" w:cs="Arial" w:eastAsia="Arial" w:hAnsi="Arial"/>
                <w:sz w:val="16"/>
                <w:szCs w:val="16"/>
                <w:color w:val="auto"/>
              </w:rPr>
            </w:pPr>
            <w:hyperlink w:anchor="page38">
              <w:r>
                <w:rPr>
                  <w:rFonts w:ascii="Arial" w:cs="Arial" w:eastAsia="Arial" w:hAnsi="Arial"/>
                  <w:sz w:val="16"/>
                  <w:szCs w:val="16"/>
                  <w:color w:val="auto"/>
                </w:rPr>
                <w:t>Procedures Relating to Nominees; Board Succession</w:t>
              </w:r>
            </w:hyperlink>
          </w:p>
        </w:tc>
        <w:tc>
          <w:tcPr>
            <w:tcW w:w="260" w:type="dxa"/>
            <w:vAlign w:val="bottom"/>
          </w:tcPr>
          <w:p>
            <w:pPr>
              <w:spacing w:after="0"/>
              <w:rPr>
                <w:sz w:val="22"/>
                <w:szCs w:val="22"/>
                <w:color w:val="auto"/>
              </w:rPr>
            </w:pPr>
          </w:p>
        </w:tc>
      </w:tr>
      <w:tr>
        <w:trPr>
          <w:trHeight w:val="195"/>
        </w:trPr>
        <w:tc>
          <w:tcPr>
            <w:tcW w:w="4600" w:type="dxa"/>
            <w:vAlign w:val="bottom"/>
          </w:tcPr>
          <w:p>
            <w:pPr>
              <w:ind w:left="180"/>
              <w:spacing w:after="0"/>
              <w:rPr>
                <w:rFonts w:ascii="Arial" w:cs="Arial" w:eastAsia="Arial" w:hAnsi="Arial"/>
                <w:sz w:val="16"/>
                <w:szCs w:val="16"/>
                <w:color w:val="auto"/>
              </w:rPr>
            </w:pPr>
            <w:hyperlink w:anchor="page38">
              <w:r>
                <w:rPr>
                  <w:rFonts w:ascii="Arial" w:cs="Arial" w:eastAsia="Arial" w:hAnsi="Arial"/>
                  <w:sz w:val="16"/>
                  <w:szCs w:val="16"/>
                  <w:color w:val="auto"/>
                </w:rPr>
                <w:t>Planning</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600" w:type="dxa"/>
            <w:vAlign w:val="bottom"/>
          </w:tcPr>
          <w:p>
            <w:pPr>
              <w:ind w:left="180"/>
              <w:spacing w:after="0"/>
              <w:rPr>
                <w:rFonts w:ascii="Arial" w:cs="Arial" w:eastAsia="Arial" w:hAnsi="Arial"/>
                <w:sz w:val="16"/>
                <w:szCs w:val="16"/>
                <w:color w:val="auto"/>
              </w:rPr>
            </w:pPr>
            <w:hyperlink w:anchor="page39">
              <w:r>
                <w:rPr>
                  <w:rFonts w:ascii="Arial" w:cs="Arial" w:eastAsia="Arial" w:hAnsi="Arial"/>
                  <w:sz w:val="16"/>
                  <w:szCs w:val="16"/>
                  <w:color w:val="auto"/>
                </w:rPr>
                <w:t>Board and Committee Self-Assessments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600" w:type="dxa"/>
            <w:vAlign w:val="bottom"/>
          </w:tcPr>
          <w:p>
            <w:pPr>
              <w:ind w:left="180"/>
              <w:spacing w:after="0"/>
              <w:rPr>
                <w:rFonts w:ascii="Arial" w:cs="Arial" w:eastAsia="Arial" w:hAnsi="Arial"/>
                <w:sz w:val="16"/>
                <w:szCs w:val="16"/>
                <w:color w:val="auto"/>
              </w:rPr>
            </w:pPr>
            <w:hyperlink w:anchor="page39">
              <w:r>
                <w:rPr>
                  <w:rFonts w:ascii="Arial" w:cs="Arial" w:eastAsia="Arial" w:hAnsi="Arial"/>
                  <w:sz w:val="16"/>
                  <w:szCs w:val="16"/>
                  <w:color w:val="auto"/>
                </w:rPr>
                <w:t>Shareholder Right to Call Special Shareholder Meeting</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70"/>
        </w:trPr>
        <w:tc>
          <w:tcPr>
            <w:tcW w:w="4600" w:type="dxa"/>
            <w:vAlign w:val="bottom"/>
          </w:tcPr>
          <w:p>
            <w:pPr>
              <w:ind w:left="180"/>
              <w:spacing w:after="0"/>
              <w:rPr>
                <w:rFonts w:ascii="Arial" w:cs="Arial" w:eastAsia="Arial" w:hAnsi="Arial"/>
                <w:sz w:val="16"/>
                <w:szCs w:val="16"/>
                <w:color w:val="auto"/>
              </w:rPr>
            </w:pPr>
            <w:hyperlink w:anchor="page40">
              <w:r>
                <w:rPr>
                  <w:rFonts w:ascii="Arial" w:cs="Arial" w:eastAsia="Arial" w:hAnsi="Arial"/>
                  <w:sz w:val="16"/>
                  <w:szCs w:val="16"/>
                  <w:color w:val="auto"/>
                </w:rPr>
                <w:t>Director Independence</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4600" w:type="dxa"/>
            <w:vAlign w:val="bottom"/>
          </w:tcPr>
          <w:p>
            <w:pPr>
              <w:ind w:left="180"/>
              <w:spacing w:after="0"/>
              <w:rPr>
                <w:rFonts w:ascii="Arial" w:cs="Arial" w:eastAsia="Arial" w:hAnsi="Arial"/>
                <w:sz w:val="16"/>
                <w:szCs w:val="16"/>
                <w:color w:val="auto"/>
              </w:rPr>
            </w:pPr>
            <w:hyperlink w:anchor="page40">
              <w:r>
                <w:rPr>
                  <w:rFonts w:ascii="Arial" w:cs="Arial" w:eastAsia="Arial" w:hAnsi="Arial"/>
                  <w:sz w:val="16"/>
                  <w:szCs w:val="16"/>
                  <w:color w:val="auto"/>
                </w:rPr>
                <w:t>Board Leadership Structure – Separate Chair and CEO with</w:t>
              </w:r>
            </w:hyperlink>
          </w:p>
        </w:tc>
        <w:tc>
          <w:tcPr>
            <w:tcW w:w="260" w:type="dxa"/>
            <w:vAlign w:val="bottom"/>
          </w:tcPr>
          <w:p>
            <w:pPr>
              <w:spacing w:after="0"/>
              <w:rPr>
                <w:sz w:val="22"/>
                <w:szCs w:val="22"/>
                <w:color w:val="auto"/>
              </w:rPr>
            </w:pPr>
          </w:p>
        </w:tc>
      </w:tr>
      <w:tr>
        <w:trPr>
          <w:trHeight w:val="195"/>
        </w:trPr>
        <w:tc>
          <w:tcPr>
            <w:tcW w:w="4600" w:type="dxa"/>
            <w:vAlign w:val="bottom"/>
          </w:tcPr>
          <w:p>
            <w:pPr>
              <w:ind w:left="180"/>
              <w:spacing w:after="0"/>
              <w:rPr>
                <w:rFonts w:ascii="Arial" w:cs="Arial" w:eastAsia="Arial" w:hAnsi="Arial"/>
                <w:sz w:val="16"/>
                <w:szCs w:val="16"/>
                <w:color w:val="auto"/>
              </w:rPr>
            </w:pPr>
            <w:hyperlink w:anchor="page40">
              <w:r>
                <w:rPr>
                  <w:rFonts w:ascii="Arial" w:cs="Arial" w:eastAsia="Arial" w:hAnsi="Arial"/>
                  <w:sz w:val="16"/>
                  <w:szCs w:val="16"/>
                  <w:color w:val="auto"/>
                </w:rPr>
                <w:t>Presiding Director</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600" w:type="dxa"/>
            <w:vAlign w:val="bottom"/>
          </w:tcPr>
          <w:p>
            <w:pPr>
              <w:ind w:left="180"/>
              <w:spacing w:after="0"/>
              <w:rPr>
                <w:rFonts w:ascii="Arial" w:cs="Arial" w:eastAsia="Arial" w:hAnsi="Arial"/>
                <w:sz w:val="16"/>
                <w:szCs w:val="16"/>
                <w:color w:val="auto"/>
              </w:rPr>
            </w:pPr>
            <w:hyperlink w:anchor="page40">
              <w:r>
                <w:rPr>
                  <w:rFonts w:ascii="Arial" w:cs="Arial" w:eastAsia="Arial" w:hAnsi="Arial"/>
                  <w:sz w:val="16"/>
                  <w:szCs w:val="16"/>
                  <w:color w:val="auto"/>
                </w:rPr>
                <w:t>Board Oversight of Risk and Key Pricing Decisions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64"/>
        </w:trPr>
        <w:tc>
          <w:tcPr>
            <w:tcW w:w="4600" w:type="dxa"/>
            <w:vAlign w:val="bottom"/>
          </w:tcPr>
          <w:p>
            <w:pPr>
              <w:ind w:left="180"/>
              <w:spacing w:after="0"/>
              <w:rPr>
                <w:rFonts w:ascii="Arial" w:cs="Arial" w:eastAsia="Arial" w:hAnsi="Arial"/>
                <w:sz w:val="16"/>
                <w:szCs w:val="16"/>
                <w:color w:val="auto"/>
              </w:rPr>
            </w:pPr>
            <w:hyperlink w:anchor="page41">
              <w:r>
                <w:rPr>
                  <w:rFonts w:ascii="Arial" w:cs="Arial" w:eastAsia="Arial" w:hAnsi="Arial"/>
                  <w:sz w:val="16"/>
                  <w:szCs w:val="16"/>
                  <w:color w:val="auto"/>
                </w:rPr>
                <w:t>Executive Compensation Processes and Procedures; Role of</w:t>
              </w:r>
            </w:hyperlink>
          </w:p>
        </w:tc>
        <w:tc>
          <w:tcPr>
            <w:tcW w:w="260" w:type="dxa"/>
            <w:vAlign w:val="bottom"/>
          </w:tcPr>
          <w:p>
            <w:pPr>
              <w:spacing w:after="0"/>
              <w:rPr>
                <w:sz w:val="22"/>
                <w:szCs w:val="22"/>
                <w:color w:val="auto"/>
              </w:rPr>
            </w:pPr>
          </w:p>
        </w:tc>
      </w:tr>
      <w:tr>
        <w:trPr>
          <w:trHeight w:val="195"/>
        </w:trPr>
        <w:tc>
          <w:tcPr>
            <w:tcW w:w="4600" w:type="dxa"/>
            <w:vAlign w:val="bottom"/>
          </w:tcPr>
          <w:p>
            <w:pPr>
              <w:ind w:left="180"/>
              <w:spacing w:after="0"/>
              <w:rPr>
                <w:rFonts w:ascii="Arial" w:cs="Arial" w:eastAsia="Arial" w:hAnsi="Arial"/>
                <w:sz w:val="16"/>
                <w:szCs w:val="16"/>
                <w:color w:val="auto"/>
              </w:rPr>
            </w:pPr>
            <w:hyperlink w:anchor="page41">
              <w:r>
                <w:rPr>
                  <w:rFonts w:ascii="Arial" w:cs="Arial" w:eastAsia="Arial" w:hAnsi="Arial"/>
                  <w:sz w:val="16"/>
                  <w:szCs w:val="16"/>
                  <w:color w:val="auto"/>
                </w:rPr>
                <w:t>Compensation Consultants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64"/>
        </w:trPr>
        <w:tc>
          <w:tcPr>
            <w:tcW w:w="4600" w:type="dxa"/>
            <w:vAlign w:val="bottom"/>
          </w:tcPr>
          <w:p>
            <w:pPr>
              <w:ind w:left="180"/>
              <w:spacing w:after="0"/>
              <w:rPr>
                <w:rFonts w:ascii="Arial" w:cs="Arial" w:eastAsia="Arial" w:hAnsi="Arial"/>
                <w:sz w:val="16"/>
                <w:szCs w:val="16"/>
                <w:color w:val="auto"/>
              </w:rPr>
            </w:pPr>
            <w:hyperlink w:anchor="page42">
              <w:r>
                <w:rPr>
                  <w:rFonts w:ascii="Arial" w:cs="Arial" w:eastAsia="Arial" w:hAnsi="Arial"/>
                  <w:sz w:val="16"/>
                  <w:szCs w:val="16"/>
                  <w:color w:val="auto"/>
                </w:rPr>
                <w:t>Shareholder Engagement Philosophy and Board</w:t>
              </w:r>
            </w:hyperlink>
          </w:p>
        </w:tc>
        <w:tc>
          <w:tcPr>
            <w:tcW w:w="260" w:type="dxa"/>
            <w:vAlign w:val="bottom"/>
          </w:tcPr>
          <w:p>
            <w:pPr>
              <w:spacing w:after="0"/>
              <w:rPr>
                <w:sz w:val="22"/>
                <w:szCs w:val="22"/>
                <w:color w:val="auto"/>
              </w:rPr>
            </w:pPr>
          </w:p>
        </w:tc>
      </w:tr>
      <w:tr>
        <w:trPr>
          <w:trHeight w:val="195"/>
        </w:trPr>
        <w:tc>
          <w:tcPr>
            <w:tcW w:w="4600" w:type="dxa"/>
            <w:vAlign w:val="bottom"/>
          </w:tcPr>
          <w:p>
            <w:pPr>
              <w:ind w:left="180"/>
              <w:spacing w:after="0"/>
              <w:rPr>
                <w:rFonts w:ascii="Arial" w:cs="Arial" w:eastAsia="Arial" w:hAnsi="Arial"/>
                <w:sz w:val="16"/>
                <w:szCs w:val="16"/>
                <w:color w:val="auto"/>
              </w:rPr>
            </w:pPr>
            <w:hyperlink w:anchor="page42">
              <w:r>
                <w:rPr>
                  <w:rFonts w:ascii="Arial" w:cs="Arial" w:eastAsia="Arial" w:hAnsi="Arial"/>
                  <w:sz w:val="16"/>
                  <w:szCs w:val="16"/>
                  <w:color w:val="auto"/>
                </w:rPr>
                <w:t>Responsiveness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43">
              <w:r>
                <w:rPr>
                  <w:rFonts w:ascii="Arial" w:cs="Arial" w:eastAsia="Arial" w:hAnsi="Arial"/>
                  <w:sz w:val="16"/>
                  <w:szCs w:val="16"/>
                  <w:b w:val="1"/>
                  <w:bCs w:val="1"/>
                  <w:color w:val="auto"/>
                </w:rPr>
                <w:t>Compensation of Directors</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r>
        <w:trPr>
          <w:trHeight w:val="338"/>
        </w:trPr>
        <w:tc>
          <w:tcPr>
            <w:tcW w:w="4600" w:type="dxa"/>
            <w:vAlign w:val="bottom"/>
          </w:tcPr>
          <w:p>
            <w:pPr>
              <w:spacing w:after="0"/>
              <w:rPr>
                <w:rFonts w:ascii="Arial" w:cs="Arial" w:eastAsia="Arial" w:hAnsi="Arial"/>
                <w:sz w:val="16"/>
                <w:szCs w:val="16"/>
                <w:b w:val="1"/>
                <w:bCs w:val="1"/>
                <w:color w:val="auto"/>
              </w:rPr>
            </w:pPr>
            <w:hyperlink w:anchor="page47">
              <w:r>
                <w:rPr>
                  <w:rFonts w:ascii="Arial" w:cs="Arial" w:eastAsia="Arial" w:hAnsi="Arial"/>
                  <w:sz w:val="16"/>
                  <w:szCs w:val="16"/>
                  <w:b w:val="1"/>
                  <w:bCs w:val="1"/>
                  <w:color w:val="auto"/>
                </w:rPr>
                <w:t>PROPOSAL NO. 1</w:t>
              </w:r>
            </w:hyperlink>
          </w:p>
        </w:tc>
        <w:tc>
          <w:tcPr>
            <w:tcW w:w="260" w:type="dxa"/>
            <w:vAlign w:val="bottom"/>
          </w:tcPr>
          <w:p>
            <w:pPr>
              <w:spacing w:after="0"/>
              <w:rPr>
                <w:sz w:val="24"/>
                <w:szCs w:val="24"/>
                <w:color w:val="auto"/>
              </w:rPr>
            </w:pPr>
          </w:p>
        </w:tc>
      </w:tr>
      <w:tr>
        <w:trPr>
          <w:trHeight w:val="275"/>
        </w:trPr>
        <w:tc>
          <w:tcPr>
            <w:tcW w:w="4600" w:type="dxa"/>
            <w:vAlign w:val="bottom"/>
            <w:tcBorders>
              <w:bottom w:val="single" w:sz="8" w:color="215AA8"/>
            </w:tcBorders>
          </w:tcPr>
          <w:p>
            <w:pPr>
              <w:spacing w:after="0"/>
              <w:rPr>
                <w:rFonts w:ascii="Arial" w:cs="Arial" w:eastAsia="Arial" w:hAnsi="Arial"/>
                <w:sz w:val="22"/>
                <w:szCs w:val="22"/>
                <w:b w:val="1"/>
                <w:bCs w:val="1"/>
                <w:color w:val="D60058"/>
              </w:rPr>
            </w:pPr>
            <w:hyperlink w:anchor="page47">
              <w:r>
                <w:rPr>
                  <w:rFonts w:ascii="Arial" w:cs="Arial" w:eastAsia="Arial" w:hAnsi="Arial"/>
                  <w:sz w:val="22"/>
                  <w:szCs w:val="22"/>
                  <w:b w:val="1"/>
                  <w:bCs w:val="1"/>
                  <w:color w:val="D60058"/>
                </w:rPr>
                <w:t>ELECTION OF DIRECTORS</w:t>
              </w:r>
            </w:hyperlink>
          </w:p>
        </w:tc>
        <w:tc>
          <w:tcPr>
            <w:tcW w:w="260" w:type="dxa"/>
            <w:vAlign w:val="bottom"/>
            <w:tcBorders>
              <w:bottom w:val="single" w:sz="8" w:color="215AA8"/>
            </w:tcBorders>
          </w:tcPr>
          <w:p>
            <w:pPr>
              <w:jc w:val="right"/>
              <w:spacing w:after="0"/>
              <w:rPr>
                <w:sz w:val="20"/>
                <w:szCs w:val="20"/>
                <w:color w:val="auto"/>
              </w:rPr>
            </w:pPr>
            <w:r>
              <w:rPr>
                <w:rFonts w:ascii="Arial" w:cs="Arial" w:eastAsia="Arial" w:hAnsi="Arial"/>
                <w:sz w:val="22"/>
                <w:szCs w:val="22"/>
                <w:b w:val="1"/>
                <w:bCs w:val="1"/>
                <w:color w:val="D60058"/>
                <w:w w:val="97"/>
              </w:rPr>
              <w:t>32</w:t>
            </w:r>
          </w:p>
        </w:tc>
      </w:tr>
      <w:tr>
        <w:trPr>
          <w:trHeight w:val="379"/>
        </w:trPr>
        <w:tc>
          <w:tcPr>
            <w:tcW w:w="4600" w:type="dxa"/>
            <w:vAlign w:val="bottom"/>
          </w:tcPr>
          <w:p>
            <w:pPr>
              <w:spacing w:after="0"/>
              <w:rPr>
                <w:rFonts w:ascii="Arial" w:cs="Arial" w:eastAsia="Arial" w:hAnsi="Arial"/>
                <w:sz w:val="16"/>
                <w:szCs w:val="16"/>
                <w:b w:val="1"/>
                <w:bCs w:val="1"/>
                <w:color w:val="215BA8"/>
              </w:rPr>
            </w:pPr>
            <w:hyperlink w:anchor="page48">
              <w:r>
                <w:rPr>
                  <w:rFonts w:ascii="Arial" w:cs="Arial" w:eastAsia="Arial" w:hAnsi="Arial"/>
                  <w:sz w:val="16"/>
                  <w:szCs w:val="16"/>
                  <w:b w:val="1"/>
                  <w:bCs w:val="1"/>
                  <w:color w:val="215BA8"/>
                </w:rPr>
                <w:t>The Company</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215BA8"/>
              </w:rPr>
              <w:t>33</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48">
              <w:r>
                <w:rPr>
                  <w:rFonts w:ascii="Arial" w:cs="Arial" w:eastAsia="Arial" w:hAnsi="Arial"/>
                  <w:sz w:val="16"/>
                  <w:szCs w:val="16"/>
                  <w:b w:val="1"/>
                  <w:bCs w:val="1"/>
                  <w:color w:val="auto"/>
                </w:rPr>
                <w:t>Executive Officers of the Company</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270"/>
        </w:trPr>
        <w:tc>
          <w:tcPr>
            <w:tcW w:w="4600" w:type="dxa"/>
            <w:vAlign w:val="bottom"/>
          </w:tcPr>
          <w:p>
            <w:pPr>
              <w:spacing w:after="0"/>
              <w:rPr>
                <w:rFonts w:ascii="Arial" w:cs="Arial" w:eastAsia="Arial" w:hAnsi="Arial"/>
                <w:sz w:val="16"/>
                <w:szCs w:val="16"/>
                <w:b w:val="1"/>
                <w:bCs w:val="1"/>
                <w:color w:val="auto"/>
              </w:rPr>
            </w:pPr>
            <w:hyperlink w:anchor="page50">
              <w:r>
                <w:rPr>
                  <w:rFonts w:ascii="Arial" w:cs="Arial" w:eastAsia="Arial" w:hAnsi="Arial"/>
                  <w:sz w:val="16"/>
                  <w:szCs w:val="16"/>
                  <w:b w:val="1"/>
                  <w:bCs w:val="1"/>
                  <w:color w:val="auto"/>
                </w:rPr>
                <w:t>Corporate Governance</w:t>
              </w:r>
            </w:hyperlink>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270"/>
        </w:trPr>
        <w:tc>
          <w:tcPr>
            <w:tcW w:w="4600" w:type="dxa"/>
            <w:vAlign w:val="bottom"/>
          </w:tcPr>
          <w:p>
            <w:pPr>
              <w:ind w:left="180"/>
              <w:spacing w:after="0"/>
              <w:rPr>
                <w:rFonts w:ascii="Arial" w:cs="Arial" w:eastAsia="Arial" w:hAnsi="Arial"/>
                <w:sz w:val="16"/>
                <w:szCs w:val="16"/>
                <w:color w:val="auto"/>
              </w:rPr>
            </w:pPr>
            <w:hyperlink w:anchor="page50">
              <w:r>
                <w:rPr>
                  <w:rFonts w:ascii="Arial" w:cs="Arial" w:eastAsia="Arial" w:hAnsi="Arial"/>
                  <w:sz w:val="16"/>
                  <w:szCs w:val="16"/>
                  <w:color w:val="auto"/>
                </w:rPr>
                <w:t>Overview</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600" w:type="dxa"/>
            <w:vAlign w:val="bottom"/>
          </w:tcPr>
          <w:p>
            <w:pPr>
              <w:ind w:left="180"/>
              <w:spacing w:after="0"/>
              <w:rPr>
                <w:rFonts w:ascii="Arial" w:cs="Arial" w:eastAsia="Arial" w:hAnsi="Arial"/>
                <w:sz w:val="16"/>
                <w:szCs w:val="16"/>
                <w:color w:val="auto"/>
              </w:rPr>
            </w:pPr>
            <w:hyperlink w:anchor="page50">
              <w:r>
                <w:rPr>
                  <w:rFonts w:ascii="Arial" w:cs="Arial" w:eastAsia="Arial" w:hAnsi="Arial"/>
                  <w:sz w:val="16"/>
                  <w:szCs w:val="16"/>
                  <w:color w:val="auto"/>
                </w:rPr>
                <w:t>Code of Ethics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4600" w:type="dxa"/>
            <w:vAlign w:val="bottom"/>
          </w:tcPr>
          <w:p>
            <w:pPr>
              <w:ind w:left="180"/>
              <w:spacing w:after="0"/>
              <w:rPr>
                <w:rFonts w:ascii="Arial" w:cs="Arial" w:eastAsia="Arial" w:hAnsi="Arial"/>
                <w:sz w:val="16"/>
                <w:szCs w:val="16"/>
                <w:color w:val="auto"/>
              </w:rPr>
            </w:pPr>
            <w:hyperlink w:anchor="page51">
              <w:r>
                <w:rPr>
                  <w:rFonts w:ascii="Arial" w:cs="Arial" w:eastAsia="Arial" w:hAnsi="Arial"/>
                  <w:sz w:val="16"/>
                  <w:szCs w:val="16"/>
                  <w:color w:val="auto"/>
                </w:rPr>
                <w:t>Succession Planning and Talent Development Process</w:t>
              </w:r>
            </w:hyperlink>
          </w:p>
        </w:tc>
        <w:tc>
          <w:tcPr>
            <w:tcW w:w="26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ind w:left="180"/>
              <w:spacing w:after="0"/>
              <w:rPr>
                <w:rFonts w:ascii="Arial" w:cs="Arial" w:eastAsia="Arial" w:hAnsi="Arial"/>
                <w:sz w:val="16"/>
                <w:szCs w:val="16"/>
                <w:color w:val="auto"/>
              </w:rPr>
            </w:pPr>
            <w:hyperlink w:anchor="page51">
              <w:r>
                <w:rPr>
                  <w:rFonts w:ascii="Arial" w:cs="Arial" w:eastAsia="Arial" w:hAnsi="Arial"/>
                  <w:sz w:val="16"/>
                  <w:szCs w:val="16"/>
                  <w:color w:val="auto"/>
                </w:rPr>
                <w:t>Corporate Responsibility</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70"/>
        </w:trPr>
        <w:tc>
          <w:tcPr>
            <w:tcW w:w="4620" w:type="dxa"/>
            <w:vAlign w:val="bottom"/>
          </w:tcPr>
          <w:p>
            <w:pPr>
              <w:ind w:left="180"/>
              <w:spacing w:after="0"/>
              <w:rPr>
                <w:rFonts w:ascii="Arial" w:cs="Arial" w:eastAsia="Arial" w:hAnsi="Arial"/>
                <w:sz w:val="16"/>
                <w:szCs w:val="16"/>
                <w:color w:val="auto"/>
              </w:rPr>
            </w:pPr>
            <w:hyperlink w:anchor="page54">
              <w:r>
                <w:rPr>
                  <w:rFonts w:ascii="Arial" w:cs="Arial" w:eastAsia="Arial" w:hAnsi="Arial"/>
                  <w:sz w:val="16"/>
                  <w:szCs w:val="16"/>
                  <w:color w:val="auto"/>
                </w:rPr>
                <w:t>Public Policy Engagement</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620" w:type="dxa"/>
            <w:vAlign w:val="bottom"/>
          </w:tcPr>
          <w:p>
            <w:pPr>
              <w:ind w:left="180"/>
              <w:spacing w:after="0"/>
              <w:rPr>
                <w:rFonts w:ascii="Arial" w:cs="Arial" w:eastAsia="Arial" w:hAnsi="Arial"/>
                <w:sz w:val="16"/>
                <w:szCs w:val="16"/>
                <w:color w:val="auto"/>
              </w:rPr>
            </w:pPr>
            <w:hyperlink w:anchor="page54">
              <w:r>
                <w:rPr>
                  <w:rFonts w:ascii="Arial" w:cs="Arial" w:eastAsia="Arial" w:hAnsi="Arial"/>
                  <w:sz w:val="16"/>
                  <w:szCs w:val="16"/>
                  <w:color w:val="auto"/>
                </w:rPr>
                <w:t>Stock Ownership Guidelines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620" w:type="dxa"/>
            <w:vAlign w:val="bottom"/>
          </w:tcPr>
          <w:p>
            <w:pPr>
              <w:spacing w:after="0"/>
              <w:rPr>
                <w:rFonts w:ascii="Arial" w:cs="Arial" w:eastAsia="Arial" w:hAnsi="Arial"/>
                <w:sz w:val="16"/>
                <w:szCs w:val="16"/>
                <w:b w:val="1"/>
                <w:bCs w:val="1"/>
                <w:color w:val="auto"/>
              </w:rPr>
            </w:pPr>
            <w:hyperlink w:anchor="page55">
              <w:r>
                <w:rPr>
                  <w:rFonts w:ascii="Arial" w:cs="Arial" w:eastAsia="Arial" w:hAnsi="Arial"/>
                  <w:sz w:val="16"/>
                  <w:szCs w:val="16"/>
                  <w:b w:val="1"/>
                  <w:bCs w:val="1"/>
                  <w:color w:val="auto"/>
                </w:rPr>
                <w:t>Delinquent Section 16(a) Reports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40</w:t>
            </w:r>
          </w:p>
        </w:tc>
      </w:tr>
      <w:tr>
        <w:trPr>
          <w:trHeight w:val="270"/>
        </w:trPr>
        <w:tc>
          <w:tcPr>
            <w:tcW w:w="4620" w:type="dxa"/>
            <w:vAlign w:val="bottom"/>
          </w:tcPr>
          <w:p>
            <w:pPr>
              <w:spacing w:after="0"/>
              <w:rPr>
                <w:rFonts w:ascii="Arial" w:cs="Arial" w:eastAsia="Arial" w:hAnsi="Arial"/>
                <w:sz w:val="16"/>
                <w:szCs w:val="16"/>
                <w:b w:val="1"/>
                <w:bCs w:val="1"/>
                <w:color w:val="auto"/>
              </w:rPr>
            </w:pPr>
            <w:hyperlink w:anchor="page56">
              <w:r>
                <w:rPr>
                  <w:rFonts w:ascii="Arial" w:cs="Arial" w:eastAsia="Arial" w:hAnsi="Arial"/>
                  <w:sz w:val="16"/>
                  <w:szCs w:val="16"/>
                  <w:b w:val="1"/>
                  <w:bCs w:val="1"/>
                  <w:color w:val="auto"/>
                </w:rPr>
                <w:t>Certain Relationships and Related Transactions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r>
        <w:trPr>
          <w:trHeight w:val="264"/>
        </w:trPr>
        <w:tc>
          <w:tcPr>
            <w:tcW w:w="4620" w:type="dxa"/>
            <w:vAlign w:val="bottom"/>
          </w:tcPr>
          <w:p>
            <w:pPr>
              <w:ind w:left="180"/>
              <w:spacing w:after="0"/>
              <w:rPr>
                <w:rFonts w:ascii="Arial" w:cs="Arial" w:eastAsia="Arial" w:hAnsi="Arial"/>
                <w:sz w:val="16"/>
                <w:szCs w:val="16"/>
                <w:color w:val="auto"/>
              </w:rPr>
            </w:pPr>
            <w:hyperlink w:anchor="page56">
              <w:r>
                <w:rPr>
                  <w:rFonts w:ascii="Arial" w:cs="Arial" w:eastAsia="Arial" w:hAnsi="Arial"/>
                  <w:sz w:val="16"/>
                  <w:szCs w:val="16"/>
                  <w:color w:val="auto"/>
                </w:rPr>
                <w:t>Review, Approval, or Ratification of Transactions with Related</w:t>
              </w:r>
            </w:hyperlink>
          </w:p>
        </w:tc>
        <w:tc>
          <w:tcPr>
            <w:tcW w:w="240" w:type="dxa"/>
            <w:vAlign w:val="bottom"/>
          </w:tcPr>
          <w:p>
            <w:pPr>
              <w:spacing w:after="0"/>
              <w:rPr>
                <w:sz w:val="22"/>
                <w:szCs w:val="22"/>
                <w:color w:val="auto"/>
              </w:rPr>
            </w:pPr>
          </w:p>
        </w:tc>
      </w:tr>
      <w:tr>
        <w:trPr>
          <w:trHeight w:val="195"/>
        </w:trPr>
        <w:tc>
          <w:tcPr>
            <w:tcW w:w="4620" w:type="dxa"/>
            <w:vAlign w:val="bottom"/>
          </w:tcPr>
          <w:p>
            <w:pPr>
              <w:ind w:left="180"/>
              <w:spacing w:after="0"/>
              <w:rPr>
                <w:rFonts w:ascii="Arial" w:cs="Arial" w:eastAsia="Arial" w:hAnsi="Arial"/>
                <w:sz w:val="16"/>
                <w:szCs w:val="16"/>
                <w:color w:val="auto"/>
              </w:rPr>
            </w:pPr>
            <w:hyperlink w:anchor="page56">
              <w:r>
                <w:rPr>
                  <w:rFonts w:ascii="Arial" w:cs="Arial" w:eastAsia="Arial" w:hAnsi="Arial"/>
                  <w:sz w:val="16"/>
                  <w:szCs w:val="16"/>
                  <w:color w:val="auto"/>
                </w:rPr>
                <w:t>Persons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4620" w:type="dxa"/>
            <w:vAlign w:val="bottom"/>
          </w:tcPr>
          <w:p>
            <w:pPr>
              <w:ind w:left="180"/>
              <w:spacing w:after="0"/>
              <w:rPr>
                <w:rFonts w:ascii="Arial" w:cs="Arial" w:eastAsia="Arial" w:hAnsi="Arial"/>
                <w:sz w:val="16"/>
                <w:szCs w:val="16"/>
                <w:color w:val="auto"/>
              </w:rPr>
            </w:pPr>
            <w:hyperlink w:anchor="page56">
              <w:r>
                <w:rPr>
                  <w:rFonts w:ascii="Arial" w:cs="Arial" w:eastAsia="Arial" w:hAnsi="Arial"/>
                  <w:sz w:val="16"/>
                  <w:szCs w:val="16"/>
                  <w:color w:val="auto"/>
                </w:rPr>
                <w:t>Transactions with Related Persons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70"/>
        </w:trPr>
        <w:tc>
          <w:tcPr>
            <w:tcW w:w="4620" w:type="dxa"/>
            <w:vAlign w:val="bottom"/>
          </w:tcPr>
          <w:p>
            <w:pPr>
              <w:ind w:left="180"/>
              <w:spacing w:after="0"/>
              <w:rPr>
                <w:rFonts w:ascii="Arial" w:cs="Arial" w:eastAsia="Arial" w:hAnsi="Arial"/>
                <w:sz w:val="16"/>
                <w:szCs w:val="16"/>
                <w:color w:val="auto"/>
              </w:rPr>
            </w:pPr>
            <w:hyperlink w:anchor="page57">
              <w:r>
                <w:rPr>
                  <w:rFonts w:ascii="Arial" w:cs="Arial" w:eastAsia="Arial" w:hAnsi="Arial"/>
                  <w:sz w:val="16"/>
                  <w:szCs w:val="16"/>
                  <w:color w:val="auto"/>
                </w:rPr>
                <w:t>Other</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70"/>
        </w:trPr>
        <w:tc>
          <w:tcPr>
            <w:tcW w:w="4620" w:type="dxa"/>
            <w:vAlign w:val="bottom"/>
          </w:tcPr>
          <w:p>
            <w:pPr>
              <w:spacing w:after="0"/>
              <w:rPr>
                <w:rFonts w:ascii="Arial" w:cs="Arial" w:eastAsia="Arial" w:hAnsi="Arial"/>
                <w:sz w:val="16"/>
                <w:szCs w:val="16"/>
                <w:b w:val="1"/>
                <w:bCs w:val="1"/>
                <w:color w:val="auto"/>
              </w:rPr>
            </w:pPr>
            <w:hyperlink w:anchor="page58">
              <w:r>
                <w:rPr>
                  <w:rFonts w:ascii="Arial" w:cs="Arial" w:eastAsia="Arial" w:hAnsi="Arial"/>
                  <w:sz w:val="16"/>
                  <w:szCs w:val="16"/>
                  <w:b w:val="1"/>
                  <w:bCs w:val="1"/>
                  <w:color w:val="auto"/>
                </w:rPr>
                <w:t>Audit Matters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270"/>
        </w:trPr>
        <w:tc>
          <w:tcPr>
            <w:tcW w:w="4620" w:type="dxa"/>
            <w:vAlign w:val="bottom"/>
          </w:tcPr>
          <w:p>
            <w:pPr>
              <w:ind w:left="180"/>
              <w:spacing w:after="0"/>
              <w:rPr>
                <w:rFonts w:ascii="Arial" w:cs="Arial" w:eastAsia="Arial" w:hAnsi="Arial"/>
                <w:sz w:val="16"/>
                <w:szCs w:val="16"/>
                <w:color w:val="auto"/>
              </w:rPr>
            </w:pPr>
            <w:hyperlink w:anchor="page58">
              <w:r>
                <w:rPr>
                  <w:rFonts w:ascii="Arial" w:cs="Arial" w:eastAsia="Arial" w:hAnsi="Arial"/>
                  <w:sz w:val="16"/>
                  <w:szCs w:val="16"/>
                  <w:color w:val="auto"/>
                </w:rPr>
                <w:t>Introduction</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64"/>
        </w:trPr>
        <w:tc>
          <w:tcPr>
            <w:tcW w:w="4620" w:type="dxa"/>
            <w:vAlign w:val="bottom"/>
          </w:tcPr>
          <w:p>
            <w:pPr>
              <w:ind w:left="180"/>
              <w:spacing w:after="0"/>
              <w:rPr>
                <w:rFonts w:ascii="Arial" w:cs="Arial" w:eastAsia="Arial" w:hAnsi="Arial"/>
                <w:sz w:val="16"/>
                <w:szCs w:val="16"/>
                <w:color w:val="auto"/>
              </w:rPr>
            </w:pPr>
            <w:hyperlink w:anchor="page58">
              <w:r>
                <w:rPr>
                  <w:rFonts w:ascii="Arial" w:cs="Arial" w:eastAsia="Arial" w:hAnsi="Arial"/>
                  <w:sz w:val="16"/>
                  <w:szCs w:val="16"/>
                  <w:color w:val="auto"/>
                </w:rPr>
                <w:t>Information about Fees Paid to Independent Registered</w:t>
              </w:r>
            </w:hyperlink>
          </w:p>
        </w:tc>
        <w:tc>
          <w:tcPr>
            <w:tcW w:w="240" w:type="dxa"/>
            <w:vAlign w:val="bottom"/>
          </w:tcPr>
          <w:p>
            <w:pPr>
              <w:spacing w:after="0"/>
              <w:rPr>
                <w:sz w:val="22"/>
                <w:szCs w:val="22"/>
                <w:color w:val="auto"/>
              </w:rPr>
            </w:pPr>
          </w:p>
        </w:tc>
      </w:tr>
      <w:tr>
        <w:trPr>
          <w:trHeight w:val="195"/>
        </w:trPr>
        <w:tc>
          <w:tcPr>
            <w:tcW w:w="4620" w:type="dxa"/>
            <w:vAlign w:val="bottom"/>
          </w:tcPr>
          <w:p>
            <w:pPr>
              <w:ind w:left="180"/>
              <w:spacing w:after="0"/>
              <w:rPr>
                <w:rFonts w:ascii="Arial" w:cs="Arial" w:eastAsia="Arial" w:hAnsi="Arial"/>
                <w:sz w:val="16"/>
                <w:szCs w:val="16"/>
                <w:color w:val="auto"/>
              </w:rPr>
            </w:pPr>
            <w:hyperlink w:anchor="page58">
              <w:r>
                <w:rPr>
                  <w:rFonts w:ascii="Arial" w:cs="Arial" w:eastAsia="Arial" w:hAnsi="Arial"/>
                  <w:sz w:val="16"/>
                  <w:szCs w:val="16"/>
                  <w:color w:val="auto"/>
                </w:rPr>
                <w:t>Public Accounting Firm</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620" w:type="dxa"/>
            <w:vAlign w:val="bottom"/>
          </w:tcPr>
          <w:p>
            <w:pPr>
              <w:ind w:left="180"/>
              <w:spacing w:after="0"/>
              <w:rPr>
                <w:rFonts w:ascii="Arial" w:cs="Arial" w:eastAsia="Arial" w:hAnsi="Arial"/>
                <w:sz w:val="16"/>
                <w:szCs w:val="16"/>
                <w:color w:val="auto"/>
              </w:rPr>
            </w:pPr>
            <w:hyperlink w:anchor="page59">
              <w:r>
                <w:rPr>
                  <w:rFonts w:ascii="Arial" w:cs="Arial" w:eastAsia="Arial" w:hAnsi="Arial"/>
                  <w:sz w:val="16"/>
                  <w:szCs w:val="16"/>
                  <w:color w:val="auto"/>
                </w:rPr>
                <w:t>Audit Committee Report</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8"/>
        </w:trPr>
        <w:tc>
          <w:tcPr>
            <w:tcW w:w="4620" w:type="dxa"/>
            <w:vAlign w:val="bottom"/>
          </w:tcPr>
          <w:p>
            <w:pPr>
              <w:spacing w:after="0"/>
              <w:rPr>
                <w:rFonts w:ascii="Arial" w:cs="Arial" w:eastAsia="Arial" w:hAnsi="Arial"/>
                <w:sz w:val="16"/>
                <w:szCs w:val="16"/>
                <w:b w:val="1"/>
                <w:bCs w:val="1"/>
                <w:color w:val="auto"/>
              </w:rPr>
            </w:pPr>
            <w:hyperlink w:anchor="page60">
              <w:r>
                <w:rPr>
                  <w:rFonts w:ascii="Arial" w:cs="Arial" w:eastAsia="Arial" w:hAnsi="Arial"/>
                  <w:sz w:val="16"/>
                  <w:szCs w:val="16"/>
                  <w:b w:val="1"/>
                  <w:bCs w:val="1"/>
                  <w:color w:val="auto"/>
                </w:rPr>
                <w:t>PROPOSAL NO. 2</w:t>
              </w:r>
            </w:hyperlink>
          </w:p>
        </w:tc>
        <w:tc>
          <w:tcPr>
            <w:tcW w:w="240" w:type="dxa"/>
            <w:vAlign w:val="bottom"/>
          </w:tcPr>
          <w:p>
            <w:pPr>
              <w:spacing w:after="0"/>
              <w:rPr>
                <w:sz w:val="24"/>
                <w:szCs w:val="24"/>
                <w:color w:val="auto"/>
              </w:rPr>
            </w:pPr>
          </w:p>
        </w:tc>
      </w:tr>
      <w:tr>
        <w:trPr>
          <w:trHeight w:val="243"/>
        </w:trPr>
        <w:tc>
          <w:tcPr>
            <w:tcW w:w="4620" w:type="dxa"/>
            <w:vAlign w:val="bottom"/>
          </w:tcPr>
          <w:p>
            <w:pPr>
              <w:spacing w:after="0" w:line="243" w:lineRule="exact"/>
              <w:rPr>
                <w:rFonts w:ascii="Arial" w:cs="Arial" w:eastAsia="Arial" w:hAnsi="Arial"/>
                <w:sz w:val="22"/>
                <w:szCs w:val="22"/>
                <w:b w:val="1"/>
                <w:bCs w:val="1"/>
                <w:color w:val="D60058"/>
              </w:rPr>
            </w:pPr>
            <w:hyperlink w:anchor="page60">
              <w:r>
                <w:rPr>
                  <w:rFonts w:ascii="Arial" w:cs="Arial" w:eastAsia="Arial" w:hAnsi="Arial"/>
                  <w:sz w:val="22"/>
                  <w:szCs w:val="22"/>
                  <w:b w:val="1"/>
                  <w:bCs w:val="1"/>
                  <w:color w:val="D60058"/>
                </w:rPr>
                <w:t>RATIFICATION OF APPOINTMENT OF</w:t>
              </w:r>
            </w:hyperlink>
          </w:p>
        </w:tc>
        <w:tc>
          <w:tcPr>
            <w:tcW w:w="240" w:type="dxa"/>
            <w:vAlign w:val="bottom"/>
          </w:tcPr>
          <w:p>
            <w:pPr>
              <w:spacing w:after="0"/>
              <w:rPr>
                <w:sz w:val="21"/>
                <w:szCs w:val="21"/>
                <w:color w:val="auto"/>
              </w:rPr>
            </w:pPr>
          </w:p>
        </w:tc>
      </w:tr>
      <w:tr>
        <w:trPr>
          <w:trHeight w:val="243"/>
        </w:trPr>
        <w:tc>
          <w:tcPr>
            <w:tcW w:w="4620" w:type="dxa"/>
            <w:vAlign w:val="bottom"/>
          </w:tcPr>
          <w:p>
            <w:pPr>
              <w:spacing w:after="0" w:line="243" w:lineRule="exact"/>
              <w:rPr>
                <w:rFonts w:ascii="Arial" w:cs="Arial" w:eastAsia="Arial" w:hAnsi="Arial"/>
                <w:sz w:val="22"/>
                <w:szCs w:val="22"/>
                <w:b w:val="1"/>
                <w:bCs w:val="1"/>
                <w:color w:val="D60058"/>
              </w:rPr>
            </w:pPr>
            <w:hyperlink w:anchor="page60">
              <w:r>
                <w:rPr>
                  <w:rFonts w:ascii="Arial" w:cs="Arial" w:eastAsia="Arial" w:hAnsi="Arial"/>
                  <w:sz w:val="22"/>
                  <w:szCs w:val="22"/>
                  <w:b w:val="1"/>
                  <w:bCs w:val="1"/>
                  <w:color w:val="D60058"/>
                </w:rPr>
                <w:t>INDEPENDENT REGISTERED PUBLIC</w:t>
              </w:r>
            </w:hyperlink>
          </w:p>
        </w:tc>
        <w:tc>
          <w:tcPr>
            <w:tcW w:w="240" w:type="dxa"/>
            <w:vAlign w:val="bottom"/>
          </w:tcPr>
          <w:p>
            <w:pPr>
              <w:spacing w:after="0"/>
              <w:rPr>
                <w:sz w:val="21"/>
                <w:szCs w:val="21"/>
                <w:color w:val="auto"/>
              </w:rPr>
            </w:pPr>
          </w:p>
        </w:tc>
      </w:tr>
      <w:tr>
        <w:trPr>
          <w:trHeight w:val="275"/>
        </w:trPr>
        <w:tc>
          <w:tcPr>
            <w:tcW w:w="4620" w:type="dxa"/>
            <w:vAlign w:val="bottom"/>
            <w:tcBorders>
              <w:bottom w:val="single" w:sz="8" w:color="215AA8"/>
            </w:tcBorders>
          </w:tcPr>
          <w:p>
            <w:pPr>
              <w:spacing w:after="0"/>
              <w:rPr>
                <w:rFonts w:ascii="Arial" w:cs="Arial" w:eastAsia="Arial" w:hAnsi="Arial"/>
                <w:sz w:val="22"/>
                <w:szCs w:val="22"/>
                <w:b w:val="1"/>
                <w:bCs w:val="1"/>
                <w:color w:val="D60058"/>
              </w:rPr>
            </w:pPr>
            <w:hyperlink w:anchor="page60">
              <w:r>
                <w:rPr>
                  <w:rFonts w:ascii="Arial" w:cs="Arial" w:eastAsia="Arial" w:hAnsi="Arial"/>
                  <w:sz w:val="22"/>
                  <w:szCs w:val="22"/>
                  <w:b w:val="1"/>
                  <w:bCs w:val="1"/>
                  <w:color w:val="D60058"/>
                </w:rPr>
                <w:t>ACCOUNTING FIRM</w:t>
              </w:r>
            </w:hyperlink>
          </w:p>
        </w:tc>
        <w:tc>
          <w:tcPr>
            <w:tcW w:w="240" w:type="dxa"/>
            <w:vAlign w:val="bottom"/>
            <w:tcBorders>
              <w:bottom w:val="single" w:sz="8" w:color="215AA8"/>
            </w:tcBorders>
          </w:tcPr>
          <w:p>
            <w:pPr>
              <w:jc w:val="right"/>
              <w:spacing w:after="0"/>
              <w:rPr>
                <w:sz w:val="20"/>
                <w:szCs w:val="20"/>
                <w:color w:val="auto"/>
              </w:rPr>
            </w:pPr>
            <w:r>
              <w:rPr>
                <w:rFonts w:ascii="Arial" w:cs="Arial" w:eastAsia="Arial" w:hAnsi="Arial"/>
                <w:sz w:val="22"/>
                <w:szCs w:val="22"/>
                <w:b w:val="1"/>
                <w:bCs w:val="1"/>
                <w:color w:val="D60058"/>
                <w:w w:val="89"/>
              </w:rPr>
              <w:t>45</w:t>
            </w:r>
          </w:p>
        </w:tc>
      </w:tr>
      <w:tr>
        <w:trPr>
          <w:trHeight w:val="379"/>
        </w:trPr>
        <w:tc>
          <w:tcPr>
            <w:tcW w:w="4620" w:type="dxa"/>
            <w:vAlign w:val="bottom"/>
          </w:tcPr>
          <w:p>
            <w:pPr>
              <w:spacing w:after="0"/>
              <w:rPr>
                <w:rFonts w:ascii="Arial" w:cs="Arial" w:eastAsia="Arial" w:hAnsi="Arial"/>
                <w:sz w:val="16"/>
                <w:szCs w:val="16"/>
                <w:b w:val="1"/>
                <w:bCs w:val="1"/>
                <w:color w:val="215BA8"/>
              </w:rPr>
            </w:pPr>
            <w:hyperlink w:anchor="page61">
              <w:r>
                <w:rPr>
                  <w:rFonts w:ascii="Arial" w:cs="Arial" w:eastAsia="Arial" w:hAnsi="Arial"/>
                  <w:sz w:val="16"/>
                  <w:szCs w:val="16"/>
                  <w:b w:val="1"/>
                  <w:bCs w:val="1"/>
                  <w:color w:val="215BA8"/>
                </w:rPr>
                <w:t>Shareholders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215BA8"/>
              </w:rPr>
              <w:t>46</w:t>
            </w:r>
          </w:p>
        </w:tc>
      </w:tr>
      <w:tr>
        <w:trPr>
          <w:trHeight w:val="264"/>
        </w:trPr>
        <w:tc>
          <w:tcPr>
            <w:tcW w:w="4620" w:type="dxa"/>
            <w:vAlign w:val="bottom"/>
          </w:tcPr>
          <w:p>
            <w:pPr>
              <w:ind w:left="180"/>
              <w:spacing w:after="0"/>
              <w:rPr>
                <w:rFonts w:ascii="Arial" w:cs="Arial" w:eastAsia="Arial" w:hAnsi="Arial"/>
                <w:sz w:val="16"/>
                <w:szCs w:val="16"/>
                <w:color w:val="auto"/>
              </w:rPr>
            </w:pPr>
            <w:hyperlink w:anchor="page61">
              <w:r>
                <w:rPr>
                  <w:rFonts w:ascii="Arial" w:cs="Arial" w:eastAsia="Arial" w:hAnsi="Arial"/>
                  <w:sz w:val="16"/>
                  <w:szCs w:val="16"/>
                  <w:color w:val="auto"/>
                </w:rPr>
                <w:t>Security Ownership of Certain Beneficial Owners and</w:t>
              </w:r>
            </w:hyperlink>
          </w:p>
        </w:tc>
        <w:tc>
          <w:tcPr>
            <w:tcW w:w="240" w:type="dxa"/>
            <w:vAlign w:val="bottom"/>
          </w:tcPr>
          <w:p>
            <w:pPr>
              <w:spacing w:after="0"/>
              <w:rPr>
                <w:sz w:val="22"/>
                <w:szCs w:val="22"/>
                <w:color w:val="auto"/>
              </w:rPr>
            </w:pPr>
          </w:p>
        </w:tc>
      </w:tr>
      <w:tr>
        <w:trPr>
          <w:trHeight w:val="195"/>
        </w:trPr>
        <w:tc>
          <w:tcPr>
            <w:tcW w:w="4620" w:type="dxa"/>
            <w:vAlign w:val="bottom"/>
          </w:tcPr>
          <w:p>
            <w:pPr>
              <w:ind w:left="180"/>
              <w:spacing w:after="0"/>
              <w:rPr>
                <w:rFonts w:ascii="Arial" w:cs="Arial" w:eastAsia="Arial" w:hAnsi="Arial"/>
                <w:sz w:val="16"/>
                <w:szCs w:val="16"/>
                <w:color w:val="auto"/>
              </w:rPr>
            </w:pPr>
            <w:hyperlink w:anchor="page61">
              <w:r>
                <w:rPr>
                  <w:rFonts w:ascii="Arial" w:cs="Arial" w:eastAsia="Arial" w:hAnsi="Arial"/>
                  <w:sz w:val="16"/>
                  <w:szCs w:val="16"/>
                  <w:color w:val="auto"/>
                </w:rPr>
                <w:t>Management</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70"/>
        </w:trPr>
        <w:tc>
          <w:tcPr>
            <w:tcW w:w="4620" w:type="dxa"/>
            <w:vAlign w:val="bottom"/>
          </w:tcPr>
          <w:p>
            <w:pPr>
              <w:ind w:left="180"/>
              <w:spacing w:after="0"/>
              <w:rPr>
                <w:rFonts w:ascii="Arial" w:cs="Arial" w:eastAsia="Arial" w:hAnsi="Arial"/>
                <w:sz w:val="16"/>
                <w:szCs w:val="16"/>
                <w:color w:val="auto"/>
              </w:rPr>
            </w:pPr>
            <w:hyperlink w:anchor="page64">
              <w:r>
                <w:rPr>
                  <w:rFonts w:ascii="Arial" w:cs="Arial" w:eastAsia="Arial" w:hAnsi="Arial"/>
                  <w:sz w:val="16"/>
                  <w:szCs w:val="16"/>
                  <w:color w:val="auto"/>
                </w:rPr>
                <w:t>Shareholder Communications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4620" w:type="dxa"/>
            <w:vAlign w:val="bottom"/>
          </w:tcPr>
          <w:p>
            <w:pPr>
              <w:spacing w:after="0"/>
              <w:rPr>
                <w:rFonts w:ascii="Arial" w:cs="Arial" w:eastAsia="Arial" w:hAnsi="Arial"/>
                <w:sz w:val="16"/>
                <w:szCs w:val="16"/>
                <w:b w:val="1"/>
                <w:bCs w:val="1"/>
                <w:color w:val="215BA8"/>
              </w:rPr>
            </w:pPr>
            <w:hyperlink w:anchor="page65">
              <w:r>
                <w:rPr>
                  <w:rFonts w:ascii="Arial" w:cs="Arial" w:eastAsia="Arial" w:hAnsi="Arial"/>
                  <w:sz w:val="16"/>
                  <w:szCs w:val="16"/>
                  <w:b w:val="1"/>
                  <w:bCs w:val="1"/>
                  <w:color w:val="215BA8"/>
                </w:rPr>
                <w:t>Compensation-Related Matters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215BA8"/>
              </w:rPr>
              <w:t>50</w:t>
            </w:r>
          </w:p>
        </w:tc>
      </w:tr>
      <w:tr>
        <w:trPr>
          <w:trHeight w:val="270"/>
        </w:trPr>
        <w:tc>
          <w:tcPr>
            <w:tcW w:w="4620" w:type="dxa"/>
            <w:vAlign w:val="bottom"/>
          </w:tcPr>
          <w:p>
            <w:pPr>
              <w:spacing w:after="0"/>
              <w:rPr>
                <w:rFonts w:ascii="Arial" w:cs="Arial" w:eastAsia="Arial" w:hAnsi="Arial"/>
                <w:sz w:val="16"/>
                <w:szCs w:val="16"/>
                <w:b w:val="1"/>
                <w:bCs w:val="1"/>
                <w:color w:val="auto"/>
              </w:rPr>
            </w:pPr>
            <w:hyperlink w:anchor="page65">
              <w:r>
                <w:rPr>
                  <w:rFonts w:ascii="Arial" w:cs="Arial" w:eastAsia="Arial" w:hAnsi="Arial"/>
                  <w:sz w:val="16"/>
                  <w:szCs w:val="16"/>
                  <w:b w:val="1"/>
                  <w:bCs w:val="1"/>
                  <w:color w:val="auto"/>
                </w:rPr>
                <w:t>Table of Contents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270"/>
        </w:trPr>
        <w:tc>
          <w:tcPr>
            <w:tcW w:w="4620" w:type="dxa"/>
            <w:vAlign w:val="bottom"/>
          </w:tcPr>
          <w:p>
            <w:pPr>
              <w:spacing w:after="0"/>
              <w:rPr>
                <w:rFonts w:ascii="Arial" w:cs="Arial" w:eastAsia="Arial" w:hAnsi="Arial"/>
                <w:sz w:val="16"/>
                <w:szCs w:val="16"/>
                <w:b w:val="1"/>
                <w:bCs w:val="1"/>
                <w:color w:val="auto"/>
              </w:rPr>
            </w:pPr>
            <w:hyperlink w:anchor="page66">
              <w:r>
                <w:rPr>
                  <w:rFonts w:ascii="Arial" w:cs="Arial" w:eastAsia="Arial" w:hAnsi="Arial"/>
                  <w:sz w:val="16"/>
                  <w:szCs w:val="16"/>
                  <w:b w:val="1"/>
                  <w:bCs w:val="1"/>
                  <w:color w:val="auto"/>
                </w:rPr>
                <w:t>Introduction</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270"/>
        </w:trPr>
        <w:tc>
          <w:tcPr>
            <w:tcW w:w="4620" w:type="dxa"/>
            <w:vAlign w:val="bottom"/>
          </w:tcPr>
          <w:p>
            <w:pPr>
              <w:spacing w:after="0"/>
              <w:rPr>
                <w:rFonts w:ascii="Arial" w:cs="Arial" w:eastAsia="Arial" w:hAnsi="Arial"/>
                <w:sz w:val="16"/>
                <w:szCs w:val="16"/>
                <w:b w:val="1"/>
                <w:bCs w:val="1"/>
                <w:color w:val="auto"/>
              </w:rPr>
            </w:pPr>
            <w:hyperlink w:anchor="page67">
              <w:r>
                <w:rPr>
                  <w:rFonts w:ascii="Arial" w:cs="Arial" w:eastAsia="Arial" w:hAnsi="Arial"/>
                  <w:sz w:val="16"/>
                  <w:szCs w:val="16"/>
                  <w:b w:val="1"/>
                  <w:bCs w:val="1"/>
                  <w:color w:val="auto"/>
                </w:rPr>
                <w:t>Compensation Discussion and Analysis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270"/>
        </w:trPr>
        <w:tc>
          <w:tcPr>
            <w:tcW w:w="4620" w:type="dxa"/>
            <w:vAlign w:val="bottom"/>
          </w:tcPr>
          <w:p>
            <w:pPr>
              <w:spacing w:after="0"/>
              <w:rPr>
                <w:rFonts w:ascii="Arial" w:cs="Arial" w:eastAsia="Arial" w:hAnsi="Arial"/>
                <w:sz w:val="16"/>
                <w:szCs w:val="16"/>
                <w:b w:val="1"/>
                <w:bCs w:val="1"/>
                <w:color w:val="215BA8"/>
              </w:rPr>
            </w:pPr>
            <w:hyperlink w:anchor="page68">
              <w:r>
                <w:rPr>
                  <w:rFonts w:ascii="Arial" w:cs="Arial" w:eastAsia="Arial" w:hAnsi="Arial"/>
                  <w:sz w:val="16"/>
                  <w:szCs w:val="16"/>
                  <w:b w:val="1"/>
                  <w:bCs w:val="1"/>
                  <w:color w:val="215BA8"/>
                </w:rPr>
                <w:t>Executive Summary</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215BA8"/>
              </w:rPr>
              <w:t>53</w:t>
            </w:r>
          </w:p>
        </w:tc>
      </w:tr>
      <w:tr>
        <w:trPr>
          <w:trHeight w:val="270"/>
        </w:trPr>
        <w:tc>
          <w:tcPr>
            <w:tcW w:w="4620" w:type="dxa"/>
            <w:vAlign w:val="bottom"/>
          </w:tcPr>
          <w:p>
            <w:pPr>
              <w:spacing w:after="0"/>
              <w:rPr>
                <w:rFonts w:ascii="Arial" w:cs="Arial" w:eastAsia="Arial" w:hAnsi="Arial"/>
                <w:sz w:val="16"/>
                <w:szCs w:val="16"/>
                <w:b w:val="1"/>
                <w:bCs w:val="1"/>
                <w:color w:val="215BA8"/>
              </w:rPr>
            </w:pPr>
            <w:hyperlink w:anchor="page70">
              <w:r>
                <w:rPr>
                  <w:rFonts w:ascii="Arial" w:cs="Arial" w:eastAsia="Arial" w:hAnsi="Arial"/>
                  <w:sz w:val="16"/>
                  <w:szCs w:val="16"/>
                  <w:b w:val="1"/>
                  <w:bCs w:val="1"/>
                  <w:color w:val="215BA8"/>
                </w:rPr>
                <w:t>Compensation Program Overview</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215BA8"/>
              </w:rPr>
              <w:t>55</w:t>
            </w:r>
          </w:p>
        </w:tc>
      </w:tr>
      <w:tr>
        <w:trPr>
          <w:trHeight w:val="270"/>
        </w:trPr>
        <w:tc>
          <w:tcPr>
            <w:tcW w:w="4620" w:type="dxa"/>
            <w:vAlign w:val="bottom"/>
          </w:tcPr>
          <w:p>
            <w:pPr>
              <w:ind w:left="180"/>
              <w:spacing w:after="0"/>
              <w:rPr>
                <w:rFonts w:ascii="Arial" w:cs="Arial" w:eastAsia="Arial" w:hAnsi="Arial"/>
                <w:sz w:val="16"/>
                <w:szCs w:val="16"/>
                <w:color w:val="auto"/>
              </w:rPr>
            </w:pPr>
            <w:hyperlink w:anchor="page70">
              <w:r>
                <w:rPr>
                  <w:rFonts w:ascii="Arial" w:cs="Arial" w:eastAsia="Arial" w:hAnsi="Arial"/>
                  <w:sz w:val="16"/>
                  <w:szCs w:val="16"/>
                  <w:color w:val="auto"/>
                </w:rPr>
                <w:t>Our Corporate Culture and Pay Philosophy</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4620" w:type="dxa"/>
            <w:vAlign w:val="bottom"/>
          </w:tcPr>
          <w:p>
            <w:pPr>
              <w:ind w:left="180"/>
              <w:spacing w:after="0"/>
              <w:rPr>
                <w:rFonts w:ascii="Arial" w:cs="Arial" w:eastAsia="Arial" w:hAnsi="Arial"/>
                <w:sz w:val="16"/>
                <w:szCs w:val="16"/>
                <w:color w:val="auto"/>
              </w:rPr>
            </w:pPr>
            <w:hyperlink w:anchor="page71">
              <w:r>
                <w:rPr>
                  <w:rFonts w:ascii="Arial" w:cs="Arial" w:eastAsia="Arial" w:hAnsi="Arial"/>
                  <w:sz w:val="16"/>
                  <w:szCs w:val="16"/>
                  <w:color w:val="auto"/>
                </w:rPr>
                <w:t>2021 Business Highlights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70"/>
        </w:trPr>
        <w:tc>
          <w:tcPr>
            <w:tcW w:w="4620" w:type="dxa"/>
            <w:vAlign w:val="bottom"/>
          </w:tcPr>
          <w:p>
            <w:pPr>
              <w:ind w:left="180"/>
              <w:spacing w:after="0"/>
              <w:rPr>
                <w:rFonts w:ascii="Arial" w:cs="Arial" w:eastAsia="Arial" w:hAnsi="Arial"/>
                <w:sz w:val="16"/>
                <w:szCs w:val="16"/>
                <w:color w:val="auto"/>
              </w:rPr>
            </w:pPr>
            <w:hyperlink w:anchor="page72">
              <w:r>
                <w:rPr>
                  <w:rFonts w:ascii="Arial" w:cs="Arial" w:eastAsia="Arial" w:hAnsi="Arial"/>
                  <w:sz w:val="16"/>
                  <w:szCs w:val="16"/>
                  <w:color w:val="auto"/>
                </w:rPr>
                <w:t>2021 Compensation Highlights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70"/>
        </w:trPr>
        <w:tc>
          <w:tcPr>
            <w:tcW w:w="4620" w:type="dxa"/>
            <w:vAlign w:val="bottom"/>
          </w:tcPr>
          <w:p>
            <w:pPr>
              <w:ind w:left="180"/>
              <w:spacing w:after="0"/>
              <w:rPr>
                <w:rFonts w:ascii="Arial" w:cs="Arial" w:eastAsia="Arial" w:hAnsi="Arial"/>
                <w:sz w:val="16"/>
                <w:szCs w:val="16"/>
                <w:color w:val="auto"/>
              </w:rPr>
            </w:pPr>
            <w:hyperlink w:anchor="page73">
              <w:r>
                <w:rPr>
                  <w:rFonts w:ascii="Arial" w:cs="Arial" w:eastAsia="Arial" w:hAnsi="Arial"/>
                  <w:sz w:val="16"/>
                  <w:szCs w:val="16"/>
                  <w:color w:val="auto"/>
                </w:rPr>
                <w:t>Shareholder Engagement and Feedback</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70"/>
        </w:trPr>
        <w:tc>
          <w:tcPr>
            <w:tcW w:w="4620" w:type="dxa"/>
            <w:vAlign w:val="bottom"/>
          </w:tcPr>
          <w:p>
            <w:pPr>
              <w:ind w:left="180"/>
              <w:spacing w:after="0"/>
              <w:rPr>
                <w:rFonts w:ascii="Arial" w:cs="Arial" w:eastAsia="Arial" w:hAnsi="Arial"/>
                <w:sz w:val="16"/>
                <w:szCs w:val="16"/>
                <w:color w:val="auto"/>
              </w:rPr>
            </w:pPr>
            <w:hyperlink w:anchor="page74">
              <w:r>
                <w:rPr>
                  <w:rFonts w:ascii="Arial" w:cs="Arial" w:eastAsia="Arial" w:hAnsi="Arial"/>
                  <w:sz w:val="16"/>
                  <w:szCs w:val="16"/>
                  <w:color w:val="auto"/>
                </w:rPr>
                <w:t>How Our Pay Program Works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70"/>
        </w:trPr>
        <w:tc>
          <w:tcPr>
            <w:tcW w:w="4620" w:type="dxa"/>
            <w:vAlign w:val="bottom"/>
          </w:tcPr>
          <w:p>
            <w:pPr>
              <w:ind w:left="180"/>
              <w:spacing w:after="0"/>
              <w:rPr>
                <w:rFonts w:ascii="Arial" w:cs="Arial" w:eastAsia="Arial" w:hAnsi="Arial"/>
                <w:sz w:val="16"/>
                <w:szCs w:val="16"/>
                <w:color w:val="auto"/>
              </w:rPr>
            </w:pPr>
            <w:hyperlink w:anchor="page75">
              <w:r>
                <w:rPr>
                  <w:rFonts w:ascii="Arial" w:cs="Arial" w:eastAsia="Arial" w:hAnsi="Arial"/>
                  <w:sz w:val="16"/>
                  <w:szCs w:val="16"/>
                  <w:color w:val="auto"/>
                </w:rPr>
                <w:t>Key Governance Features</w:t>
              </w:r>
            </w:hyperlink>
          </w:p>
        </w:tc>
        <w:tc>
          <w:tcPr>
            <w:tcW w:w="2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4620" w:type="dxa"/>
            <w:vAlign w:val="bottom"/>
          </w:tcPr>
          <w:p>
            <w:pPr>
              <w:spacing w:after="0"/>
              <w:rPr>
                <w:rFonts w:ascii="Arial" w:cs="Arial" w:eastAsia="Arial" w:hAnsi="Arial"/>
                <w:sz w:val="16"/>
                <w:szCs w:val="16"/>
                <w:b w:val="1"/>
                <w:bCs w:val="1"/>
                <w:color w:val="215BA8"/>
              </w:rPr>
            </w:pPr>
            <w:hyperlink w:anchor="page76">
              <w:r>
                <w:rPr>
                  <w:rFonts w:ascii="Arial" w:cs="Arial" w:eastAsia="Arial" w:hAnsi="Arial"/>
                  <w:sz w:val="16"/>
                  <w:szCs w:val="16"/>
                  <w:b w:val="1"/>
                  <w:bCs w:val="1"/>
                  <w:color w:val="215BA8"/>
                </w:rPr>
                <w:t>Compensation Program Objectives</w:t>
              </w:r>
            </w:hyperlink>
          </w:p>
        </w:tc>
        <w:tc>
          <w:tcPr>
            <w:tcW w:w="240" w:type="dxa"/>
            <w:vAlign w:val="bottom"/>
          </w:tcPr>
          <w:p>
            <w:pPr>
              <w:jc w:val="right"/>
              <w:spacing w:after="0"/>
              <w:rPr>
                <w:sz w:val="20"/>
                <w:szCs w:val="20"/>
                <w:color w:val="auto"/>
              </w:rPr>
            </w:pPr>
            <w:r>
              <w:rPr>
                <w:rFonts w:ascii="Arial" w:cs="Arial" w:eastAsia="Arial" w:hAnsi="Arial"/>
                <w:sz w:val="16"/>
                <w:szCs w:val="16"/>
                <w:b w:val="1"/>
                <w:bCs w:val="1"/>
                <w:color w:val="215BA8"/>
              </w:rPr>
              <w:t>61</w:t>
            </w:r>
          </w:p>
        </w:tc>
      </w:tr>
    </w:tbl>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i</w:t>
      </w:r>
    </w:p>
    <w:p>
      <w:pPr>
        <w:sectPr>
          <w:pgSz w:w="11900" w:h="16838" w:orient="portrait"/>
          <w:cols w:equalWidth="0" w:num="2">
            <w:col w:w="5440" w:space="380"/>
            <w:col w:w="5420"/>
          </w:cols>
          <w:pgMar w:left="320" w:top="825" w:right="339" w:bottom="1440" w:gutter="0" w:footer="0" w:header="0"/>
        </w:sectPr>
      </w:pPr>
    </w:p>
    <w:bookmarkStart w:id="14" w:name="page15"/>
    <w:bookmarkEnd w:id="14"/>
    <w:p>
      <w:pPr>
        <w:ind w:left="540"/>
        <w:spacing w:after="0"/>
        <w:rPr>
          <w:sz w:val="20"/>
          <w:szCs w:val="20"/>
          <w:color w:val="auto"/>
        </w:rPr>
      </w:pPr>
      <w:r>
        <w:rPr>
          <w:rFonts w:ascii="Arial" w:cs="Arial" w:eastAsia="Arial" w:hAnsi="Arial"/>
          <w:sz w:val="39"/>
          <w:szCs w:val="39"/>
          <w:b w:val="1"/>
          <w:bCs w:val="1"/>
          <w:color w:val="215BA8"/>
        </w:rPr>
        <w:t>TABLE OF CONTENTS</w:t>
      </w:r>
    </w:p>
    <w:p>
      <w:pPr>
        <w:spacing w:after="0" w:line="200" w:lineRule="exact"/>
        <w:rPr>
          <w:sz w:val="20"/>
          <w:szCs w:val="20"/>
          <w:color w:val="auto"/>
        </w:rPr>
      </w:pPr>
    </w:p>
    <w:p>
      <w:pPr>
        <w:spacing w:after="0" w:line="336" w:lineRule="exact"/>
        <w:rPr>
          <w:sz w:val="20"/>
          <w:szCs w:val="20"/>
          <w:color w:val="auto"/>
        </w:rPr>
      </w:pPr>
    </w:p>
    <w:p>
      <w:pPr>
        <w:ind w:left="540"/>
        <w:spacing w:after="0"/>
        <w:rPr>
          <w:rFonts w:ascii="Arial" w:cs="Arial" w:eastAsia="Arial" w:hAnsi="Arial"/>
          <w:sz w:val="16"/>
          <w:szCs w:val="16"/>
          <w:b w:val="1"/>
          <w:bCs w:val="1"/>
          <w:color w:val="215BA8"/>
        </w:rPr>
      </w:pPr>
      <w:hyperlink w:anchor="page77">
        <w:r>
          <w:rPr>
            <w:rFonts w:ascii="Arial" w:cs="Arial" w:eastAsia="Arial" w:hAnsi="Arial"/>
            <w:sz w:val="16"/>
            <w:szCs w:val="16"/>
            <w:b w:val="1"/>
            <w:bCs w:val="1"/>
            <w:color w:val="215BA8"/>
          </w:rPr>
          <w:t>Components of Executive Pay:</w:t>
        </w:r>
      </w:hyperlink>
    </w:p>
    <w:p>
      <w:pPr>
        <w:spacing w:after="0" w:line="25" w:lineRule="exact"/>
        <w:rPr>
          <w:sz w:val="20"/>
          <w:szCs w:val="20"/>
          <w:color w:val="auto"/>
        </w:rPr>
      </w:pPr>
    </w:p>
    <w:p>
      <w:pPr>
        <w:ind w:left="540"/>
        <w:spacing w:after="0"/>
        <w:rPr>
          <w:rFonts w:ascii="Arial" w:cs="Arial" w:eastAsia="Arial" w:hAnsi="Arial"/>
          <w:sz w:val="16"/>
          <w:szCs w:val="16"/>
          <w:b w:val="1"/>
          <w:bCs w:val="1"/>
          <w:color w:val="215BA8"/>
        </w:rPr>
      </w:pPr>
      <w:hyperlink w:anchor="page77">
        <w:r>
          <w:rPr>
            <w:rFonts w:ascii="Arial" w:cs="Arial" w:eastAsia="Arial" w:hAnsi="Arial"/>
            <w:sz w:val="16"/>
            <w:szCs w:val="16"/>
            <w:b w:val="1"/>
            <w:bCs w:val="1"/>
            <w:color w:val="215BA8"/>
          </w:rPr>
          <w:t>What We Pay and Why We Pay It</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78">
        <w:r>
          <w:rPr>
            <w:rFonts w:ascii="Arial" w:cs="Arial" w:eastAsia="Arial" w:hAnsi="Arial"/>
            <w:sz w:val="16"/>
            <w:szCs w:val="16"/>
            <w:color w:val="auto"/>
          </w:rPr>
          <w:t>Base Salaries</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78">
        <w:r>
          <w:rPr>
            <w:rFonts w:ascii="Arial" w:cs="Arial" w:eastAsia="Arial" w:hAnsi="Arial"/>
            <w:sz w:val="16"/>
            <w:szCs w:val="16"/>
            <w:color w:val="auto"/>
          </w:rPr>
          <w:t>Annual Cash Incentives</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84">
        <w:r>
          <w:rPr>
            <w:rFonts w:ascii="Arial" w:cs="Arial" w:eastAsia="Arial" w:hAnsi="Arial"/>
            <w:sz w:val="16"/>
            <w:szCs w:val="16"/>
            <w:color w:val="auto"/>
          </w:rPr>
          <w:t>Annual Equity Awards</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87">
        <w:r>
          <w:rPr>
            <w:rFonts w:ascii="Arial" w:cs="Arial" w:eastAsia="Arial" w:hAnsi="Arial"/>
            <w:sz w:val="16"/>
            <w:szCs w:val="16"/>
            <w:color w:val="auto"/>
          </w:rPr>
          <w:t>Perquisites and Personal Benefits</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87">
        <w:r>
          <w:rPr>
            <w:rFonts w:ascii="Arial" w:cs="Arial" w:eastAsia="Arial" w:hAnsi="Arial"/>
            <w:sz w:val="16"/>
            <w:szCs w:val="16"/>
            <w:color w:val="auto"/>
          </w:rPr>
          <w:t>Potential Severance Payments</w:t>
        </w:r>
      </w:hyperlink>
    </w:p>
    <w:p>
      <w:pPr>
        <w:spacing w:after="0" w:line="66" w:lineRule="exact"/>
        <w:rPr>
          <w:sz w:val="20"/>
          <w:szCs w:val="20"/>
          <w:color w:val="auto"/>
        </w:rPr>
      </w:pPr>
    </w:p>
    <w:p>
      <w:pPr>
        <w:ind w:left="540"/>
        <w:spacing w:after="0"/>
        <w:rPr>
          <w:rFonts w:ascii="Arial" w:cs="Arial" w:eastAsia="Arial" w:hAnsi="Arial"/>
          <w:sz w:val="16"/>
          <w:szCs w:val="16"/>
          <w:b w:val="1"/>
          <w:bCs w:val="1"/>
          <w:color w:val="215BA8"/>
        </w:rPr>
      </w:pPr>
      <w:hyperlink w:anchor="page88">
        <w:r>
          <w:rPr>
            <w:rFonts w:ascii="Arial" w:cs="Arial" w:eastAsia="Arial" w:hAnsi="Arial"/>
            <w:sz w:val="16"/>
            <w:szCs w:val="16"/>
            <w:b w:val="1"/>
            <w:bCs w:val="1"/>
            <w:color w:val="215BA8"/>
          </w:rPr>
          <w:t>Compensation Processes</w:t>
        </w:r>
      </w:hyperlink>
    </w:p>
    <w:p>
      <w:pPr>
        <w:spacing w:after="0" w:line="106" w:lineRule="exact"/>
        <w:rPr>
          <w:sz w:val="20"/>
          <w:szCs w:val="20"/>
          <w:color w:val="auto"/>
        </w:rPr>
      </w:pPr>
    </w:p>
    <w:p>
      <w:pPr>
        <w:ind w:left="720"/>
        <w:spacing w:after="0"/>
        <w:rPr>
          <w:rFonts w:ascii="Arial" w:cs="Arial" w:eastAsia="Arial" w:hAnsi="Arial"/>
          <w:sz w:val="16"/>
          <w:szCs w:val="16"/>
          <w:color w:val="auto"/>
        </w:rPr>
      </w:pPr>
      <w:hyperlink w:anchor="page88">
        <w:r>
          <w:rPr>
            <w:rFonts w:ascii="Arial" w:cs="Arial" w:eastAsia="Arial" w:hAnsi="Arial"/>
            <w:sz w:val="16"/>
            <w:szCs w:val="16"/>
            <w:color w:val="auto"/>
          </w:rPr>
          <w:t>Compensation Committee</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88">
        <w:r>
          <w:rPr>
            <w:rFonts w:ascii="Arial" w:cs="Arial" w:eastAsia="Arial" w:hAnsi="Arial"/>
            <w:sz w:val="16"/>
            <w:szCs w:val="16"/>
            <w:color w:val="auto"/>
          </w:rPr>
          <w:t>Management</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89">
        <w:r>
          <w:rPr>
            <w:rFonts w:ascii="Arial" w:cs="Arial" w:eastAsia="Arial" w:hAnsi="Arial"/>
            <w:sz w:val="16"/>
            <w:szCs w:val="16"/>
            <w:color w:val="auto"/>
          </w:rPr>
          <w:t>Shareholder Input and Outreach</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92">
        <w:r>
          <w:rPr>
            <w:rFonts w:ascii="Arial" w:cs="Arial" w:eastAsia="Arial" w:hAnsi="Arial"/>
            <w:sz w:val="16"/>
            <w:szCs w:val="16"/>
            <w:color w:val="auto"/>
          </w:rPr>
          <w:t>Independent Compensation Consultant</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92">
        <w:r>
          <w:rPr>
            <w:rFonts w:ascii="Arial" w:cs="Arial" w:eastAsia="Arial" w:hAnsi="Arial"/>
            <w:sz w:val="16"/>
            <w:szCs w:val="16"/>
            <w:color w:val="auto"/>
          </w:rPr>
          <w:t>Peer Data</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94">
        <w:r>
          <w:rPr>
            <w:rFonts w:ascii="Arial" w:cs="Arial" w:eastAsia="Arial" w:hAnsi="Arial"/>
            <w:sz w:val="16"/>
            <w:szCs w:val="16"/>
            <w:color w:val="auto"/>
          </w:rPr>
          <w:t>Risk Assessment</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94">
        <w:r>
          <w:rPr>
            <w:rFonts w:ascii="Arial" w:cs="Arial" w:eastAsia="Arial" w:hAnsi="Arial"/>
            <w:sz w:val="16"/>
            <w:szCs w:val="16"/>
            <w:color w:val="auto"/>
          </w:rPr>
          <w:t>Tax Implications</w:t>
        </w:r>
      </w:hyperlink>
    </w:p>
    <w:p>
      <w:pPr>
        <w:spacing w:after="0" w:line="66" w:lineRule="exact"/>
        <w:rPr>
          <w:sz w:val="20"/>
          <w:szCs w:val="20"/>
          <w:color w:val="auto"/>
        </w:rPr>
      </w:pPr>
    </w:p>
    <w:p>
      <w:pPr>
        <w:ind w:left="540"/>
        <w:spacing w:after="0"/>
        <w:rPr>
          <w:rFonts w:ascii="Arial" w:cs="Arial" w:eastAsia="Arial" w:hAnsi="Arial"/>
          <w:sz w:val="16"/>
          <w:szCs w:val="16"/>
          <w:b w:val="1"/>
          <w:bCs w:val="1"/>
          <w:color w:val="auto"/>
        </w:rPr>
      </w:pPr>
      <w:hyperlink w:anchor="page96">
        <w:r>
          <w:rPr>
            <w:rFonts w:ascii="Arial" w:cs="Arial" w:eastAsia="Arial" w:hAnsi="Arial"/>
            <w:sz w:val="16"/>
            <w:szCs w:val="16"/>
            <w:b w:val="1"/>
            <w:bCs w:val="1"/>
            <w:color w:val="auto"/>
          </w:rPr>
          <w:t>Compensation Committee Report</w:t>
        </w:r>
      </w:hyperlink>
    </w:p>
    <w:p>
      <w:pPr>
        <w:spacing w:after="0" w:line="86" w:lineRule="exact"/>
        <w:rPr>
          <w:sz w:val="20"/>
          <w:szCs w:val="20"/>
          <w:color w:val="auto"/>
        </w:rPr>
      </w:pPr>
    </w:p>
    <w:p>
      <w:pPr>
        <w:ind w:left="540"/>
        <w:spacing w:after="0"/>
        <w:rPr>
          <w:rFonts w:ascii="Arial" w:cs="Arial" w:eastAsia="Arial" w:hAnsi="Arial"/>
          <w:sz w:val="16"/>
          <w:szCs w:val="16"/>
          <w:b w:val="1"/>
          <w:bCs w:val="1"/>
          <w:color w:val="auto"/>
        </w:rPr>
      </w:pPr>
      <w:hyperlink w:anchor="page96">
        <w:r>
          <w:rPr>
            <w:rFonts w:ascii="Arial" w:cs="Arial" w:eastAsia="Arial" w:hAnsi="Arial"/>
            <w:sz w:val="16"/>
            <w:szCs w:val="16"/>
            <w:b w:val="1"/>
            <w:bCs w:val="1"/>
            <w:color w:val="auto"/>
          </w:rPr>
          <w:t>Compensation Committee Interlocks and Insider</w:t>
        </w:r>
      </w:hyperlink>
    </w:p>
    <w:p>
      <w:pPr>
        <w:spacing w:after="0" w:line="25" w:lineRule="exact"/>
        <w:rPr>
          <w:sz w:val="20"/>
          <w:szCs w:val="20"/>
          <w:color w:val="auto"/>
        </w:rPr>
      </w:pPr>
    </w:p>
    <w:p>
      <w:pPr>
        <w:ind w:left="540"/>
        <w:spacing w:after="0"/>
        <w:rPr>
          <w:rFonts w:ascii="Arial" w:cs="Arial" w:eastAsia="Arial" w:hAnsi="Arial"/>
          <w:sz w:val="16"/>
          <w:szCs w:val="16"/>
          <w:b w:val="1"/>
          <w:bCs w:val="1"/>
          <w:color w:val="auto"/>
        </w:rPr>
      </w:pPr>
      <w:hyperlink w:anchor="page96">
        <w:r>
          <w:rPr>
            <w:rFonts w:ascii="Arial" w:cs="Arial" w:eastAsia="Arial" w:hAnsi="Arial"/>
            <w:sz w:val="16"/>
            <w:szCs w:val="16"/>
            <w:b w:val="1"/>
            <w:bCs w:val="1"/>
            <w:color w:val="auto"/>
          </w:rPr>
          <w:t>Participation</w:t>
        </w:r>
      </w:hyperlink>
    </w:p>
    <w:p>
      <w:pPr>
        <w:spacing w:after="0" w:line="66" w:lineRule="exact"/>
        <w:rPr>
          <w:sz w:val="20"/>
          <w:szCs w:val="20"/>
          <w:color w:val="auto"/>
        </w:rPr>
      </w:pPr>
    </w:p>
    <w:p>
      <w:pPr>
        <w:ind w:left="540"/>
        <w:spacing w:after="0"/>
        <w:rPr>
          <w:rFonts w:ascii="Arial" w:cs="Arial" w:eastAsia="Arial" w:hAnsi="Arial"/>
          <w:sz w:val="16"/>
          <w:szCs w:val="16"/>
          <w:b w:val="1"/>
          <w:bCs w:val="1"/>
          <w:color w:val="auto"/>
        </w:rPr>
      </w:pPr>
      <w:hyperlink w:anchor="page97">
        <w:r>
          <w:rPr>
            <w:rFonts w:ascii="Arial" w:cs="Arial" w:eastAsia="Arial" w:hAnsi="Arial"/>
            <w:sz w:val="16"/>
            <w:szCs w:val="16"/>
            <w:b w:val="1"/>
            <w:bCs w:val="1"/>
            <w:color w:val="auto"/>
          </w:rPr>
          <w:t>Compensation Dashboard</w:t>
        </w:r>
      </w:hyperlink>
    </w:p>
    <w:p>
      <w:pPr>
        <w:spacing w:after="0" w:line="86" w:lineRule="exact"/>
        <w:rPr>
          <w:sz w:val="20"/>
          <w:szCs w:val="20"/>
          <w:color w:val="auto"/>
        </w:rPr>
      </w:pPr>
    </w:p>
    <w:p>
      <w:pPr>
        <w:ind w:left="540"/>
        <w:spacing w:after="0"/>
        <w:rPr>
          <w:rFonts w:ascii="Arial" w:cs="Arial" w:eastAsia="Arial" w:hAnsi="Arial"/>
          <w:sz w:val="16"/>
          <w:szCs w:val="16"/>
          <w:b w:val="1"/>
          <w:bCs w:val="1"/>
          <w:color w:val="215BA8"/>
        </w:rPr>
      </w:pPr>
      <w:hyperlink w:anchor="page97">
        <w:r>
          <w:rPr>
            <w:rFonts w:ascii="Arial" w:cs="Arial" w:eastAsia="Arial" w:hAnsi="Arial"/>
            <w:sz w:val="16"/>
            <w:szCs w:val="16"/>
            <w:b w:val="1"/>
            <w:bCs w:val="1"/>
            <w:color w:val="215BA8"/>
          </w:rPr>
          <w:t>2021 Executive Compensation Tables</w:t>
        </w:r>
      </w:hyperlink>
    </w:p>
    <w:p>
      <w:pPr>
        <w:spacing w:after="0" w:line="106" w:lineRule="exact"/>
        <w:rPr>
          <w:sz w:val="20"/>
          <w:szCs w:val="20"/>
          <w:color w:val="auto"/>
        </w:rPr>
      </w:pPr>
    </w:p>
    <w:p>
      <w:pPr>
        <w:ind w:left="720"/>
        <w:spacing w:after="0"/>
        <w:rPr>
          <w:rFonts w:ascii="Arial" w:cs="Arial" w:eastAsia="Arial" w:hAnsi="Arial"/>
          <w:sz w:val="16"/>
          <w:szCs w:val="16"/>
          <w:color w:val="auto"/>
        </w:rPr>
      </w:pPr>
      <w:hyperlink w:anchor="page97">
        <w:r>
          <w:rPr>
            <w:rFonts w:ascii="Arial" w:cs="Arial" w:eastAsia="Arial" w:hAnsi="Arial"/>
            <w:sz w:val="16"/>
            <w:szCs w:val="16"/>
            <w:color w:val="auto"/>
          </w:rPr>
          <w:t>2021 Summary Compensation Table</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98">
        <w:r>
          <w:rPr>
            <w:rFonts w:ascii="Arial" w:cs="Arial" w:eastAsia="Arial" w:hAnsi="Arial"/>
            <w:sz w:val="16"/>
            <w:szCs w:val="16"/>
            <w:color w:val="auto"/>
          </w:rPr>
          <w:t>2021 Grants of Plan-Based Awards</w:t>
        </w:r>
      </w:hyperlink>
    </w:p>
    <w:p>
      <w:pPr>
        <w:spacing w:after="0" w:line="86" w:lineRule="exact"/>
        <w:rPr>
          <w:sz w:val="20"/>
          <w:szCs w:val="20"/>
          <w:color w:val="auto"/>
        </w:rPr>
      </w:pPr>
    </w:p>
    <w:p>
      <w:pPr>
        <w:ind w:left="720"/>
        <w:spacing w:after="0"/>
        <w:rPr>
          <w:rFonts w:ascii="Arial" w:cs="Arial" w:eastAsia="Arial" w:hAnsi="Arial"/>
          <w:sz w:val="16"/>
          <w:szCs w:val="16"/>
          <w:color w:val="auto"/>
        </w:rPr>
      </w:pPr>
      <w:hyperlink w:anchor="page99">
        <w:r>
          <w:rPr>
            <w:rFonts w:ascii="Arial" w:cs="Arial" w:eastAsia="Arial" w:hAnsi="Arial"/>
            <w:sz w:val="16"/>
            <w:szCs w:val="16"/>
            <w:color w:val="auto"/>
          </w:rPr>
          <w:t>Outstanding Equity Awards at 2021 Fiscal Year-End</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40"/>
          <w:szCs w:val="40"/>
          <w:color w:val="215BA8"/>
        </w:rPr>
        <w:t>(CONT.)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-578485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215BA8"/>
                <w:w w:val="89"/>
              </w:rPr>
              <w:t>62</w:t>
            </w:r>
          </w:p>
        </w:tc>
        <w:tc>
          <w:tcPr>
            <w:tcW w:w="4500" w:type="dxa"/>
            <w:vAlign w:val="bottom"/>
          </w:tcPr>
          <w:p>
            <w:pPr>
              <w:ind w:left="180"/>
              <w:spacing w:after="0"/>
              <w:rPr>
                <w:rFonts w:ascii="Arial" w:cs="Arial" w:eastAsia="Arial" w:hAnsi="Arial"/>
                <w:sz w:val="16"/>
                <w:szCs w:val="16"/>
                <w:color w:val="auto"/>
              </w:rPr>
            </w:pPr>
            <w:hyperlink w:anchor="page102">
              <w:r>
                <w:rPr>
                  <w:rFonts w:ascii="Arial" w:cs="Arial" w:eastAsia="Arial" w:hAnsi="Arial"/>
                  <w:sz w:val="16"/>
                  <w:szCs w:val="16"/>
                  <w:color w:val="auto"/>
                </w:rPr>
                <w:t>2021 Option Exercises and Stock Vested</w:t>
              </w:r>
            </w:hyperlink>
          </w:p>
        </w:tc>
        <w:tc>
          <w:tcPr>
            <w:tcW w:w="3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ind w:left="180"/>
              <w:spacing w:after="0"/>
              <w:rPr>
                <w:rFonts w:ascii="Arial" w:cs="Arial" w:eastAsia="Arial" w:hAnsi="Arial"/>
                <w:sz w:val="16"/>
                <w:szCs w:val="16"/>
                <w:color w:val="auto"/>
              </w:rPr>
            </w:pPr>
            <w:hyperlink w:anchor="page102">
              <w:r>
                <w:rPr>
                  <w:rFonts w:ascii="Arial" w:cs="Arial" w:eastAsia="Arial" w:hAnsi="Arial"/>
                  <w:sz w:val="16"/>
                  <w:szCs w:val="16"/>
                  <w:color w:val="auto"/>
                </w:rPr>
                <w:t>Post-Employment Compensation</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63</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spacing w:after="0"/>
              <w:rPr>
                <w:rFonts w:ascii="Arial" w:cs="Arial" w:eastAsia="Arial" w:hAnsi="Arial"/>
                <w:sz w:val="16"/>
                <w:szCs w:val="16"/>
                <w:b w:val="1"/>
                <w:bCs w:val="1"/>
                <w:color w:val="215BA8"/>
              </w:rPr>
            </w:pPr>
            <w:hyperlink w:anchor="page107">
              <w:r>
                <w:rPr>
                  <w:rFonts w:ascii="Arial" w:cs="Arial" w:eastAsia="Arial" w:hAnsi="Arial"/>
                  <w:sz w:val="16"/>
                  <w:szCs w:val="16"/>
                  <w:b w:val="1"/>
                  <w:bCs w:val="1"/>
                  <w:color w:val="215BA8"/>
                </w:rPr>
                <w:t>Additional Compensation Information</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215BA8"/>
              </w:rPr>
              <w:t>92</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63</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ind w:left="180"/>
              <w:spacing w:after="0"/>
              <w:rPr>
                <w:rFonts w:ascii="Arial" w:cs="Arial" w:eastAsia="Arial" w:hAnsi="Arial"/>
                <w:sz w:val="16"/>
                <w:szCs w:val="16"/>
                <w:color w:val="auto"/>
              </w:rPr>
            </w:pPr>
            <w:hyperlink w:anchor="page107">
              <w:r>
                <w:rPr>
                  <w:rFonts w:ascii="Arial" w:cs="Arial" w:eastAsia="Arial" w:hAnsi="Arial"/>
                  <w:sz w:val="16"/>
                  <w:szCs w:val="16"/>
                  <w:color w:val="auto"/>
                </w:rPr>
                <w:t>Annual Cash Incentives</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69</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ind w:left="180"/>
              <w:spacing w:after="0"/>
              <w:rPr>
                <w:rFonts w:ascii="Arial" w:cs="Arial" w:eastAsia="Arial" w:hAnsi="Arial"/>
                <w:sz w:val="16"/>
                <w:szCs w:val="16"/>
                <w:color w:val="auto"/>
              </w:rPr>
            </w:pPr>
            <w:hyperlink w:anchor="page108">
              <w:r>
                <w:rPr>
                  <w:rFonts w:ascii="Arial" w:cs="Arial" w:eastAsia="Arial" w:hAnsi="Arial"/>
                  <w:sz w:val="16"/>
                  <w:szCs w:val="16"/>
                  <w:color w:val="auto"/>
                </w:rPr>
                <w:t>Perquisites and Personal Benefits</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72</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ind w:left="180"/>
              <w:spacing w:after="0"/>
              <w:rPr>
                <w:rFonts w:ascii="Arial" w:cs="Arial" w:eastAsia="Arial" w:hAnsi="Arial"/>
                <w:sz w:val="16"/>
                <w:szCs w:val="16"/>
                <w:color w:val="auto"/>
              </w:rPr>
            </w:pPr>
            <w:hyperlink w:anchor="page110">
              <w:r>
                <w:rPr>
                  <w:rFonts w:ascii="Arial" w:cs="Arial" w:eastAsia="Arial" w:hAnsi="Arial"/>
                  <w:sz w:val="16"/>
                  <w:szCs w:val="16"/>
                  <w:color w:val="auto"/>
                </w:rPr>
                <w:t>Potential Severance Payments</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72</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ind w:left="180"/>
              <w:spacing w:after="0"/>
              <w:rPr>
                <w:rFonts w:ascii="Arial" w:cs="Arial" w:eastAsia="Arial" w:hAnsi="Arial"/>
                <w:sz w:val="16"/>
                <w:szCs w:val="16"/>
                <w:color w:val="auto"/>
              </w:rPr>
            </w:pPr>
            <w:hyperlink w:anchor="page111">
              <w:r>
                <w:rPr>
                  <w:rFonts w:ascii="Arial" w:cs="Arial" w:eastAsia="Arial" w:hAnsi="Arial"/>
                  <w:sz w:val="16"/>
                  <w:szCs w:val="16"/>
                  <w:color w:val="auto"/>
                </w:rPr>
                <w:t>Pay Ratio</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215BA8"/>
                <w:w w:val="89"/>
              </w:rPr>
              <w:t>73</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ind w:left="180"/>
              <w:spacing w:after="0"/>
              <w:rPr>
                <w:rFonts w:ascii="Arial" w:cs="Arial" w:eastAsia="Arial" w:hAnsi="Arial"/>
                <w:sz w:val="16"/>
                <w:szCs w:val="16"/>
                <w:color w:val="auto"/>
              </w:rPr>
            </w:pPr>
            <w:hyperlink w:anchor="page112">
              <w:r>
                <w:rPr>
                  <w:rFonts w:ascii="Arial" w:cs="Arial" w:eastAsia="Arial" w:hAnsi="Arial"/>
                  <w:sz w:val="16"/>
                  <w:szCs w:val="16"/>
                  <w:color w:val="auto"/>
                </w:rPr>
                <w:t>Equity Compensation Information</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81"/>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73</w:t>
            </w:r>
          </w:p>
        </w:tc>
        <w:tc>
          <w:tcPr>
            <w:tcW w:w="450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00" w:type="dxa"/>
            <w:vAlign w:val="bottom"/>
            <w:vMerge w:val="continue"/>
          </w:tcPr>
          <w:p>
            <w:pPr>
              <w:spacing w:after="0"/>
              <w:rPr>
                <w:sz w:val="16"/>
                <w:szCs w:val="16"/>
                <w:color w:val="auto"/>
              </w:rPr>
            </w:pPr>
          </w:p>
        </w:tc>
        <w:tc>
          <w:tcPr>
            <w:tcW w:w="4500" w:type="dxa"/>
            <w:vAlign w:val="bottom"/>
            <w:vMerge w:val="restart"/>
          </w:tcPr>
          <w:p>
            <w:pPr>
              <w:spacing w:after="0"/>
              <w:rPr>
                <w:rFonts w:ascii="Arial" w:cs="Arial" w:eastAsia="Arial" w:hAnsi="Arial"/>
                <w:sz w:val="16"/>
                <w:szCs w:val="16"/>
                <w:b w:val="1"/>
                <w:bCs w:val="1"/>
                <w:color w:val="auto"/>
              </w:rPr>
            </w:pPr>
            <w:hyperlink w:anchor="page114">
              <w:r>
                <w:rPr>
                  <w:rFonts w:ascii="Arial" w:cs="Arial" w:eastAsia="Arial" w:hAnsi="Arial"/>
                  <w:sz w:val="16"/>
                  <w:szCs w:val="16"/>
                  <w:b w:val="1"/>
                  <w:bCs w:val="1"/>
                  <w:color w:val="auto"/>
                </w:rPr>
                <w:t>PROPOSAL NO. 3</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73</w:t>
            </w:r>
          </w:p>
        </w:tc>
        <w:tc>
          <w:tcPr>
            <w:tcW w:w="4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600" w:type="dxa"/>
            <w:vAlign w:val="bottom"/>
            <w:vMerge w:val="continue"/>
          </w:tcPr>
          <w:p>
            <w:pPr>
              <w:spacing w:after="0"/>
              <w:rPr>
                <w:sz w:val="10"/>
                <w:szCs w:val="10"/>
                <w:color w:val="auto"/>
              </w:rPr>
            </w:pPr>
          </w:p>
        </w:tc>
        <w:tc>
          <w:tcPr>
            <w:tcW w:w="4500" w:type="dxa"/>
            <w:vAlign w:val="bottom"/>
            <w:vMerge w:val="restart"/>
          </w:tcPr>
          <w:p>
            <w:pPr>
              <w:spacing w:after="0" w:line="243" w:lineRule="exact"/>
              <w:rPr>
                <w:rFonts w:ascii="Arial" w:cs="Arial" w:eastAsia="Arial" w:hAnsi="Arial"/>
                <w:sz w:val="22"/>
                <w:szCs w:val="22"/>
                <w:b w:val="1"/>
                <w:bCs w:val="1"/>
                <w:color w:val="D60058"/>
              </w:rPr>
            </w:pPr>
            <w:hyperlink w:anchor="page114">
              <w:r>
                <w:rPr>
                  <w:rFonts w:ascii="Arial" w:cs="Arial" w:eastAsia="Arial" w:hAnsi="Arial"/>
                  <w:sz w:val="22"/>
                  <w:szCs w:val="22"/>
                  <w:b w:val="1"/>
                  <w:bCs w:val="1"/>
                  <w:color w:val="D60058"/>
                </w:rPr>
                <w:t>ADVISORY VOTE ON COMPENSATION OF</w:t>
              </w:r>
            </w:hyperlink>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74</w:t>
            </w:r>
          </w:p>
        </w:tc>
        <w:tc>
          <w:tcPr>
            <w:tcW w:w="45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vMerge w:val="continue"/>
          </w:tcPr>
          <w:p>
            <w:pPr>
              <w:spacing w:after="0"/>
              <w:rPr>
                <w:sz w:val="12"/>
                <w:szCs w:val="12"/>
                <w:color w:val="auto"/>
              </w:rPr>
            </w:pPr>
          </w:p>
        </w:tc>
        <w:tc>
          <w:tcPr>
            <w:tcW w:w="4500" w:type="dxa"/>
            <w:vAlign w:val="bottom"/>
            <w:vMerge w:val="restart"/>
          </w:tcPr>
          <w:p>
            <w:pPr>
              <w:spacing w:after="0" w:line="243" w:lineRule="exact"/>
              <w:rPr>
                <w:rFonts w:ascii="Arial" w:cs="Arial" w:eastAsia="Arial" w:hAnsi="Arial"/>
                <w:sz w:val="22"/>
                <w:szCs w:val="22"/>
                <w:b w:val="1"/>
                <w:bCs w:val="1"/>
                <w:color w:val="D60058"/>
              </w:rPr>
            </w:pPr>
            <w:hyperlink w:anchor="page114">
              <w:r>
                <w:rPr>
                  <w:rFonts w:ascii="Arial" w:cs="Arial" w:eastAsia="Arial" w:hAnsi="Arial"/>
                  <w:sz w:val="22"/>
                  <w:szCs w:val="22"/>
                  <w:b w:val="1"/>
                  <w:bCs w:val="1"/>
                  <w:color w:val="D60058"/>
                </w:rPr>
                <w:t>NAMED EXECUTIVE OFFICERS (SAY-ON-</w:t>
              </w:r>
            </w:hyperlink>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77</w:t>
            </w:r>
          </w:p>
        </w:tc>
        <w:tc>
          <w:tcPr>
            <w:tcW w:w="45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600" w:type="dxa"/>
            <w:vAlign w:val="bottom"/>
            <w:vMerge w:val="continue"/>
          </w:tcPr>
          <w:p>
            <w:pPr>
              <w:spacing w:after="0"/>
              <w:rPr>
                <w:sz w:val="15"/>
                <w:szCs w:val="15"/>
                <w:color w:val="auto"/>
              </w:rPr>
            </w:pPr>
          </w:p>
        </w:tc>
        <w:tc>
          <w:tcPr>
            <w:tcW w:w="4500" w:type="dxa"/>
            <w:vAlign w:val="bottom"/>
            <w:vMerge w:val="restart"/>
          </w:tcPr>
          <w:p>
            <w:pPr>
              <w:spacing w:after="0"/>
              <w:rPr>
                <w:rFonts w:ascii="Arial" w:cs="Arial" w:eastAsia="Arial" w:hAnsi="Arial"/>
                <w:sz w:val="22"/>
                <w:szCs w:val="22"/>
                <w:b w:val="1"/>
                <w:bCs w:val="1"/>
                <w:color w:val="D60058"/>
              </w:rPr>
            </w:pPr>
            <w:hyperlink w:anchor="page114">
              <w:r>
                <w:rPr>
                  <w:rFonts w:ascii="Arial" w:cs="Arial" w:eastAsia="Arial" w:hAnsi="Arial"/>
                  <w:sz w:val="22"/>
                  <w:szCs w:val="22"/>
                  <w:b w:val="1"/>
                  <w:bCs w:val="1"/>
                  <w:color w:val="D60058"/>
                </w:rPr>
                <w:t>PAY)</w:t>
              </w:r>
            </w:hyperlink>
          </w:p>
        </w:tc>
        <w:tc>
          <w:tcPr>
            <w:tcW w:w="360" w:type="dxa"/>
            <w:vAlign w:val="bottom"/>
            <w:vMerge w:val="restart"/>
          </w:tcPr>
          <w:p>
            <w:pPr>
              <w:jc w:val="right"/>
              <w:spacing w:after="0"/>
              <w:rPr>
                <w:sz w:val="20"/>
                <w:szCs w:val="20"/>
                <w:color w:val="auto"/>
              </w:rPr>
            </w:pPr>
            <w:r>
              <w:rPr>
                <w:rFonts w:ascii="Arial" w:cs="Arial" w:eastAsia="Arial" w:hAnsi="Arial"/>
                <w:sz w:val="22"/>
                <w:szCs w:val="22"/>
                <w:b w:val="1"/>
                <w:bCs w:val="1"/>
                <w:color w:val="D60058"/>
              </w:rPr>
              <w:t>99</w:t>
            </w:r>
          </w:p>
        </w:tc>
        <w:tc>
          <w:tcPr>
            <w:tcW w:w="0" w:type="dxa"/>
            <w:vAlign w:val="bottom"/>
          </w:tcPr>
          <w:p>
            <w:pPr>
              <w:spacing w:after="0"/>
              <w:rPr>
                <w:sz w:val="1"/>
                <w:szCs w:val="1"/>
                <w:color w:val="auto"/>
              </w:rPr>
            </w:pPr>
          </w:p>
        </w:tc>
      </w:tr>
      <w:tr>
        <w:trPr>
          <w:trHeight w:val="105"/>
        </w:trPr>
        <w:tc>
          <w:tcPr>
            <w:tcW w:w="600" w:type="dxa"/>
            <w:vAlign w:val="bottom"/>
            <w:vMerge w:val="restart"/>
          </w:tcPr>
          <w:p>
            <w:pPr>
              <w:jc w:val="right"/>
              <w:ind w:right="339"/>
              <w:spacing w:after="0"/>
              <w:rPr>
                <w:sz w:val="20"/>
                <w:szCs w:val="20"/>
                <w:color w:val="auto"/>
              </w:rPr>
            </w:pPr>
            <w:r>
              <w:rPr>
                <w:rFonts w:ascii="Arial" w:cs="Arial" w:eastAsia="Arial" w:hAnsi="Arial"/>
                <w:sz w:val="16"/>
                <w:szCs w:val="16"/>
                <w:color w:val="auto"/>
                <w:w w:val="89"/>
              </w:rPr>
              <w:t>77</w:t>
            </w:r>
          </w:p>
        </w:tc>
        <w:tc>
          <w:tcPr>
            <w:tcW w:w="4500" w:type="dxa"/>
            <w:vAlign w:val="bottom"/>
            <w:tcBorders>
              <w:bottom w:val="single" w:sz="8" w:color="215AA8"/>
            </w:tcBorders>
            <w:vMerge w:val="continue"/>
          </w:tcPr>
          <w:p>
            <w:pPr>
              <w:spacing w:after="0"/>
              <w:rPr>
                <w:sz w:val="8"/>
                <w:szCs w:val="8"/>
                <w:color w:val="auto"/>
              </w:rPr>
            </w:pPr>
          </w:p>
        </w:tc>
        <w:tc>
          <w:tcPr>
            <w:tcW w:w="360" w:type="dxa"/>
            <w:vAlign w:val="bottom"/>
            <w:tcBorders>
              <w:bottom w:val="single" w:sz="8" w:color="215AA8"/>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600" w:type="dxa"/>
            <w:vAlign w:val="bottom"/>
            <w:vMerge w:val="continue"/>
          </w:tcPr>
          <w:p>
            <w:pPr>
              <w:spacing w:after="0"/>
              <w:rPr>
                <w:sz w:val="13"/>
                <w:szCs w:val="13"/>
                <w:color w:val="auto"/>
              </w:rPr>
            </w:pPr>
          </w:p>
        </w:tc>
        <w:tc>
          <w:tcPr>
            <w:tcW w:w="4500" w:type="dxa"/>
            <w:vAlign w:val="bottom"/>
            <w:vMerge w:val="restart"/>
          </w:tcPr>
          <w:p>
            <w:pPr>
              <w:spacing w:after="0"/>
              <w:rPr>
                <w:rFonts w:ascii="Arial" w:cs="Arial" w:eastAsia="Arial" w:hAnsi="Arial"/>
                <w:sz w:val="16"/>
                <w:szCs w:val="16"/>
                <w:b w:val="1"/>
                <w:bCs w:val="1"/>
                <w:color w:val="auto"/>
              </w:rPr>
            </w:pPr>
            <w:hyperlink w:anchor="page116">
              <w:r>
                <w:rPr>
                  <w:rFonts w:ascii="Arial" w:cs="Arial" w:eastAsia="Arial" w:hAnsi="Arial"/>
                  <w:sz w:val="16"/>
                  <w:szCs w:val="16"/>
                  <w:b w:val="1"/>
                  <w:bCs w:val="1"/>
                  <w:color w:val="auto"/>
                </w:rPr>
                <w:t>General Information about the Meeting and Other Matters</w:t>
              </w:r>
            </w:hyperlink>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70"/>
        </w:trPr>
        <w:tc>
          <w:tcPr>
            <w:tcW w:w="600" w:type="dxa"/>
            <w:vAlign w:val="bottom"/>
          </w:tcPr>
          <w:p>
            <w:pPr>
              <w:jc w:val="right"/>
              <w:ind w:right="339"/>
              <w:spacing w:after="0"/>
              <w:rPr>
                <w:sz w:val="20"/>
                <w:szCs w:val="20"/>
                <w:color w:val="auto"/>
              </w:rPr>
            </w:pPr>
            <w:r>
              <w:rPr>
                <w:rFonts w:ascii="Arial" w:cs="Arial" w:eastAsia="Arial" w:hAnsi="Arial"/>
                <w:sz w:val="16"/>
                <w:szCs w:val="16"/>
                <w:color w:val="auto"/>
                <w:w w:val="89"/>
              </w:rPr>
              <w:t>79</w:t>
            </w:r>
          </w:p>
        </w:tc>
        <w:tc>
          <w:tcPr>
            <w:tcW w:w="4500" w:type="dxa"/>
            <w:vAlign w:val="bottom"/>
            <w:vMerge w:val="continue"/>
          </w:tcPr>
          <w:p>
            <w:pPr>
              <w:spacing w:after="0"/>
              <w:rPr>
                <w:sz w:val="23"/>
                <w:szCs w:val="23"/>
                <w:color w:val="auto"/>
              </w:rPr>
            </w:pP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ind w:left="920" w:hanging="592"/>
        <w:spacing w:after="0" w:line="186" w:lineRule="auto"/>
        <w:tabs>
          <w:tab w:leader="none" w:pos="920" w:val="left"/>
        </w:tabs>
        <w:numPr>
          <w:ilvl w:val="0"/>
          <w:numId w:val="13"/>
        </w:numPr>
        <w:rPr>
          <w:rFonts w:ascii="Arial" w:cs="Arial" w:eastAsia="Arial" w:hAnsi="Arial"/>
          <w:sz w:val="14"/>
          <w:szCs w:val="14"/>
          <w:b w:val="1"/>
          <w:bCs w:val="1"/>
          <w:color w:val="auto"/>
        </w:rPr>
      </w:pPr>
      <w:hyperlink w:anchor="page121">
        <w:r>
          <w:rPr>
            <w:rFonts w:ascii="Arial" w:cs="Arial" w:eastAsia="Arial" w:hAnsi="Arial"/>
            <w:sz w:val="14"/>
            <w:szCs w:val="14"/>
            <w:b w:val="1"/>
            <w:bCs w:val="1"/>
            <w:color w:val="auto"/>
          </w:rPr>
          <w:t>Appendix A – Note Regarding Forward-Looking Statements</w:t>
        </w:r>
      </w:hyperlink>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4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81</w:t>
            </w:r>
          </w:p>
        </w:tc>
        <w:tc>
          <w:tcPr>
            <w:tcW w:w="3860" w:type="dxa"/>
            <w:vAlign w:val="bottom"/>
          </w:tcPr>
          <w:p>
            <w:pPr>
              <w:ind w:left="200"/>
              <w:spacing w:after="0"/>
              <w:rPr>
                <w:rFonts w:ascii="Arial" w:cs="Arial" w:eastAsia="Arial" w:hAnsi="Arial"/>
                <w:sz w:val="16"/>
                <w:szCs w:val="16"/>
                <w:b w:val="1"/>
                <w:bCs w:val="1"/>
                <w:color w:val="auto"/>
              </w:rPr>
            </w:pPr>
            <w:hyperlink w:anchor="page121">
              <w:r>
                <w:rPr>
                  <w:rFonts w:ascii="Arial" w:cs="Arial" w:eastAsia="Arial" w:hAnsi="Arial"/>
                  <w:sz w:val="16"/>
                  <w:szCs w:val="16"/>
                  <w:b w:val="1"/>
                  <w:bCs w:val="1"/>
                  <w:color w:val="auto"/>
                </w:rPr>
                <w:t>and Non-GAAP Financial Measures</w:t>
              </w:r>
            </w:hyperlink>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102"/>
        </w:trPr>
        <w:tc>
          <w:tcPr>
            <w:tcW w:w="400" w:type="dxa"/>
            <w:vAlign w:val="bottom"/>
            <w:vMerge w:val="continue"/>
          </w:tcPr>
          <w:p>
            <w:pPr>
              <w:spacing w:after="0"/>
              <w:rPr>
                <w:sz w:val="8"/>
                <w:szCs w:val="8"/>
                <w:color w:val="auto"/>
              </w:rPr>
            </w:pPr>
          </w:p>
        </w:tc>
        <w:tc>
          <w:tcPr>
            <w:tcW w:w="3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81</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82</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215BA8"/>
        </w:rPr>
        <w:t>82</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82</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83</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84</w:t>
      </w:r>
    </w:p>
    <w:p>
      <w:pPr>
        <w:spacing w:after="0" w:line="200" w:lineRule="exact"/>
        <w:rPr>
          <w:sz w:val="20"/>
          <w:szCs w:val="20"/>
          <w:color w:val="auto"/>
        </w:rPr>
      </w:pPr>
    </w:p>
    <w:p>
      <w:pPr>
        <w:sectPr>
          <w:pgSz w:w="11900" w:h="16838" w:orient="portrait"/>
          <w:cols w:equalWidth="0" w:num="2">
            <w:col w:w="4780" w:space="120"/>
            <w:col w:w="6340"/>
          </w:cols>
          <w:pgMar w:left="320" w:top="825" w:right="339" w:bottom="1440" w:gutter="0" w:footer="0" w:header="0"/>
        </w:sectPr>
      </w:pPr>
    </w:p>
    <w:p>
      <w:pPr>
        <w:spacing w:after="0" w:line="228" w:lineRule="exact"/>
        <w:rPr>
          <w:sz w:val="20"/>
          <w:szCs w:val="20"/>
          <w:color w:val="auto"/>
        </w:rPr>
      </w:pPr>
    </w:p>
    <w:p>
      <w:pPr>
        <w:ind w:left="540" w:right="600"/>
        <w:spacing w:after="0" w:line="234" w:lineRule="auto"/>
        <w:rPr>
          <w:sz w:val="20"/>
          <w:szCs w:val="20"/>
          <w:color w:val="auto"/>
        </w:rPr>
      </w:pPr>
      <w:r>
        <w:rPr>
          <w:rFonts w:ascii="Arial" w:cs="Arial" w:eastAsia="Arial" w:hAnsi="Arial"/>
          <w:sz w:val="16"/>
          <w:szCs w:val="16"/>
          <w:color w:val="auto"/>
        </w:rPr>
        <w:t>NOTE REGARDING FORWARD-LOOKING STATEMENTS AND NON-GAAP FINANCIAL MEASURES: See Appendix A for important information regarding forward-looking statements and financial measures not calculated in accordance with U.S. Generally Accepted Accounting Principles contained in this proxy statement.</w:t>
      </w:r>
    </w:p>
    <w:p>
      <w:pPr>
        <w:spacing w:after="0" w:line="161" w:lineRule="exact"/>
        <w:rPr>
          <w:sz w:val="20"/>
          <w:szCs w:val="20"/>
          <w:color w:val="auto"/>
        </w:rPr>
      </w:pPr>
    </w:p>
    <w:p>
      <w:pPr>
        <w:ind w:left="540" w:right="900"/>
        <w:spacing w:after="0" w:line="180" w:lineRule="auto"/>
        <w:rPr>
          <w:sz w:val="20"/>
          <w:szCs w:val="20"/>
          <w:color w:val="auto"/>
        </w:rPr>
      </w:pPr>
      <w:r>
        <w:rPr>
          <w:rFonts w:ascii="Arial" w:cs="Arial" w:eastAsia="Arial" w:hAnsi="Arial"/>
          <w:sz w:val="15"/>
          <w:szCs w:val="15"/>
          <w:color w:val="auto"/>
        </w:rPr>
        <w:t>NOTE REGARDING TRADEMARKS AND PRODUCT NAMES: “ARCALYST</w:t>
      </w:r>
      <w:r>
        <w:rPr>
          <w:rFonts w:ascii="Arial" w:cs="Arial" w:eastAsia="Arial" w:hAnsi="Arial"/>
          <w:sz w:val="25"/>
          <w:szCs w:val="25"/>
          <w:color w:val="auto"/>
          <w:vertAlign w:val="superscript"/>
        </w:rPr>
        <w:t>®</w:t>
      </w:r>
      <w:r>
        <w:rPr>
          <w:rFonts w:ascii="Arial" w:cs="Arial" w:eastAsia="Arial" w:hAnsi="Arial"/>
          <w:sz w:val="15"/>
          <w:szCs w:val="15"/>
          <w:color w:val="auto"/>
        </w:rPr>
        <w:t>,” “Evkeeza</w:t>
      </w:r>
      <w:r>
        <w:rPr>
          <w:rFonts w:ascii="Arial" w:cs="Arial" w:eastAsia="Arial" w:hAnsi="Arial"/>
          <w:sz w:val="25"/>
          <w:szCs w:val="25"/>
          <w:color w:val="auto"/>
          <w:vertAlign w:val="superscript"/>
        </w:rPr>
        <w:t>®</w:t>
      </w:r>
      <w:r>
        <w:rPr>
          <w:rFonts w:ascii="Arial" w:cs="Arial" w:eastAsia="Arial" w:hAnsi="Arial"/>
          <w:sz w:val="15"/>
          <w:szCs w:val="15"/>
          <w:color w:val="auto"/>
        </w:rPr>
        <w:t>,” “EYLEA</w:t>
      </w:r>
      <w:r>
        <w:rPr>
          <w:rFonts w:ascii="Arial" w:cs="Arial" w:eastAsia="Arial" w:hAnsi="Arial"/>
          <w:sz w:val="25"/>
          <w:szCs w:val="25"/>
          <w:color w:val="auto"/>
          <w:vertAlign w:val="superscript"/>
        </w:rPr>
        <w:t>®</w:t>
      </w:r>
      <w:r>
        <w:rPr>
          <w:rFonts w:ascii="Arial" w:cs="Arial" w:eastAsia="Arial" w:hAnsi="Arial"/>
          <w:sz w:val="15"/>
          <w:szCs w:val="15"/>
          <w:color w:val="auto"/>
        </w:rPr>
        <w:t>,” “Inmazeb</w:t>
      </w:r>
      <w:r>
        <w:rPr>
          <w:rFonts w:ascii="Arial" w:cs="Arial" w:eastAsia="Arial" w:hAnsi="Arial"/>
          <w:sz w:val="25"/>
          <w:szCs w:val="25"/>
          <w:color w:val="auto"/>
          <w:vertAlign w:val="superscript"/>
        </w:rPr>
        <w:t>®</w:t>
      </w:r>
      <w:r>
        <w:rPr>
          <w:rFonts w:ascii="Arial" w:cs="Arial" w:eastAsia="Arial" w:hAnsi="Arial"/>
          <w:sz w:val="15"/>
          <w:szCs w:val="15"/>
          <w:color w:val="auto"/>
        </w:rPr>
        <w:t>,” “Libtayo</w:t>
      </w:r>
      <w:r>
        <w:rPr>
          <w:rFonts w:ascii="Arial" w:cs="Arial" w:eastAsia="Arial" w:hAnsi="Arial"/>
          <w:sz w:val="25"/>
          <w:szCs w:val="25"/>
          <w:color w:val="auto"/>
          <w:vertAlign w:val="superscript"/>
        </w:rPr>
        <w:t>®</w:t>
      </w:r>
      <w:r>
        <w:rPr>
          <w:rFonts w:ascii="Arial" w:cs="Arial" w:eastAsia="Arial" w:hAnsi="Arial"/>
          <w:sz w:val="15"/>
          <w:szCs w:val="15"/>
          <w:color w:val="auto"/>
        </w:rPr>
        <w:t>” (in the United States), “Praluent</w:t>
      </w:r>
      <w:r>
        <w:rPr>
          <w:rFonts w:ascii="Arial" w:cs="Arial" w:eastAsia="Arial" w:hAnsi="Arial"/>
          <w:sz w:val="25"/>
          <w:szCs w:val="25"/>
          <w:color w:val="auto"/>
          <w:vertAlign w:val="superscript"/>
        </w:rPr>
        <w:t>®</w:t>
      </w:r>
      <w:r>
        <w:rPr>
          <w:rFonts w:ascii="Arial" w:cs="Arial" w:eastAsia="Arial" w:hAnsi="Arial"/>
          <w:sz w:val="15"/>
          <w:szCs w:val="15"/>
          <w:color w:val="auto"/>
        </w:rPr>
        <w:t>” (in the United States), “REGEN-COV</w:t>
      </w:r>
      <w:r>
        <w:rPr>
          <w:rFonts w:ascii="Arial" w:cs="Arial" w:eastAsia="Arial" w:hAnsi="Arial"/>
          <w:sz w:val="25"/>
          <w:szCs w:val="25"/>
          <w:color w:val="auto"/>
          <w:vertAlign w:val="superscript"/>
        </w:rPr>
        <w:t>®</w:t>
      </w:r>
      <w:r>
        <w:rPr>
          <w:rFonts w:ascii="Arial" w:cs="Arial" w:eastAsia="Arial" w:hAnsi="Arial"/>
          <w:sz w:val="15"/>
          <w:szCs w:val="15"/>
          <w:color w:val="auto"/>
        </w:rPr>
        <w:t>,” Regeneron</w:t>
      </w:r>
      <w:r>
        <w:rPr>
          <w:rFonts w:ascii="Arial" w:cs="Arial" w:eastAsia="Arial" w:hAnsi="Arial"/>
          <w:sz w:val="25"/>
          <w:szCs w:val="25"/>
          <w:color w:val="auto"/>
          <w:vertAlign w:val="superscript"/>
        </w:rPr>
        <w:t>®</w:t>
      </w:r>
      <w:r>
        <w:rPr>
          <w:rFonts w:ascii="Arial" w:cs="Arial" w:eastAsia="Arial" w:hAnsi="Arial"/>
          <w:sz w:val="15"/>
          <w:szCs w:val="15"/>
          <w:color w:val="auto"/>
        </w:rPr>
        <w:t>,” “Regeneron Genetics Center</w:t>
      </w:r>
      <w:r>
        <w:rPr>
          <w:rFonts w:ascii="Arial" w:cs="Arial" w:eastAsia="Arial" w:hAnsi="Arial"/>
          <w:sz w:val="25"/>
          <w:szCs w:val="25"/>
          <w:color w:val="auto"/>
          <w:vertAlign w:val="superscript"/>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Veloci-Bi</w:t>
      </w:r>
      <w:r>
        <w:rPr>
          <w:rFonts w:ascii="Arial" w:cs="Arial" w:eastAsia="Arial" w:hAnsi="Arial"/>
          <w:sz w:val="25"/>
          <w:szCs w:val="25"/>
          <w:color w:val="auto"/>
          <w:vertAlign w:val="superscript"/>
        </w:rPr>
        <w:t>®</w:t>
      </w:r>
      <w:r>
        <w:rPr>
          <w:rFonts w:ascii="Arial" w:cs="Arial" w:eastAsia="Arial" w:hAnsi="Arial"/>
          <w:sz w:val="15"/>
          <w:szCs w:val="15"/>
          <w:color w:val="auto"/>
        </w:rPr>
        <w:t>,” “</w:t>
      </w:r>
      <w:r>
        <w:rPr>
          <w:rFonts w:ascii="Arial" w:cs="Arial" w:eastAsia="Arial" w:hAnsi="Arial"/>
          <w:sz w:val="15"/>
          <w:szCs w:val="15"/>
          <w:i w:val="1"/>
          <w:iCs w:val="1"/>
          <w:color w:val="auto"/>
        </w:rPr>
        <w:t>VelociGene</w:t>
      </w:r>
      <w:r>
        <w:rPr>
          <w:rFonts w:ascii="Arial" w:cs="Arial" w:eastAsia="Arial" w:hAnsi="Arial"/>
          <w:sz w:val="25"/>
          <w:szCs w:val="25"/>
          <w:color w:val="auto"/>
          <w:vertAlign w:val="superscript"/>
        </w:rPr>
        <w:t>®</w:t>
      </w:r>
      <w:r>
        <w:rPr>
          <w:rFonts w:ascii="Arial" w:cs="Arial" w:eastAsia="Arial" w:hAnsi="Arial"/>
          <w:sz w:val="15"/>
          <w:szCs w:val="15"/>
          <w:color w:val="auto"/>
        </w:rPr>
        <w:t>,”</w:t>
      </w:r>
    </w:p>
    <w:p>
      <w:pPr>
        <w:spacing w:after="0" w:line="1" w:lineRule="exact"/>
        <w:rPr>
          <w:sz w:val="20"/>
          <w:szCs w:val="20"/>
          <w:color w:val="auto"/>
        </w:rPr>
      </w:pPr>
    </w:p>
    <w:p>
      <w:pPr>
        <w:jc w:val="both"/>
        <w:ind w:left="540" w:right="560"/>
        <w:spacing w:after="0" w:line="20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VelocImmune</w:t>
      </w:r>
      <w:r>
        <w:rPr>
          <w:rFonts w:ascii="Arial" w:cs="Arial" w:eastAsia="Arial" w:hAnsi="Arial"/>
          <w:sz w:val="26"/>
          <w:szCs w:val="26"/>
          <w:color w:val="auto"/>
          <w:vertAlign w:val="superscript"/>
        </w:rPr>
        <w:t>®</w:t>
      </w:r>
      <w:r>
        <w:rPr>
          <w:rFonts w:ascii="Arial" w:cs="Arial" w:eastAsia="Arial" w:hAnsi="Arial"/>
          <w:sz w:val="16"/>
          <w:szCs w:val="16"/>
          <w:color w:val="auto"/>
        </w:rPr>
        <w:t>,” “</w:t>
      </w:r>
      <w:r>
        <w:rPr>
          <w:rFonts w:ascii="Arial" w:cs="Arial" w:eastAsia="Arial" w:hAnsi="Arial"/>
          <w:sz w:val="16"/>
          <w:szCs w:val="16"/>
          <w:i w:val="1"/>
          <w:iCs w:val="1"/>
          <w:color w:val="auto"/>
        </w:rPr>
        <w:t>VelociSuite</w:t>
      </w:r>
      <w:r>
        <w:rPr>
          <w:rFonts w:ascii="Arial" w:cs="Arial" w:eastAsia="Arial" w:hAnsi="Arial"/>
          <w:sz w:val="26"/>
          <w:szCs w:val="26"/>
          <w:color w:val="auto"/>
          <w:vertAlign w:val="superscript"/>
        </w:rPr>
        <w:t>®</w:t>
      </w:r>
      <w:r>
        <w:rPr>
          <w:rFonts w:ascii="Arial" w:cs="Arial" w:eastAsia="Arial" w:hAnsi="Arial"/>
          <w:sz w:val="16"/>
          <w:szCs w:val="16"/>
          <w:color w:val="auto"/>
        </w:rPr>
        <w:t>,” and “ZALTRAP</w:t>
      </w:r>
      <w:r>
        <w:rPr>
          <w:rFonts w:ascii="Arial" w:cs="Arial" w:eastAsia="Arial" w:hAnsi="Arial"/>
          <w:sz w:val="26"/>
          <w:szCs w:val="26"/>
          <w:color w:val="auto"/>
          <w:vertAlign w:val="superscript"/>
        </w:rPr>
        <w:t>®</w:t>
      </w:r>
      <w:r>
        <w:rPr>
          <w:rFonts w:ascii="Arial" w:cs="Arial" w:eastAsia="Arial" w:hAnsi="Arial"/>
          <w:sz w:val="16"/>
          <w:szCs w:val="16"/>
          <w:color w:val="auto"/>
        </w:rPr>
        <w:t>” are trademarks of Regeneron Pharmaceuticals, Inc. (“Regeneron”). This proxy statement refers to products marketed or otherwise commercialized by Regeneron, its collaborators, and other parties. Consult the product label in each territory for specific information about such products.</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ii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type w:val="continuous"/>
        </w:sectPr>
      </w:pPr>
    </w:p>
    <w:bookmarkStart w:id="15" w:name="page16"/>
    <w:bookmarkEnd w:id="15"/>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001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0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50"/>
          <w:szCs w:val="50"/>
          <w:b w:val="1"/>
          <w:bCs w:val="1"/>
          <w:color w:val="auto"/>
        </w:rPr>
        <w:t>USERS’ GUIDE</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PROXY DASHBOARD</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Meeting Date: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June 10, 2022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10:30 A.M., ET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215BA8"/>
        </w:rPr>
        <w:t>ONLINE AT</w:t>
      </w:r>
    </w:p>
    <w:p>
      <w:pPr>
        <w:spacing w:after="0"/>
        <w:rPr>
          <w:sz w:val="20"/>
          <w:szCs w:val="20"/>
          <w:color w:val="auto"/>
        </w:rPr>
      </w:pPr>
      <w:r>
        <w:rPr>
          <w:rFonts w:ascii="Arial" w:cs="Arial" w:eastAsia="Arial" w:hAnsi="Arial"/>
          <w:sz w:val="15"/>
          <w:szCs w:val="15"/>
          <w:b w:val="1"/>
          <w:bCs w:val="1"/>
          <w:color w:val="215BA8"/>
        </w:rPr>
        <w:t>www.virtualshareholdermeeting.com/REGN2022</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APRIL 12, 2022</w:t>
      </w:r>
    </w:p>
    <w:p>
      <w:pPr>
        <w:spacing w:after="0" w:line="323" w:lineRule="exact"/>
        <w:rPr>
          <w:sz w:val="20"/>
          <w:szCs w:val="20"/>
          <w:color w:val="auto"/>
        </w:rPr>
      </w:pPr>
    </w:p>
    <w:p>
      <w:pPr>
        <w:sectPr>
          <w:pgSz w:w="11900" w:h="16838" w:orient="portrait"/>
          <w:cols w:equalWidth="0" w:num="4">
            <w:col w:w="1580" w:space="500"/>
            <w:col w:w="1060" w:space="460"/>
            <w:col w:w="4860" w:space="720"/>
            <w:col w:w="2060"/>
          </w:cols>
          <w:pgMar w:left="320" w:top="1440" w:right="339" w:bottom="1440" w:gutter="0" w:footer="0" w:header="0"/>
          <w:type w:val="continuous"/>
        </w:sectPr>
      </w:pPr>
    </w:p>
    <w:p>
      <w:pPr>
        <w:ind w:left="540"/>
        <w:spacing w:after="0"/>
        <w:rPr>
          <w:sz w:val="20"/>
          <w:szCs w:val="20"/>
          <w:color w:val="auto"/>
        </w:rPr>
      </w:pPr>
      <w:r>
        <w:rPr>
          <w:rFonts w:ascii="Arial" w:cs="Arial" w:eastAsia="Arial" w:hAnsi="Arial"/>
          <w:sz w:val="23"/>
          <w:szCs w:val="23"/>
          <w:b w:val="1"/>
          <w:bCs w:val="1"/>
          <w:color w:val="D60058"/>
        </w:rPr>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40"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800" w:type="dxa"/>
            <w:vAlign w:val="bottom"/>
            <w:tcBorders>
              <w:bottom w:val="single" w:sz="8" w:color="215AA8"/>
            </w:tcBorders>
          </w:tcPr>
          <w:p>
            <w:pPr>
              <w:spacing w:after="0"/>
              <w:rPr>
                <w:sz w:val="13"/>
                <w:szCs w:val="13"/>
                <w:color w:val="auto"/>
              </w:rPr>
            </w:pPr>
          </w:p>
        </w:tc>
        <w:tc>
          <w:tcPr>
            <w:tcW w:w="7400" w:type="dxa"/>
            <w:vAlign w:val="bottom"/>
            <w:tcBorders>
              <w:bottom w:val="single" w:sz="8" w:color="215AA8"/>
            </w:tcBorders>
          </w:tcPr>
          <w:p>
            <w:pPr>
              <w:ind w:left="240"/>
              <w:spacing w:after="0"/>
              <w:rPr>
                <w:sz w:val="20"/>
                <w:szCs w:val="20"/>
                <w:color w:val="auto"/>
              </w:rPr>
            </w:pPr>
            <w:r>
              <w:rPr>
                <w:rFonts w:ascii="Arial" w:cs="Arial" w:eastAsia="Arial" w:hAnsi="Arial"/>
                <w:sz w:val="12"/>
                <w:szCs w:val="12"/>
                <w:b w:val="1"/>
                <w:bCs w:val="1"/>
                <w:color w:val="215BA8"/>
              </w:rPr>
              <w:t>Matter</w:t>
            </w:r>
          </w:p>
        </w:tc>
        <w:tc>
          <w:tcPr>
            <w:tcW w:w="1960" w:type="dxa"/>
            <w:vAlign w:val="bottom"/>
            <w:tcBorders>
              <w:bottom w:val="single" w:sz="8" w:color="215AA8"/>
            </w:tcBorders>
          </w:tcPr>
          <w:p>
            <w:pPr>
              <w:ind w:left="140"/>
              <w:spacing w:after="0"/>
              <w:rPr>
                <w:sz w:val="20"/>
                <w:szCs w:val="20"/>
                <w:color w:val="auto"/>
              </w:rPr>
            </w:pPr>
            <w:r>
              <w:rPr>
                <w:rFonts w:ascii="Arial" w:cs="Arial" w:eastAsia="Arial" w:hAnsi="Arial"/>
                <w:sz w:val="12"/>
                <w:szCs w:val="12"/>
                <w:b w:val="1"/>
                <w:bCs w:val="1"/>
                <w:color w:val="215BA8"/>
              </w:rPr>
              <w:t>Board Vote Recommendation</w:t>
            </w:r>
          </w:p>
        </w:tc>
        <w:tc>
          <w:tcPr>
            <w:tcW w:w="0" w:type="dxa"/>
            <w:vAlign w:val="bottom"/>
          </w:tcPr>
          <w:p>
            <w:pPr>
              <w:spacing w:after="0"/>
              <w:rPr>
                <w:sz w:val="1"/>
                <w:szCs w:val="1"/>
                <w:color w:val="auto"/>
              </w:rPr>
            </w:pPr>
          </w:p>
        </w:tc>
      </w:tr>
      <w:tr>
        <w:trPr>
          <w:trHeight w:val="358"/>
        </w:trPr>
        <w:tc>
          <w:tcPr>
            <w:tcW w:w="800" w:type="dxa"/>
            <w:vAlign w:val="bottom"/>
            <w:vMerge w:val="restart"/>
          </w:tcPr>
          <w:p>
            <w:pPr>
              <w:jc w:val="right"/>
              <w:ind w:right="26"/>
              <w:spacing w:after="0"/>
              <w:rPr>
                <w:sz w:val="20"/>
                <w:szCs w:val="20"/>
                <w:color w:val="auto"/>
              </w:rPr>
            </w:pPr>
            <w:r>
              <w:rPr>
                <w:rFonts w:ascii="Arial" w:cs="Arial" w:eastAsia="Arial" w:hAnsi="Arial"/>
                <w:sz w:val="47"/>
                <w:szCs w:val="47"/>
                <w:b w:val="1"/>
                <w:bCs w:val="1"/>
                <w:color w:val="D60058"/>
              </w:rPr>
              <w:t>1</w:t>
            </w:r>
          </w:p>
        </w:tc>
        <w:tc>
          <w:tcPr>
            <w:tcW w:w="7400" w:type="dxa"/>
            <w:vAlign w:val="bottom"/>
          </w:tcPr>
          <w:p>
            <w:pPr>
              <w:ind w:left="240"/>
              <w:spacing w:after="0"/>
              <w:rPr>
                <w:sz w:val="20"/>
                <w:szCs w:val="20"/>
                <w:color w:val="auto"/>
              </w:rPr>
            </w:pPr>
            <w:r>
              <w:rPr>
                <w:rFonts w:ascii="Arial" w:cs="Arial" w:eastAsia="Arial" w:hAnsi="Arial"/>
                <w:sz w:val="16"/>
                <w:szCs w:val="16"/>
                <w:color w:val="auto"/>
              </w:rPr>
              <w:t>Election of four Class I directors for a three-year term</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15BA8"/>
              </w:rPr>
              <w:t xml:space="preserve">FOR </w:t>
            </w:r>
            <w:r>
              <w:rPr>
                <w:rFonts w:ascii="Arial" w:cs="Arial" w:eastAsia="Arial" w:hAnsi="Arial"/>
                <w:sz w:val="16"/>
                <w:szCs w:val="16"/>
                <w:color w:val="000000"/>
              </w:rPr>
              <w:t>each director</w:t>
            </w:r>
          </w:p>
        </w:tc>
        <w:tc>
          <w:tcPr>
            <w:tcW w:w="0" w:type="dxa"/>
            <w:vAlign w:val="bottom"/>
          </w:tcPr>
          <w:p>
            <w:pPr>
              <w:spacing w:after="0"/>
              <w:rPr>
                <w:sz w:val="1"/>
                <w:szCs w:val="1"/>
                <w:color w:val="auto"/>
              </w:rPr>
            </w:pPr>
          </w:p>
        </w:tc>
      </w:tr>
      <w:tr>
        <w:trPr>
          <w:trHeight w:val="282"/>
        </w:trPr>
        <w:tc>
          <w:tcPr>
            <w:tcW w:w="800" w:type="dxa"/>
            <w:vAlign w:val="bottom"/>
            <w:vMerge w:val="continue"/>
          </w:tcPr>
          <w:p>
            <w:pPr>
              <w:spacing w:after="0"/>
              <w:rPr>
                <w:sz w:val="24"/>
                <w:szCs w:val="24"/>
                <w:color w:val="auto"/>
              </w:rPr>
            </w:pPr>
          </w:p>
        </w:tc>
        <w:tc>
          <w:tcPr>
            <w:tcW w:w="7400" w:type="dxa"/>
            <w:vAlign w:val="bottom"/>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16"/>
                <w:szCs w:val="16"/>
                <w:color w:val="auto"/>
              </w:rPr>
              <w:t>nominee</w:t>
            </w:r>
          </w:p>
        </w:tc>
        <w:tc>
          <w:tcPr>
            <w:tcW w:w="0" w:type="dxa"/>
            <w:vAlign w:val="bottom"/>
          </w:tcPr>
          <w:p>
            <w:pPr>
              <w:spacing w:after="0"/>
              <w:rPr>
                <w:sz w:val="1"/>
                <w:szCs w:val="1"/>
                <w:color w:val="auto"/>
              </w:rPr>
            </w:pPr>
          </w:p>
        </w:tc>
      </w:tr>
      <w:tr>
        <w:trPr>
          <w:trHeight w:val="441"/>
        </w:trPr>
        <w:tc>
          <w:tcPr>
            <w:tcW w:w="8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 w:type="dxa"/>
            <w:vAlign w:val="bottom"/>
            <w:vMerge w:val="restart"/>
            <w:shd w:val="clear" w:color="auto" w:fill="EEEEEF"/>
          </w:tcPr>
          <w:p>
            <w:pPr>
              <w:jc w:val="right"/>
              <w:ind w:right="26"/>
              <w:spacing w:after="0"/>
              <w:rPr>
                <w:sz w:val="20"/>
                <w:szCs w:val="20"/>
                <w:color w:val="auto"/>
              </w:rPr>
            </w:pPr>
            <w:r>
              <w:rPr>
                <w:rFonts w:ascii="Arial" w:cs="Arial" w:eastAsia="Arial" w:hAnsi="Arial"/>
                <w:sz w:val="47"/>
                <w:szCs w:val="47"/>
                <w:b w:val="1"/>
                <w:bCs w:val="1"/>
                <w:color w:val="D60058"/>
              </w:rPr>
              <w:t>2</w:t>
            </w:r>
          </w:p>
        </w:tc>
        <w:tc>
          <w:tcPr>
            <w:tcW w:w="7400" w:type="dxa"/>
            <w:vAlign w:val="bottom"/>
            <w:shd w:val="clear" w:color="auto" w:fill="EEEEEF"/>
          </w:tcPr>
          <w:p>
            <w:pPr>
              <w:ind w:left="240"/>
              <w:spacing w:after="0"/>
              <w:rPr>
                <w:sz w:val="20"/>
                <w:szCs w:val="20"/>
                <w:color w:val="auto"/>
              </w:rPr>
            </w:pPr>
            <w:r>
              <w:rPr>
                <w:rFonts w:ascii="Arial" w:cs="Arial" w:eastAsia="Arial" w:hAnsi="Arial"/>
                <w:sz w:val="16"/>
                <w:szCs w:val="16"/>
                <w:color w:val="auto"/>
              </w:rPr>
              <w:t>Ratification of the appointment of PricewaterhouseCoopers LLP as the Company’s independent</w:t>
            </w:r>
          </w:p>
        </w:tc>
        <w:tc>
          <w:tcPr>
            <w:tcW w:w="1960" w:type="dxa"/>
            <w:vAlign w:val="bottom"/>
            <w:shd w:val="clear" w:color="auto" w:fill="EEEEEF"/>
          </w:tcPr>
          <w:p>
            <w:pPr>
              <w:ind w:left="140"/>
              <w:spacing w:after="0"/>
              <w:rPr>
                <w:sz w:val="20"/>
                <w:szCs w:val="20"/>
                <w:color w:val="auto"/>
              </w:rPr>
            </w:pPr>
            <w:r>
              <w:rPr>
                <w:rFonts w:ascii="Arial" w:cs="Arial" w:eastAsia="Arial" w:hAnsi="Arial"/>
                <w:sz w:val="16"/>
                <w:szCs w:val="16"/>
                <w:b w:val="1"/>
                <w:bCs w:val="1"/>
                <w:color w:val="215BA8"/>
              </w:rPr>
              <w:t>FOR</w:t>
            </w:r>
          </w:p>
        </w:tc>
        <w:tc>
          <w:tcPr>
            <w:tcW w:w="0" w:type="dxa"/>
            <w:vAlign w:val="bottom"/>
          </w:tcPr>
          <w:p>
            <w:pPr>
              <w:spacing w:after="0"/>
              <w:rPr>
                <w:sz w:val="1"/>
                <w:szCs w:val="1"/>
                <w:color w:val="auto"/>
              </w:rPr>
            </w:pPr>
          </w:p>
        </w:tc>
      </w:tr>
      <w:tr>
        <w:trPr>
          <w:trHeight w:val="282"/>
        </w:trPr>
        <w:tc>
          <w:tcPr>
            <w:tcW w:w="800" w:type="dxa"/>
            <w:vAlign w:val="bottom"/>
            <w:vMerge w:val="continue"/>
            <w:shd w:val="clear" w:color="auto" w:fill="EEEEEF"/>
          </w:tcPr>
          <w:p>
            <w:pPr>
              <w:spacing w:after="0"/>
              <w:rPr>
                <w:sz w:val="24"/>
                <w:szCs w:val="24"/>
                <w:color w:val="auto"/>
              </w:rPr>
            </w:pPr>
          </w:p>
        </w:tc>
        <w:tc>
          <w:tcPr>
            <w:tcW w:w="7400" w:type="dxa"/>
            <w:vAlign w:val="bottom"/>
            <w:shd w:val="clear" w:color="auto" w:fill="EEEEEF"/>
          </w:tcPr>
          <w:p>
            <w:pPr>
              <w:ind w:left="240"/>
              <w:spacing w:after="0"/>
              <w:rPr>
                <w:sz w:val="20"/>
                <w:szCs w:val="20"/>
                <w:color w:val="auto"/>
              </w:rPr>
            </w:pPr>
            <w:r>
              <w:rPr>
                <w:rFonts w:ascii="Arial" w:cs="Arial" w:eastAsia="Arial" w:hAnsi="Arial"/>
                <w:sz w:val="16"/>
                <w:szCs w:val="16"/>
                <w:color w:val="auto"/>
              </w:rPr>
              <w:t>registered public accounting firm for the fiscal year ending December 31, 2022</w:t>
            </w:r>
          </w:p>
        </w:tc>
        <w:tc>
          <w:tcPr>
            <w:tcW w:w="1960" w:type="dxa"/>
            <w:vAlign w:val="bottom"/>
            <w:shd w:val="clear" w:color="auto" w:fill="EEEEE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Borders>
              <w:bottom w:val="single" w:sz="8" w:color="auto"/>
            </w:tcBorders>
            <w:shd w:val="clear" w:color="auto" w:fill="EEEEEF"/>
          </w:tcPr>
          <w:p>
            <w:pPr>
              <w:spacing w:after="0"/>
              <w:rPr>
                <w:sz w:val="23"/>
                <w:szCs w:val="23"/>
                <w:color w:val="auto"/>
              </w:rPr>
            </w:pPr>
          </w:p>
        </w:tc>
        <w:tc>
          <w:tcPr>
            <w:tcW w:w="7400" w:type="dxa"/>
            <w:vAlign w:val="bottom"/>
            <w:tcBorders>
              <w:bottom w:val="single" w:sz="8" w:color="auto"/>
            </w:tcBorders>
            <w:shd w:val="clear" w:color="auto" w:fill="EEEEEF"/>
          </w:tcPr>
          <w:p>
            <w:pPr>
              <w:spacing w:after="0"/>
              <w:rPr>
                <w:sz w:val="23"/>
                <w:szCs w:val="23"/>
                <w:color w:val="auto"/>
              </w:rPr>
            </w:pPr>
          </w:p>
        </w:tc>
        <w:tc>
          <w:tcPr>
            <w:tcW w:w="1960" w:type="dxa"/>
            <w:vAlign w:val="bottom"/>
            <w:tcBorders>
              <w:bottom w:val="single" w:sz="8" w:color="auto"/>
            </w:tcBorders>
            <w:shd w:val="clear" w:color="auto" w:fill="EEEEEF"/>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800" w:type="dxa"/>
            <w:vAlign w:val="bottom"/>
            <w:vMerge w:val="restart"/>
          </w:tcPr>
          <w:p>
            <w:pPr>
              <w:jc w:val="right"/>
              <w:ind w:right="26"/>
              <w:spacing w:after="0"/>
              <w:rPr>
                <w:sz w:val="20"/>
                <w:szCs w:val="20"/>
                <w:color w:val="auto"/>
              </w:rPr>
            </w:pPr>
            <w:r>
              <w:rPr>
                <w:rFonts w:ascii="Arial" w:cs="Arial" w:eastAsia="Arial" w:hAnsi="Arial"/>
                <w:sz w:val="47"/>
                <w:szCs w:val="47"/>
                <w:b w:val="1"/>
                <w:bCs w:val="1"/>
                <w:color w:val="D60058"/>
              </w:rPr>
              <w:t>3</w:t>
            </w:r>
          </w:p>
        </w:tc>
        <w:tc>
          <w:tcPr>
            <w:tcW w:w="7400" w:type="dxa"/>
            <w:vAlign w:val="bottom"/>
          </w:tcPr>
          <w:p>
            <w:pPr>
              <w:ind w:left="240"/>
              <w:spacing w:after="0"/>
              <w:rPr>
                <w:sz w:val="20"/>
                <w:szCs w:val="20"/>
                <w:color w:val="auto"/>
              </w:rPr>
            </w:pPr>
            <w:r>
              <w:rPr>
                <w:rFonts w:ascii="Arial" w:cs="Arial" w:eastAsia="Arial" w:hAnsi="Arial"/>
                <w:sz w:val="16"/>
                <w:szCs w:val="16"/>
                <w:color w:val="auto"/>
                <w:w w:val="99"/>
              </w:rPr>
              <w:t>Advisory vote to approve the compensation of the Company’s Named Executive Officers as disclosed</w:t>
            </w:r>
          </w:p>
        </w:tc>
        <w:tc>
          <w:tcPr>
            <w:tcW w:w="1960" w:type="dxa"/>
            <w:vAlign w:val="bottom"/>
          </w:tcPr>
          <w:p>
            <w:pPr>
              <w:ind w:left="140"/>
              <w:spacing w:after="0"/>
              <w:rPr>
                <w:sz w:val="20"/>
                <w:szCs w:val="20"/>
                <w:color w:val="auto"/>
              </w:rPr>
            </w:pPr>
            <w:r>
              <w:rPr>
                <w:rFonts w:ascii="Arial" w:cs="Arial" w:eastAsia="Arial" w:hAnsi="Arial"/>
                <w:sz w:val="16"/>
                <w:szCs w:val="16"/>
                <w:b w:val="1"/>
                <w:bCs w:val="1"/>
                <w:color w:val="215BA8"/>
              </w:rPr>
              <w:t>FOR</w:t>
            </w:r>
          </w:p>
        </w:tc>
        <w:tc>
          <w:tcPr>
            <w:tcW w:w="0" w:type="dxa"/>
            <w:vAlign w:val="bottom"/>
          </w:tcPr>
          <w:p>
            <w:pPr>
              <w:spacing w:after="0"/>
              <w:rPr>
                <w:sz w:val="1"/>
                <w:szCs w:val="1"/>
                <w:color w:val="auto"/>
              </w:rPr>
            </w:pPr>
          </w:p>
        </w:tc>
      </w:tr>
      <w:tr>
        <w:trPr>
          <w:trHeight w:val="282"/>
        </w:trPr>
        <w:tc>
          <w:tcPr>
            <w:tcW w:w="800" w:type="dxa"/>
            <w:vAlign w:val="bottom"/>
            <w:vMerge w:val="continue"/>
          </w:tcPr>
          <w:p>
            <w:pPr>
              <w:spacing w:after="0"/>
              <w:rPr>
                <w:sz w:val="24"/>
                <w:szCs w:val="24"/>
                <w:color w:val="auto"/>
              </w:rPr>
            </w:pPr>
          </w:p>
        </w:tc>
        <w:tc>
          <w:tcPr>
            <w:tcW w:w="7400" w:type="dxa"/>
            <w:vAlign w:val="bottom"/>
          </w:tcPr>
          <w:p>
            <w:pPr>
              <w:ind w:left="240"/>
              <w:spacing w:after="0"/>
              <w:rPr>
                <w:sz w:val="20"/>
                <w:szCs w:val="20"/>
                <w:color w:val="auto"/>
              </w:rPr>
            </w:pPr>
            <w:r>
              <w:rPr>
                <w:rFonts w:ascii="Arial" w:cs="Arial" w:eastAsia="Arial" w:hAnsi="Arial"/>
                <w:sz w:val="16"/>
                <w:szCs w:val="16"/>
                <w:color w:val="auto"/>
              </w:rPr>
              <w:t>in these proxy materials (say-on-pay)</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168275</wp:posOffset>
            </wp:positionV>
            <wp:extent cx="64465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-1348740</wp:posOffset>
            </wp:positionV>
            <wp:extent cx="240030"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-765810</wp:posOffset>
            </wp:positionV>
            <wp:extent cx="24003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-182880</wp:posOffset>
            </wp:positionV>
            <wp:extent cx="240030"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540" w:right="820"/>
        <w:spacing w:after="0" w:line="236" w:lineRule="auto"/>
        <w:rPr>
          <w:sz w:val="20"/>
          <w:szCs w:val="20"/>
          <w:color w:val="auto"/>
        </w:rPr>
      </w:pPr>
      <w:r>
        <w:rPr>
          <w:rFonts w:ascii="Arial" w:cs="Arial" w:eastAsia="Arial" w:hAnsi="Arial"/>
          <w:sz w:val="16"/>
          <w:szCs w:val="16"/>
          <w:color w:val="auto"/>
        </w:rPr>
        <w:t>See “General Information about the Meeting and Other Matters” starting on page 101 for questions and answers related to the annual meeting, how to vote, and other matters.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w:t>
            </w:r>
          </w:p>
        </w:tc>
      </w:tr>
      <w:tr>
        <w:trPr>
          <w:trHeight w:val="262"/>
        </w:trPr>
        <w:tc>
          <w:tcPr>
            <w:tcW w:w="8240" w:type="dxa"/>
            <w:vAlign w:val="bottom"/>
            <w:tcBorders>
              <w:bottom w:val="single" w:sz="8" w:color="C0C0C0"/>
            </w:tcBorders>
          </w:tcPr>
          <w:p>
            <w:pPr>
              <w:spacing w:after="0"/>
              <w:rPr>
                <w:sz w:val="22"/>
                <w:szCs w:val="22"/>
                <w:color w:val="auto"/>
              </w:rPr>
            </w:pPr>
          </w:p>
        </w:tc>
        <w:tc>
          <w:tcPr>
            <w:tcW w:w="30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40" w:right="339" w:bottom="1440" w:gutter="0" w:footer="0" w:header="0"/>
          <w:type w:val="continuous"/>
        </w:sectPr>
      </w:pPr>
    </w:p>
    <w:bookmarkStart w:id="16" w:name="page17"/>
    <w:bookmarkEnd w:id="16"/>
    <w:p>
      <w:pPr>
        <w:ind w:left="540"/>
        <w:spacing w:after="0"/>
        <w:rPr>
          <w:sz w:val="20"/>
          <w:szCs w:val="20"/>
          <w:color w:val="auto"/>
        </w:rPr>
      </w:pPr>
      <w:r>
        <w:rPr>
          <w:rFonts w:ascii="Arial" w:cs="Arial" w:eastAsia="Arial" w:hAnsi="Arial"/>
          <w:sz w:val="14"/>
          <w:szCs w:val="14"/>
          <w:b w:val="1"/>
          <w:bCs w:val="1"/>
          <w:color w:val="215BA8"/>
        </w:rPr>
        <w:t xml:space="preserve">USERS’ GUIDE / </w:t>
      </w:r>
      <w:r>
        <w:rPr>
          <w:rFonts w:ascii="Arial" w:cs="Arial" w:eastAsia="Arial" w:hAnsi="Arial"/>
          <w:sz w:val="14"/>
          <w:szCs w:val="14"/>
          <w:b w:val="1"/>
          <w:bCs w:val="1"/>
          <w:color w:val="D60058"/>
        </w:rPr>
        <w:t>PROXY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PROXY HIGHLIGHTS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BOARD RESPONSIVENESS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05"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In the last decade, we have actively and regularly engaged with our key shareholders to receive feedback on many important areas including governance, compensation, and corporate responsibility matters. Following the 2021 annual shareholder meeting, once again our board of directors and senior management team embarked on an extensive, in-depth engagement to gather insight into shareholder voting decisions at that meeting and to solicit feedback from key shareholders on compensation and governance matters. We reached out to shareholders collectively representing nearly 60% of the shares of the Company’s common stock, par value $0.001 per share (“common stock”), outstanding as of December 31, 2021 (excluding shares held by our directors and executive officers), which we refer to as “public shares.” This outreach resulted in one-on-one discussions with shareholders representing over 40% of our public shares. In addition, we engaged with the two largest proxy advisory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102870</wp:posOffset>
            </wp:positionV>
            <wp:extent cx="3771900" cy="1663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7190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0" w:right="660"/>
        <w:spacing w:after="0" w:line="232" w:lineRule="auto"/>
        <w:rPr>
          <w:sz w:val="20"/>
          <w:szCs w:val="20"/>
          <w:color w:val="auto"/>
        </w:rPr>
      </w:pPr>
      <w:r>
        <w:rPr>
          <w:rFonts w:ascii="Arial" w:cs="Arial" w:eastAsia="Arial" w:hAnsi="Arial"/>
          <w:sz w:val="16"/>
          <w:szCs w:val="16"/>
          <w:color w:val="auto"/>
        </w:rPr>
        <w:t>We prioritized director participation in this outreach program, with the Chairs of our Compensation and Corporate Governance and Compliance Committees leading discussions comprising approximately 80% of the public shares engaged during our outreach as well as our discussions with the two largest proxy advisory firms. When appropriate, multiple meetings with the same shareholder were held in order to set an appropriate agenda and ensure complete and candid dialogue.</w:t>
      </w:r>
    </w:p>
    <w:p>
      <w:pPr>
        <w:spacing w:after="0" w:line="166" w:lineRule="exact"/>
        <w:rPr>
          <w:sz w:val="20"/>
          <w:szCs w:val="20"/>
          <w:color w:val="auto"/>
        </w:rPr>
      </w:pPr>
    </w:p>
    <w:p>
      <w:pPr>
        <w:ind w:left="540" w:right="560"/>
        <w:spacing w:after="0" w:line="232" w:lineRule="auto"/>
        <w:rPr>
          <w:sz w:val="20"/>
          <w:szCs w:val="20"/>
          <w:color w:val="auto"/>
        </w:rPr>
      </w:pPr>
      <w:r>
        <w:rPr>
          <w:rFonts w:ascii="Arial" w:cs="Arial" w:eastAsia="Arial" w:hAnsi="Arial"/>
          <w:sz w:val="16"/>
          <w:szCs w:val="16"/>
          <w:color w:val="auto"/>
        </w:rPr>
        <w:t>Our board has always viewed shareholder feedback as critical for its decision-making, and has taken several actions over the years that are aligned with the investor feedback received. The feedback we received in 2021 was again an important factor in board and committee discussions, which led to several actions as listed in the table below. For more information on other actions taken in response to shareholder feedback over the last five years, please see the subsection “Compensation-Related Matters–Compensation Discussion and Analysis–Compensation Processes– Shareholder Input and Outreach.”</w:t>
      </w:r>
    </w:p>
    <w:p>
      <w:pPr>
        <w:spacing w:after="0" w:line="17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9"/>
        </w:trPr>
        <w:tc>
          <w:tcPr>
            <w:tcW w:w="540" w:type="dxa"/>
            <w:vAlign w:val="bottom"/>
            <w:tcBorders>
              <w:bottom w:val="single" w:sz="8" w:color="00AEEF"/>
            </w:tcBorders>
          </w:tcPr>
          <w:p>
            <w:pPr>
              <w:spacing w:after="0"/>
              <w:rPr>
                <w:sz w:val="18"/>
                <w:szCs w:val="18"/>
                <w:color w:val="auto"/>
              </w:rPr>
            </w:pPr>
          </w:p>
        </w:tc>
        <w:tc>
          <w:tcPr>
            <w:tcW w:w="1580" w:type="dxa"/>
            <w:vAlign w:val="bottom"/>
            <w:tcBorders>
              <w:bottom w:val="single" w:sz="8" w:color="00AEEF"/>
            </w:tcBorders>
          </w:tcPr>
          <w:p>
            <w:pPr>
              <w:spacing w:after="0"/>
              <w:rPr>
                <w:sz w:val="18"/>
                <w:szCs w:val="18"/>
                <w:color w:val="auto"/>
              </w:rPr>
            </w:pPr>
          </w:p>
        </w:tc>
        <w:tc>
          <w:tcPr>
            <w:tcW w:w="4520" w:type="dxa"/>
            <w:vAlign w:val="bottom"/>
            <w:tcBorders>
              <w:bottom w:val="single" w:sz="8" w:color="00AEEF"/>
            </w:tcBorders>
          </w:tcPr>
          <w:p>
            <w:pPr>
              <w:spacing w:after="0"/>
              <w:rPr>
                <w:sz w:val="18"/>
                <w:szCs w:val="18"/>
                <w:color w:val="auto"/>
              </w:rPr>
            </w:pPr>
          </w:p>
        </w:tc>
        <w:tc>
          <w:tcPr>
            <w:tcW w:w="4600" w:type="dxa"/>
            <w:vAlign w:val="bottom"/>
            <w:tcBorders>
              <w:bottom w:val="single" w:sz="8" w:color="00AEEF"/>
            </w:tcBorders>
            <w:gridSpan w:val="2"/>
          </w:tcPr>
          <w:p>
            <w:pPr>
              <w:ind w:left="1320"/>
              <w:spacing w:after="0"/>
              <w:rPr>
                <w:sz w:val="20"/>
                <w:szCs w:val="20"/>
                <w:color w:val="auto"/>
              </w:rPr>
            </w:pPr>
            <w:r>
              <w:rPr>
                <w:rFonts w:ascii="Arial" w:cs="Arial" w:eastAsia="Arial" w:hAnsi="Arial"/>
                <w:sz w:val="14"/>
                <w:szCs w:val="14"/>
                <w:b w:val="1"/>
                <w:bCs w:val="1"/>
                <w:color w:val="215BA8"/>
              </w:rPr>
              <w:t xml:space="preserve">USERS’ GUIDE  /  </w:t>
            </w:r>
            <w:r>
              <w:rPr>
                <w:rFonts w:ascii="Arial" w:cs="Arial" w:eastAsia="Arial" w:hAnsi="Arial"/>
                <w:sz w:val="14"/>
                <w:szCs w:val="14"/>
                <w:b w:val="1"/>
                <w:bCs w:val="1"/>
                <w:color w:val="D60058"/>
              </w:rPr>
              <w:t>PROXY HIGHLIGHTS</w:t>
            </w:r>
          </w:p>
        </w:tc>
      </w:tr>
      <w:tr>
        <w:trPr>
          <w:trHeight w:val="634"/>
        </w:trPr>
        <w:tc>
          <w:tcPr>
            <w:tcW w:w="54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Arial" w:cs="Arial" w:eastAsia="Arial" w:hAnsi="Arial"/>
                <w:sz w:val="18"/>
                <w:szCs w:val="18"/>
                <w:b w:val="1"/>
                <w:bCs w:val="1"/>
                <w:color w:val="D60058"/>
              </w:rPr>
              <w:t>Response to 2021 Shareholder Feedback</w:t>
            </w:r>
          </w:p>
        </w:tc>
        <w:tc>
          <w:tcPr>
            <w:tcW w:w="4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48"/>
        </w:trPr>
        <w:tc>
          <w:tcPr>
            <w:tcW w:w="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4600" w:type="dxa"/>
            <w:vAlign w:val="bottom"/>
            <w:gridSpan w:val="2"/>
          </w:tcPr>
          <w:p>
            <w:pPr>
              <w:spacing w:after="0"/>
              <w:rPr>
                <w:sz w:val="12"/>
                <w:szCs w:val="12"/>
                <w:color w:val="auto"/>
              </w:rPr>
            </w:pPr>
          </w:p>
        </w:tc>
      </w:tr>
      <w:tr>
        <w:trPr>
          <w:trHeight w:val="277"/>
        </w:trPr>
        <w:tc>
          <w:tcPr>
            <w:tcW w:w="54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2"/>
                <w:szCs w:val="12"/>
                <w:b w:val="1"/>
                <w:bCs w:val="1"/>
                <w:color w:val="215BA8"/>
              </w:rPr>
              <w:t>Feedback Themes</w:t>
            </w:r>
          </w:p>
        </w:tc>
        <w:tc>
          <w:tcPr>
            <w:tcW w:w="4520" w:type="dxa"/>
            <w:vAlign w:val="bottom"/>
          </w:tcPr>
          <w:p>
            <w:pPr>
              <w:ind w:left="460"/>
              <w:spacing w:after="0"/>
              <w:rPr>
                <w:sz w:val="20"/>
                <w:szCs w:val="20"/>
                <w:color w:val="auto"/>
              </w:rPr>
            </w:pPr>
            <w:r>
              <w:rPr>
                <w:rFonts w:ascii="Arial" w:cs="Arial" w:eastAsia="Arial" w:hAnsi="Arial"/>
                <w:sz w:val="12"/>
                <w:szCs w:val="12"/>
                <w:b w:val="1"/>
                <w:bCs w:val="1"/>
                <w:color w:val="215BA8"/>
              </w:rPr>
              <w:t>Specific Shareholder Feedback</w:t>
            </w:r>
          </w:p>
        </w:tc>
        <w:tc>
          <w:tcPr>
            <w:tcW w:w="4060" w:type="dxa"/>
            <w:vAlign w:val="bottom"/>
            <w:tcBorders>
              <w:bottom w:val="single" w:sz="8" w:color="215BA8"/>
            </w:tcBorders>
            <w:shd w:val="clear" w:color="auto" w:fill="215BA8"/>
          </w:tcPr>
          <w:p>
            <w:pPr>
              <w:ind w:left="60"/>
              <w:spacing w:after="0"/>
              <w:rPr>
                <w:sz w:val="20"/>
                <w:szCs w:val="20"/>
                <w:color w:val="auto"/>
              </w:rPr>
            </w:pPr>
            <w:r>
              <w:rPr>
                <w:rFonts w:ascii="Arial" w:cs="Arial" w:eastAsia="Arial" w:hAnsi="Arial"/>
                <w:sz w:val="12"/>
                <w:szCs w:val="12"/>
                <w:b w:val="1"/>
                <w:bCs w:val="1"/>
                <w:color w:val="FFFFFF"/>
              </w:rPr>
              <w:t>Regeneron Board Response</w:t>
            </w:r>
          </w:p>
        </w:tc>
        <w:tc>
          <w:tcPr>
            <w:tcW w:w="54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1580" w:type="dxa"/>
            <w:vAlign w:val="bottom"/>
            <w:tcBorders>
              <w:top w:val="single" w:sz="8" w:color="215AA8"/>
            </w:tcBorders>
          </w:tcPr>
          <w:p>
            <w:pPr>
              <w:ind w:left="60"/>
              <w:spacing w:after="0"/>
              <w:rPr>
                <w:sz w:val="20"/>
                <w:szCs w:val="20"/>
                <w:color w:val="auto"/>
              </w:rPr>
            </w:pPr>
            <w:r>
              <w:rPr>
                <w:rFonts w:ascii="Arial" w:cs="Arial" w:eastAsia="Arial" w:hAnsi="Arial"/>
                <w:sz w:val="14"/>
                <w:szCs w:val="14"/>
                <w:b w:val="1"/>
                <w:bCs w:val="1"/>
                <w:color w:val="auto"/>
              </w:rPr>
              <w:t>Frequency of</w:t>
            </w:r>
          </w:p>
        </w:tc>
        <w:tc>
          <w:tcPr>
            <w:tcW w:w="4520" w:type="dxa"/>
            <w:vAlign w:val="bottom"/>
            <w:tcBorders>
              <w:top w:val="single" w:sz="8" w:color="215AA8"/>
            </w:tcBorders>
          </w:tcPr>
          <w:p>
            <w:pPr>
              <w:ind w:left="460"/>
              <w:spacing w:after="0"/>
              <w:rPr>
                <w:sz w:val="20"/>
                <w:szCs w:val="20"/>
                <w:color w:val="auto"/>
              </w:rPr>
            </w:pPr>
            <w:r>
              <w:rPr>
                <w:rFonts w:ascii="Arial" w:cs="Arial" w:eastAsia="Arial" w:hAnsi="Arial"/>
                <w:sz w:val="14"/>
                <w:szCs w:val="14"/>
                <w:color w:val="auto"/>
              </w:rPr>
              <w:t>Investors expressed an overwhelming preference for an</w:t>
            </w:r>
          </w:p>
        </w:tc>
        <w:tc>
          <w:tcPr>
            <w:tcW w:w="4060" w:type="dxa"/>
            <w:vAlign w:val="bottom"/>
            <w:tcBorders>
              <w:top w:val="single" w:sz="8" w:color="215AA8"/>
            </w:tcBorders>
          </w:tcPr>
          <w:p>
            <w:pPr>
              <w:ind w:left="60"/>
              <w:spacing w:after="0"/>
              <w:rPr>
                <w:sz w:val="20"/>
                <w:szCs w:val="20"/>
                <w:color w:val="auto"/>
              </w:rPr>
            </w:pPr>
            <w:r>
              <w:rPr>
                <w:rFonts w:ascii="Arial" w:cs="Arial" w:eastAsia="Arial" w:hAnsi="Arial"/>
                <w:sz w:val="14"/>
                <w:szCs w:val="14"/>
                <w:color w:val="auto"/>
              </w:rPr>
              <w:t>The board has adopted an annual say-on-pay vote effective</w:t>
            </w:r>
          </w:p>
        </w:tc>
        <w:tc>
          <w:tcPr>
            <w:tcW w:w="540" w:type="dxa"/>
            <w:vAlign w:val="bottom"/>
          </w:tcPr>
          <w:p>
            <w:pPr>
              <w:spacing w:after="0"/>
              <w:rPr>
                <w:sz w:val="17"/>
                <w:szCs w:val="17"/>
                <w:color w:val="auto"/>
              </w:rPr>
            </w:pPr>
          </w:p>
        </w:tc>
      </w:tr>
      <w:tr>
        <w:trPr>
          <w:trHeight w:val="162"/>
        </w:trPr>
        <w:tc>
          <w:tcPr>
            <w:tcW w:w="540" w:type="dxa"/>
            <w:vAlign w:val="bottom"/>
          </w:tcPr>
          <w:p>
            <w:pPr>
              <w:spacing w:after="0"/>
              <w:rPr>
                <w:sz w:val="14"/>
                <w:szCs w:val="14"/>
                <w:color w:val="auto"/>
              </w:rPr>
            </w:pPr>
          </w:p>
        </w:tc>
        <w:tc>
          <w:tcPr>
            <w:tcW w:w="1580" w:type="dxa"/>
            <w:vAlign w:val="bottom"/>
          </w:tcPr>
          <w:p>
            <w:pPr>
              <w:ind w:left="60"/>
              <w:spacing w:after="0"/>
              <w:rPr>
                <w:sz w:val="20"/>
                <w:szCs w:val="20"/>
                <w:color w:val="auto"/>
              </w:rPr>
            </w:pPr>
            <w:r>
              <w:rPr>
                <w:rFonts w:ascii="Arial" w:cs="Arial" w:eastAsia="Arial" w:hAnsi="Arial"/>
                <w:sz w:val="14"/>
                <w:szCs w:val="14"/>
                <w:b w:val="1"/>
                <w:bCs w:val="1"/>
                <w:color w:val="auto"/>
              </w:rPr>
              <w:t>Say-On-Pay</w:t>
            </w:r>
          </w:p>
        </w:tc>
        <w:tc>
          <w:tcPr>
            <w:tcW w:w="4520" w:type="dxa"/>
            <w:vAlign w:val="bottom"/>
          </w:tcPr>
          <w:p>
            <w:pPr>
              <w:ind w:left="460"/>
              <w:spacing w:after="0"/>
              <w:rPr>
                <w:sz w:val="20"/>
                <w:szCs w:val="20"/>
                <w:color w:val="auto"/>
              </w:rPr>
            </w:pPr>
            <w:r>
              <w:rPr>
                <w:rFonts w:ascii="Arial" w:cs="Arial" w:eastAsia="Arial" w:hAnsi="Arial"/>
                <w:sz w:val="14"/>
                <w:szCs w:val="14"/>
                <w:color w:val="auto"/>
              </w:rPr>
              <w:t>annual say-on-pay vote</w:t>
            </w:r>
          </w:p>
        </w:tc>
        <w:tc>
          <w:tcPr>
            <w:tcW w:w="4600" w:type="dxa"/>
            <w:vAlign w:val="bottom"/>
            <w:gridSpan w:val="2"/>
          </w:tcPr>
          <w:p>
            <w:pPr>
              <w:ind w:left="60"/>
              <w:spacing w:after="0"/>
              <w:rPr>
                <w:sz w:val="20"/>
                <w:szCs w:val="20"/>
                <w:color w:val="auto"/>
              </w:rPr>
            </w:pPr>
            <w:r>
              <w:rPr>
                <w:rFonts w:ascii="Arial" w:cs="Arial" w:eastAsia="Arial" w:hAnsi="Arial"/>
                <w:sz w:val="14"/>
                <w:szCs w:val="14"/>
                <w:color w:val="auto"/>
              </w:rPr>
              <w:t>as of the 2022 Annual Meeting</w:t>
            </w:r>
          </w:p>
        </w:tc>
      </w:tr>
      <w:tr>
        <w:trPr>
          <w:trHeight w:val="216"/>
        </w:trPr>
        <w:tc>
          <w:tcPr>
            <w:tcW w:w="54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4"/>
                <w:szCs w:val="14"/>
                <w:b w:val="1"/>
                <w:bCs w:val="1"/>
                <w:color w:val="auto"/>
              </w:rPr>
              <w:t>Advisory Votes</w:t>
            </w:r>
          </w:p>
        </w:tc>
        <w:tc>
          <w:tcPr>
            <w:tcW w:w="4520" w:type="dxa"/>
            <w:vAlign w:val="bottom"/>
          </w:tcPr>
          <w:p>
            <w:pPr>
              <w:spacing w:after="0"/>
              <w:rPr>
                <w:sz w:val="18"/>
                <w:szCs w:val="18"/>
                <w:color w:val="auto"/>
              </w:rPr>
            </w:pPr>
          </w:p>
        </w:tc>
        <w:tc>
          <w:tcPr>
            <w:tcW w:w="4600" w:type="dxa"/>
            <w:vAlign w:val="bottom"/>
            <w:gridSpan w:val="2"/>
          </w:tcPr>
          <w:p>
            <w:pPr>
              <w:ind w:left="60"/>
              <w:spacing w:after="0"/>
              <w:rPr>
                <w:sz w:val="20"/>
                <w:szCs w:val="20"/>
                <w:color w:val="auto"/>
              </w:rPr>
            </w:pPr>
            <w:r>
              <w:rPr>
                <w:rFonts w:ascii="Arial" w:cs="Arial" w:eastAsia="Arial" w:hAnsi="Arial"/>
                <w:sz w:val="14"/>
                <w:szCs w:val="14"/>
                <w:b w:val="1"/>
                <w:bCs w:val="1"/>
                <w:color w:val="D60058"/>
              </w:rPr>
              <w:t>See “Compensation-Related Matters–Compensation</w:t>
            </w:r>
          </w:p>
        </w:tc>
      </w:tr>
      <w:tr>
        <w:trPr>
          <w:trHeight w:val="190"/>
        </w:trPr>
        <w:tc>
          <w:tcPr>
            <w:tcW w:w="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4600" w:type="dxa"/>
            <w:vAlign w:val="bottom"/>
            <w:gridSpan w:val="2"/>
          </w:tcPr>
          <w:p>
            <w:pPr>
              <w:ind w:left="60"/>
              <w:spacing w:after="0"/>
              <w:rPr>
                <w:sz w:val="20"/>
                <w:szCs w:val="20"/>
                <w:color w:val="auto"/>
              </w:rPr>
            </w:pPr>
            <w:r>
              <w:rPr>
                <w:rFonts w:ascii="Arial" w:cs="Arial" w:eastAsia="Arial" w:hAnsi="Arial"/>
                <w:sz w:val="14"/>
                <w:szCs w:val="14"/>
                <w:b w:val="1"/>
                <w:bCs w:val="1"/>
                <w:color w:val="D60058"/>
              </w:rPr>
              <w:t>Discussion and Analysis” for more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-497205</wp:posOffset>
            </wp:positionV>
            <wp:extent cx="6446520" cy="2425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46520" cy="242570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1640" w:type="dxa"/>
            <w:vAlign w:val="bottom"/>
            <w:shd w:val="clear" w:color="auto" w:fill="EEEEEF"/>
          </w:tcPr>
          <w:p>
            <w:pPr>
              <w:ind w:left="60"/>
              <w:spacing w:after="0"/>
              <w:rPr>
                <w:sz w:val="20"/>
                <w:szCs w:val="20"/>
                <w:color w:val="auto"/>
              </w:rPr>
            </w:pPr>
            <w:r>
              <w:rPr>
                <w:rFonts w:ascii="Arial" w:cs="Arial" w:eastAsia="Arial" w:hAnsi="Arial"/>
                <w:sz w:val="14"/>
                <w:szCs w:val="14"/>
                <w:b w:val="1"/>
                <w:bCs w:val="1"/>
                <w:color w:val="auto"/>
              </w:rPr>
              <w:t>Front-loaded</w:t>
            </w:r>
          </w:p>
        </w:tc>
        <w:tc>
          <w:tcPr>
            <w:tcW w:w="4460" w:type="dxa"/>
            <w:vAlign w:val="bottom"/>
            <w:shd w:val="clear" w:color="auto" w:fill="EEEEEF"/>
          </w:tcPr>
          <w:p>
            <w:pPr>
              <w:ind w:left="400"/>
              <w:spacing w:after="0"/>
              <w:rPr>
                <w:sz w:val="20"/>
                <w:szCs w:val="20"/>
                <w:color w:val="auto"/>
              </w:rPr>
            </w:pPr>
            <w:r>
              <w:rPr>
                <w:rFonts w:ascii="Arial" w:cs="Arial" w:eastAsia="Arial" w:hAnsi="Arial"/>
                <w:sz w:val="14"/>
                <w:szCs w:val="14"/>
                <w:color w:val="auto"/>
              </w:rPr>
              <w:t>Some investors provided feedback on the front-loaded</w:t>
            </w:r>
          </w:p>
        </w:tc>
      </w:tr>
      <w:tr>
        <w:trPr>
          <w:trHeight w:val="162"/>
        </w:trPr>
        <w:tc>
          <w:tcPr>
            <w:tcW w:w="1640" w:type="dxa"/>
            <w:vAlign w:val="bottom"/>
            <w:shd w:val="clear" w:color="auto" w:fill="EEEEEF"/>
          </w:tcPr>
          <w:p>
            <w:pPr>
              <w:ind w:left="60"/>
              <w:spacing w:after="0"/>
              <w:rPr>
                <w:sz w:val="20"/>
                <w:szCs w:val="20"/>
                <w:color w:val="auto"/>
              </w:rPr>
            </w:pPr>
            <w:r>
              <w:rPr>
                <w:rFonts w:ascii="Arial" w:cs="Arial" w:eastAsia="Arial" w:hAnsi="Arial"/>
                <w:sz w:val="14"/>
                <w:szCs w:val="14"/>
                <w:b w:val="1"/>
                <w:bCs w:val="1"/>
                <w:color w:val="auto"/>
              </w:rPr>
              <w:t>Performance</w:t>
            </w:r>
          </w:p>
        </w:tc>
        <w:tc>
          <w:tcPr>
            <w:tcW w:w="4460" w:type="dxa"/>
            <w:vAlign w:val="bottom"/>
            <w:shd w:val="clear" w:color="auto" w:fill="EEEEEF"/>
          </w:tcPr>
          <w:p>
            <w:pPr>
              <w:ind w:left="400"/>
              <w:spacing w:after="0"/>
              <w:rPr>
                <w:sz w:val="20"/>
                <w:szCs w:val="20"/>
                <w:color w:val="auto"/>
              </w:rPr>
            </w:pPr>
            <w:r>
              <w:rPr>
                <w:rFonts w:ascii="Arial" w:cs="Arial" w:eastAsia="Arial" w:hAnsi="Arial"/>
                <w:sz w:val="14"/>
                <w:szCs w:val="14"/>
                <w:color w:val="auto"/>
              </w:rPr>
              <w:t>nature of the 2020 PSU awards to our President and Chief</w:t>
            </w:r>
          </w:p>
        </w:tc>
      </w:tr>
      <w:tr>
        <w:trPr>
          <w:trHeight w:val="162"/>
        </w:trPr>
        <w:tc>
          <w:tcPr>
            <w:tcW w:w="1640" w:type="dxa"/>
            <w:vAlign w:val="bottom"/>
            <w:shd w:val="clear" w:color="auto" w:fill="EEEEEF"/>
          </w:tcPr>
          <w:p>
            <w:pPr>
              <w:ind w:left="60"/>
              <w:spacing w:after="0"/>
              <w:rPr>
                <w:sz w:val="20"/>
                <w:szCs w:val="20"/>
                <w:color w:val="auto"/>
              </w:rPr>
            </w:pPr>
            <w:r>
              <w:rPr>
                <w:rFonts w:ascii="Arial" w:cs="Arial" w:eastAsia="Arial" w:hAnsi="Arial"/>
                <w:sz w:val="14"/>
                <w:szCs w:val="14"/>
                <w:b w:val="1"/>
                <w:bCs w:val="1"/>
                <w:color w:val="auto"/>
              </w:rPr>
              <w:t>Restricted Stock</w:t>
            </w:r>
          </w:p>
        </w:tc>
        <w:tc>
          <w:tcPr>
            <w:tcW w:w="4460" w:type="dxa"/>
            <w:vAlign w:val="bottom"/>
            <w:shd w:val="clear" w:color="auto" w:fill="EEEEEF"/>
          </w:tcPr>
          <w:p>
            <w:pPr>
              <w:ind w:left="400"/>
              <w:spacing w:after="0"/>
              <w:rPr>
                <w:sz w:val="20"/>
                <w:szCs w:val="20"/>
                <w:color w:val="auto"/>
              </w:rPr>
            </w:pPr>
            <w:r>
              <w:rPr>
                <w:rFonts w:ascii="Arial" w:cs="Arial" w:eastAsia="Arial" w:hAnsi="Arial"/>
                <w:sz w:val="14"/>
                <w:szCs w:val="14"/>
                <w:color w:val="auto"/>
              </w:rPr>
              <w:t>Executive Officer (“CEO”) and President and Chief Scientific</w:t>
            </w:r>
          </w:p>
        </w:tc>
      </w:tr>
      <w:tr>
        <w:trPr>
          <w:trHeight w:val="162"/>
        </w:trPr>
        <w:tc>
          <w:tcPr>
            <w:tcW w:w="1640" w:type="dxa"/>
            <w:vAlign w:val="bottom"/>
            <w:shd w:val="clear" w:color="auto" w:fill="EEEEEF"/>
          </w:tcPr>
          <w:p>
            <w:pPr>
              <w:ind w:left="60"/>
              <w:spacing w:after="0"/>
              <w:rPr>
                <w:sz w:val="20"/>
                <w:szCs w:val="20"/>
                <w:color w:val="auto"/>
              </w:rPr>
            </w:pPr>
            <w:r>
              <w:rPr>
                <w:rFonts w:ascii="Arial" w:cs="Arial" w:eastAsia="Arial" w:hAnsi="Arial"/>
                <w:sz w:val="14"/>
                <w:szCs w:val="14"/>
                <w:b w:val="1"/>
                <w:bCs w:val="1"/>
                <w:color w:val="auto"/>
              </w:rPr>
              <w:t>Units (“PSUs”) to</w:t>
            </w:r>
          </w:p>
        </w:tc>
        <w:tc>
          <w:tcPr>
            <w:tcW w:w="4460" w:type="dxa"/>
            <w:vAlign w:val="bottom"/>
            <w:shd w:val="clear" w:color="auto" w:fill="EEEEEF"/>
          </w:tcPr>
          <w:p>
            <w:pPr>
              <w:ind w:left="400"/>
              <w:spacing w:after="0"/>
              <w:rPr>
                <w:sz w:val="20"/>
                <w:szCs w:val="20"/>
                <w:color w:val="auto"/>
              </w:rPr>
            </w:pPr>
            <w:r>
              <w:rPr>
                <w:rFonts w:ascii="Arial" w:cs="Arial" w:eastAsia="Arial" w:hAnsi="Arial"/>
                <w:sz w:val="14"/>
                <w:szCs w:val="14"/>
                <w:color w:val="auto"/>
              </w:rPr>
              <w:t>Officer (“CSO”) and asked for confirmation of the board’s</w:t>
            </w:r>
          </w:p>
        </w:tc>
      </w:tr>
      <w:tr>
        <w:trPr>
          <w:trHeight w:val="180"/>
        </w:trPr>
        <w:tc>
          <w:tcPr>
            <w:tcW w:w="1640" w:type="dxa"/>
            <w:vAlign w:val="bottom"/>
            <w:shd w:val="clear" w:color="auto" w:fill="EEEEEF"/>
          </w:tcPr>
          <w:p>
            <w:pPr>
              <w:ind w:left="60"/>
              <w:spacing w:after="0"/>
              <w:rPr>
                <w:sz w:val="20"/>
                <w:szCs w:val="20"/>
                <w:color w:val="auto"/>
              </w:rPr>
            </w:pPr>
            <w:r>
              <w:rPr>
                <w:rFonts w:ascii="Arial" w:cs="Arial" w:eastAsia="Arial" w:hAnsi="Arial"/>
                <w:sz w:val="14"/>
                <w:szCs w:val="14"/>
                <w:b w:val="1"/>
                <w:bCs w:val="1"/>
                <w:color w:val="auto"/>
              </w:rPr>
              <w:t>CEO and CSO</w:t>
            </w:r>
          </w:p>
        </w:tc>
        <w:tc>
          <w:tcPr>
            <w:tcW w:w="4460" w:type="dxa"/>
            <w:vAlign w:val="bottom"/>
            <w:shd w:val="clear" w:color="auto" w:fill="EEEEEF"/>
          </w:tcPr>
          <w:p>
            <w:pPr>
              <w:ind w:left="400"/>
              <w:spacing w:after="0"/>
              <w:rPr>
                <w:sz w:val="20"/>
                <w:szCs w:val="20"/>
                <w:color w:val="auto"/>
              </w:rPr>
            </w:pPr>
            <w:r>
              <w:rPr>
                <w:rFonts w:ascii="Arial" w:cs="Arial" w:eastAsia="Arial" w:hAnsi="Arial"/>
                <w:sz w:val="14"/>
                <w:szCs w:val="14"/>
                <w:color w:val="auto"/>
              </w:rPr>
              <w:t>commitment to issue no equity grants to the CEO and CSO</w:t>
            </w:r>
          </w:p>
        </w:tc>
      </w:tr>
      <w:tr>
        <w:trPr>
          <w:trHeight w:val="172"/>
        </w:trPr>
        <w:tc>
          <w:tcPr>
            <w:tcW w:w="1640" w:type="dxa"/>
            <w:vAlign w:val="bottom"/>
            <w:shd w:val="clear" w:color="auto" w:fill="EEEEEF"/>
          </w:tcPr>
          <w:p>
            <w:pPr>
              <w:spacing w:after="0"/>
              <w:rPr>
                <w:sz w:val="14"/>
                <w:szCs w:val="14"/>
                <w:color w:val="auto"/>
              </w:rPr>
            </w:pPr>
          </w:p>
        </w:tc>
        <w:tc>
          <w:tcPr>
            <w:tcW w:w="4460" w:type="dxa"/>
            <w:vAlign w:val="bottom"/>
            <w:shd w:val="clear" w:color="auto" w:fill="EEEEEF"/>
          </w:tcPr>
          <w:p>
            <w:pPr>
              <w:ind w:left="400"/>
              <w:spacing w:after="0"/>
              <w:rPr>
                <w:sz w:val="20"/>
                <w:szCs w:val="20"/>
                <w:color w:val="auto"/>
              </w:rPr>
            </w:pPr>
            <w:r>
              <w:rPr>
                <w:rFonts w:ascii="Arial" w:cs="Arial" w:eastAsia="Arial" w:hAnsi="Arial"/>
                <w:sz w:val="14"/>
                <w:szCs w:val="14"/>
                <w:color w:val="auto"/>
              </w:rPr>
              <w:t>during the 5-year PSU performance period</w:t>
            </w:r>
          </w:p>
        </w:tc>
      </w:tr>
      <w:tr>
        <w:trPr>
          <w:trHeight w:val="633"/>
        </w:trPr>
        <w:tc>
          <w:tcPr>
            <w:tcW w:w="1640" w:type="dxa"/>
            <w:vAlign w:val="bottom"/>
            <w:shd w:val="clear" w:color="auto" w:fill="EEEEEF"/>
          </w:tcPr>
          <w:p>
            <w:pPr>
              <w:spacing w:after="0"/>
              <w:rPr>
                <w:sz w:val="24"/>
                <w:szCs w:val="24"/>
                <w:color w:val="auto"/>
              </w:rPr>
            </w:pPr>
          </w:p>
        </w:tc>
        <w:tc>
          <w:tcPr>
            <w:tcW w:w="4460" w:type="dxa"/>
            <w:vAlign w:val="bottom"/>
            <w:shd w:val="clear" w:color="auto" w:fill="EEEEEF"/>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680"/>
        <w:spacing w:after="0" w:line="247" w:lineRule="auto"/>
        <w:rPr>
          <w:sz w:val="20"/>
          <w:szCs w:val="20"/>
          <w:color w:val="auto"/>
        </w:rPr>
      </w:pPr>
      <w:r>
        <w:rPr>
          <w:rFonts w:ascii="Arial" w:cs="Arial" w:eastAsia="Arial" w:hAnsi="Arial"/>
          <w:sz w:val="14"/>
          <w:szCs w:val="14"/>
          <w:color w:val="auto"/>
        </w:rPr>
        <w:t>In discussions with investors and in this proxy statement, the board has reaffirmed its commitment to grant no additional equity awards to the CEO and CSO during the 5-year PSU performance period (i.e., until December 2025)</w:t>
      </w:r>
    </w:p>
    <w:p>
      <w:pPr>
        <w:spacing w:after="0" w:line="21" w:lineRule="exact"/>
        <w:rPr>
          <w:sz w:val="20"/>
          <w:szCs w:val="20"/>
          <w:color w:val="auto"/>
        </w:rPr>
      </w:pPr>
    </w:p>
    <w:p>
      <w:pPr>
        <w:ind w:right="800"/>
        <w:spacing w:after="0" w:line="252" w:lineRule="auto"/>
        <w:rPr>
          <w:sz w:val="20"/>
          <w:szCs w:val="20"/>
          <w:color w:val="auto"/>
        </w:rPr>
      </w:pPr>
      <w:r>
        <w:rPr>
          <w:rFonts w:ascii="Arial" w:cs="Arial" w:eastAsia="Arial" w:hAnsi="Arial"/>
          <w:sz w:val="14"/>
          <w:szCs w:val="14"/>
          <w:b w:val="1"/>
          <w:bCs w:val="1"/>
          <w:color w:val="D60058"/>
        </w:rPr>
        <w:t>See “Compensation Discussion and Analysis– Components of Executive Pay: What We Pay and Why We Pay It–Annual Equity Awards–Reaffirmed Commitment to Issue No CEO and CSO Equity Awards Before December 2025” for more information</w:t>
      </w:r>
    </w:p>
    <w:p>
      <w:pPr>
        <w:spacing w:after="0" w:line="140" w:lineRule="exact"/>
        <w:rPr>
          <w:sz w:val="20"/>
          <w:szCs w:val="20"/>
          <w:color w:val="auto"/>
        </w:rPr>
      </w:pPr>
    </w:p>
    <w:p>
      <w:pPr>
        <w:sectPr>
          <w:pgSz w:w="11900" w:h="16838" w:orient="portrait"/>
          <w:cols w:equalWidth="0" w:num="2">
            <w:col w:w="6640" w:space="60"/>
            <w:col w:w="4540"/>
          </w:cols>
          <w:pgMar w:left="320" w:top="410" w:right="339" w:bottom="1440" w:gutter="0" w:footer="0" w:header="0"/>
          <w:type w:val="continuous"/>
        </w:sectPr>
      </w:pPr>
    </w:p>
    <w:p>
      <w:pPr>
        <w:ind w:left="600"/>
        <w:spacing w:after="0"/>
        <w:tabs>
          <w:tab w:leader="none" w:pos="2560" w:val="left"/>
        </w:tabs>
        <w:rPr>
          <w:sz w:val="20"/>
          <w:szCs w:val="20"/>
          <w:color w:val="auto"/>
        </w:rPr>
      </w:pPr>
      <w:r>
        <w:rPr>
          <w:rFonts w:ascii="Arial" w:cs="Arial" w:eastAsia="Arial" w:hAnsi="Arial"/>
          <w:sz w:val="14"/>
          <w:szCs w:val="14"/>
          <w:b w:val="1"/>
          <w:bCs w:val="1"/>
          <w:color w:val="auto"/>
        </w:rPr>
        <w:t>Enhanced</w:t>
      </w:r>
      <w:r>
        <w:rPr>
          <w:sz w:val="20"/>
          <w:szCs w:val="20"/>
          <w:color w:val="auto"/>
        </w:rPr>
        <w:tab/>
      </w:r>
      <w:r>
        <w:rPr>
          <w:rFonts w:ascii="Arial" w:cs="Arial" w:eastAsia="Arial" w:hAnsi="Arial"/>
          <w:sz w:val="14"/>
          <w:szCs w:val="14"/>
          <w:color w:val="auto"/>
        </w:rPr>
        <w:t>Investors expressed interest in learning more about the</w:t>
      </w:r>
    </w:p>
    <w:p>
      <w:pPr>
        <w:spacing w:after="0" w:line="19" w:lineRule="exact"/>
        <w:rPr>
          <w:sz w:val="20"/>
          <w:szCs w:val="20"/>
          <w:color w:val="auto"/>
        </w:rPr>
      </w:pPr>
    </w:p>
    <w:p>
      <w:pPr>
        <w:ind w:left="600"/>
        <w:spacing w:after="0"/>
        <w:tabs>
          <w:tab w:leader="none" w:pos="2560" w:val="left"/>
        </w:tabs>
        <w:rPr>
          <w:sz w:val="20"/>
          <w:szCs w:val="20"/>
          <w:color w:val="auto"/>
        </w:rPr>
      </w:pPr>
      <w:r>
        <w:rPr>
          <w:rFonts w:ascii="Arial" w:cs="Arial" w:eastAsia="Arial" w:hAnsi="Arial"/>
          <w:sz w:val="14"/>
          <w:szCs w:val="14"/>
          <w:b w:val="1"/>
          <w:bCs w:val="1"/>
          <w:color w:val="auto"/>
        </w:rPr>
        <w:t>Disclosure of Board</w:t>
      </w:r>
      <w:r>
        <w:rPr>
          <w:sz w:val="20"/>
          <w:szCs w:val="20"/>
          <w:color w:val="auto"/>
        </w:rPr>
        <w:tab/>
      </w:r>
      <w:r>
        <w:rPr>
          <w:rFonts w:ascii="Arial" w:cs="Arial" w:eastAsia="Arial" w:hAnsi="Arial"/>
          <w:sz w:val="14"/>
          <w:szCs w:val="14"/>
          <w:color w:val="auto"/>
        </w:rPr>
        <w:t>board’s views on a number of governance topics and</w:t>
      </w:r>
    </w:p>
    <w:p>
      <w:pPr>
        <w:spacing w:after="0" w:line="1" w:lineRule="exact"/>
        <w:rPr>
          <w:sz w:val="20"/>
          <w:szCs w:val="20"/>
          <w:color w:val="auto"/>
        </w:rPr>
      </w:pPr>
    </w:p>
    <w:p>
      <w:pPr>
        <w:ind w:left="600"/>
        <w:spacing w:after="0"/>
        <w:tabs>
          <w:tab w:leader="none" w:pos="2560" w:val="left"/>
        </w:tabs>
        <w:rPr>
          <w:sz w:val="20"/>
          <w:szCs w:val="20"/>
          <w:color w:val="auto"/>
        </w:rPr>
      </w:pPr>
      <w:r>
        <w:rPr>
          <w:rFonts w:ascii="Arial" w:cs="Arial" w:eastAsia="Arial" w:hAnsi="Arial"/>
          <w:sz w:val="14"/>
          <w:szCs w:val="14"/>
          <w:b w:val="1"/>
          <w:bCs w:val="1"/>
          <w:color w:val="auto"/>
        </w:rPr>
        <w:t>and Committee</w:t>
      </w:r>
      <w:r>
        <w:rPr>
          <w:sz w:val="20"/>
          <w:szCs w:val="20"/>
          <w:color w:val="auto"/>
        </w:rPr>
        <w:tab/>
      </w:r>
      <w:r>
        <w:rPr>
          <w:rFonts w:ascii="Arial" w:cs="Arial" w:eastAsia="Arial" w:hAnsi="Arial"/>
          <w:sz w:val="14"/>
          <w:szCs w:val="14"/>
          <w:color w:val="auto"/>
        </w:rPr>
        <w:t>requested enhanced disclosure surrounding board</w:t>
      </w:r>
    </w:p>
    <w:p>
      <w:pPr>
        <w:spacing w:after="0" w:line="1" w:lineRule="exact"/>
        <w:rPr>
          <w:sz w:val="20"/>
          <w:szCs w:val="20"/>
          <w:color w:val="auto"/>
        </w:rPr>
      </w:pPr>
    </w:p>
    <w:p>
      <w:pPr>
        <w:ind w:left="600"/>
        <w:spacing w:after="0"/>
        <w:tabs>
          <w:tab w:leader="none" w:pos="2560" w:val="left"/>
        </w:tabs>
        <w:rPr>
          <w:sz w:val="20"/>
          <w:szCs w:val="20"/>
          <w:color w:val="auto"/>
        </w:rPr>
      </w:pPr>
      <w:r>
        <w:rPr>
          <w:rFonts w:ascii="Arial" w:cs="Arial" w:eastAsia="Arial" w:hAnsi="Arial"/>
          <w:sz w:val="14"/>
          <w:szCs w:val="14"/>
          <w:b w:val="1"/>
          <w:bCs w:val="1"/>
          <w:color w:val="auto"/>
        </w:rPr>
        <w:t>Governance and</w:t>
      </w:r>
      <w:r>
        <w:rPr>
          <w:sz w:val="20"/>
          <w:szCs w:val="20"/>
          <w:color w:val="auto"/>
        </w:rPr>
        <w:tab/>
      </w:r>
      <w:r>
        <w:rPr>
          <w:rFonts w:ascii="Arial" w:cs="Arial" w:eastAsia="Arial" w:hAnsi="Arial"/>
          <w:sz w:val="14"/>
          <w:szCs w:val="14"/>
          <w:color w:val="auto"/>
        </w:rPr>
        <w:t>composition and refreshment, board structure and</w:t>
      </w:r>
    </w:p>
    <w:p>
      <w:pPr>
        <w:spacing w:after="0" w:line="1" w:lineRule="exact"/>
        <w:rPr>
          <w:sz w:val="20"/>
          <w:szCs w:val="20"/>
          <w:color w:val="auto"/>
        </w:rPr>
      </w:pPr>
    </w:p>
    <w:p>
      <w:pPr>
        <w:ind w:left="600"/>
        <w:spacing w:after="0"/>
        <w:tabs>
          <w:tab w:leader="none" w:pos="2560" w:val="left"/>
        </w:tabs>
        <w:rPr>
          <w:sz w:val="20"/>
          <w:szCs w:val="20"/>
          <w:color w:val="auto"/>
        </w:rPr>
      </w:pPr>
      <w:r>
        <w:rPr>
          <w:rFonts w:ascii="Arial" w:cs="Arial" w:eastAsia="Arial" w:hAnsi="Arial"/>
          <w:sz w:val="14"/>
          <w:szCs w:val="14"/>
          <w:b w:val="1"/>
          <w:bCs w:val="1"/>
          <w:color w:val="auto"/>
        </w:rPr>
        <w:t>Related Processes</w:t>
      </w:r>
      <w:r>
        <w:rPr>
          <w:sz w:val="20"/>
          <w:szCs w:val="20"/>
          <w:color w:val="auto"/>
        </w:rPr>
        <w:tab/>
      </w:r>
      <w:r>
        <w:rPr>
          <w:rFonts w:ascii="Arial" w:cs="Arial" w:eastAsia="Arial" w:hAnsi="Arial"/>
          <w:sz w:val="14"/>
          <w:szCs w:val="14"/>
          <w:color w:val="auto"/>
        </w:rPr>
        <w:t>leadership, board oversight of pricing decisions/access to</w:t>
      </w:r>
    </w:p>
    <w:p>
      <w:pPr>
        <w:spacing w:after="0" w:line="1" w:lineRule="exact"/>
        <w:rPr>
          <w:sz w:val="20"/>
          <w:szCs w:val="20"/>
          <w:color w:val="auto"/>
        </w:rPr>
      </w:pPr>
    </w:p>
    <w:p>
      <w:pPr>
        <w:ind w:left="2580"/>
        <w:spacing w:after="0" w:line="258" w:lineRule="auto"/>
        <w:rPr>
          <w:sz w:val="20"/>
          <w:szCs w:val="20"/>
          <w:color w:val="auto"/>
        </w:rPr>
      </w:pPr>
      <w:r>
        <w:rPr>
          <w:rFonts w:ascii="Arial" w:cs="Arial" w:eastAsia="Arial" w:hAnsi="Arial"/>
          <w:sz w:val="14"/>
          <w:szCs w:val="14"/>
          <w:color w:val="auto"/>
        </w:rPr>
        <w:t>medicine, annual cash incentive determinations, and certain other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4465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120"/>
        <w:spacing w:after="0" w:line="249" w:lineRule="auto"/>
        <w:rPr>
          <w:sz w:val="20"/>
          <w:szCs w:val="20"/>
          <w:color w:val="auto"/>
        </w:rPr>
      </w:pPr>
      <w:r>
        <w:rPr>
          <w:rFonts w:ascii="Arial" w:cs="Arial" w:eastAsia="Arial" w:hAnsi="Arial"/>
          <w:sz w:val="14"/>
          <w:szCs w:val="14"/>
          <w:color w:val="auto"/>
        </w:rPr>
        <w:t>In this proxy statement, we have expanded board and committee disclosures in relevant sections to address shareholder feedback</w:t>
      </w:r>
    </w:p>
    <w:p>
      <w:pPr>
        <w:spacing w:after="0" w:line="21" w:lineRule="exact"/>
        <w:rPr>
          <w:sz w:val="20"/>
          <w:szCs w:val="20"/>
          <w:color w:val="auto"/>
        </w:rPr>
      </w:pPr>
    </w:p>
    <w:p>
      <w:pPr>
        <w:ind w:right="1200"/>
        <w:spacing w:after="0" w:line="285" w:lineRule="auto"/>
        <w:rPr>
          <w:sz w:val="20"/>
          <w:szCs w:val="20"/>
          <w:color w:val="auto"/>
        </w:rPr>
      </w:pPr>
      <w:r>
        <w:rPr>
          <w:rFonts w:ascii="Arial" w:cs="Arial" w:eastAsia="Arial" w:hAnsi="Arial"/>
          <w:sz w:val="14"/>
          <w:szCs w:val="14"/>
          <w:b w:val="1"/>
          <w:bCs w:val="1"/>
          <w:color w:val="D60058"/>
        </w:rPr>
        <w:t>See table on page 4 for where you can find these expanded disclosures in this proxy statement</w:t>
      </w:r>
    </w:p>
    <w:p>
      <w:pPr>
        <w:spacing w:after="0" w:line="451" w:lineRule="exact"/>
        <w:rPr>
          <w:sz w:val="20"/>
          <w:szCs w:val="20"/>
          <w:color w:val="auto"/>
        </w:rPr>
      </w:pPr>
    </w:p>
    <w:p>
      <w:pPr>
        <w:sectPr>
          <w:pgSz w:w="11900" w:h="16838" w:orient="portrait"/>
          <w:cols w:equalWidth="0" w:num="2">
            <w:col w:w="6400" w:space="300"/>
            <w:col w:w="4540"/>
          </w:cols>
          <w:pgMar w:left="320" w:top="410" w:right="339" w:bottom="1440" w:gutter="0" w:footer="0" w:header="0"/>
          <w:type w:val="continuous"/>
        </w:sectPr>
      </w:pPr>
    </w:p>
    <w:p>
      <w:pPr>
        <w:spacing w:after="0" w:line="100"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2021 BOARD ACTIONS EXPLAINED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99" w:lineRule="exact"/>
        <w:rPr>
          <w:sz w:val="20"/>
          <w:szCs w:val="20"/>
          <w:color w:val="auto"/>
        </w:rPr>
      </w:pPr>
    </w:p>
    <w:p>
      <w:pPr>
        <w:ind w:left="540" w:right="800"/>
        <w:spacing w:after="0" w:line="237" w:lineRule="auto"/>
        <w:rPr>
          <w:sz w:val="20"/>
          <w:szCs w:val="20"/>
          <w:color w:val="auto"/>
        </w:rPr>
      </w:pPr>
      <w:r>
        <w:rPr>
          <w:rFonts w:ascii="Arial" w:cs="Arial" w:eastAsia="Arial" w:hAnsi="Arial"/>
          <w:sz w:val="16"/>
          <w:szCs w:val="16"/>
          <w:b w:val="1"/>
          <w:bCs w:val="1"/>
          <w:color w:val="D60058"/>
        </w:rPr>
        <w:t xml:space="preserve">Adopting Annual Say-on-Pay. </w:t>
      </w:r>
      <w:r>
        <w:rPr>
          <w:rFonts w:ascii="Arial" w:cs="Arial" w:eastAsia="Arial" w:hAnsi="Arial"/>
          <w:sz w:val="16"/>
          <w:szCs w:val="16"/>
          <w:color w:val="000000"/>
        </w:rPr>
        <w:t>The board considered various options in addressing the frequency of our say-on-pay votes and recognized the</w:t>
      </w:r>
      <w:r>
        <w:rPr>
          <w:rFonts w:ascii="Arial" w:cs="Arial" w:eastAsia="Arial" w:hAnsi="Arial"/>
          <w:sz w:val="16"/>
          <w:szCs w:val="16"/>
          <w:b w:val="1"/>
          <w:bCs w:val="1"/>
          <w:color w:val="D60058"/>
        </w:rPr>
        <w:t xml:space="preserve"> </w:t>
      </w:r>
      <w:r>
        <w:rPr>
          <w:rFonts w:ascii="Arial" w:cs="Arial" w:eastAsia="Arial" w:hAnsi="Arial"/>
          <w:sz w:val="16"/>
          <w:szCs w:val="16"/>
          <w:color w:val="000000"/>
        </w:rPr>
        <w:t>need to make a change in advance of the next say-on-pay frequency advisory vote, which will be required at the 2023 annual shareholder meeting. Ultimately, the board and the Compensation Committee determined that adopting annual say-on-pay effective as of the 2022 Annual Meeting would provide more regular shareholder input on compensation matters, was aligned with the overwhelming investor preference for an annual say-on-pay vote, and represented the most direct way the board could respond to shareholder feedback.</w:t>
      </w:r>
    </w:p>
    <w:p>
      <w:pPr>
        <w:spacing w:after="0" w:line="145" w:lineRule="exact"/>
        <w:rPr>
          <w:sz w:val="20"/>
          <w:szCs w:val="20"/>
          <w:color w:val="auto"/>
        </w:rPr>
      </w:pPr>
    </w:p>
    <w:p>
      <w:pPr>
        <w:ind w:left="540" w:right="920"/>
        <w:spacing w:after="0" w:line="239" w:lineRule="auto"/>
        <w:rPr>
          <w:sz w:val="20"/>
          <w:szCs w:val="20"/>
          <w:color w:val="auto"/>
        </w:rPr>
      </w:pPr>
      <w:r>
        <w:rPr>
          <w:rFonts w:ascii="Arial" w:cs="Arial" w:eastAsia="Arial" w:hAnsi="Arial"/>
          <w:sz w:val="16"/>
          <w:szCs w:val="16"/>
          <w:b w:val="1"/>
          <w:bCs w:val="1"/>
          <w:color w:val="D60058"/>
        </w:rPr>
        <w:t xml:space="preserve">Reaffirmed Commitment to Issue No CEO/CSO Equity Awards Before December 2025. </w:t>
      </w:r>
      <w:r>
        <w:rPr>
          <w:rFonts w:ascii="Arial" w:cs="Arial" w:eastAsia="Arial" w:hAnsi="Arial"/>
          <w:sz w:val="16"/>
          <w:szCs w:val="16"/>
          <w:color w:val="000000"/>
        </w:rPr>
        <w:t>The board reaffirmed its commitment to grant no</w:t>
      </w:r>
      <w:r>
        <w:rPr>
          <w:rFonts w:ascii="Arial" w:cs="Arial" w:eastAsia="Arial" w:hAnsi="Arial"/>
          <w:sz w:val="16"/>
          <w:szCs w:val="16"/>
          <w:b w:val="1"/>
          <w:bCs w:val="1"/>
          <w:color w:val="D60058"/>
        </w:rPr>
        <w:t xml:space="preserve"> </w:t>
      </w:r>
      <w:r>
        <w:rPr>
          <w:rFonts w:ascii="Arial" w:cs="Arial" w:eastAsia="Arial" w:hAnsi="Arial"/>
          <w:sz w:val="16"/>
          <w:szCs w:val="16"/>
          <w:color w:val="000000"/>
        </w:rPr>
        <w:t>additional equity awards to our CEO and CSO until the end of fiscal year 2025. While this commitment was stated at the time of the grant, investors requested additional clarification and commitment that the 2020 PSU awards were in lieu of five years of annual equity grants (2020 through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3</w:t>
            </w:r>
          </w:p>
        </w:tc>
      </w:tr>
      <w:tr>
        <w:trPr>
          <w:trHeight w:val="262"/>
        </w:trPr>
        <w:tc>
          <w:tcPr>
            <w:tcW w:w="8240" w:type="dxa"/>
            <w:vAlign w:val="bottom"/>
            <w:tcBorders>
              <w:bottom w:val="single" w:sz="8" w:color="C0C0C0"/>
            </w:tcBorders>
          </w:tcPr>
          <w:p>
            <w:pPr>
              <w:spacing w:after="0"/>
              <w:rPr>
                <w:sz w:val="22"/>
                <w:szCs w:val="22"/>
                <w:color w:val="auto"/>
              </w:rPr>
            </w:pPr>
          </w:p>
        </w:tc>
        <w:tc>
          <w:tcPr>
            <w:tcW w:w="300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18" w:name="page19"/>
    <w:bookmarkEnd w:id="18"/>
    <w:p>
      <w:pPr>
        <w:ind w:left="540"/>
        <w:spacing w:after="0"/>
        <w:rPr>
          <w:sz w:val="20"/>
          <w:szCs w:val="20"/>
          <w:color w:val="auto"/>
        </w:rPr>
      </w:pPr>
      <w:r>
        <w:rPr>
          <w:rFonts w:ascii="Arial" w:cs="Arial" w:eastAsia="Arial" w:hAnsi="Arial"/>
          <w:sz w:val="14"/>
          <w:szCs w:val="14"/>
          <w:b w:val="1"/>
          <w:bCs w:val="1"/>
          <w:color w:val="215BA8"/>
        </w:rPr>
        <w:t xml:space="preserve">USERS’ GUIDE / </w:t>
      </w:r>
      <w:r>
        <w:rPr>
          <w:rFonts w:ascii="Arial" w:cs="Arial" w:eastAsia="Arial" w:hAnsi="Arial"/>
          <w:sz w:val="14"/>
          <w:szCs w:val="14"/>
          <w:b w:val="1"/>
          <w:bCs w:val="1"/>
          <w:color w:val="D60058"/>
        </w:rPr>
        <w:t>PROXY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right="640"/>
        <w:spacing w:after="0" w:line="239" w:lineRule="auto"/>
        <w:rPr>
          <w:sz w:val="20"/>
          <w:szCs w:val="20"/>
          <w:color w:val="auto"/>
        </w:rPr>
      </w:pPr>
      <w:r>
        <w:rPr>
          <w:rFonts w:ascii="Arial" w:cs="Arial" w:eastAsia="Arial" w:hAnsi="Arial"/>
          <w:sz w:val="16"/>
          <w:szCs w:val="16"/>
          <w:b w:val="1"/>
          <w:bCs w:val="1"/>
          <w:color w:val="D60058"/>
        </w:rPr>
        <w:t xml:space="preserve">Enhanced Disclosure. </w:t>
      </w:r>
      <w:r>
        <w:rPr>
          <w:rFonts w:ascii="Arial" w:cs="Arial" w:eastAsia="Arial" w:hAnsi="Arial"/>
          <w:sz w:val="16"/>
          <w:szCs w:val="16"/>
          <w:color w:val="000000"/>
        </w:rPr>
        <w:t>While the board believes it has maintained and continually refined robust governance practices and processes,</w:t>
      </w:r>
      <w:r>
        <w:rPr>
          <w:rFonts w:ascii="Arial" w:cs="Arial" w:eastAsia="Arial" w:hAnsi="Arial"/>
          <w:sz w:val="16"/>
          <w:szCs w:val="16"/>
          <w:b w:val="1"/>
          <w:bCs w:val="1"/>
          <w:color w:val="D60058"/>
        </w:rPr>
        <w:t xml:space="preserve"> </w:t>
      </w:r>
      <w:r>
        <w:rPr>
          <w:rFonts w:ascii="Arial" w:cs="Arial" w:eastAsia="Arial" w:hAnsi="Arial"/>
          <w:sz w:val="16"/>
          <w:szCs w:val="16"/>
          <w:color w:val="000000"/>
        </w:rPr>
        <w:t>shareholders requested, and the board acknowledged the need to provide, additional disclosure throughout this proxy statement to help investors better understand why such practices and processes were put in place and how they are utilized by the board in the fulfillment of its duties and responsibilities. Please refer to the table below to locate these enhanced disclosures within this proxy statement.</w:t>
      </w:r>
    </w:p>
    <w:p>
      <w:pPr>
        <w:spacing w:after="0" w:line="187"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3900" w:type="dxa"/>
            <w:vAlign w:val="bottom"/>
          </w:tcPr>
          <w:p>
            <w:pPr>
              <w:ind w:left="60"/>
              <w:spacing w:after="0"/>
              <w:rPr>
                <w:sz w:val="20"/>
                <w:szCs w:val="20"/>
                <w:color w:val="auto"/>
              </w:rPr>
            </w:pPr>
            <w:r>
              <w:rPr>
                <w:rFonts w:ascii="Arial" w:cs="Arial" w:eastAsia="Arial" w:hAnsi="Arial"/>
                <w:sz w:val="12"/>
                <w:szCs w:val="12"/>
                <w:b w:val="1"/>
                <w:bCs w:val="1"/>
                <w:color w:val="215BA8"/>
              </w:rPr>
              <w:t>Topic</w:t>
            </w:r>
          </w:p>
        </w:tc>
        <w:tc>
          <w:tcPr>
            <w:tcW w:w="6260" w:type="dxa"/>
            <w:vAlign w:val="bottom"/>
            <w:gridSpan w:val="2"/>
          </w:tcPr>
          <w:p>
            <w:pPr>
              <w:ind w:left="180"/>
              <w:spacing w:after="0"/>
              <w:rPr>
                <w:sz w:val="20"/>
                <w:szCs w:val="20"/>
                <w:color w:val="auto"/>
              </w:rPr>
            </w:pPr>
            <w:r>
              <w:rPr>
                <w:rFonts w:ascii="Arial" w:cs="Arial" w:eastAsia="Arial" w:hAnsi="Arial"/>
                <w:sz w:val="12"/>
                <w:szCs w:val="12"/>
                <w:b w:val="1"/>
                <w:bCs w:val="1"/>
                <w:color w:val="215BA8"/>
              </w:rPr>
              <w:t>Section</w:t>
            </w:r>
          </w:p>
        </w:tc>
      </w:tr>
      <w:tr>
        <w:trPr>
          <w:trHeight w:val="54"/>
        </w:trPr>
        <w:tc>
          <w:tcPr>
            <w:tcW w:w="3900" w:type="dxa"/>
            <w:vAlign w:val="bottom"/>
            <w:tcBorders>
              <w:bottom w:val="single" w:sz="8" w:color="215AA8"/>
            </w:tcBorders>
          </w:tcPr>
          <w:p>
            <w:pPr>
              <w:spacing w:after="0"/>
              <w:rPr>
                <w:sz w:val="4"/>
                <w:szCs w:val="4"/>
                <w:color w:val="auto"/>
              </w:rPr>
            </w:pPr>
          </w:p>
        </w:tc>
        <w:tc>
          <w:tcPr>
            <w:tcW w:w="260" w:type="dxa"/>
            <w:vAlign w:val="bottom"/>
            <w:tcBorders>
              <w:bottom w:val="single" w:sz="8" w:color="215AA8"/>
            </w:tcBorders>
          </w:tcPr>
          <w:p>
            <w:pPr>
              <w:spacing w:after="0"/>
              <w:rPr>
                <w:sz w:val="4"/>
                <w:szCs w:val="4"/>
                <w:color w:val="auto"/>
              </w:rPr>
            </w:pPr>
          </w:p>
        </w:tc>
        <w:tc>
          <w:tcPr>
            <w:tcW w:w="6000" w:type="dxa"/>
            <w:vAlign w:val="bottom"/>
            <w:tcBorders>
              <w:bottom w:val="single" w:sz="8" w:color="215AA8"/>
            </w:tcBorders>
          </w:tcPr>
          <w:p>
            <w:pPr>
              <w:spacing w:after="0"/>
              <w:rPr>
                <w:sz w:val="4"/>
                <w:szCs w:val="4"/>
                <w:color w:val="auto"/>
              </w:rPr>
            </w:pPr>
          </w:p>
        </w:tc>
      </w:tr>
      <w:tr>
        <w:trPr>
          <w:trHeight w:val="275"/>
        </w:trPr>
        <w:tc>
          <w:tcPr>
            <w:tcW w:w="3900" w:type="dxa"/>
            <w:vAlign w:val="bottom"/>
          </w:tcPr>
          <w:p>
            <w:pPr>
              <w:ind w:left="580"/>
              <w:spacing w:after="0"/>
              <w:rPr>
                <w:sz w:val="20"/>
                <w:szCs w:val="20"/>
                <w:color w:val="auto"/>
              </w:rPr>
            </w:pPr>
            <w:r>
              <w:rPr>
                <w:rFonts w:ascii="Arial" w:cs="Arial" w:eastAsia="Arial" w:hAnsi="Arial"/>
                <w:sz w:val="16"/>
                <w:szCs w:val="16"/>
                <w:b w:val="1"/>
                <w:bCs w:val="1"/>
                <w:color w:val="215BA8"/>
              </w:rPr>
              <w:t>Board Structure and Leadership</w:t>
            </w:r>
          </w:p>
        </w:tc>
        <w:tc>
          <w:tcPr>
            <w:tcW w:w="260" w:type="dxa"/>
            <w:vAlign w:val="bottom"/>
          </w:tcPr>
          <w:p>
            <w:pPr>
              <w:ind w:left="180"/>
              <w:spacing w:after="0"/>
              <w:rPr>
                <w:sz w:val="20"/>
                <w:szCs w:val="20"/>
                <w:color w:val="auto"/>
              </w:rPr>
            </w:pPr>
            <w:r>
              <w:rPr>
                <w:rFonts w:ascii="Arial" w:cs="Arial" w:eastAsia="Arial" w:hAnsi="Arial"/>
                <w:sz w:val="16"/>
                <w:szCs w:val="16"/>
                <w:color w:val="215BA8"/>
              </w:rPr>
              <w:t>•</w:t>
            </w:r>
          </w:p>
        </w:tc>
        <w:tc>
          <w:tcPr>
            <w:tcW w:w="6000" w:type="dxa"/>
            <w:vAlign w:val="bottom"/>
          </w:tcPr>
          <w:p>
            <w:pPr>
              <w:ind w:left="60"/>
              <w:spacing w:after="0"/>
              <w:rPr>
                <w:sz w:val="20"/>
                <w:szCs w:val="20"/>
                <w:color w:val="auto"/>
              </w:rPr>
            </w:pPr>
            <w:r>
              <w:rPr>
                <w:rFonts w:ascii="Arial" w:cs="Arial" w:eastAsia="Arial" w:hAnsi="Arial"/>
                <w:sz w:val="16"/>
                <w:szCs w:val="16"/>
                <w:color w:val="auto"/>
              </w:rPr>
              <w:t xml:space="preserve">Board Structure, </w:t>
            </w:r>
            <w:r>
              <w:rPr>
                <w:rFonts w:ascii="Arial" w:cs="Arial" w:eastAsia="Arial" w:hAnsi="Arial"/>
                <w:sz w:val="16"/>
                <w:szCs w:val="16"/>
                <w:color w:val="D60058"/>
              </w:rPr>
              <w:t>Page 22</w:t>
            </w:r>
          </w:p>
        </w:tc>
      </w:tr>
      <w:tr>
        <w:trPr>
          <w:trHeight w:val="190"/>
        </w:trPr>
        <w:tc>
          <w:tcPr>
            <w:tcW w:w="3900" w:type="dxa"/>
            <w:vAlign w:val="bottom"/>
          </w:tcPr>
          <w:p>
            <w:pPr>
              <w:spacing w:after="0"/>
              <w:rPr>
                <w:sz w:val="16"/>
                <w:szCs w:val="16"/>
                <w:color w:val="auto"/>
              </w:rPr>
            </w:pPr>
          </w:p>
        </w:tc>
        <w:tc>
          <w:tcPr>
            <w:tcW w:w="260" w:type="dxa"/>
            <w:vAlign w:val="bottom"/>
          </w:tcPr>
          <w:p>
            <w:pPr>
              <w:ind w:left="180"/>
              <w:spacing w:after="0"/>
              <w:rPr>
                <w:sz w:val="20"/>
                <w:szCs w:val="20"/>
                <w:color w:val="auto"/>
              </w:rPr>
            </w:pPr>
            <w:r>
              <w:rPr>
                <w:rFonts w:ascii="Arial" w:cs="Arial" w:eastAsia="Arial" w:hAnsi="Arial"/>
                <w:sz w:val="16"/>
                <w:szCs w:val="16"/>
                <w:color w:val="215BA8"/>
              </w:rPr>
              <w:t>•</w:t>
            </w:r>
          </w:p>
        </w:tc>
        <w:tc>
          <w:tcPr>
            <w:tcW w:w="6000" w:type="dxa"/>
            <w:vAlign w:val="bottom"/>
          </w:tcPr>
          <w:p>
            <w:pPr>
              <w:ind w:left="60"/>
              <w:spacing w:after="0"/>
              <w:rPr>
                <w:sz w:val="20"/>
                <w:szCs w:val="20"/>
                <w:color w:val="auto"/>
              </w:rPr>
            </w:pPr>
            <w:r>
              <w:rPr>
                <w:rFonts w:ascii="Arial" w:cs="Arial" w:eastAsia="Arial" w:hAnsi="Arial"/>
                <w:sz w:val="16"/>
                <w:szCs w:val="16"/>
                <w:color w:val="auto"/>
                <w:w w:val="99"/>
              </w:rPr>
              <w:t xml:space="preserve">Board Leadership Structure–Separate Chair and CEO with Presiding Director, </w:t>
            </w:r>
            <w:r>
              <w:rPr>
                <w:rFonts w:ascii="Arial" w:cs="Arial" w:eastAsia="Arial" w:hAnsi="Arial"/>
                <w:sz w:val="16"/>
                <w:szCs w:val="16"/>
                <w:color w:val="D60058"/>
                <w:w w:val="99"/>
              </w:rPr>
              <w:t>Page</w:t>
            </w:r>
          </w:p>
        </w:tc>
      </w:tr>
      <w:tr>
        <w:trPr>
          <w:trHeight w:val="188"/>
        </w:trPr>
        <w:tc>
          <w:tcPr>
            <w:tcW w:w="3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0" w:type="dxa"/>
            <w:vAlign w:val="bottom"/>
          </w:tcPr>
          <w:p>
            <w:pPr>
              <w:ind w:left="60"/>
              <w:spacing w:after="0"/>
              <w:rPr>
                <w:sz w:val="20"/>
                <w:szCs w:val="20"/>
                <w:color w:val="auto"/>
              </w:rPr>
            </w:pPr>
            <w:r>
              <w:rPr>
                <w:rFonts w:ascii="Arial" w:cs="Arial" w:eastAsia="Arial" w:hAnsi="Arial"/>
                <w:sz w:val="16"/>
                <w:szCs w:val="16"/>
                <w:color w:val="D60058"/>
              </w:rPr>
              <w:t>25</w:t>
            </w:r>
          </w:p>
        </w:tc>
      </w:tr>
      <w:tr>
        <w:trPr>
          <w:trHeight w:val="89"/>
        </w:trPr>
        <w:tc>
          <w:tcPr>
            <w:tcW w:w="3900" w:type="dxa"/>
            <w:vAlign w:val="bottom"/>
            <w:tcBorders>
              <w:bottom w:val="single" w:sz="8" w:color="58585A"/>
            </w:tcBorders>
          </w:tcPr>
          <w:p>
            <w:pPr>
              <w:spacing w:after="0"/>
              <w:rPr>
                <w:sz w:val="7"/>
                <w:szCs w:val="7"/>
                <w:color w:val="auto"/>
              </w:rPr>
            </w:pPr>
          </w:p>
        </w:tc>
        <w:tc>
          <w:tcPr>
            <w:tcW w:w="6260" w:type="dxa"/>
            <w:vAlign w:val="bottom"/>
            <w:tcBorders>
              <w:bottom w:val="single" w:sz="8" w:color="58585A"/>
            </w:tcBorders>
            <w:gridSpan w:val="2"/>
          </w:tcPr>
          <w:p>
            <w:pPr>
              <w:spacing w:after="0"/>
              <w:rPr>
                <w:sz w:val="7"/>
                <w:szCs w:val="7"/>
                <w:color w:val="auto"/>
              </w:rPr>
            </w:pPr>
          </w:p>
        </w:tc>
      </w:tr>
      <w:tr>
        <w:trPr>
          <w:trHeight w:val="269"/>
        </w:trPr>
        <w:tc>
          <w:tcPr>
            <w:tcW w:w="3900" w:type="dxa"/>
            <w:vAlign w:val="bottom"/>
            <w:shd w:val="clear" w:color="auto" w:fill="EEEEEF"/>
          </w:tcPr>
          <w:p>
            <w:pPr>
              <w:ind w:left="580"/>
              <w:spacing w:after="0"/>
              <w:rPr>
                <w:sz w:val="20"/>
                <w:szCs w:val="20"/>
                <w:color w:val="auto"/>
              </w:rPr>
            </w:pPr>
            <w:r>
              <w:rPr>
                <w:rFonts w:ascii="Arial" w:cs="Arial" w:eastAsia="Arial" w:hAnsi="Arial"/>
                <w:sz w:val="16"/>
                <w:szCs w:val="16"/>
                <w:b w:val="1"/>
                <w:bCs w:val="1"/>
                <w:color w:val="215BA8"/>
              </w:rPr>
              <w:t>Board Composition and Refreshment</w:t>
            </w:r>
          </w:p>
        </w:tc>
        <w:tc>
          <w:tcPr>
            <w:tcW w:w="6260" w:type="dxa"/>
            <w:vAlign w:val="bottom"/>
            <w:gridSpan w:val="2"/>
            <w:shd w:val="clear" w:color="auto" w:fill="EEEEEF"/>
          </w:tcPr>
          <w:p>
            <w:pPr>
              <w:ind w:left="180"/>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Meet the Board,</w:t>
            </w:r>
            <w:r>
              <w:rPr>
                <w:rFonts w:ascii="Arial" w:cs="Arial" w:eastAsia="Arial" w:hAnsi="Arial"/>
                <w:sz w:val="16"/>
                <w:szCs w:val="16"/>
                <w:color w:val="215BA8"/>
              </w:rPr>
              <w:t xml:space="preserve"> </w:t>
            </w:r>
            <w:r>
              <w:rPr>
                <w:rFonts w:ascii="Arial" w:cs="Arial" w:eastAsia="Arial" w:hAnsi="Arial"/>
                <w:sz w:val="16"/>
                <w:szCs w:val="16"/>
                <w:color w:val="D60058"/>
              </w:rPr>
              <w:t>Page 6</w:t>
            </w:r>
          </w:p>
        </w:tc>
      </w:tr>
      <w:tr>
        <w:trPr>
          <w:trHeight w:val="203"/>
        </w:trPr>
        <w:tc>
          <w:tcPr>
            <w:tcW w:w="3900" w:type="dxa"/>
            <w:vAlign w:val="bottom"/>
            <w:shd w:val="clear" w:color="auto" w:fill="EEEEEF"/>
          </w:tcPr>
          <w:p>
            <w:pPr>
              <w:spacing w:after="0"/>
              <w:rPr>
                <w:sz w:val="17"/>
                <w:szCs w:val="17"/>
                <w:color w:val="auto"/>
              </w:rPr>
            </w:pPr>
          </w:p>
        </w:tc>
        <w:tc>
          <w:tcPr>
            <w:tcW w:w="260" w:type="dxa"/>
            <w:vAlign w:val="bottom"/>
            <w:shd w:val="clear" w:color="auto" w:fill="EEEEEF"/>
          </w:tcPr>
          <w:p>
            <w:pPr>
              <w:ind w:left="180"/>
              <w:spacing w:after="0"/>
              <w:rPr>
                <w:sz w:val="20"/>
                <w:szCs w:val="20"/>
                <w:color w:val="auto"/>
              </w:rPr>
            </w:pPr>
            <w:r>
              <w:rPr>
                <w:rFonts w:ascii="Arial" w:cs="Arial" w:eastAsia="Arial" w:hAnsi="Arial"/>
                <w:sz w:val="16"/>
                <w:szCs w:val="16"/>
                <w:color w:val="215BA8"/>
              </w:rPr>
              <w:t>•</w:t>
            </w:r>
          </w:p>
        </w:tc>
        <w:tc>
          <w:tcPr>
            <w:tcW w:w="6000" w:type="dxa"/>
            <w:vAlign w:val="bottom"/>
            <w:shd w:val="clear" w:color="auto" w:fill="EEEEEF"/>
          </w:tcPr>
          <w:p>
            <w:pPr>
              <w:ind w:left="60"/>
              <w:spacing w:after="0"/>
              <w:rPr>
                <w:sz w:val="20"/>
                <w:szCs w:val="20"/>
                <w:color w:val="auto"/>
              </w:rPr>
            </w:pPr>
            <w:r>
              <w:rPr>
                <w:rFonts w:ascii="Arial" w:cs="Arial" w:eastAsia="Arial" w:hAnsi="Arial"/>
                <w:sz w:val="16"/>
                <w:szCs w:val="16"/>
                <w:color w:val="auto"/>
              </w:rPr>
              <w:t xml:space="preserve">Director Refreshment Philosophy, </w:t>
            </w:r>
            <w:r>
              <w:rPr>
                <w:rFonts w:ascii="Arial" w:cs="Arial" w:eastAsia="Arial" w:hAnsi="Arial"/>
                <w:sz w:val="16"/>
                <w:szCs w:val="16"/>
                <w:color w:val="D60058"/>
              </w:rPr>
              <w:t>Page 22</w:t>
            </w:r>
          </w:p>
        </w:tc>
      </w:tr>
      <w:tr>
        <w:trPr>
          <w:trHeight w:val="89"/>
        </w:trPr>
        <w:tc>
          <w:tcPr>
            <w:tcW w:w="3900" w:type="dxa"/>
            <w:vAlign w:val="bottom"/>
            <w:tcBorders>
              <w:bottom w:val="single" w:sz="8" w:color="58585A"/>
            </w:tcBorders>
            <w:shd w:val="clear" w:color="auto" w:fill="EEEEEF"/>
          </w:tcPr>
          <w:p>
            <w:pPr>
              <w:spacing w:after="0"/>
              <w:rPr>
                <w:sz w:val="7"/>
                <w:szCs w:val="7"/>
                <w:color w:val="auto"/>
              </w:rPr>
            </w:pPr>
          </w:p>
        </w:tc>
        <w:tc>
          <w:tcPr>
            <w:tcW w:w="6260" w:type="dxa"/>
            <w:vAlign w:val="bottom"/>
            <w:tcBorders>
              <w:bottom w:val="single" w:sz="8" w:color="58585A"/>
            </w:tcBorders>
            <w:gridSpan w:val="2"/>
            <w:shd w:val="clear" w:color="auto" w:fill="EEEEEF"/>
          </w:tcPr>
          <w:p>
            <w:pPr>
              <w:spacing w:after="0"/>
              <w:rPr>
                <w:sz w:val="7"/>
                <w:szCs w:val="7"/>
                <w:color w:val="auto"/>
              </w:rPr>
            </w:pPr>
          </w:p>
        </w:tc>
      </w:tr>
      <w:tr>
        <w:trPr>
          <w:trHeight w:val="269"/>
        </w:trPr>
        <w:tc>
          <w:tcPr>
            <w:tcW w:w="3900" w:type="dxa"/>
            <w:vAlign w:val="bottom"/>
          </w:tcPr>
          <w:p>
            <w:pPr>
              <w:ind w:left="580"/>
              <w:spacing w:after="0"/>
              <w:rPr>
                <w:sz w:val="20"/>
                <w:szCs w:val="20"/>
                <w:color w:val="auto"/>
              </w:rPr>
            </w:pPr>
            <w:r>
              <w:rPr>
                <w:rFonts w:ascii="Arial" w:cs="Arial" w:eastAsia="Arial" w:hAnsi="Arial"/>
                <w:sz w:val="16"/>
                <w:szCs w:val="16"/>
                <w:b w:val="1"/>
                <w:bCs w:val="1"/>
                <w:color w:val="215BA8"/>
              </w:rPr>
              <w:t>Committee Functions and Responsibilities</w:t>
            </w:r>
          </w:p>
        </w:tc>
        <w:tc>
          <w:tcPr>
            <w:tcW w:w="6260" w:type="dxa"/>
            <w:vAlign w:val="bottom"/>
            <w:gridSpan w:val="2"/>
          </w:tcPr>
          <w:p>
            <w:pPr>
              <w:ind w:left="180"/>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Board Committees,</w:t>
            </w:r>
            <w:r>
              <w:rPr>
                <w:rFonts w:ascii="Arial" w:cs="Arial" w:eastAsia="Arial" w:hAnsi="Arial"/>
                <w:sz w:val="16"/>
                <w:szCs w:val="16"/>
                <w:color w:val="215BA8"/>
              </w:rPr>
              <w:t xml:space="preserve"> </w:t>
            </w:r>
            <w:r>
              <w:rPr>
                <w:rFonts w:ascii="Arial" w:cs="Arial" w:eastAsia="Arial" w:hAnsi="Arial"/>
                <w:sz w:val="16"/>
                <w:szCs w:val="16"/>
                <w:color w:val="D60058"/>
              </w:rPr>
              <w:t>Page 20</w:t>
            </w:r>
          </w:p>
        </w:tc>
      </w:tr>
      <w:tr>
        <w:trPr>
          <w:trHeight w:val="197"/>
        </w:trPr>
        <w:tc>
          <w:tcPr>
            <w:tcW w:w="3900" w:type="dxa"/>
            <w:vAlign w:val="bottom"/>
            <w:tcBorders>
              <w:bottom w:val="single" w:sz="8" w:color="58585A"/>
            </w:tcBorders>
          </w:tcPr>
          <w:p>
            <w:pPr>
              <w:spacing w:after="0"/>
              <w:rPr>
                <w:sz w:val="17"/>
                <w:szCs w:val="17"/>
                <w:color w:val="auto"/>
              </w:rPr>
            </w:pPr>
          </w:p>
        </w:tc>
        <w:tc>
          <w:tcPr>
            <w:tcW w:w="260" w:type="dxa"/>
            <w:vAlign w:val="bottom"/>
            <w:tcBorders>
              <w:bottom w:val="single" w:sz="8" w:color="58585A"/>
            </w:tcBorders>
          </w:tcPr>
          <w:p>
            <w:pPr>
              <w:spacing w:after="0"/>
              <w:rPr>
                <w:sz w:val="17"/>
                <w:szCs w:val="17"/>
                <w:color w:val="auto"/>
              </w:rPr>
            </w:pPr>
          </w:p>
        </w:tc>
        <w:tc>
          <w:tcPr>
            <w:tcW w:w="6000" w:type="dxa"/>
            <w:vAlign w:val="bottom"/>
            <w:tcBorders>
              <w:bottom w:val="single" w:sz="8" w:color="58585A"/>
            </w:tcBorders>
          </w:tcPr>
          <w:p>
            <w:pPr>
              <w:spacing w:after="0"/>
              <w:rPr>
                <w:sz w:val="17"/>
                <w:szCs w:val="17"/>
                <w:color w:val="auto"/>
              </w:rPr>
            </w:pPr>
          </w:p>
        </w:tc>
      </w:tr>
      <w:tr>
        <w:trPr>
          <w:trHeight w:val="237"/>
        </w:trPr>
        <w:tc>
          <w:tcPr>
            <w:tcW w:w="3900" w:type="dxa"/>
            <w:vAlign w:val="bottom"/>
            <w:shd w:val="clear" w:color="auto" w:fill="EEEEEF"/>
          </w:tcPr>
          <w:p>
            <w:pPr>
              <w:ind w:left="580"/>
              <w:spacing w:after="0"/>
              <w:rPr>
                <w:sz w:val="20"/>
                <w:szCs w:val="20"/>
                <w:color w:val="auto"/>
              </w:rPr>
            </w:pPr>
            <w:r>
              <w:rPr>
                <w:rFonts w:ascii="Arial" w:cs="Arial" w:eastAsia="Arial" w:hAnsi="Arial"/>
                <w:sz w:val="16"/>
                <w:szCs w:val="16"/>
                <w:b w:val="1"/>
                <w:bCs w:val="1"/>
                <w:color w:val="215BA8"/>
              </w:rPr>
              <w:t>Board Oversight of Drug Pricing</w:t>
            </w:r>
          </w:p>
        </w:tc>
        <w:tc>
          <w:tcPr>
            <w:tcW w:w="260" w:type="dxa"/>
            <w:vAlign w:val="bottom"/>
            <w:shd w:val="clear" w:color="auto" w:fill="EEEEEF"/>
          </w:tcPr>
          <w:p>
            <w:pPr>
              <w:ind w:left="180"/>
              <w:spacing w:after="0"/>
              <w:rPr>
                <w:sz w:val="20"/>
                <w:szCs w:val="20"/>
                <w:color w:val="auto"/>
              </w:rPr>
            </w:pPr>
            <w:r>
              <w:rPr>
                <w:rFonts w:ascii="Arial" w:cs="Arial" w:eastAsia="Arial" w:hAnsi="Arial"/>
                <w:sz w:val="16"/>
                <w:szCs w:val="16"/>
                <w:color w:val="215BA8"/>
              </w:rPr>
              <w:t>•</w:t>
            </w:r>
          </w:p>
        </w:tc>
        <w:tc>
          <w:tcPr>
            <w:tcW w:w="6000" w:type="dxa"/>
            <w:vAlign w:val="bottom"/>
            <w:shd w:val="clear" w:color="auto" w:fill="EEEEEF"/>
          </w:tcPr>
          <w:p>
            <w:pPr>
              <w:ind w:left="60"/>
              <w:spacing w:after="0"/>
              <w:rPr>
                <w:sz w:val="20"/>
                <w:szCs w:val="20"/>
                <w:color w:val="auto"/>
              </w:rPr>
            </w:pPr>
            <w:r>
              <w:rPr>
                <w:rFonts w:ascii="Arial" w:cs="Arial" w:eastAsia="Arial" w:hAnsi="Arial"/>
                <w:sz w:val="16"/>
                <w:szCs w:val="16"/>
                <w:color w:val="auto"/>
              </w:rPr>
              <w:t xml:space="preserve">Board Oversight of Risk and Key Pricing Decisions, </w:t>
            </w:r>
            <w:r>
              <w:rPr>
                <w:rFonts w:ascii="Arial" w:cs="Arial" w:eastAsia="Arial" w:hAnsi="Arial"/>
                <w:sz w:val="16"/>
                <w:szCs w:val="16"/>
                <w:color w:val="D60058"/>
              </w:rPr>
              <w:t>Page 25</w:t>
            </w:r>
          </w:p>
        </w:tc>
      </w:tr>
      <w:tr>
        <w:trPr>
          <w:trHeight w:val="235"/>
        </w:trPr>
        <w:tc>
          <w:tcPr>
            <w:tcW w:w="3900" w:type="dxa"/>
            <w:vAlign w:val="bottom"/>
            <w:shd w:val="clear" w:color="auto" w:fill="EEEEEF"/>
          </w:tcPr>
          <w:p>
            <w:pPr>
              <w:ind w:left="580"/>
              <w:spacing w:after="0"/>
              <w:rPr>
                <w:sz w:val="20"/>
                <w:szCs w:val="20"/>
                <w:color w:val="auto"/>
              </w:rPr>
            </w:pPr>
            <w:r>
              <w:rPr>
                <w:rFonts w:ascii="Arial" w:cs="Arial" w:eastAsia="Arial" w:hAnsi="Arial"/>
                <w:sz w:val="16"/>
                <w:szCs w:val="16"/>
                <w:b w:val="1"/>
                <w:bCs w:val="1"/>
                <w:color w:val="215BA8"/>
              </w:rPr>
              <w:t>Decisions/Access to Medicine</w:t>
            </w:r>
          </w:p>
        </w:tc>
        <w:tc>
          <w:tcPr>
            <w:tcW w:w="260" w:type="dxa"/>
            <w:vAlign w:val="bottom"/>
            <w:shd w:val="clear" w:color="auto" w:fill="EEEEEF"/>
          </w:tcPr>
          <w:p>
            <w:pPr>
              <w:ind w:left="180"/>
              <w:spacing w:after="0"/>
              <w:rPr>
                <w:sz w:val="20"/>
                <w:szCs w:val="20"/>
                <w:color w:val="auto"/>
              </w:rPr>
            </w:pPr>
            <w:r>
              <w:rPr>
                <w:rFonts w:ascii="Arial" w:cs="Arial" w:eastAsia="Arial" w:hAnsi="Arial"/>
                <w:sz w:val="16"/>
                <w:szCs w:val="16"/>
                <w:color w:val="215BA8"/>
              </w:rPr>
              <w:t>•</w:t>
            </w:r>
          </w:p>
        </w:tc>
        <w:tc>
          <w:tcPr>
            <w:tcW w:w="6000" w:type="dxa"/>
            <w:vAlign w:val="bottom"/>
            <w:shd w:val="clear" w:color="auto" w:fill="EEEEEF"/>
          </w:tcPr>
          <w:p>
            <w:pPr>
              <w:ind w:left="60"/>
              <w:spacing w:after="0"/>
              <w:rPr>
                <w:sz w:val="20"/>
                <w:szCs w:val="20"/>
                <w:color w:val="auto"/>
              </w:rPr>
            </w:pPr>
            <w:r>
              <w:rPr>
                <w:rFonts w:ascii="Arial" w:cs="Arial" w:eastAsia="Arial" w:hAnsi="Arial"/>
                <w:sz w:val="16"/>
                <w:szCs w:val="16"/>
                <w:color w:val="auto"/>
              </w:rPr>
              <w:t xml:space="preserve">Corporate Responsibility, </w:t>
            </w:r>
            <w:r>
              <w:rPr>
                <w:rFonts w:ascii="Arial" w:cs="Arial" w:eastAsia="Arial" w:hAnsi="Arial"/>
                <w:sz w:val="16"/>
                <w:szCs w:val="16"/>
                <w:color w:val="D60058"/>
              </w:rPr>
              <w:t>Page 36</w:t>
            </w:r>
          </w:p>
        </w:tc>
      </w:tr>
      <w:tr>
        <w:trPr>
          <w:trHeight w:val="89"/>
        </w:trPr>
        <w:tc>
          <w:tcPr>
            <w:tcW w:w="3900" w:type="dxa"/>
            <w:vAlign w:val="bottom"/>
            <w:tcBorders>
              <w:bottom w:val="single" w:sz="8" w:color="58585A"/>
            </w:tcBorders>
            <w:shd w:val="clear" w:color="auto" w:fill="EEEEEF"/>
          </w:tcPr>
          <w:p>
            <w:pPr>
              <w:spacing w:after="0"/>
              <w:rPr>
                <w:sz w:val="7"/>
                <w:szCs w:val="7"/>
                <w:color w:val="auto"/>
              </w:rPr>
            </w:pPr>
          </w:p>
        </w:tc>
        <w:tc>
          <w:tcPr>
            <w:tcW w:w="6260" w:type="dxa"/>
            <w:vAlign w:val="bottom"/>
            <w:tcBorders>
              <w:bottom w:val="single" w:sz="8" w:color="58585A"/>
            </w:tcBorders>
            <w:gridSpan w:val="2"/>
            <w:shd w:val="clear" w:color="auto" w:fill="EEEEEF"/>
          </w:tcPr>
          <w:p>
            <w:pPr>
              <w:spacing w:after="0"/>
              <w:rPr>
                <w:sz w:val="7"/>
                <w:szCs w:val="7"/>
                <w:color w:val="auto"/>
              </w:rPr>
            </w:pPr>
          </w:p>
        </w:tc>
      </w:tr>
      <w:tr>
        <w:trPr>
          <w:trHeight w:val="237"/>
        </w:trPr>
        <w:tc>
          <w:tcPr>
            <w:tcW w:w="3900" w:type="dxa"/>
            <w:vAlign w:val="bottom"/>
          </w:tcPr>
          <w:p>
            <w:pPr>
              <w:ind w:left="580"/>
              <w:spacing w:after="0"/>
              <w:rPr>
                <w:sz w:val="20"/>
                <w:szCs w:val="20"/>
                <w:color w:val="auto"/>
              </w:rPr>
            </w:pPr>
            <w:r>
              <w:rPr>
                <w:rFonts w:ascii="Arial" w:cs="Arial" w:eastAsia="Arial" w:hAnsi="Arial"/>
                <w:sz w:val="16"/>
                <w:szCs w:val="16"/>
                <w:b w:val="1"/>
                <w:bCs w:val="1"/>
                <w:color w:val="215BA8"/>
              </w:rPr>
              <w:t>Board Responsiveness to Shareholder</w:t>
            </w:r>
          </w:p>
        </w:tc>
        <w:tc>
          <w:tcPr>
            <w:tcW w:w="6260" w:type="dxa"/>
            <w:vAlign w:val="bottom"/>
            <w:gridSpan w:val="2"/>
          </w:tcPr>
          <w:p>
            <w:pPr>
              <w:ind w:left="180"/>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Shareholder Engagement Philosophy and Board Responsiveness,</w:t>
            </w:r>
            <w:r>
              <w:rPr>
                <w:rFonts w:ascii="Arial" w:cs="Arial" w:eastAsia="Arial" w:hAnsi="Arial"/>
                <w:sz w:val="16"/>
                <w:szCs w:val="16"/>
                <w:color w:val="215BA8"/>
              </w:rPr>
              <w:t xml:space="preserve"> </w:t>
            </w:r>
            <w:r>
              <w:rPr>
                <w:rFonts w:ascii="Arial" w:cs="Arial" w:eastAsia="Arial" w:hAnsi="Arial"/>
                <w:sz w:val="16"/>
                <w:szCs w:val="16"/>
                <w:color w:val="D60058"/>
              </w:rPr>
              <w:t>Page 27</w:t>
            </w:r>
          </w:p>
        </w:tc>
      </w:tr>
      <w:tr>
        <w:trPr>
          <w:trHeight w:val="235"/>
        </w:trPr>
        <w:tc>
          <w:tcPr>
            <w:tcW w:w="3900" w:type="dxa"/>
            <w:vAlign w:val="bottom"/>
          </w:tcPr>
          <w:p>
            <w:pPr>
              <w:ind w:left="580"/>
              <w:spacing w:after="0"/>
              <w:rPr>
                <w:sz w:val="20"/>
                <w:szCs w:val="20"/>
                <w:color w:val="auto"/>
              </w:rPr>
            </w:pPr>
            <w:r>
              <w:rPr>
                <w:rFonts w:ascii="Arial" w:cs="Arial" w:eastAsia="Arial" w:hAnsi="Arial"/>
                <w:sz w:val="16"/>
                <w:szCs w:val="16"/>
                <w:b w:val="1"/>
                <w:bCs w:val="1"/>
                <w:color w:val="215BA8"/>
              </w:rPr>
              <w:t>Feedback</w:t>
            </w:r>
          </w:p>
        </w:tc>
        <w:tc>
          <w:tcPr>
            <w:tcW w:w="260" w:type="dxa"/>
            <w:vAlign w:val="bottom"/>
          </w:tcPr>
          <w:p>
            <w:pPr>
              <w:ind w:left="180"/>
              <w:spacing w:after="0"/>
              <w:rPr>
                <w:sz w:val="20"/>
                <w:szCs w:val="20"/>
                <w:color w:val="auto"/>
              </w:rPr>
            </w:pPr>
            <w:r>
              <w:rPr>
                <w:rFonts w:ascii="Arial" w:cs="Arial" w:eastAsia="Arial" w:hAnsi="Arial"/>
                <w:sz w:val="16"/>
                <w:szCs w:val="16"/>
                <w:color w:val="215BA8"/>
              </w:rPr>
              <w:t>•</w:t>
            </w:r>
          </w:p>
        </w:tc>
        <w:tc>
          <w:tcPr>
            <w:tcW w:w="6000" w:type="dxa"/>
            <w:vAlign w:val="bottom"/>
          </w:tcPr>
          <w:p>
            <w:pPr>
              <w:ind w:left="60"/>
              <w:spacing w:after="0"/>
              <w:rPr>
                <w:sz w:val="20"/>
                <w:szCs w:val="20"/>
                <w:color w:val="auto"/>
              </w:rPr>
            </w:pPr>
            <w:r>
              <w:rPr>
                <w:rFonts w:ascii="Arial" w:cs="Arial" w:eastAsia="Arial" w:hAnsi="Arial"/>
                <w:sz w:val="16"/>
                <w:szCs w:val="16"/>
                <w:color w:val="auto"/>
              </w:rPr>
              <w:t xml:space="preserve">Shareholder Input and Outreach, </w:t>
            </w:r>
            <w:r>
              <w:rPr>
                <w:rFonts w:ascii="Arial" w:cs="Arial" w:eastAsia="Arial" w:hAnsi="Arial"/>
                <w:sz w:val="16"/>
                <w:szCs w:val="16"/>
                <w:color w:val="D60058"/>
              </w:rPr>
              <w:t>Page 74</w:t>
            </w:r>
          </w:p>
        </w:tc>
      </w:tr>
      <w:tr>
        <w:trPr>
          <w:trHeight w:val="89"/>
        </w:trPr>
        <w:tc>
          <w:tcPr>
            <w:tcW w:w="3900" w:type="dxa"/>
            <w:vAlign w:val="bottom"/>
            <w:tcBorders>
              <w:bottom w:val="single" w:sz="8" w:color="58585A"/>
            </w:tcBorders>
          </w:tcPr>
          <w:p>
            <w:pPr>
              <w:spacing w:after="0"/>
              <w:rPr>
                <w:sz w:val="7"/>
                <w:szCs w:val="7"/>
                <w:color w:val="auto"/>
              </w:rPr>
            </w:pPr>
          </w:p>
        </w:tc>
        <w:tc>
          <w:tcPr>
            <w:tcW w:w="6260" w:type="dxa"/>
            <w:vAlign w:val="bottom"/>
            <w:tcBorders>
              <w:bottom w:val="single" w:sz="8" w:color="58585A"/>
            </w:tcBorders>
            <w:gridSpan w:val="2"/>
          </w:tcPr>
          <w:p>
            <w:pPr>
              <w:spacing w:after="0"/>
              <w:rPr>
                <w:sz w:val="7"/>
                <w:szCs w:val="7"/>
                <w:color w:val="auto"/>
              </w:rPr>
            </w:pPr>
          </w:p>
        </w:tc>
      </w:tr>
      <w:tr>
        <w:trPr>
          <w:trHeight w:val="230"/>
        </w:trPr>
        <w:tc>
          <w:tcPr>
            <w:tcW w:w="3900" w:type="dxa"/>
            <w:vAlign w:val="bottom"/>
            <w:shd w:val="clear" w:color="auto" w:fill="EEEEEF"/>
          </w:tcPr>
          <w:p>
            <w:pPr>
              <w:ind w:left="580"/>
              <w:spacing w:after="0"/>
              <w:rPr>
                <w:sz w:val="20"/>
                <w:szCs w:val="20"/>
                <w:color w:val="auto"/>
              </w:rPr>
            </w:pPr>
            <w:r>
              <w:rPr>
                <w:rFonts w:ascii="Arial" w:cs="Arial" w:eastAsia="Arial" w:hAnsi="Arial"/>
                <w:sz w:val="16"/>
                <w:szCs w:val="16"/>
                <w:b w:val="1"/>
                <w:bCs w:val="1"/>
                <w:color w:val="215BA8"/>
              </w:rPr>
              <w:t>Executive Compensation</w:t>
            </w:r>
          </w:p>
        </w:tc>
        <w:tc>
          <w:tcPr>
            <w:tcW w:w="6260" w:type="dxa"/>
            <w:vAlign w:val="bottom"/>
            <w:gridSpan w:val="2"/>
            <w:shd w:val="clear" w:color="auto" w:fill="EEEEEF"/>
          </w:tcPr>
          <w:p>
            <w:pPr>
              <w:ind w:left="180"/>
              <w:spacing w:after="0"/>
              <w:rPr>
                <w:sz w:val="20"/>
                <w:szCs w:val="20"/>
                <w:color w:val="auto"/>
              </w:rPr>
            </w:pPr>
            <w:r>
              <w:rPr>
                <w:rFonts w:ascii="Arial" w:cs="Arial" w:eastAsia="Arial" w:hAnsi="Arial"/>
                <w:sz w:val="16"/>
                <w:szCs w:val="16"/>
                <w:color w:val="215BA8"/>
                <w:w w:val="98"/>
              </w:rPr>
              <w:t xml:space="preserve">• </w:t>
            </w:r>
            <w:r>
              <w:rPr>
                <w:rFonts w:ascii="Arial" w:cs="Arial" w:eastAsia="Arial" w:hAnsi="Arial"/>
                <w:sz w:val="16"/>
                <w:szCs w:val="16"/>
                <w:color w:val="000000"/>
                <w:w w:val="98"/>
              </w:rPr>
              <w:t>Reaffirmed Commitment to Issue No CEO and CSO Equity Awards Before December</w:t>
            </w:r>
          </w:p>
        </w:tc>
      </w:tr>
      <w:tr>
        <w:trPr>
          <w:trHeight w:val="188"/>
        </w:trPr>
        <w:tc>
          <w:tcPr>
            <w:tcW w:w="3900" w:type="dxa"/>
            <w:vAlign w:val="bottom"/>
            <w:shd w:val="clear" w:color="auto" w:fill="EEEEEF"/>
          </w:tcPr>
          <w:p>
            <w:pPr>
              <w:spacing w:after="0"/>
              <w:rPr>
                <w:sz w:val="16"/>
                <w:szCs w:val="16"/>
                <w:color w:val="auto"/>
              </w:rPr>
            </w:pPr>
          </w:p>
        </w:tc>
        <w:tc>
          <w:tcPr>
            <w:tcW w:w="260" w:type="dxa"/>
            <w:vAlign w:val="bottom"/>
            <w:shd w:val="clear" w:color="auto" w:fill="EEEEEF"/>
          </w:tcPr>
          <w:p>
            <w:pPr>
              <w:spacing w:after="0"/>
              <w:rPr>
                <w:sz w:val="16"/>
                <w:szCs w:val="16"/>
                <w:color w:val="auto"/>
              </w:rPr>
            </w:pPr>
          </w:p>
        </w:tc>
        <w:tc>
          <w:tcPr>
            <w:tcW w:w="6000" w:type="dxa"/>
            <w:vAlign w:val="bottom"/>
            <w:shd w:val="clear" w:color="auto" w:fill="EEEEEF"/>
          </w:tcPr>
          <w:p>
            <w:pPr>
              <w:ind w:left="60"/>
              <w:spacing w:after="0"/>
              <w:rPr>
                <w:sz w:val="20"/>
                <w:szCs w:val="20"/>
                <w:color w:val="auto"/>
              </w:rPr>
            </w:pPr>
            <w:r>
              <w:rPr>
                <w:rFonts w:ascii="Arial" w:cs="Arial" w:eastAsia="Arial" w:hAnsi="Arial"/>
                <w:sz w:val="16"/>
                <w:szCs w:val="16"/>
                <w:color w:val="auto"/>
              </w:rPr>
              <w:t xml:space="preserve">2025, </w:t>
            </w:r>
            <w:r>
              <w:rPr>
                <w:rFonts w:ascii="Arial" w:cs="Arial" w:eastAsia="Arial" w:hAnsi="Arial"/>
                <w:sz w:val="16"/>
                <w:szCs w:val="16"/>
                <w:color w:val="D60058"/>
              </w:rPr>
              <w:t>Page 71</w:t>
            </w:r>
          </w:p>
        </w:tc>
      </w:tr>
      <w:tr>
        <w:trPr>
          <w:trHeight w:val="230"/>
        </w:trPr>
        <w:tc>
          <w:tcPr>
            <w:tcW w:w="3900" w:type="dxa"/>
            <w:vAlign w:val="bottom"/>
            <w:shd w:val="clear" w:color="auto" w:fill="EEEEEF"/>
          </w:tcPr>
          <w:p>
            <w:pPr>
              <w:spacing w:after="0"/>
              <w:rPr>
                <w:sz w:val="19"/>
                <w:szCs w:val="19"/>
                <w:color w:val="auto"/>
              </w:rPr>
            </w:pPr>
          </w:p>
        </w:tc>
        <w:tc>
          <w:tcPr>
            <w:tcW w:w="260" w:type="dxa"/>
            <w:vAlign w:val="bottom"/>
            <w:shd w:val="clear" w:color="auto" w:fill="EEEEEF"/>
          </w:tcPr>
          <w:p>
            <w:pPr>
              <w:ind w:left="180"/>
              <w:spacing w:after="0"/>
              <w:rPr>
                <w:sz w:val="20"/>
                <w:szCs w:val="20"/>
                <w:color w:val="auto"/>
              </w:rPr>
            </w:pPr>
            <w:r>
              <w:rPr>
                <w:rFonts w:ascii="Arial" w:cs="Arial" w:eastAsia="Arial" w:hAnsi="Arial"/>
                <w:sz w:val="16"/>
                <w:szCs w:val="16"/>
                <w:color w:val="215BA8"/>
              </w:rPr>
              <w:t>•</w:t>
            </w:r>
          </w:p>
        </w:tc>
        <w:tc>
          <w:tcPr>
            <w:tcW w:w="6000" w:type="dxa"/>
            <w:vAlign w:val="bottom"/>
            <w:shd w:val="clear" w:color="auto" w:fill="EEEEEF"/>
          </w:tcPr>
          <w:p>
            <w:pPr>
              <w:ind w:left="60"/>
              <w:spacing w:after="0"/>
              <w:rPr>
                <w:sz w:val="20"/>
                <w:szCs w:val="20"/>
                <w:color w:val="auto"/>
              </w:rPr>
            </w:pPr>
            <w:r>
              <w:rPr>
                <w:rFonts w:ascii="Arial" w:cs="Arial" w:eastAsia="Arial" w:hAnsi="Arial"/>
                <w:sz w:val="16"/>
                <w:szCs w:val="16"/>
                <w:color w:val="auto"/>
              </w:rPr>
              <w:t xml:space="preserve">Annual Cash Incentives, </w:t>
            </w:r>
            <w:r>
              <w:rPr>
                <w:rFonts w:ascii="Arial" w:cs="Arial" w:eastAsia="Arial" w:hAnsi="Arial"/>
                <w:sz w:val="16"/>
                <w:szCs w:val="16"/>
                <w:color w:val="D60058"/>
              </w:rPr>
              <w:t>Page 63</w:t>
            </w:r>
          </w:p>
        </w:tc>
      </w:tr>
      <w:tr>
        <w:trPr>
          <w:trHeight w:val="89"/>
        </w:trPr>
        <w:tc>
          <w:tcPr>
            <w:tcW w:w="3900" w:type="dxa"/>
            <w:vAlign w:val="bottom"/>
            <w:tcBorders>
              <w:bottom w:val="single" w:sz="8" w:color="215AA8"/>
            </w:tcBorders>
            <w:shd w:val="clear" w:color="auto" w:fill="EEEEEF"/>
          </w:tcPr>
          <w:p>
            <w:pPr>
              <w:spacing w:after="0"/>
              <w:rPr>
                <w:sz w:val="7"/>
                <w:szCs w:val="7"/>
                <w:color w:val="auto"/>
              </w:rPr>
            </w:pPr>
          </w:p>
        </w:tc>
        <w:tc>
          <w:tcPr>
            <w:tcW w:w="260" w:type="dxa"/>
            <w:vAlign w:val="bottom"/>
            <w:tcBorders>
              <w:bottom w:val="single" w:sz="8" w:color="215AA8"/>
            </w:tcBorders>
            <w:shd w:val="clear" w:color="auto" w:fill="EEEEEF"/>
          </w:tcPr>
          <w:p>
            <w:pPr>
              <w:spacing w:after="0"/>
              <w:rPr>
                <w:sz w:val="7"/>
                <w:szCs w:val="7"/>
                <w:color w:val="auto"/>
              </w:rPr>
            </w:pPr>
          </w:p>
        </w:tc>
        <w:tc>
          <w:tcPr>
            <w:tcW w:w="6000" w:type="dxa"/>
            <w:vAlign w:val="bottom"/>
            <w:tcBorders>
              <w:bottom w:val="single" w:sz="8" w:color="215AA8"/>
            </w:tcBorders>
            <w:shd w:val="clear" w:color="auto" w:fill="EEEEE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-2339340</wp:posOffset>
            </wp:positionV>
            <wp:extent cx="24003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-1859280</wp:posOffset>
            </wp:positionV>
            <wp:extent cx="257175" cy="231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 cy="23114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-1490980</wp:posOffset>
            </wp:positionV>
            <wp:extent cx="240030" cy="231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-1182370</wp:posOffset>
            </wp:positionV>
            <wp:extent cx="257175"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175" cy="23177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-813435</wp:posOffset>
            </wp:positionV>
            <wp:extent cx="240030" cy="231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030" cy="23114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-445135</wp:posOffset>
            </wp:positionV>
            <wp:extent cx="257175"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7175" cy="231775"/>
                    </a:xfrm>
                    <a:prstGeom prst="rect">
                      <a:avLst/>
                    </a:prstGeom>
                    <a:noFill/>
                  </pic:spPr>
                </pic:pic>
              </a:graphicData>
            </a:graphic>
          </wp:anchor>
        </w:drawing>
      </w:r>
    </w:p>
    <w:p>
      <w:pPr>
        <w:spacing w:after="0" w:line="162" w:lineRule="exact"/>
        <w:rPr>
          <w:sz w:val="20"/>
          <w:szCs w:val="20"/>
          <w:color w:val="auto"/>
        </w:rPr>
      </w:pPr>
    </w:p>
    <w:p>
      <w:pPr>
        <w:ind w:left="540" w:right="900"/>
        <w:spacing w:after="0" w:line="234" w:lineRule="auto"/>
        <w:rPr>
          <w:sz w:val="20"/>
          <w:szCs w:val="20"/>
          <w:color w:val="auto"/>
        </w:rPr>
      </w:pPr>
      <w:r>
        <w:rPr>
          <w:rFonts w:ascii="Arial" w:cs="Arial" w:eastAsia="Arial" w:hAnsi="Arial"/>
          <w:sz w:val="16"/>
          <w:szCs w:val="16"/>
          <w:color w:val="auto"/>
        </w:rPr>
        <w:t>We remain committed to continued engagement with shareholders to understand your viewpoints and better convey the board’s approach to corporate governance with the goal of ensuring independent oversight of management’s execution of our business strategy and the continued creation of sustainable shareholder value.</w:t>
      </w:r>
    </w:p>
    <w:p>
      <w:pPr>
        <w:spacing w:after="0" w:line="17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268605</wp:posOffset>
            </wp:positionV>
            <wp:extent cx="6686550" cy="8743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86550" cy="874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FFFFFF"/>
        </w:rPr>
        <w:t xml:space="preserve">From Left: </w:t>
      </w:r>
      <w:r>
        <w:rPr>
          <w:rFonts w:ascii="Arial" w:cs="Arial" w:eastAsia="Arial" w:hAnsi="Arial"/>
          <w:sz w:val="16"/>
          <w:szCs w:val="16"/>
          <w:color w:val="FFFFFF"/>
        </w:rPr>
        <w:t>N. Anthony Coles, M.D. / Arthur F. Ryan / Michael S. Brown, M.D. /</w:t>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6"/>
          <w:szCs w:val="16"/>
          <w:color w:val="FFFFFF"/>
        </w:rPr>
        <w:t>George L. Sing / Bonnie L. Bassler, Ph.D. / Leonard S. Schleifer, M.D., Ph.D. /</w:t>
      </w:r>
    </w:p>
    <w:p>
      <w:pPr>
        <w:ind w:left="1440"/>
        <w:spacing w:after="0" w:line="228" w:lineRule="auto"/>
        <w:rPr>
          <w:sz w:val="20"/>
          <w:szCs w:val="20"/>
          <w:color w:val="auto"/>
        </w:rPr>
      </w:pPr>
      <w:r>
        <w:rPr>
          <w:rFonts w:ascii="Arial" w:cs="Arial" w:eastAsia="Arial" w:hAnsi="Arial"/>
          <w:sz w:val="16"/>
          <w:szCs w:val="16"/>
          <w:color w:val="FFFFFF"/>
        </w:rPr>
        <w:t>P. Roy Vagelos, M.D. / George D. Yancopoulos, M.D., Ph.D. / Christine A. Poon /</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6"/>
          <w:szCs w:val="16"/>
          <w:color w:val="FFFFFF"/>
        </w:rPr>
        <w:t>Joseph L. Goldstein, M.D. / Huda Y. Zoghbi, M.D. / Marc Tessier-Lavigne,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ind w:left="900"/>
              <w:spacing w:after="0"/>
              <w:rPr>
                <w:sz w:val="20"/>
                <w:szCs w:val="20"/>
                <w:color w:val="auto"/>
              </w:rPr>
            </w:pPr>
            <w:r>
              <w:rPr>
                <w:rFonts w:ascii="Arial" w:cs="Arial" w:eastAsia="Arial" w:hAnsi="Arial"/>
                <w:sz w:val="14"/>
                <w:szCs w:val="14"/>
                <w:b w:val="1"/>
                <w:bCs w:val="1"/>
                <w:color w:val="FFFFFF"/>
              </w:rPr>
              <w:t>2022 PROXY STATEMENT AND NOTICE OF ANNUAL SHAREHOLDER MEETING</w:t>
            </w:r>
          </w:p>
        </w:tc>
        <w:tc>
          <w:tcPr>
            <w:tcW w:w="3000" w:type="dxa"/>
            <w:vAlign w:val="bottom"/>
          </w:tcPr>
          <w:p>
            <w:pPr>
              <w:jc w:val="right"/>
              <w:ind w:right="828"/>
              <w:spacing w:after="0"/>
              <w:rPr>
                <w:sz w:val="20"/>
                <w:szCs w:val="20"/>
                <w:color w:val="auto"/>
              </w:rPr>
            </w:pPr>
            <w:r>
              <w:rPr>
                <w:rFonts w:ascii="Arial" w:cs="Arial" w:eastAsia="Arial" w:hAnsi="Arial"/>
                <w:sz w:val="14"/>
                <w:szCs w:val="14"/>
                <w:b w:val="1"/>
                <w:bCs w:val="1"/>
                <w:color w:val="FFFFFF"/>
              </w:rPr>
              <w:t>/ 5</w:t>
            </w:r>
          </w:p>
        </w:tc>
      </w:tr>
      <w:tr>
        <w:trPr>
          <w:trHeight w:val="478"/>
        </w:trPr>
        <w:tc>
          <w:tcPr>
            <w:tcW w:w="8240" w:type="dxa"/>
            <w:vAlign w:val="bottom"/>
            <w:tcBorders>
              <w:bottom w:val="single" w:sz="8" w:color="C0C0C0"/>
            </w:tcBorders>
          </w:tcPr>
          <w:p>
            <w:pPr>
              <w:spacing w:after="0"/>
              <w:rPr>
                <w:sz w:val="24"/>
                <w:szCs w:val="24"/>
                <w:color w:val="auto"/>
              </w:rPr>
            </w:pPr>
          </w:p>
        </w:tc>
        <w:tc>
          <w:tcPr>
            <w:tcW w:w="30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0" w:name="page21"/>
    <w:bookmarkEnd w:id="20"/>
    <w:p>
      <w:pPr>
        <w:ind w:left="1400"/>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74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74115"/>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MEET THE BOARD</w:t>
      </w:r>
    </w:p>
    <w:p>
      <w:pPr>
        <w:spacing w:after="0" w:line="252" w:lineRule="exact"/>
        <w:rPr>
          <w:sz w:val="20"/>
          <w:szCs w:val="20"/>
          <w:color w:val="auto"/>
        </w:rPr>
      </w:pPr>
    </w:p>
    <w:p>
      <w:pPr>
        <w:jc w:val="both"/>
        <w:ind w:left="540" w:right="660"/>
        <w:spacing w:after="0" w:line="234" w:lineRule="auto"/>
        <w:rPr>
          <w:sz w:val="20"/>
          <w:szCs w:val="20"/>
          <w:color w:val="auto"/>
        </w:rPr>
      </w:pPr>
      <w:r>
        <w:rPr>
          <w:rFonts w:ascii="Arial" w:cs="Arial" w:eastAsia="Arial" w:hAnsi="Arial"/>
          <w:sz w:val="16"/>
          <w:szCs w:val="16"/>
          <w:color w:val="auto"/>
        </w:rPr>
        <w:t>As the first substantive order of business at the 2022 Annual Meeting, you have an opportunity to vote on four members of our board of directors. This is the correct starting point not only because the board oversees Regeneron, but also because understanding the Regeneron board leads to a better understanding of the Company and its business model.</w:t>
      </w:r>
    </w:p>
    <w:p>
      <w:pPr>
        <w:spacing w:after="0" w:line="164" w:lineRule="exact"/>
        <w:rPr>
          <w:sz w:val="20"/>
          <w:szCs w:val="20"/>
          <w:color w:val="auto"/>
        </w:rPr>
      </w:pPr>
    </w:p>
    <w:p>
      <w:pPr>
        <w:ind w:left="540" w:right="1020"/>
        <w:spacing w:after="0" w:line="234" w:lineRule="auto"/>
        <w:rPr>
          <w:sz w:val="20"/>
          <w:szCs w:val="20"/>
          <w:color w:val="auto"/>
        </w:rPr>
      </w:pPr>
      <w:r>
        <w:rPr>
          <w:rFonts w:ascii="Arial" w:cs="Arial" w:eastAsia="Arial" w:hAnsi="Arial"/>
          <w:sz w:val="16"/>
          <w:szCs w:val="16"/>
          <w:color w:val="auto"/>
        </w:rPr>
        <w:t>At Regeneron, we lead with science as we pursue our mission of repeatedly bringing important new medicines to patients living with serious diseases. Our business is built on investment in our deep scientific and technological capabilities, which drives our research, preclinical development, clinical, and manufacturing efforts.</w:t>
      </w:r>
    </w:p>
    <w:p>
      <w:pPr>
        <w:spacing w:after="0" w:line="164" w:lineRule="exact"/>
        <w:rPr>
          <w:sz w:val="20"/>
          <w:szCs w:val="20"/>
          <w:color w:val="auto"/>
        </w:rPr>
      </w:pPr>
    </w:p>
    <w:p>
      <w:pPr>
        <w:ind w:left="540" w:right="740"/>
        <w:spacing w:after="0" w:line="231" w:lineRule="auto"/>
        <w:rPr>
          <w:sz w:val="20"/>
          <w:szCs w:val="20"/>
          <w:color w:val="auto"/>
        </w:rPr>
      </w:pPr>
      <w:r>
        <w:rPr>
          <w:rFonts w:ascii="Arial" w:cs="Arial" w:eastAsia="Arial" w:hAnsi="Arial"/>
          <w:sz w:val="16"/>
          <w:szCs w:val="16"/>
          <w:color w:val="auto"/>
        </w:rPr>
        <w:t>The composition of our board is shaped by this business model and the recognition that our board members must have predominantly science-based backgrounds to effectively provide robust, independent oversight of management. The current makeup of our board reflects this principle: Seven of our 12 directors are members of the National Academy of Sciences, and our board includes two Nobel laureates and holders of many scientific awards. In addition, the board includes individuals with experience building shareholder value through all stages of corporate development. Various members also bring substantial governance, financial, policy, and management expertise gained from their professional backgrounds and their service on other boards.</w:t>
      </w:r>
    </w:p>
    <w:p>
      <w:pPr>
        <w:spacing w:after="0" w:line="166" w:lineRule="exact"/>
        <w:rPr>
          <w:sz w:val="20"/>
          <w:szCs w:val="20"/>
          <w:color w:val="auto"/>
        </w:rPr>
      </w:pPr>
    </w:p>
    <w:p>
      <w:pPr>
        <w:ind w:left="540" w:right="540"/>
        <w:spacing w:after="0" w:line="232" w:lineRule="auto"/>
        <w:rPr>
          <w:sz w:val="20"/>
          <w:szCs w:val="20"/>
          <w:color w:val="auto"/>
        </w:rPr>
      </w:pPr>
      <w:r>
        <w:rPr>
          <w:rFonts w:ascii="Arial" w:cs="Arial" w:eastAsia="Arial" w:hAnsi="Arial"/>
          <w:sz w:val="16"/>
          <w:szCs w:val="16"/>
          <w:color w:val="auto"/>
        </w:rPr>
        <w:t>The board’s composition also reflects our commitment to ensure diversity of thought, experience, attributes, and background, as demonstrated by the fact that three of our board’s current 12 members are women and four members are racially or ethnically diverse. While we have always strived to maintain gender and racial/ethnic diversity on the board, our continued commitment to diverse representation is demonstrated by the fact that each of the directors who has joined the board since 2016 is diverse by gender and/or race or ethnicity.</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Gender and Racial/Ethnic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123190</wp:posOffset>
            </wp:positionV>
            <wp:extent cx="1928495" cy="12084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8495"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1" w:name="page22"/>
    <w:bookmarkEnd w:id="21"/>
    <w:p>
      <w:pPr>
        <w:ind w:left="756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Director Skills Matrix</w:t>
      </w:r>
    </w:p>
    <w:p>
      <w:pPr>
        <w:spacing w:after="0" w:line="25" w:lineRule="exact"/>
        <w:rPr>
          <w:sz w:val="20"/>
          <w:szCs w:val="20"/>
          <w:color w:val="auto"/>
        </w:rPr>
      </w:pPr>
    </w:p>
    <w:p>
      <w:pPr>
        <w:ind w:left="540" w:right="660"/>
        <w:spacing w:after="0" w:line="232" w:lineRule="auto"/>
        <w:rPr>
          <w:sz w:val="20"/>
          <w:szCs w:val="20"/>
          <w:color w:val="auto"/>
        </w:rPr>
      </w:pPr>
      <w:r>
        <w:rPr>
          <w:rFonts w:ascii="Arial" w:cs="Arial" w:eastAsia="Arial" w:hAnsi="Arial"/>
          <w:sz w:val="16"/>
          <w:szCs w:val="16"/>
          <w:color w:val="auto"/>
        </w:rPr>
        <w:t>The board and the Corporate Governance and Compliance Committee seek to ensure that our directors as a group possesses the mix of skills and experiences to provide effective oversight and guidance to management to execute on the Company’s long-term strategy. The board and the Committee also consider succession planning for board and committee chairs for purposes of continuity and to maintain relevant expertise and depth of experience.</w:t>
      </w:r>
    </w:p>
    <w:p>
      <w:pPr>
        <w:spacing w:after="0" w:line="166" w:lineRule="exact"/>
        <w:rPr>
          <w:sz w:val="20"/>
          <w:szCs w:val="20"/>
          <w:color w:val="auto"/>
        </w:rPr>
      </w:pPr>
    </w:p>
    <w:p>
      <w:pPr>
        <w:ind w:left="540" w:right="640"/>
        <w:spacing w:after="0" w:line="232" w:lineRule="auto"/>
        <w:rPr>
          <w:sz w:val="20"/>
          <w:szCs w:val="20"/>
          <w:color w:val="auto"/>
        </w:rPr>
      </w:pPr>
      <w:r>
        <w:rPr>
          <w:rFonts w:ascii="Arial" w:cs="Arial" w:eastAsia="Arial" w:hAnsi="Arial"/>
          <w:sz w:val="16"/>
          <w:szCs w:val="16"/>
          <w:color w:val="auto"/>
        </w:rPr>
        <w:t>The table below summarizes key qualifications, skills, or attributes most relevant to the decision to nominate the director to serve on the board of directors. A mark indicates a specific area of focus or expertise on which the board of directors relies most. The lack of a mark does not mean the director does not possess that qualification or skill. Each director biography below describes these qualifications and relevant experience in more detail. We believe the table below demonstrates the breadth and diversity of the collective experience, expertise, and skills of our board of directors.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215BA8"/>
                <w:w w:val="99"/>
              </w:rPr>
              <w:t>N.</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jc w:val="center"/>
              <w:ind w:left="8"/>
              <w:spacing w:after="0" w:line="135" w:lineRule="exact"/>
              <w:rPr>
                <w:sz w:val="20"/>
                <w:szCs w:val="20"/>
                <w:color w:val="auto"/>
              </w:rPr>
            </w:pPr>
            <w:r>
              <w:rPr>
                <w:rFonts w:ascii="Arial" w:cs="Arial" w:eastAsia="Arial" w:hAnsi="Arial"/>
                <w:sz w:val="12"/>
                <w:szCs w:val="12"/>
                <w:b w:val="1"/>
                <w:bCs w:val="1"/>
                <w:color w:val="215BA8"/>
                <w:w w:val="93"/>
              </w:rPr>
              <w:t>Bonnie</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5"/>
              </w:rPr>
              <w:t>Michael</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8"/>
              </w:rPr>
              <w:t>Anthony</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9"/>
              </w:rPr>
              <w:t>Joseph L.</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9"/>
              </w:rPr>
              <w:t>Leonard S.</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0"/>
              </w:rPr>
              <w:t>P. Roy</w:t>
            </w: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7"/>
              </w:rPr>
              <w:t>George D.</w:t>
            </w:r>
          </w:p>
        </w:tc>
        <w:tc>
          <w:tcPr>
            <w:tcW w:w="1040" w:type="dxa"/>
            <w:vAlign w:val="bottom"/>
            <w:gridSpan w:val="2"/>
          </w:tcPr>
          <w:p>
            <w:pPr>
              <w:jc w:val="center"/>
              <w:ind w:right="540"/>
              <w:spacing w:after="0" w:line="135" w:lineRule="exact"/>
              <w:rPr>
                <w:sz w:val="20"/>
                <w:szCs w:val="20"/>
                <w:color w:val="auto"/>
              </w:rPr>
            </w:pPr>
            <w:r>
              <w:rPr>
                <w:rFonts w:ascii="Arial" w:cs="Arial" w:eastAsia="Arial" w:hAnsi="Arial"/>
                <w:sz w:val="12"/>
                <w:szCs w:val="12"/>
                <w:b w:val="1"/>
                <w:bCs w:val="1"/>
                <w:color w:val="215BA8"/>
                <w:w w:val="93"/>
              </w:rPr>
              <w:t>Huda Y.</w:t>
            </w:r>
          </w:p>
        </w:tc>
      </w:tr>
      <w:tr>
        <w:trPr>
          <w:trHeight w:val="135"/>
        </w:trPr>
        <w:tc>
          <w:tcPr>
            <w:tcW w:w="540" w:type="dxa"/>
            <w:vAlign w:val="bottom"/>
          </w:tcPr>
          <w:p>
            <w:pPr>
              <w:spacing w:after="0"/>
              <w:rPr>
                <w:sz w:val="11"/>
                <w:szCs w:val="11"/>
                <w:color w:val="auto"/>
              </w:rPr>
            </w:pPr>
          </w:p>
        </w:tc>
        <w:tc>
          <w:tcPr>
            <w:tcW w:w="2560" w:type="dxa"/>
            <w:vAlign w:val="bottom"/>
          </w:tcPr>
          <w:p>
            <w:pPr>
              <w:ind w:left="40"/>
              <w:spacing w:after="0" w:line="135" w:lineRule="exact"/>
              <w:rPr>
                <w:sz w:val="20"/>
                <w:szCs w:val="20"/>
                <w:color w:val="auto"/>
              </w:rPr>
            </w:pPr>
            <w:r>
              <w:rPr>
                <w:rFonts w:ascii="Arial" w:cs="Arial" w:eastAsia="Arial" w:hAnsi="Arial"/>
                <w:sz w:val="12"/>
                <w:szCs w:val="12"/>
                <w:b w:val="1"/>
                <w:bCs w:val="1"/>
                <w:color w:val="215BA8"/>
              </w:rPr>
              <w:t>Experience,</w:t>
            </w:r>
          </w:p>
        </w:tc>
        <w:tc>
          <w:tcPr>
            <w:tcW w:w="740" w:type="dxa"/>
            <w:vAlign w:val="bottom"/>
          </w:tcPr>
          <w:p>
            <w:pPr>
              <w:jc w:val="center"/>
              <w:ind w:left="8"/>
              <w:spacing w:after="0" w:line="135" w:lineRule="exact"/>
              <w:rPr>
                <w:sz w:val="20"/>
                <w:szCs w:val="20"/>
                <w:color w:val="auto"/>
              </w:rPr>
            </w:pPr>
            <w:r>
              <w:rPr>
                <w:rFonts w:ascii="Arial" w:cs="Arial" w:eastAsia="Arial" w:hAnsi="Arial"/>
                <w:sz w:val="12"/>
                <w:szCs w:val="12"/>
                <w:b w:val="1"/>
                <w:bCs w:val="1"/>
                <w:color w:val="215BA8"/>
                <w:w w:val="95"/>
              </w:rPr>
              <w:t>L. Bassler,</w:t>
            </w: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7"/>
              </w:rPr>
              <w:t>S. Brown,</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9"/>
              </w:rPr>
              <w:t>Coles,</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5"/>
              </w:rPr>
              <w:t>Goldstein,</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6"/>
              </w:rPr>
              <w:t>Christine</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8"/>
              </w:rPr>
              <w:t>Arthur</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6"/>
              </w:rPr>
              <w:t>Schleifer,</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5"/>
              </w:rPr>
              <w:t>George</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5"/>
              </w:rPr>
              <w:t>Marc Tessier-</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7"/>
              </w:rPr>
              <w:t>Vagelos,</w:t>
            </w: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6"/>
              </w:rPr>
              <w:t>Yancopoulos,</w:t>
            </w:r>
          </w:p>
        </w:tc>
        <w:tc>
          <w:tcPr>
            <w:tcW w:w="1040" w:type="dxa"/>
            <w:vAlign w:val="bottom"/>
            <w:gridSpan w:val="2"/>
          </w:tcPr>
          <w:p>
            <w:pPr>
              <w:jc w:val="center"/>
              <w:ind w:right="540"/>
              <w:spacing w:after="0" w:line="135" w:lineRule="exact"/>
              <w:rPr>
                <w:sz w:val="20"/>
                <w:szCs w:val="20"/>
                <w:color w:val="auto"/>
              </w:rPr>
            </w:pPr>
            <w:r>
              <w:rPr>
                <w:rFonts w:ascii="Arial" w:cs="Arial" w:eastAsia="Arial" w:hAnsi="Arial"/>
                <w:sz w:val="12"/>
                <w:szCs w:val="12"/>
                <w:b w:val="1"/>
                <w:bCs w:val="1"/>
                <w:color w:val="215BA8"/>
                <w:w w:val="96"/>
              </w:rPr>
              <w:t>Zoghbi,</w:t>
            </w:r>
          </w:p>
        </w:tc>
      </w:tr>
      <w:tr>
        <w:trPr>
          <w:trHeight w:val="181"/>
        </w:trPr>
        <w:tc>
          <w:tcPr>
            <w:tcW w:w="540" w:type="dxa"/>
            <w:vAlign w:val="bottom"/>
          </w:tcPr>
          <w:p>
            <w:pPr>
              <w:spacing w:after="0"/>
              <w:rPr>
                <w:sz w:val="15"/>
                <w:szCs w:val="15"/>
                <w:color w:val="auto"/>
              </w:rPr>
            </w:pPr>
          </w:p>
        </w:tc>
        <w:tc>
          <w:tcPr>
            <w:tcW w:w="2560" w:type="dxa"/>
            <w:vAlign w:val="bottom"/>
          </w:tcPr>
          <w:p>
            <w:pPr>
              <w:ind w:left="40"/>
              <w:spacing w:after="0"/>
              <w:rPr>
                <w:sz w:val="20"/>
                <w:szCs w:val="20"/>
                <w:color w:val="auto"/>
              </w:rPr>
            </w:pPr>
            <w:r>
              <w:rPr>
                <w:rFonts w:ascii="Arial" w:cs="Arial" w:eastAsia="Arial" w:hAnsi="Arial"/>
                <w:sz w:val="12"/>
                <w:szCs w:val="12"/>
                <w:b w:val="1"/>
                <w:bCs w:val="1"/>
                <w:color w:val="215BA8"/>
              </w:rPr>
              <w:t>Expertise, or Attribute</w:t>
            </w:r>
          </w:p>
        </w:tc>
        <w:tc>
          <w:tcPr>
            <w:tcW w:w="740" w:type="dxa"/>
            <w:vAlign w:val="bottom"/>
          </w:tcPr>
          <w:p>
            <w:pPr>
              <w:jc w:val="center"/>
              <w:ind w:left="8"/>
              <w:spacing w:after="0"/>
              <w:rPr>
                <w:sz w:val="20"/>
                <w:szCs w:val="20"/>
                <w:color w:val="auto"/>
              </w:rPr>
            </w:pPr>
            <w:r>
              <w:rPr>
                <w:rFonts w:ascii="Arial" w:cs="Arial" w:eastAsia="Arial" w:hAnsi="Arial"/>
                <w:sz w:val="12"/>
                <w:szCs w:val="12"/>
                <w:b w:val="1"/>
                <w:bCs w:val="1"/>
                <w:color w:val="215BA8"/>
                <w:w w:val="97"/>
              </w:rPr>
              <w:t>Ph.D.</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215BA8"/>
              </w:rPr>
              <w:t>M.D.</w:t>
            </w:r>
          </w:p>
        </w:tc>
        <w:tc>
          <w:tcPr>
            <w:tcW w:w="560" w:type="dxa"/>
            <w:vAlign w:val="bottom"/>
          </w:tcPr>
          <w:p>
            <w:pPr>
              <w:jc w:val="center"/>
              <w:spacing w:after="0"/>
              <w:rPr>
                <w:sz w:val="20"/>
                <w:szCs w:val="20"/>
                <w:color w:val="auto"/>
              </w:rPr>
            </w:pPr>
            <w:r>
              <w:rPr>
                <w:rFonts w:ascii="Arial" w:cs="Arial" w:eastAsia="Arial" w:hAnsi="Arial"/>
                <w:sz w:val="12"/>
                <w:szCs w:val="12"/>
                <w:b w:val="1"/>
                <w:bCs w:val="1"/>
                <w:color w:val="215BA8"/>
                <w:w w:val="94"/>
              </w:rPr>
              <w:t>M.D.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215BA8"/>
                <w:w w:val="94"/>
              </w:rPr>
              <w:t>M.D.</w:t>
            </w:r>
          </w:p>
        </w:tc>
        <w:tc>
          <w:tcPr>
            <w:tcW w:w="580" w:type="dxa"/>
            <w:vAlign w:val="bottom"/>
          </w:tcPr>
          <w:p>
            <w:pPr>
              <w:jc w:val="center"/>
              <w:spacing w:after="0"/>
              <w:rPr>
                <w:sz w:val="20"/>
                <w:szCs w:val="20"/>
                <w:color w:val="auto"/>
              </w:rPr>
            </w:pPr>
            <w:r>
              <w:rPr>
                <w:rFonts w:ascii="Arial" w:cs="Arial" w:eastAsia="Arial" w:hAnsi="Arial"/>
                <w:sz w:val="12"/>
                <w:szCs w:val="12"/>
                <w:b w:val="1"/>
                <w:bCs w:val="1"/>
                <w:color w:val="215BA8"/>
                <w:w w:val="96"/>
              </w:rPr>
              <w:t>A. Poon</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215BA8"/>
                <w:w w:val="92"/>
              </w:rPr>
              <w:t>F. Ryan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215BA8"/>
                <w:w w:val="98"/>
              </w:rPr>
              <w:t>M.D., Ph.D.</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215BA8"/>
                <w:w w:val="99"/>
              </w:rPr>
              <w:t>L. Sing</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15BA8"/>
                <w:w w:val="99"/>
              </w:rPr>
              <w:t>Lavigne, Ph.D.</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215BA8"/>
              </w:rPr>
              <w:t>M.D.</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215BA8"/>
                <w:w w:val="95"/>
              </w:rPr>
              <w:t>M.D., Ph.D.</w:t>
            </w:r>
          </w:p>
        </w:tc>
        <w:tc>
          <w:tcPr>
            <w:tcW w:w="10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215BA8"/>
              </w:rPr>
              <w:t>M.D.</w:t>
            </w:r>
          </w:p>
        </w:tc>
      </w:tr>
      <w:tr>
        <w:trPr>
          <w:trHeight w:val="223"/>
        </w:trPr>
        <w:tc>
          <w:tcPr>
            <w:tcW w:w="540" w:type="dxa"/>
            <w:vAlign w:val="bottom"/>
          </w:tcPr>
          <w:p>
            <w:pPr>
              <w:spacing w:after="0"/>
              <w:rPr>
                <w:sz w:val="19"/>
                <w:szCs w:val="19"/>
                <w:color w:val="auto"/>
              </w:rPr>
            </w:pPr>
          </w:p>
        </w:tc>
        <w:tc>
          <w:tcPr>
            <w:tcW w:w="2560" w:type="dxa"/>
            <w:vAlign w:val="bottom"/>
            <w:tcBorders>
              <w:top w:val="single" w:sz="8" w:color="215AA8"/>
              <w:bottom w:val="single" w:sz="8" w:color="58585A"/>
            </w:tcBorders>
          </w:tcPr>
          <w:p>
            <w:pPr>
              <w:ind w:left="40"/>
              <w:spacing w:after="0"/>
              <w:rPr>
                <w:sz w:val="20"/>
                <w:szCs w:val="20"/>
                <w:color w:val="auto"/>
              </w:rPr>
            </w:pPr>
            <w:r>
              <w:rPr>
                <w:rFonts w:ascii="Arial" w:cs="Arial" w:eastAsia="Arial" w:hAnsi="Arial"/>
                <w:sz w:val="12"/>
                <w:szCs w:val="12"/>
                <w:b w:val="1"/>
                <w:bCs w:val="1"/>
                <w:color w:val="auto"/>
              </w:rPr>
              <w:t>Industry Experience</w:t>
            </w:r>
          </w:p>
        </w:tc>
        <w:tc>
          <w:tcPr>
            <w:tcW w:w="740" w:type="dxa"/>
            <w:vAlign w:val="bottom"/>
            <w:tcBorders>
              <w:top w:val="single" w:sz="8" w:color="215AA8"/>
              <w:bottom w:val="single" w:sz="8" w:color="58585A"/>
            </w:tcBorders>
          </w:tcPr>
          <w:p>
            <w:pPr>
              <w:jc w:val="center"/>
              <w:ind w:left="8"/>
              <w:spacing w:after="0"/>
              <w:rPr>
                <w:sz w:val="20"/>
                <w:szCs w:val="20"/>
                <w:color w:val="auto"/>
              </w:rPr>
            </w:pPr>
            <w:r>
              <w:rPr>
                <w:rFonts w:ascii="Arial" w:cs="Arial" w:eastAsia="Arial" w:hAnsi="Arial"/>
                <w:sz w:val="16"/>
                <w:szCs w:val="16"/>
                <w:color w:val="D60058"/>
              </w:rPr>
              <w:t>l</w:t>
            </w:r>
          </w:p>
        </w:tc>
        <w:tc>
          <w:tcPr>
            <w:tcW w:w="62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6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8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70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90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top w:val="single" w:sz="8" w:color="215AA8"/>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top w:val="single" w:sz="8" w:color="215AA8"/>
              <w:bottom w:val="single" w:sz="8" w:color="58585A"/>
            </w:tcBorders>
          </w:tcPr>
          <w:p>
            <w:pPr>
              <w:spacing w:after="0"/>
              <w:rPr>
                <w:sz w:val="19"/>
                <w:szCs w:val="19"/>
                <w:color w:val="auto"/>
              </w:rPr>
            </w:pPr>
          </w:p>
        </w:tc>
        <w:tc>
          <w:tcPr>
            <w:tcW w:w="540" w:type="dxa"/>
            <w:vAlign w:val="bottom"/>
            <w:tcBorders>
              <w:bottom w:val="single" w:sz="8" w:color="58585A"/>
            </w:tcBorders>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58585A"/>
            </w:tcBorders>
            <w:shd w:val="clear" w:color="auto" w:fill="EEEEEF"/>
          </w:tcPr>
          <w:p>
            <w:pPr>
              <w:ind w:left="40"/>
              <w:spacing w:after="0"/>
              <w:rPr>
                <w:sz w:val="20"/>
                <w:szCs w:val="20"/>
                <w:color w:val="auto"/>
              </w:rPr>
            </w:pPr>
            <w:r>
              <w:rPr>
                <w:rFonts w:ascii="Arial" w:cs="Arial" w:eastAsia="Arial" w:hAnsi="Arial"/>
                <w:sz w:val="12"/>
                <w:szCs w:val="12"/>
                <w:b w:val="1"/>
                <w:bCs w:val="1"/>
                <w:color w:val="auto"/>
              </w:rPr>
              <w:t>Executive/Leadership Experience</w:t>
            </w:r>
          </w:p>
        </w:tc>
        <w:tc>
          <w:tcPr>
            <w:tcW w:w="740" w:type="dxa"/>
            <w:vAlign w:val="bottom"/>
            <w:tcBorders>
              <w:bottom w:val="single" w:sz="8" w:color="58585A"/>
            </w:tcBorders>
            <w:shd w:val="clear" w:color="auto" w:fill="EEEEEF"/>
          </w:tcPr>
          <w:p>
            <w:pPr>
              <w:jc w:val="center"/>
              <w:ind w:left="8"/>
              <w:spacing w:after="0"/>
              <w:rPr>
                <w:sz w:val="20"/>
                <w:szCs w:val="20"/>
                <w:color w:val="auto"/>
              </w:rPr>
            </w:pPr>
            <w:r>
              <w:rPr>
                <w:rFonts w:ascii="Arial" w:cs="Arial" w:eastAsia="Arial" w:hAnsi="Arial"/>
                <w:sz w:val="16"/>
                <w:szCs w:val="16"/>
                <w:color w:val="D60058"/>
              </w:rPr>
              <w:t>l</w:t>
            </w:r>
          </w:p>
        </w:tc>
        <w:tc>
          <w:tcPr>
            <w:tcW w:w="62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6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8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7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9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Pr>
          <w:p>
            <w:pPr>
              <w:ind w:left="40"/>
              <w:spacing w:after="0"/>
              <w:rPr>
                <w:sz w:val="20"/>
                <w:szCs w:val="20"/>
                <w:color w:val="auto"/>
              </w:rPr>
            </w:pPr>
            <w:r>
              <w:rPr>
                <w:rFonts w:ascii="Arial" w:cs="Arial" w:eastAsia="Arial" w:hAnsi="Arial"/>
                <w:sz w:val="12"/>
                <w:szCs w:val="12"/>
                <w:b w:val="1"/>
                <w:bCs w:val="1"/>
                <w:color w:val="auto"/>
              </w:rPr>
              <w:t>Science/Biotech Background</w:t>
            </w:r>
          </w:p>
        </w:tc>
        <w:tc>
          <w:tcPr>
            <w:tcW w:w="740" w:type="dxa"/>
            <w:vAlign w:val="bottom"/>
          </w:tcPr>
          <w:p>
            <w:pPr>
              <w:jc w:val="center"/>
              <w:ind w:left="8"/>
              <w:spacing w:after="0"/>
              <w:rPr>
                <w:sz w:val="20"/>
                <w:szCs w:val="20"/>
                <w:color w:val="auto"/>
              </w:rPr>
            </w:pPr>
            <w:r>
              <w:rPr>
                <w:rFonts w:ascii="Arial" w:cs="Arial" w:eastAsia="Arial" w:hAnsi="Arial"/>
                <w:sz w:val="16"/>
                <w:szCs w:val="16"/>
                <w:color w:val="D60058"/>
              </w:rPr>
              <w:t>l</w:t>
            </w:r>
          </w:p>
        </w:tc>
        <w:tc>
          <w:tcPr>
            <w:tcW w:w="620" w:type="dxa"/>
            <w:vAlign w:val="bottom"/>
          </w:tcPr>
          <w:p>
            <w:pPr>
              <w:jc w:val="center"/>
              <w:spacing w:after="0"/>
              <w:rPr>
                <w:sz w:val="20"/>
                <w:szCs w:val="20"/>
                <w:color w:val="auto"/>
              </w:rPr>
            </w:pPr>
            <w:r>
              <w:rPr>
                <w:rFonts w:ascii="Arial" w:cs="Arial" w:eastAsia="Arial" w:hAnsi="Arial"/>
                <w:sz w:val="16"/>
                <w:szCs w:val="16"/>
                <w:color w:val="D60058"/>
              </w:rPr>
              <w:t>l</w:t>
            </w:r>
          </w:p>
        </w:tc>
        <w:tc>
          <w:tcPr>
            <w:tcW w:w="560" w:type="dxa"/>
            <w:vAlign w:val="bottom"/>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Pr>
          <w:p>
            <w:pPr>
              <w:jc w:val="center"/>
              <w:spacing w:after="0"/>
              <w:rPr>
                <w:sz w:val="20"/>
                <w:szCs w:val="20"/>
                <w:color w:val="auto"/>
              </w:rPr>
            </w:pPr>
            <w:r>
              <w:rPr>
                <w:rFonts w:ascii="Arial" w:cs="Arial" w:eastAsia="Arial" w:hAnsi="Arial"/>
                <w:sz w:val="16"/>
                <w:szCs w:val="16"/>
                <w:color w:val="D60058"/>
              </w:rPr>
              <w:t>l</w:t>
            </w:r>
          </w:p>
        </w:tc>
        <w:tc>
          <w:tcPr>
            <w:tcW w:w="580" w:type="dxa"/>
            <w:vAlign w:val="bottom"/>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Pr>
          <w:p>
            <w:pPr>
              <w:jc w:val="center"/>
              <w:spacing w:after="0"/>
              <w:rPr>
                <w:sz w:val="20"/>
                <w:szCs w:val="20"/>
                <w:color w:val="auto"/>
              </w:rPr>
            </w:pPr>
            <w:r>
              <w:rPr>
                <w:rFonts w:ascii="Arial" w:cs="Arial" w:eastAsia="Arial" w:hAnsi="Arial"/>
                <w:sz w:val="16"/>
                <w:szCs w:val="16"/>
                <w:color w:val="D60058"/>
              </w:rPr>
              <w:t>l</w:t>
            </w:r>
          </w:p>
        </w:tc>
        <w:tc>
          <w:tcPr>
            <w:tcW w:w="900" w:type="dxa"/>
            <w:vAlign w:val="bottom"/>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Pr>
          <w:p>
            <w:pPr>
              <w:jc w:val="center"/>
              <w:spacing w:after="0"/>
              <w:rPr>
                <w:sz w:val="20"/>
                <w:szCs w:val="20"/>
                <w:color w:val="auto"/>
              </w:rPr>
            </w:pPr>
            <w:r>
              <w:rPr>
                <w:rFonts w:ascii="Arial" w:cs="Arial" w:eastAsia="Arial" w:hAnsi="Arial"/>
                <w:sz w:val="16"/>
                <w:szCs w:val="16"/>
                <w:color w:val="D60058"/>
              </w:rPr>
              <w:t>l</w:t>
            </w:r>
          </w:p>
        </w:tc>
        <w:tc>
          <w:tcPr>
            <w:tcW w:w="1040" w:type="dxa"/>
            <w:vAlign w:val="bottom"/>
            <w:gridSpan w:val="2"/>
          </w:tcPr>
          <w:p>
            <w:pPr>
              <w:jc w:val="center"/>
              <w:ind w:right="540"/>
              <w:spacing w:after="0"/>
              <w:rPr>
                <w:sz w:val="20"/>
                <w:szCs w:val="20"/>
                <w:color w:val="auto"/>
              </w:rPr>
            </w:pPr>
            <w:r>
              <w:rPr>
                <w:rFonts w:ascii="Arial" w:cs="Arial" w:eastAsia="Arial" w:hAnsi="Arial"/>
                <w:sz w:val="16"/>
                <w:szCs w:val="16"/>
                <w:color w:val="D60058"/>
              </w:rPr>
              <w:t>l</w:t>
            </w:r>
          </w:p>
        </w:tc>
      </w:tr>
      <w:tr>
        <w:trPr>
          <w:trHeight w:val="223"/>
        </w:trPr>
        <w:tc>
          <w:tcPr>
            <w:tcW w:w="540" w:type="dxa"/>
            <w:vAlign w:val="bottom"/>
          </w:tcPr>
          <w:p>
            <w:pPr>
              <w:spacing w:after="0"/>
              <w:rPr>
                <w:sz w:val="19"/>
                <w:szCs w:val="19"/>
                <w:color w:val="auto"/>
              </w:rPr>
            </w:pPr>
          </w:p>
        </w:tc>
        <w:tc>
          <w:tcPr>
            <w:tcW w:w="2560" w:type="dxa"/>
            <w:vAlign w:val="bottom"/>
            <w:tcBorders>
              <w:top w:val="single" w:sz="8" w:color="58585A"/>
              <w:bottom w:val="single" w:sz="8" w:color="58585A"/>
            </w:tcBorders>
            <w:shd w:val="clear" w:color="auto" w:fill="EEEEEF"/>
          </w:tcPr>
          <w:p>
            <w:pPr>
              <w:ind w:left="40"/>
              <w:spacing w:after="0"/>
              <w:rPr>
                <w:sz w:val="20"/>
                <w:szCs w:val="20"/>
                <w:color w:val="auto"/>
              </w:rPr>
            </w:pPr>
            <w:r>
              <w:rPr>
                <w:rFonts w:ascii="Arial" w:cs="Arial" w:eastAsia="Arial" w:hAnsi="Arial"/>
                <w:sz w:val="12"/>
                <w:szCs w:val="12"/>
                <w:b w:val="1"/>
                <w:bCs w:val="1"/>
                <w:color w:val="auto"/>
              </w:rPr>
              <w:t>Research/Academic Experience</w:t>
            </w:r>
          </w:p>
        </w:tc>
        <w:tc>
          <w:tcPr>
            <w:tcW w:w="740" w:type="dxa"/>
            <w:vAlign w:val="bottom"/>
            <w:tcBorders>
              <w:top w:val="single" w:sz="8" w:color="58585A"/>
              <w:bottom w:val="single" w:sz="8" w:color="58585A"/>
            </w:tcBorders>
            <w:shd w:val="clear" w:color="auto" w:fill="EEEEEF"/>
          </w:tcPr>
          <w:p>
            <w:pPr>
              <w:jc w:val="center"/>
              <w:ind w:left="8"/>
              <w:spacing w:after="0"/>
              <w:rPr>
                <w:sz w:val="20"/>
                <w:szCs w:val="20"/>
                <w:color w:val="auto"/>
              </w:rPr>
            </w:pPr>
            <w:r>
              <w:rPr>
                <w:rFonts w:ascii="Arial" w:cs="Arial" w:eastAsia="Arial" w:hAnsi="Arial"/>
                <w:sz w:val="16"/>
                <w:szCs w:val="16"/>
                <w:color w:val="D60058"/>
              </w:rPr>
              <w:t>l</w:t>
            </w:r>
          </w:p>
        </w:tc>
        <w:tc>
          <w:tcPr>
            <w:tcW w:w="62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6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8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top w:val="single" w:sz="8" w:color="58585A"/>
              <w:bottom w:val="single" w:sz="8" w:color="58585A"/>
            </w:tcBorders>
            <w:shd w:val="clear" w:color="auto" w:fill="EEEEEF"/>
          </w:tcPr>
          <w:p>
            <w:pPr>
              <w:spacing w:after="0"/>
              <w:rPr>
                <w:sz w:val="19"/>
                <w:szCs w:val="19"/>
                <w:color w:val="auto"/>
              </w:rPr>
            </w:pPr>
          </w:p>
        </w:tc>
        <w:tc>
          <w:tcPr>
            <w:tcW w:w="70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Borders>
              <w:top w:val="single" w:sz="8" w:color="58585A"/>
              <w:bottom w:val="single" w:sz="8" w:color="58585A"/>
            </w:tcBorders>
            <w:shd w:val="clear" w:color="auto" w:fill="EEEEEF"/>
          </w:tcPr>
          <w:p>
            <w:pPr>
              <w:spacing w:after="0"/>
              <w:rPr>
                <w:sz w:val="19"/>
                <w:szCs w:val="19"/>
                <w:color w:val="auto"/>
              </w:rPr>
            </w:pPr>
          </w:p>
        </w:tc>
        <w:tc>
          <w:tcPr>
            <w:tcW w:w="90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top w:val="single" w:sz="8" w:color="58585A"/>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58585A"/>
            </w:tcBorders>
          </w:tcPr>
          <w:p>
            <w:pPr>
              <w:ind w:left="40"/>
              <w:spacing w:after="0"/>
              <w:rPr>
                <w:sz w:val="20"/>
                <w:szCs w:val="20"/>
                <w:color w:val="auto"/>
              </w:rPr>
            </w:pPr>
            <w:r>
              <w:rPr>
                <w:rFonts w:ascii="Arial" w:cs="Arial" w:eastAsia="Arial" w:hAnsi="Arial"/>
                <w:sz w:val="12"/>
                <w:szCs w:val="12"/>
                <w:b w:val="1"/>
                <w:bCs w:val="1"/>
                <w:color w:val="auto"/>
              </w:rPr>
              <w:t>Business Strategy/Operations Experience</w:t>
            </w:r>
          </w:p>
        </w:tc>
        <w:tc>
          <w:tcPr>
            <w:tcW w:w="740" w:type="dxa"/>
            <w:vAlign w:val="bottom"/>
            <w:tcBorders>
              <w:bottom w:val="single" w:sz="8" w:color="58585A"/>
            </w:tcBorders>
          </w:tcPr>
          <w:p>
            <w:pPr>
              <w:spacing w:after="0"/>
              <w:rPr>
                <w:sz w:val="19"/>
                <w:szCs w:val="19"/>
                <w:color w:val="auto"/>
              </w:rPr>
            </w:pPr>
          </w:p>
        </w:tc>
        <w:tc>
          <w:tcPr>
            <w:tcW w:w="620" w:type="dxa"/>
            <w:vAlign w:val="bottom"/>
            <w:tcBorders>
              <w:bottom w:val="single" w:sz="8" w:color="58585A"/>
            </w:tcBorders>
          </w:tcPr>
          <w:p>
            <w:pPr>
              <w:spacing w:after="0"/>
              <w:rPr>
                <w:sz w:val="19"/>
                <w:szCs w:val="19"/>
                <w:color w:val="auto"/>
              </w:rPr>
            </w:pPr>
          </w:p>
        </w:tc>
        <w:tc>
          <w:tcPr>
            <w:tcW w:w="56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bottom w:val="single" w:sz="8" w:color="58585A"/>
            </w:tcBorders>
          </w:tcPr>
          <w:p>
            <w:pPr>
              <w:spacing w:after="0"/>
              <w:rPr>
                <w:sz w:val="19"/>
                <w:szCs w:val="19"/>
                <w:color w:val="auto"/>
              </w:rPr>
            </w:pPr>
          </w:p>
        </w:tc>
        <w:tc>
          <w:tcPr>
            <w:tcW w:w="58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70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90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58585A"/>
            </w:tcBorders>
            <w:shd w:val="clear" w:color="auto" w:fill="EEEEEF"/>
          </w:tcPr>
          <w:p>
            <w:pPr>
              <w:ind w:left="40"/>
              <w:spacing w:after="0"/>
              <w:rPr>
                <w:sz w:val="20"/>
                <w:szCs w:val="20"/>
                <w:color w:val="auto"/>
              </w:rPr>
            </w:pPr>
            <w:r>
              <w:rPr>
                <w:rFonts w:ascii="Arial" w:cs="Arial" w:eastAsia="Arial" w:hAnsi="Arial"/>
                <w:sz w:val="12"/>
                <w:szCs w:val="12"/>
                <w:b w:val="1"/>
                <w:bCs w:val="1"/>
                <w:color w:val="auto"/>
              </w:rPr>
              <w:t>Financial Expertise</w:t>
            </w:r>
          </w:p>
        </w:tc>
        <w:tc>
          <w:tcPr>
            <w:tcW w:w="740" w:type="dxa"/>
            <w:vAlign w:val="bottom"/>
            <w:tcBorders>
              <w:bottom w:val="single" w:sz="8" w:color="58585A"/>
            </w:tcBorders>
            <w:shd w:val="clear" w:color="auto" w:fill="EEEEEF"/>
          </w:tcPr>
          <w:p>
            <w:pPr>
              <w:spacing w:after="0"/>
              <w:rPr>
                <w:sz w:val="19"/>
                <w:szCs w:val="19"/>
                <w:color w:val="auto"/>
              </w:rPr>
            </w:pPr>
          </w:p>
        </w:tc>
        <w:tc>
          <w:tcPr>
            <w:tcW w:w="620" w:type="dxa"/>
            <w:vAlign w:val="bottom"/>
            <w:tcBorders>
              <w:bottom w:val="single" w:sz="8" w:color="58585A"/>
            </w:tcBorders>
            <w:shd w:val="clear" w:color="auto" w:fill="EEEEEF"/>
          </w:tcPr>
          <w:p>
            <w:pPr>
              <w:spacing w:after="0"/>
              <w:rPr>
                <w:sz w:val="19"/>
                <w:szCs w:val="19"/>
                <w:color w:val="auto"/>
              </w:rPr>
            </w:pPr>
          </w:p>
        </w:tc>
        <w:tc>
          <w:tcPr>
            <w:tcW w:w="56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bottom w:val="single" w:sz="8" w:color="58585A"/>
            </w:tcBorders>
            <w:shd w:val="clear" w:color="auto" w:fill="EEEEEF"/>
          </w:tcPr>
          <w:p>
            <w:pPr>
              <w:spacing w:after="0"/>
              <w:rPr>
                <w:sz w:val="19"/>
                <w:szCs w:val="19"/>
                <w:color w:val="auto"/>
              </w:rPr>
            </w:pPr>
          </w:p>
        </w:tc>
        <w:tc>
          <w:tcPr>
            <w:tcW w:w="58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7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900" w:type="dxa"/>
            <w:vAlign w:val="bottom"/>
            <w:tcBorders>
              <w:bottom w:val="single" w:sz="8" w:color="58585A"/>
            </w:tcBorders>
            <w:shd w:val="clear" w:color="auto" w:fill="EEEEEF"/>
          </w:tcPr>
          <w:p>
            <w:pPr>
              <w:spacing w:after="0"/>
              <w:rPr>
                <w:sz w:val="19"/>
                <w:szCs w:val="19"/>
                <w:color w:val="auto"/>
              </w:rPr>
            </w:pPr>
          </w:p>
        </w:tc>
        <w:tc>
          <w:tcPr>
            <w:tcW w:w="5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bottom w:val="single" w:sz="8" w:color="58585A"/>
            </w:tcBorders>
            <w:shd w:val="clear" w:color="auto" w:fill="EEEEEF"/>
          </w:tcPr>
          <w:p>
            <w:pPr>
              <w:spacing w:after="0"/>
              <w:rPr>
                <w:sz w:val="19"/>
                <w:szCs w:val="19"/>
                <w:color w:val="auto"/>
              </w:rPr>
            </w:pPr>
          </w:p>
        </w:tc>
        <w:tc>
          <w:tcPr>
            <w:tcW w:w="500" w:type="dxa"/>
            <w:vAlign w:val="bottom"/>
            <w:tcBorders>
              <w:bottom w:val="single" w:sz="8" w:color="58585A"/>
            </w:tcBorders>
            <w:shd w:val="clear" w:color="auto" w:fill="EEEEEF"/>
          </w:tcPr>
          <w:p>
            <w:pPr>
              <w:spacing w:after="0"/>
              <w:rPr>
                <w:sz w:val="19"/>
                <w:szCs w:val="19"/>
                <w:color w:val="auto"/>
              </w:rPr>
            </w:pP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58585A"/>
            </w:tcBorders>
          </w:tcPr>
          <w:p>
            <w:pPr>
              <w:ind w:left="40"/>
              <w:spacing w:after="0"/>
              <w:rPr>
                <w:sz w:val="20"/>
                <w:szCs w:val="20"/>
                <w:color w:val="auto"/>
              </w:rPr>
            </w:pPr>
            <w:r>
              <w:rPr>
                <w:rFonts w:ascii="Arial" w:cs="Arial" w:eastAsia="Arial" w:hAnsi="Arial"/>
                <w:sz w:val="12"/>
                <w:szCs w:val="12"/>
                <w:b w:val="1"/>
                <w:bCs w:val="1"/>
                <w:color w:val="auto"/>
              </w:rPr>
              <w:t>Public Company CEO Experience</w:t>
            </w:r>
          </w:p>
        </w:tc>
        <w:tc>
          <w:tcPr>
            <w:tcW w:w="740" w:type="dxa"/>
            <w:vAlign w:val="bottom"/>
            <w:tcBorders>
              <w:bottom w:val="single" w:sz="8" w:color="58585A"/>
            </w:tcBorders>
          </w:tcPr>
          <w:p>
            <w:pPr>
              <w:spacing w:after="0"/>
              <w:rPr>
                <w:sz w:val="19"/>
                <w:szCs w:val="19"/>
                <w:color w:val="auto"/>
              </w:rPr>
            </w:pPr>
          </w:p>
        </w:tc>
        <w:tc>
          <w:tcPr>
            <w:tcW w:w="620" w:type="dxa"/>
            <w:vAlign w:val="bottom"/>
            <w:tcBorders>
              <w:bottom w:val="single" w:sz="8" w:color="58585A"/>
            </w:tcBorders>
          </w:tcPr>
          <w:p>
            <w:pPr>
              <w:spacing w:after="0"/>
              <w:rPr>
                <w:sz w:val="19"/>
                <w:szCs w:val="19"/>
                <w:color w:val="auto"/>
              </w:rPr>
            </w:pPr>
          </w:p>
        </w:tc>
        <w:tc>
          <w:tcPr>
            <w:tcW w:w="56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bottom w:val="single" w:sz="8" w:color="58585A"/>
            </w:tcBorders>
          </w:tcPr>
          <w:p>
            <w:pPr>
              <w:spacing w:after="0"/>
              <w:rPr>
                <w:sz w:val="19"/>
                <w:szCs w:val="19"/>
                <w:color w:val="auto"/>
              </w:rPr>
            </w:pPr>
          </w:p>
        </w:tc>
        <w:tc>
          <w:tcPr>
            <w:tcW w:w="580" w:type="dxa"/>
            <w:vAlign w:val="bottom"/>
            <w:tcBorders>
              <w:bottom w:val="single" w:sz="8" w:color="58585A"/>
            </w:tcBorders>
          </w:tcPr>
          <w:p>
            <w:pPr>
              <w:spacing w:after="0"/>
              <w:rPr>
                <w:sz w:val="19"/>
                <w:szCs w:val="19"/>
                <w:color w:val="auto"/>
              </w:rPr>
            </w:pPr>
          </w:p>
        </w:tc>
        <w:tc>
          <w:tcPr>
            <w:tcW w:w="50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70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480" w:type="dxa"/>
            <w:vAlign w:val="bottom"/>
            <w:tcBorders>
              <w:bottom w:val="single" w:sz="8" w:color="58585A"/>
            </w:tcBorders>
          </w:tcPr>
          <w:p>
            <w:pPr>
              <w:spacing w:after="0"/>
              <w:rPr>
                <w:sz w:val="19"/>
                <w:szCs w:val="19"/>
                <w:color w:val="auto"/>
              </w:rPr>
            </w:pPr>
          </w:p>
        </w:tc>
        <w:tc>
          <w:tcPr>
            <w:tcW w:w="900" w:type="dxa"/>
            <w:vAlign w:val="bottom"/>
            <w:tcBorders>
              <w:bottom w:val="single" w:sz="8" w:color="58585A"/>
            </w:tcBorders>
          </w:tcPr>
          <w:p>
            <w:pPr>
              <w:spacing w:after="0"/>
              <w:rPr>
                <w:sz w:val="19"/>
                <w:szCs w:val="19"/>
                <w:color w:val="auto"/>
              </w:rPr>
            </w:pPr>
          </w:p>
        </w:tc>
        <w:tc>
          <w:tcPr>
            <w:tcW w:w="54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bottom w:val="single" w:sz="8" w:color="58585A"/>
            </w:tcBorders>
          </w:tcPr>
          <w:p>
            <w:pPr>
              <w:spacing w:after="0"/>
              <w:rPr>
                <w:sz w:val="19"/>
                <w:szCs w:val="19"/>
                <w:color w:val="auto"/>
              </w:rPr>
            </w:pPr>
          </w:p>
        </w:tc>
        <w:tc>
          <w:tcPr>
            <w:tcW w:w="500" w:type="dxa"/>
            <w:vAlign w:val="bottom"/>
            <w:tcBorders>
              <w:bottom w:val="single" w:sz="8" w:color="58585A"/>
            </w:tcBorders>
          </w:tcPr>
          <w:p>
            <w:pPr>
              <w:spacing w:after="0"/>
              <w:rPr>
                <w:sz w:val="19"/>
                <w:szCs w:val="19"/>
                <w:color w:val="auto"/>
              </w:rPr>
            </w:pPr>
          </w:p>
        </w:tc>
        <w:tc>
          <w:tcPr>
            <w:tcW w:w="540" w:type="dxa"/>
            <w:vAlign w:val="bottom"/>
            <w:tcBorders>
              <w:bottom w:val="single" w:sz="8" w:color="58585A"/>
            </w:tcBorders>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58585A"/>
            </w:tcBorders>
            <w:shd w:val="clear" w:color="auto" w:fill="EEEEEF"/>
          </w:tcPr>
          <w:p>
            <w:pPr>
              <w:ind w:left="40"/>
              <w:spacing w:after="0"/>
              <w:rPr>
                <w:sz w:val="20"/>
                <w:szCs w:val="20"/>
                <w:color w:val="auto"/>
              </w:rPr>
            </w:pPr>
            <w:r>
              <w:rPr>
                <w:rFonts w:ascii="Arial" w:cs="Arial" w:eastAsia="Arial" w:hAnsi="Arial"/>
                <w:sz w:val="12"/>
                <w:szCs w:val="12"/>
                <w:b w:val="1"/>
                <w:bCs w:val="1"/>
                <w:color w:val="auto"/>
              </w:rPr>
              <w:t>National Academy of Sciences Membership</w:t>
            </w:r>
          </w:p>
        </w:tc>
        <w:tc>
          <w:tcPr>
            <w:tcW w:w="740" w:type="dxa"/>
            <w:vAlign w:val="bottom"/>
            <w:tcBorders>
              <w:bottom w:val="single" w:sz="8" w:color="58585A"/>
            </w:tcBorders>
            <w:shd w:val="clear" w:color="auto" w:fill="EEEEEF"/>
          </w:tcPr>
          <w:p>
            <w:pPr>
              <w:jc w:val="center"/>
              <w:ind w:left="8"/>
              <w:spacing w:after="0"/>
              <w:rPr>
                <w:sz w:val="20"/>
                <w:szCs w:val="20"/>
                <w:color w:val="auto"/>
              </w:rPr>
            </w:pPr>
            <w:r>
              <w:rPr>
                <w:rFonts w:ascii="Arial" w:cs="Arial" w:eastAsia="Arial" w:hAnsi="Arial"/>
                <w:sz w:val="16"/>
                <w:szCs w:val="16"/>
                <w:color w:val="D60058"/>
              </w:rPr>
              <w:t>l</w:t>
            </w:r>
          </w:p>
        </w:tc>
        <w:tc>
          <w:tcPr>
            <w:tcW w:w="62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60" w:type="dxa"/>
            <w:vAlign w:val="bottom"/>
            <w:tcBorders>
              <w:bottom w:val="single" w:sz="8" w:color="58585A"/>
            </w:tcBorders>
            <w:shd w:val="clear" w:color="auto" w:fill="EEEEEF"/>
          </w:tcPr>
          <w:p>
            <w:pPr>
              <w:spacing w:after="0"/>
              <w:rPr>
                <w:sz w:val="19"/>
                <w:szCs w:val="19"/>
                <w:color w:val="auto"/>
              </w:rPr>
            </w:pPr>
          </w:p>
        </w:tc>
        <w:tc>
          <w:tcPr>
            <w:tcW w:w="6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80" w:type="dxa"/>
            <w:vAlign w:val="bottom"/>
            <w:tcBorders>
              <w:bottom w:val="single" w:sz="8" w:color="58585A"/>
            </w:tcBorders>
            <w:shd w:val="clear" w:color="auto" w:fill="EEEEEF"/>
          </w:tcPr>
          <w:p>
            <w:pPr>
              <w:spacing w:after="0"/>
              <w:rPr>
                <w:sz w:val="19"/>
                <w:szCs w:val="19"/>
                <w:color w:val="auto"/>
              </w:rPr>
            </w:pPr>
          </w:p>
        </w:tc>
        <w:tc>
          <w:tcPr>
            <w:tcW w:w="500" w:type="dxa"/>
            <w:vAlign w:val="bottom"/>
            <w:tcBorders>
              <w:bottom w:val="single" w:sz="8" w:color="58585A"/>
            </w:tcBorders>
            <w:shd w:val="clear" w:color="auto" w:fill="EEEEEF"/>
          </w:tcPr>
          <w:p>
            <w:pPr>
              <w:spacing w:after="0"/>
              <w:rPr>
                <w:sz w:val="19"/>
                <w:szCs w:val="19"/>
                <w:color w:val="auto"/>
              </w:rPr>
            </w:pPr>
          </w:p>
        </w:tc>
        <w:tc>
          <w:tcPr>
            <w:tcW w:w="700" w:type="dxa"/>
            <w:vAlign w:val="bottom"/>
            <w:tcBorders>
              <w:bottom w:val="single" w:sz="8" w:color="58585A"/>
            </w:tcBorders>
            <w:shd w:val="clear" w:color="auto" w:fill="EEEEEF"/>
          </w:tcPr>
          <w:p>
            <w:pPr>
              <w:spacing w:after="0"/>
              <w:rPr>
                <w:sz w:val="19"/>
                <w:szCs w:val="19"/>
                <w:color w:val="auto"/>
              </w:rPr>
            </w:pPr>
          </w:p>
        </w:tc>
        <w:tc>
          <w:tcPr>
            <w:tcW w:w="480" w:type="dxa"/>
            <w:vAlign w:val="bottom"/>
            <w:tcBorders>
              <w:bottom w:val="single" w:sz="8" w:color="58585A"/>
            </w:tcBorders>
            <w:shd w:val="clear" w:color="auto" w:fill="EEEEEF"/>
          </w:tcPr>
          <w:p>
            <w:pPr>
              <w:spacing w:after="0"/>
              <w:rPr>
                <w:sz w:val="19"/>
                <w:szCs w:val="19"/>
                <w:color w:val="auto"/>
              </w:rPr>
            </w:pPr>
          </w:p>
        </w:tc>
        <w:tc>
          <w:tcPr>
            <w:tcW w:w="9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84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58585A"/>
            </w:tcBorders>
          </w:tcPr>
          <w:p>
            <w:pPr>
              <w:ind w:left="40"/>
              <w:spacing w:after="0"/>
              <w:rPr>
                <w:sz w:val="20"/>
                <w:szCs w:val="20"/>
                <w:color w:val="auto"/>
              </w:rPr>
            </w:pPr>
            <w:r>
              <w:rPr>
                <w:rFonts w:ascii="Arial" w:cs="Arial" w:eastAsia="Arial" w:hAnsi="Arial"/>
                <w:sz w:val="12"/>
                <w:szCs w:val="12"/>
                <w:b w:val="1"/>
                <w:bCs w:val="1"/>
                <w:color w:val="auto"/>
              </w:rPr>
              <w:t>Diverse by Gender</w:t>
            </w:r>
          </w:p>
        </w:tc>
        <w:tc>
          <w:tcPr>
            <w:tcW w:w="740" w:type="dxa"/>
            <w:vAlign w:val="bottom"/>
            <w:tcBorders>
              <w:bottom w:val="single" w:sz="8" w:color="58585A"/>
            </w:tcBorders>
          </w:tcPr>
          <w:p>
            <w:pPr>
              <w:jc w:val="center"/>
              <w:ind w:left="8"/>
              <w:spacing w:after="0"/>
              <w:rPr>
                <w:sz w:val="20"/>
                <w:szCs w:val="20"/>
                <w:color w:val="auto"/>
              </w:rPr>
            </w:pPr>
            <w:r>
              <w:rPr>
                <w:rFonts w:ascii="Arial" w:cs="Arial" w:eastAsia="Arial" w:hAnsi="Arial"/>
                <w:sz w:val="16"/>
                <w:szCs w:val="16"/>
                <w:color w:val="D60058"/>
              </w:rPr>
              <w:t>l</w:t>
            </w:r>
          </w:p>
        </w:tc>
        <w:tc>
          <w:tcPr>
            <w:tcW w:w="620" w:type="dxa"/>
            <w:vAlign w:val="bottom"/>
            <w:tcBorders>
              <w:bottom w:val="single" w:sz="8" w:color="58585A"/>
            </w:tcBorders>
          </w:tcPr>
          <w:p>
            <w:pPr>
              <w:spacing w:after="0"/>
              <w:rPr>
                <w:sz w:val="19"/>
                <w:szCs w:val="19"/>
                <w:color w:val="auto"/>
              </w:rPr>
            </w:pPr>
          </w:p>
        </w:tc>
        <w:tc>
          <w:tcPr>
            <w:tcW w:w="560" w:type="dxa"/>
            <w:vAlign w:val="bottom"/>
            <w:tcBorders>
              <w:bottom w:val="single" w:sz="8" w:color="58585A"/>
            </w:tcBorders>
          </w:tcPr>
          <w:p>
            <w:pPr>
              <w:spacing w:after="0"/>
              <w:rPr>
                <w:sz w:val="19"/>
                <w:szCs w:val="19"/>
                <w:color w:val="auto"/>
              </w:rPr>
            </w:pPr>
          </w:p>
        </w:tc>
        <w:tc>
          <w:tcPr>
            <w:tcW w:w="640" w:type="dxa"/>
            <w:vAlign w:val="bottom"/>
            <w:tcBorders>
              <w:bottom w:val="single" w:sz="8" w:color="58585A"/>
            </w:tcBorders>
          </w:tcPr>
          <w:p>
            <w:pPr>
              <w:spacing w:after="0"/>
              <w:rPr>
                <w:sz w:val="19"/>
                <w:szCs w:val="19"/>
                <w:color w:val="auto"/>
              </w:rPr>
            </w:pPr>
          </w:p>
        </w:tc>
        <w:tc>
          <w:tcPr>
            <w:tcW w:w="580" w:type="dxa"/>
            <w:vAlign w:val="bottom"/>
            <w:tcBorders>
              <w:bottom w:val="single" w:sz="8" w:color="58585A"/>
            </w:tcBorders>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58585A"/>
            </w:tcBorders>
          </w:tcPr>
          <w:p>
            <w:pPr>
              <w:spacing w:after="0"/>
              <w:rPr>
                <w:sz w:val="19"/>
                <w:szCs w:val="19"/>
                <w:color w:val="auto"/>
              </w:rPr>
            </w:pPr>
          </w:p>
        </w:tc>
        <w:tc>
          <w:tcPr>
            <w:tcW w:w="700" w:type="dxa"/>
            <w:vAlign w:val="bottom"/>
            <w:tcBorders>
              <w:bottom w:val="single" w:sz="8" w:color="58585A"/>
            </w:tcBorders>
          </w:tcPr>
          <w:p>
            <w:pPr>
              <w:spacing w:after="0"/>
              <w:rPr>
                <w:sz w:val="19"/>
                <w:szCs w:val="19"/>
                <w:color w:val="auto"/>
              </w:rPr>
            </w:pPr>
          </w:p>
        </w:tc>
        <w:tc>
          <w:tcPr>
            <w:tcW w:w="480" w:type="dxa"/>
            <w:vAlign w:val="bottom"/>
            <w:tcBorders>
              <w:bottom w:val="single" w:sz="8" w:color="58585A"/>
            </w:tcBorders>
          </w:tcPr>
          <w:p>
            <w:pPr>
              <w:spacing w:after="0"/>
              <w:rPr>
                <w:sz w:val="19"/>
                <w:szCs w:val="19"/>
                <w:color w:val="auto"/>
              </w:rPr>
            </w:pPr>
          </w:p>
        </w:tc>
        <w:tc>
          <w:tcPr>
            <w:tcW w:w="900" w:type="dxa"/>
            <w:vAlign w:val="bottom"/>
            <w:tcBorders>
              <w:bottom w:val="single" w:sz="8" w:color="58585A"/>
            </w:tcBorders>
          </w:tcPr>
          <w:p>
            <w:pPr>
              <w:spacing w:after="0"/>
              <w:rPr>
                <w:sz w:val="19"/>
                <w:szCs w:val="19"/>
                <w:color w:val="auto"/>
              </w:rPr>
            </w:pPr>
          </w:p>
        </w:tc>
        <w:tc>
          <w:tcPr>
            <w:tcW w:w="540" w:type="dxa"/>
            <w:vAlign w:val="bottom"/>
            <w:tcBorders>
              <w:bottom w:val="single" w:sz="8" w:color="58585A"/>
            </w:tcBorders>
          </w:tcPr>
          <w:p>
            <w:pPr>
              <w:spacing w:after="0"/>
              <w:rPr>
                <w:sz w:val="19"/>
                <w:szCs w:val="19"/>
                <w:color w:val="auto"/>
              </w:rPr>
            </w:pPr>
          </w:p>
        </w:tc>
        <w:tc>
          <w:tcPr>
            <w:tcW w:w="840" w:type="dxa"/>
            <w:vAlign w:val="bottom"/>
            <w:tcBorders>
              <w:bottom w:val="single" w:sz="8" w:color="58585A"/>
            </w:tcBorders>
          </w:tcPr>
          <w:p>
            <w:pPr>
              <w:spacing w:after="0"/>
              <w:rPr>
                <w:sz w:val="19"/>
                <w:szCs w:val="19"/>
                <w:color w:val="auto"/>
              </w:rPr>
            </w:pPr>
          </w:p>
        </w:tc>
        <w:tc>
          <w:tcPr>
            <w:tcW w:w="1040" w:type="dxa"/>
            <w:vAlign w:val="bottom"/>
            <w:tcBorders>
              <w:bottom w:val="single" w:sz="8" w:color="58585A"/>
            </w:tcBorders>
            <w:gridSpan w:val="2"/>
          </w:tcPr>
          <w:p>
            <w:pPr>
              <w:jc w:val="center"/>
              <w:ind w:right="540"/>
              <w:spacing w:after="0"/>
              <w:rPr>
                <w:sz w:val="20"/>
                <w:szCs w:val="20"/>
                <w:color w:val="auto"/>
              </w:rPr>
            </w:pPr>
            <w:r>
              <w:rPr>
                <w:rFonts w:ascii="Arial" w:cs="Arial" w:eastAsia="Arial" w:hAnsi="Arial"/>
                <w:sz w:val="16"/>
                <w:szCs w:val="16"/>
                <w:color w:val="D60058"/>
              </w:rPr>
              <w:t>l</w:t>
            </w:r>
          </w:p>
        </w:tc>
      </w:tr>
      <w:tr>
        <w:trPr>
          <w:trHeight w:val="223"/>
        </w:trPr>
        <w:tc>
          <w:tcPr>
            <w:tcW w:w="540" w:type="dxa"/>
            <w:vAlign w:val="bottom"/>
          </w:tcPr>
          <w:p>
            <w:pPr>
              <w:spacing w:after="0"/>
              <w:rPr>
                <w:sz w:val="19"/>
                <w:szCs w:val="19"/>
                <w:color w:val="auto"/>
              </w:rPr>
            </w:pPr>
          </w:p>
        </w:tc>
        <w:tc>
          <w:tcPr>
            <w:tcW w:w="2560" w:type="dxa"/>
            <w:vAlign w:val="bottom"/>
            <w:tcBorders>
              <w:bottom w:val="single" w:sz="8" w:color="215AA8"/>
            </w:tcBorders>
            <w:shd w:val="clear" w:color="auto" w:fill="EEEEEF"/>
          </w:tcPr>
          <w:p>
            <w:pPr>
              <w:ind w:left="40"/>
              <w:spacing w:after="0"/>
              <w:rPr>
                <w:sz w:val="20"/>
                <w:szCs w:val="20"/>
                <w:color w:val="auto"/>
              </w:rPr>
            </w:pPr>
            <w:r>
              <w:rPr>
                <w:rFonts w:ascii="Arial" w:cs="Arial" w:eastAsia="Arial" w:hAnsi="Arial"/>
                <w:sz w:val="12"/>
                <w:szCs w:val="12"/>
                <w:b w:val="1"/>
                <w:bCs w:val="1"/>
                <w:color w:val="auto"/>
              </w:rPr>
              <w:t>Diverse by Race/Ethnicity</w:t>
            </w:r>
          </w:p>
        </w:tc>
        <w:tc>
          <w:tcPr>
            <w:tcW w:w="740" w:type="dxa"/>
            <w:vAlign w:val="bottom"/>
            <w:tcBorders>
              <w:bottom w:val="single" w:sz="8" w:color="215AA8"/>
            </w:tcBorders>
            <w:shd w:val="clear" w:color="auto" w:fill="EEEEEF"/>
          </w:tcPr>
          <w:p>
            <w:pPr>
              <w:spacing w:after="0"/>
              <w:rPr>
                <w:sz w:val="19"/>
                <w:szCs w:val="19"/>
                <w:color w:val="auto"/>
              </w:rPr>
            </w:pPr>
          </w:p>
        </w:tc>
        <w:tc>
          <w:tcPr>
            <w:tcW w:w="620" w:type="dxa"/>
            <w:vAlign w:val="bottom"/>
            <w:tcBorders>
              <w:bottom w:val="single" w:sz="8" w:color="215AA8"/>
            </w:tcBorders>
            <w:shd w:val="clear" w:color="auto" w:fill="EEEEEF"/>
          </w:tcPr>
          <w:p>
            <w:pPr>
              <w:spacing w:after="0"/>
              <w:rPr>
                <w:sz w:val="19"/>
                <w:szCs w:val="19"/>
                <w:color w:val="auto"/>
              </w:rPr>
            </w:pPr>
          </w:p>
        </w:tc>
        <w:tc>
          <w:tcPr>
            <w:tcW w:w="560" w:type="dxa"/>
            <w:vAlign w:val="bottom"/>
            <w:tcBorders>
              <w:bottom w:val="single" w:sz="8" w:color="215AA8"/>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640" w:type="dxa"/>
            <w:vAlign w:val="bottom"/>
            <w:tcBorders>
              <w:bottom w:val="single" w:sz="8" w:color="215AA8"/>
            </w:tcBorders>
            <w:shd w:val="clear" w:color="auto" w:fill="EEEEEF"/>
          </w:tcPr>
          <w:p>
            <w:pPr>
              <w:spacing w:after="0"/>
              <w:rPr>
                <w:sz w:val="19"/>
                <w:szCs w:val="19"/>
                <w:color w:val="auto"/>
              </w:rPr>
            </w:pPr>
          </w:p>
        </w:tc>
        <w:tc>
          <w:tcPr>
            <w:tcW w:w="580" w:type="dxa"/>
            <w:vAlign w:val="bottom"/>
            <w:tcBorders>
              <w:bottom w:val="single" w:sz="8" w:color="215AA8"/>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00" w:type="dxa"/>
            <w:vAlign w:val="bottom"/>
            <w:tcBorders>
              <w:bottom w:val="single" w:sz="8" w:color="215AA8"/>
            </w:tcBorders>
            <w:shd w:val="clear" w:color="auto" w:fill="EEEEEF"/>
          </w:tcPr>
          <w:p>
            <w:pPr>
              <w:spacing w:after="0"/>
              <w:rPr>
                <w:sz w:val="19"/>
                <w:szCs w:val="19"/>
                <w:color w:val="auto"/>
              </w:rPr>
            </w:pPr>
          </w:p>
        </w:tc>
        <w:tc>
          <w:tcPr>
            <w:tcW w:w="700" w:type="dxa"/>
            <w:vAlign w:val="bottom"/>
            <w:tcBorders>
              <w:bottom w:val="single" w:sz="8" w:color="215AA8"/>
            </w:tcBorders>
            <w:shd w:val="clear" w:color="auto" w:fill="EEEEEF"/>
          </w:tcPr>
          <w:p>
            <w:pPr>
              <w:spacing w:after="0"/>
              <w:rPr>
                <w:sz w:val="19"/>
                <w:szCs w:val="19"/>
                <w:color w:val="auto"/>
              </w:rPr>
            </w:pPr>
          </w:p>
        </w:tc>
        <w:tc>
          <w:tcPr>
            <w:tcW w:w="480" w:type="dxa"/>
            <w:vAlign w:val="bottom"/>
            <w:tcBorders>
              <w:bottom w:val="single" w:sz="8" w:color="215AA8"/>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900" w:type="dxa"/>
            <w:vAlign w:val="bottom"/>
            <w:tcBorders>
              <w:bottom w:val="single" w:sz="8" w:color="215AA8"/>
            </w:tcBorders>
            <w:shd w:val="clear" w:color="auto" w:fill="EEEEEF"/>
          </w:tcPr>
          <w:p>
            <w:pPr>
              <w:spacing w:after="0"/>
              <w:rPr>
                <w:sz w:val="19"/>
                <w:szCs w:val="19"/>
                <w:color w:val="auto"/>
              </w:rPr>
            </w:pPr>
          </w:p>
        </w:tc>
        <w:tc>
          <w:tcPr>
            <w:tcW w:w="540" w:type="dxa"/>
            <w:vAlign w:val="bottom"/>
            <w:tcBorders>
              <w:bottom w:val="single" w:sz="8" w:color="215AA8"/>
            </w:tcBorders>
            <w:shd w:val="clear" w:color="auto" w:fill="EEEEEF"/>
          </w:tcPr>
          <w:p>
            <w:pPr>
              <w:spacing w:after="0"/>
              <w:rPr>
                <w:sz w:val="19"/>
                <w:szCs w:val="19"/>
                <w:color w:val="auto"/>
              </w:rPr>
            </w:pPr>
          </w:p>
        </w:tc>
        <w:tc>
          <w:tcPr>
            <w:tcW w:w="840" w:type="dxa"/>
            <w:vAlign w:val="bottom"/>
            <w:tcBorders>
              <w:bottom w:val="single" w:sz="8" w:color="215AA8"/>
            </w:tcBorders>
            <w:shd w:val="clear" w:color="auto" w:fill="EEEEEF"/>
          </w:tcPr>
          <w:p>
            <w:pPr>
              <w:spacing w:after="0"/>
              <w:rPr>
                <w:sz w:val="19"/>
                <w:szCs w:val="19"/>
                <w:color w:val="auto"/>
              </w:rPr>
            </w:pPr>
          </w:p>
        </w:tc>
        <w:tc>
          <w:tcPr>
            <w:tcW w:w="500" w:type="dxa"/>
            <w:vAlign w:val="bottom"/>
            <w:tcBorders>
              <w:bottom w:val="single" w:sz="8" w:color="215AA8"/>
            </w:tcBorders>
            <w:shd w:val="clear" w:color="auto" w:fill="EEEEEF"/>
          </w:tcPr>
          <w:p>
            <w:pPr>
              <w:jc w:val="center"/>
              <w:spacing w:after="0"/>
              <w:rPr>
                <w:sz w:val="20"/>
                <w:szCs w:val="20"/>
                <w:color w:val="auto"/>
              </w:rPr>
            </w:pPr>
            <w:r>
              <w:rPr>
                <w:rFonts w:ascii="Arial" w:cs="Arial" w:eastAsia="Arial" w:hAnsi="Arial"/>
                <w:sz w:val="16"/>
                <w:szCs w:val="16"/>
                <w:color w:val="D60058"/>
              </w:rPr>
              <w:t>l</w:t>
            </w:r>
          </w:p>
        </w:tc>
        <w:tc>
          <w:tcPr>
            <w:tcW w:w="540" w:type="dxa"/>
            <w:vAlign w:val="bottom"/>
          </w:tcPr>
          <w:p>
            <w:pPr>
              <w:spacing w:after="0"/>
              <w:rPr>
                <w:sz w:val="19"/>
                <w:szCs w:val="19"/>
                <w:color w:val="auto"/>
              </w:rPr>
            </w:pPr>
          </w:p>
        </w:tc>
      </w:tr>
      <w:tr>
        <w:trPr>
          <w:trHeight w:val="380"/>
        </w:trPr>
        <w:tc>
          <w:tcPr>
            <w:tcW w:w="5660" w:type="dxa"/>
            <w:vAlign w:val="bottom"/>
            <w:gridSpan w:val="6"/>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7</w:t>
            </w:r>
          </w:p>
        </w:tc>
      </w:tr>
      <w:tr>
        <w:trPr>
          <w:trHeight w:val="262"/>
        </w:trPr>
        <w:tc>
          <w:tcPr>
            <w:tcW w:w="540" w:type="dxa"/>
            <w:vAlign w:val="bottom"/>
            <w:tcBorders>
              <w:bottom w:val="single" w:sz="8" w:color="C0C0C0"/>
            </w:tcBorders>
          </w:tcPr>
          <w:p>
            <w:pPr>
              <w:spacing w:after="0"/>
              <w:rPr>
                <w:sz w:val="22"/>
                <w:szCs w:val="22"/>
                <w:color w:val="auto"/>
              </w:rPr>
            </w:pPr>
          </w:p>
        </w:tc>
        <w:tc>
          <w:tcPr>
            <w:tcW w:w="2560" w:type="dxa"/>
            <w:vAlign w:val="bottom"/>
            <w:tcBorders>
              <w:bottom w:val="single" w:sz="8" w:color="C0C0C0"/>
            </w:tcBorders>
          </w:tcPr>
          <w:p>
            <w:pPr>
              <w:spacing w:after="0"/>
              <w:rPr>
                <w:sz w:val="22"/>
                <w:szCs w:val="22"/>
                <w:color w:val="auto"/>
              </w:rPr>
            </w:pPr>
          </w:p>
        </w:tc>
        <w:tc>
          <w:tcPr>
            <w:tcW w:w="740" w:type="dxa"/>
            <w:vAlign w:val="bottom"/>
            <w:tcBorders>
              <w:bottom w:val="single" w:sz="8" w:color="C0C0C0"/>
            </w:tcBorders>
          </w:tcPr>
          <w:p>
            <w:pPr>
              <w:spacing w:after="0"/>
              <w:rPr>
                <w:sz w:val="22"/>
                <w:szCs w:val="22"/>
                <w:color w:val="auto"/>
              </w:rPr>
            </w:pPr>
          </w:p>
        </w:tc>
        <w:tc>
          <w:tcPr>
            <w:tcW w:w="620" w:type="dxa"/>
            <w:vAlign w:val="bottom"/>
            <w:tcBorders>
              <w:bottom w:val="single" w:sz="8" w:color="C0C0C0"/>
            </w:tcBorders>
          </w:tcPr>
          <w:p>
            <w:pPr>
              <w:spacing w:after="0"/>
              <w:rPr>
                <w:sz w:val="22"/>
                <w:szCs w:val="22"/>
                <w:color w:val="auto"/>
              </w:rPr>
            </w:pPr>
          </w:p>
        </w:tc>
        <w:tc>
          <w:tcPr>
            <w:tcW w:w="560" w:type="dxa"/>
            <w:vAlign w:val="bottom"/>
            <w:tcBorders>
              <w:bottom w:val="single" w:sz="8" w:color="C0C0C0"/>
            </w:tcBorders>
          </w:tcPr>
          <w:p>
            <w:pPr>
              <w:spacing w:after="0"/>
              <w:rPr>
                <w:sz w:val="22"/>
                <w:szCs w:val="22"/>
                <w:color w:val="auto"/>
              </w:rPr>
            </w:pPr>
          </w:p>
        </w:tc>
        <w:tc>
          <w:tcPr>
            <w:tcW w:w="640" w:type="dxa"/>
            <w:vAlign w:val="bottom"/>
            <w:tcBorders>
              <w:bottom w:val="single" w:sz="8" w:color="C0C0C0"/>
            </w:tcBorders>
          </w:tcPr>
          <w:p>
            <w:pPr>
              <w:spacing w:after="0"/>
              <w:rPr>
                <w:sz w:val="22"/>
                <w:szCs w:val="22"/>
                <w:color w:val="auto"/>
              </w:rPr>
            </w:pPr>
          </w:p>
        </w:tc>
        <w:tc>
          <w:tcPr>
            <w:tcW w:w="58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tcBorders>
          </w:tcPr>
          <w:p>
            <w:pPr>
              <w:spacing w:after="0"/>
              <w:rPr>
                <w:sz w:val="22"/>
                <w:szCs w:val="22"/>
                <w:color w:val="auto"/>
              </w:rPr>
            </w:pPr>
          </w:p>
        </w:tc>
        <w:tc>
          <w:tcPr>
            <w:tcW w:w="700" w:type="dxa"/>
            <w:vAlign w:val="bottom"/>
            <w:tcBorders>
              <w:bottom w:val="single" w:sz="8" w:color="C0C0C0"/>
            </w:tcBorders>
          </w:tcPr>
          <w:p>
            <w:pPr>
              <w:spacing w:after="0"/>
              <w:rPr>
                <w:sz w:val="22"/>
                <w:szCs w:val="22"/>
                <w:color w:val="auto"/>
              </w:rPr>
            </w:pPr>
          </w:p>
        </w:tc>
        <w:tc>
          <w:tcPr>
            <w:tcW w:w="480" w:type="dxa"/>
            <w:vAlign w:val="bottom"/>
            <w:tcBorders>
              <w:bottom w:val="single" w:sz="8" w:color="C0C0C0"/>
            </w:tcBorders>
          </w:tcPr>
          <w:p>
            <w:pPr>
              <w:spacing w:after="0"/>
              <w:rPr>
                <w:sz w:val="22"/>
                <w:szCs w:val="22"/>
                <w:color w:val="auto"/>
              </w:rPr>
            </w:pPr>
          </w:p>
        </w:tc>
        <w:tc>
          <w:tcPr>
            <w:tcW w:w="9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c>
          <w:tcPr>
            <w:tcW w:w="840" w:type="dxa"/>
            <w:vAlign w:val="bottom"/>
            <w:tcBorders>
              <w:bottom w:val="single" w:sz="8" w:color="C0C0C0"/>
            </w:tcBorders>
          </w:tcPr>
          <w:p>
            <w:pPr>
              <w:spacing w:after="0"/>
              <w:rPr>
                <w:sz w:val="22"/>
                <w:szCs w:val="22"/>
                <w:color w:val="auto"/>
              </w:rPr>
            </w:pPr>
          </w:p>
        </w:tc>
        <w:tc>
          <w:tcPr>
            <w:tcW w:w="5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22" w:name="page23"/>
    <w:bookmarkEnd w:id="22"/>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40" w:right="1000"/>
        <w:spacing w:after="0" w:line="291" w:lineRule="auto"/>
        <w:rPr>
          <w:sz w:val="20"/>
          <w:szCs w:val="20"/>
          <w:color w:val="auto"/>
        </w:rPr>
      </w:pPr>
      <w:r>
        <w:rPr>
          <w:rFonts w:ascii="Arial" w:cs="Arial" w:eastAsia="Arial" w:hAnsi="Arial"/>
          <w:sz w:val="23"/>
          <w:szCs w:val="23"/>
          <w:b w:val="1"/>
          <w:bCs w:val="1"/>
          <w:color w:val="D60058"/>
        </w:rPr>
        <w:t>NOMINEES FOR CLASS I DIRECTORS FOR ELECTION AT THE 2022 ANNUAL MEETING FOR A TERM EXPIRING AT THE 2025 ANNUAL MEETING</w:t>
      </w:r>
      <w:r>
        <w:rPr>
          <w:rFonts w:ascii="Arial" w:cs="Arial" w:eastAsia="Arial" w:hAnsi="Arial"/>
          <w:sz w:val="38"/>
          <w:szCs w:val="38"/>
          <w:b w:val="1"/>
          <w:bCs w:val="1"/>
          <w:color w:val="D60058"/>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-138430</wp:posOffset>
            </wp:positionV>
            <wp:extent cx="64465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-18415</wp:posOffset>
            </wp:positionV>
            <wp:extent cx="6446520" cy="2489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46520" cy="248920"/>
                    </a:xfrm>
                    <a:prstGeom prst="rect">
                      <a:avLst/>
                    </a:prstGeom>
                    <a:noFill/>
                  </pic:spPr>
                </pic:pic>
              </a:graphicData>
            </a:graphic>
          </wp:anchor>
        </w:drawing>
      </w:r>
    </w:p>
    <w:p>
      <w:pPr>
        <w:ind w:left="600"/>
        <w:spacing w:after="0"/>
        <w:rPr>
          <w:sz w:val="20"/>
          <w:szCs w:val="20"/>
          <w:color w:val="auto"/>
        </w:rPr>
      </w:pPr>
      <w:r>
        <w:rPr>
          <w:rFonts w:ascii="Arial" w:cs="Arial" w:eastAsia="Arial" w:hAnsi="Arial"/>
          <w:sz w:val="23"/>
          <w:szCs w:val="23"/>
          <w:b w:val="1"/>
          <w:bCs w:val="1"/>
          <w:color w:val="FFFFFF"/>
        </w:rPr>
        <w:t>BONNIE L. BASSLER, PH.D.</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-1289685</wp:posOffset>
            </wp:positionV>
            <wp:extent cx="1080135" cy="1080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59</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500"/>
        <w:spacing w:after="0" w:line="258" w:lineRule="auto"/>
        <w:rPr>
          <w:sz w:val="20"/>
          <w:szCs w:val="20"/>
          <w:color w:val="auto"/>
        </w:rPr>
      </w:pPr>
      <w:r>
        <w:rPr>
          <w:rFonts w:ascii="Arial" w:cs="Arial" w:eastAsia="Arial" w:hAnsi="Arial"/>
          <w:sz w:val="15"/>
          <w:szCs w:val="15"/>
          <w:b w:val="1"/>
          <w:bCs w:val="1"/>
          <w:color w:val="215BA8"/>
        </w:rPr>
        <w:t>Board and Committee Membership– 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500" w:type="dxa"/>
            <w:vAlign w:val="bottom"/>
          </w:tcPr>
          <w:p>
            <w:pPr>
              <w:spacing w:after="0"/>
              <w:rPr>
                <w:sz w:val="20"/>
                <w:szCs w:val="20"/>
                <w:color w:val="auto"/>
              </w:rPr>
            </w:pPr>
            <w:r>
              <w:rPr>
                <w:rFonts w:ascii="Arial" w:cs="Arial" w:eastAsia="Arial" w:hAnsi="Arial"/>
                <w:sz w:val="15"/>
                <w:szCs w:val="15"/>
                <w:color w:val="auto"/>
              </w:rPr>
              <w:t>Board of Directors: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c>
          <w:tcPr>
            <w:tcW w:w="0" w:type="dxa"/>
            <w:vAlign w:val="bottom"/>
          </w:tcPr>
          <w:p>
            <w:pPr>
              <w:spacing w:after="0"/>
              <w:rPr>
                <w:sz w:val="1"/>
                <w:szCs w:val="1"/>
                <w:color w:val="auto"/>
              </w:rPr>
            </w:pPr>
          </w:p>
        </w:tc>
      </w:tr>
      <w:tr>
        <w:trPr>
          <w:trHeight w:val="227"/>
        </w:trPr>
        <w:tc>
          <w:tcPr>
            <w:tcW w:w="2500" w:type="dxa"/>
            <w:vAlign w:val="bottom"/>
          </w:tcPr>
          <w:p>
            <w:pPr>
              <w:spacing w:after="0"/>
              <w:rPr>
                <w:sz w:val="20"/>
                <w:szCs w:val="20"/>
                <w:color w:val="auto"/>
              </w:rPr>
            </w:pPr>
            <w:r>
              <w:rPr>
                <w:rFonts w:ascii="Arial" w:cs="Arial" w:eastAsia="Arial" w:hAnsi="Arial"/>
                <w:sz w:val="15"/>
                <w:szCs w:val="15"/>
                <w:color w:val="auto"/>
              </w:rPr>
              <w:t>Corporate Governance and</w:t>
            </w: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215BA8"/>
              </w:rPr>
              <w:t>5/5</w:t>
            </w:r>
          </w:p>
        </w:tc>
        <w:tc>
          <w:tcPr>
            <w:tcW w:w="0" w:type="dxa"/>
            <w:vAlign w:val="bottom"/>
          </w:tcPr>
          <w:p>
            <w:pPr>
              <w:spacing w:after="0"/>
              <w:rPr>
                <w:sz w:val="1"/>
                <w:szCs w:val="1"/>
                <w:color w:val="auto"/>
              </w:rPr>
            </w:pPr>
          </w:p>
        </w:tc>
      </w:tr>
      <w:tr>
        <w:trPr>
          <w:trHeight w:val="178"/>
        </w:trPr>
        <w:tc>
          <w:tcPr>
            <w:tcW w:w="2500" w:type="dxa"/>
            <w:vAlign w:val="bottom"/>
          </w:tcPr>
          <w:p>
            <w:pPr>
              <w:spacing w:after="0"/>
              <w:rPr>
                <w:sz w:val="20"/>
                <w:szCs w:val="20"/>
                <w:color w:val="auto"/>
              </w:rPr>
            </w:pPr>
            <w:r>
              <w:rPr>
                <w:rFonts w:ascii="Arial" w:cs="Arial" w:eastAsia="Arial" w:hAnsi="Arial"/>
                <w:sz w:val="15"/>
                <w:szCs w:val="15"/>
                <w:color w:val="auto"/>
              </w:rPr>
              <w:t>Compliance Committee:</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5"/>
                <w:szCs w:val="15"/>
                <w:color w:val="auto"/>
              </w:rPr>
              <w:t>Technology Committee:</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c>
          <w:tcPr>
            <w:tcW w:w="0" w:type="dxa"/>
            <w:vAlign w:val="bottom"/>
          </w:tcPr>
          <w:p>
            <w:pPr>
              <w:spacing w:after="0"/>
              <w:rPr>
                <w:sz w:val="1"/>
                <w:szCs w:val="1"/>
                <w:color w:val="auto"/>
              </w:rPr>
            </w:pPr>
          </w:p>
        </w:tc>
      </w:tr>
      <w:tr>
        <w:trPr>
          <w:trHeight w:val="145"/>
        </w:trPr>
        <w:tc>
          <w:tcPr>
            <w:tcW w:w="25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500" w:type="dxa"/>
            <w:vAlign w:val="bottom"/>
          </w:tcPr>
          <w:p>
            <w:pPr>
              <w:spacing w:after="0"/>
              <w:rPr>
                <w:sz w:val="20"/>
                <w:szCs w:val="20"/>
                <w:color w:val="auto"/>
              </w:rPr>
            </w:pPr>
            <w:r>
              <w:rPr>
                <w:rFonts w:ascii="Arial" w:cs="Arial" w:eastAsia="Arial" w:hAnsi="Arial"/>
                <w:sz w:val="15"/>
                <w:szCs w:val="15"/>
                <w:b w:val="1"/>
                <w:bCs w:val="1"/>
                <w:color w:val="215BA8"/>
              </w:rPr>
              <w:t>Regeneron Securities Beneficially</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20"/>
                <w:szCs w:val="20"/>
                <w:color w:val="auto"/>
              </w:rPr>
            </w:pPr>
            <w:r>
              <w:rPr>
                <w:rFonts w:ascii="Arial" w:cs="Arial" w:eastAsia="Arial" w:hAnsi="Arial"/>
                <w:sz w:val="15"/>
                <w:szCs w:val="15"/>
                <w:b w:val="1"/>
                <w:bCs w:val="1"/>
                <w:color w:val="215BA8"/>
              </w:rPr>
              <w:t>Owned as of April 12, 2022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5"/>
                <w:szCs w:val="15"/>
                <w:color w:val="auto"/>
              </w:rPr>
              <w:t>Common Stock:</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215BA8"/>
              </w:rPr>
              <w:t>0</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5"/>
                <w:szCs w:val="15"/>
                <w:color w:val="auto"/>
              </w:rPr>
              <w:t>Options: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215BA8"/>
              </w:rPr>
              <w:t>24,226</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5"/>
                <w:szCs w:val="15"/>
                <w:color w:val="auto"/>
              </w:rPr>
              <w:t>Restricted Stock Units (“RSUs”):</w:t>
            </w:r>
          </w:p>
        </w:tc>
        <w:tc>
          <w:tcPr>
            <w:tcW w:w="540" w:type="dxa"/>
            <w:vAlign w:val="bottom"/>
          </w:tcPr>
          <w:p>
            <w:pPr>
              <w:jc w:val="right"/>
              <w:spacing w:after="0"/>
              <w:rPr>
                <w:sz w:val="20"/>
                <w:szCs w:val="20"/>
                <w:color w:val="auto"/>
              </w:rPr>
            </w:pPr>
            <w:r>
              <w:rPr>
                <w:rFonts w:ascii="Arial" w:cs="Arial" w:eastAsia="Arial" w:hAnsi="Arial"/>
                <w:sz w:val="15"/>
                <w:szCs w:val="15"/>
                <w:b w:val="1"/>
                <w:bCs w:val="1"/>
                <w:color w:val="215BA8"/>
              </w:rPr>
              <w:t>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20" w:lineRule="exact"/>
        <w:rPr>
          <w:sz w:val="20"/>
          <w:szCs w:val="20"/>
          <w:color w:val="auto"/>
        </w:rPr>
      </w:pPr>
    </w:p>
    <w:p>
      <w:pPr>
        <w:ind w:left="183" w:right="900" w:hanging="183"/>
        <w:spacing w:after="0" w:line="236" w:lineRule="auto"/>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Chair of the Department of Molecular Biology since 2013 and Squibb Professor in Molecular Biology since 2003 at Princeton University</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Howard Hughes Medical Institute Investigator</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Former President of the American Society for Microbiology</w:t>
      </w:r>
    </w:p>
    <w:p>
      <w:pPr>
        <w:spacing w:after="0" w:line="72" w:lineRule="exact"/>
        <w:rPr>
          <w:rFonts w:ascii="Arial" w:cs="Arial" w:eastAsia="Arial" w:hAnsi="Arial"/>
          <w:sz w:val="16"/>
          <w:szCs w:val="16"/>
          <w:b w:val="1"/>
          <w:bCs w:val="1"/>
          <w:color w:val="215BA8"/>
        </w:rPr>
      </w:pPr>
    </w:p>
    <w:p>
      <w:pPr>
        <w:ind w:left="183" w:right="720" w:hanging="183"/>
        <w:spacing w:after="0" w:line="236" w:lineRule="auto"/>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Former member of the board of the American Association for the Advancement of Science, the National Science Foundation, and the American Academy of Microbiology</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MacArthur Foundation Fellowship</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Lounsbery Award</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Shaw Prize for Life Science and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Gruber Prize in Genetics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4"/>
        </w:numPr>
        <w:rPr>
          <w:rFonts w:ascii="Arial" w:cs="Arial" w:eastAsia="Arial" w:hAnsi="Arial"/>
          <w:sz w:val="16"/>
          <w:szCs w:val="16"/>
          <w:b w:val="1"/>
          <w:bCs w:val="1"/>
          <w:color w:val="215BA8"/>
        </w:rPr>
      </w:pPr>
      <w:r>
        <w:rPr>
          <w:rFonts w:ascii="Arial" w:cs="Arial" w:eastAsia="Arial" w:hAnsi="Arial"/>
          <w:sz w:val="16"/>
          <w:szCs w:val="16"/>
          <w:color w:val="auto"/>
        </w:rPr>
        <w:t>Wolf Prize in Chemistry</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15"/>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5"/>
        </w:numPr>
        <w:rPr>
          <w:rFonts w:ascii="Arial" w:cs="Arial" w:eastAsia="Arial" w:hAnsi="Arial"/>
          <w:sz w:val="16"/>
          <w:szCs w:val="16"/>
          <w:b w:val="1"/>
          <w:bCs w:val="1"/>
          <w:color w:val="215BA8"/>
        </w:rPr>
      </w:pPr>
      <w:r>
        <w:rPr>
          <w:rFonts w:ascii="Arial" w:cs="Arial" w:eastAsia="Arial" w:hAnsi="Arial"/>
          <w:sz w:val="16"/>
          <w:szCs w:val="16"/>
          <w:color w:val="auto"/>
        </w:rPr>
        <w:t>The National Academy of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5"/>
        </w:numPr>
        <w:rPr>
          <w:rFonts w:ascii="Arial" w:cs="Arial" w:eastAsia="Arial" w:hAnsi="Arial"/>
          <w:sz w:val="16"/>
          <w:szCs w:val="16"/>
          <w:b w:val="1"/>
          <w:bCs w:val="1"/>
          <w:color w:val="215BA8"/>
        </w:rPr>
      </w:pPr>
      <w:r>
        <w:rPr>
          <w:rFonts w:ascii="Arial" w:cs="Arial" w:eastAsia="Arial" w:hAnsi="Arial"/>
          <w:sz w:val="16"/>
          <w:szCs w:val="16"/>
          <w:color w:val="auto"/>
        </w:rPr>
        <w:t>The American Academy of Arts and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5"/>
        </w:numPr>
        <w:rPr>
          <w:rFonts w:ascii="Arial" w:cs="Arial" w:eastAsia="Arial" w:hAnsi="Arial"/>
          <w:sz w:val="16"/>
          <w:szCs w:val="16"/>
          <w:b w:val="1"/>
          <w:bCs w:val="1"/>
          <w:color w:val="215BA8"/>
        </w:rPr>
      </w:pPr>
      <w:r>
        <w:rPr>
          <w:rFonts w:ascii="Arial" w:cs="Arial" w:eastAsia="Arial" w:hAnsi="Arial"/>
          <w:sz w:val="16"/>
          <w:szCs w:val="16"/>
          <w:color w:val="auto"/>
        </w:rPr>
        <w:t>The Royal Society of London</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5"/>
        </w:numPr>
        <w:rPr>
          <w:rFonts w:ascii="Arial" w:cs="Arial" w:eastAsia="Arial" w:hAnsi="Arial"/>
          <w:sz w:val="16"/>
          <w:szCs w:val="16"/>
          <w:b w:val="1"/>
          <w:bCs w:val="1"/>
          <w:color w:val="215BA8"/>
        </w:rPr>
      </w:pPr>
      <w:r>
        <w:rPr>
          <w:rFonts w:ascii="Arial" w:cs="Arial" w:eastAsia="Arial" w:hAnsi="Arial"/>
          <w:sz w:val="16"/>
          <w:szCs w:val="16"/>
          <w:color w:val="auto"/>
        </w:rPr>
        <w:t>The American Philosophical Society</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Other Public Boards</w:t>
      </w:r>
    </w:p>
    <w:p>
      <w:pPr>
        <w:spacing w:after="0" w:line="106" w:lineRule="exact"/>
        <w:rPr>
          <w:sz w:val="20"/>
          <w:szCs w:val="20"/>
          <w:color w:val="auto"/>
        </w:rPr>
      </w:pPr>
    </w:p>
    <w:p>
      <w:pPr>
        <w:ind w:left="183" w:hanging="183"/>
        <w:spacing w:after="0"/>
        <w:tabs>
          <w:tab w:leader="none" w:pos="183" w:val="left"/>
        </w:tabs>
        <w:numPr>
          <w:ilvl w:val="0"/>
          <w:numId w:val="16"/>
        </w:numPr>
        <w:rPr>
          <w:rFonts w:ascii="Arial" w:cs="Arial" w:eastAsia="Arial" w:hAnsi="Arial"/>
          <w:sz w:val="16"/>
          <w:szCs w:val="16"/>
          <w:b w:val="1"/>
          <w:bCs w:val="1"/>
          <w:color w:val="215BA8"/>
        </w:rPr>
      </w:pPr>
      <w:r>
        <w:rPr>
          <w:rFonts w:ascii="Arial" w:cs="Arial" w:eastAsia="Arial" w:hAnsi="Arial"/>
          <w:sz w:val="16"/>
          <w:szCs w:val="16"/>
          <w:color w:val="auto"/>
        </w:rPr>
        <w:t>Kaleido Biosciences,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6"/>
        </w:numPr>
        <w:rPr>
          <w:rFonts w:ascii="Arial" w:cs="Arial" w:eastAsia="Arial" w:hAnsi="Arial"/>
          <w:sz w:val="16"/>
          <w:szCs w:val="16"/>
          <w:b w:val="1"/>
          <w:bCs w:val="1"/>
          <w:color w:val="215BA8"/>
        </w:rPr>
      </w:pPr>
      <w:r>
        <w:rPr>
          <w:rFonts w:ascii="Arial" w:cs="Arial" w:eastAsia="Arial" w:hAnsi="Arial"/>
          <w:sz w:val="16"/>
          <w:szCs w:val="16"/>
          <w:color w:val="auto"/>
        </w:rPr>
        <w:t>Cidara Therapeutics,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6"/>
        </w:numPr>
        <w:rPr>
          <w:rFonts w:ascii="Arial" w:cs="Arial" w:eastAsia="Arial" w:hAnsi="Arial"/>
          <w:sz w:val="16"/>
          <w:szCs w:val="16"/>
          <w:b w:val="1"/>
          <w:bCs w:val="1"/>
          <w:color w:val="215BA8"/>
        </w:rPr>
      </w:pPr>
      <w:r>
        <w:rPr>
          <w:rFonts w:ascii="Arial" w:cs="Arial" w:eastAsia="Arial" w:hAnsi="Arial"/>
          <w:sz w:val="16"/>
          <w:szCs w:val="16"/>
          <w:color w:val="auto"/>
        </w:rPr>
        <w:t>Royalty Pharma plc</w:t>
      </w:r>
    </w:p>
    <w:p>
      <w:pPr>
        <w:spacing w:after="0" w:line="151" w:lineRule="exact"/>
        <w:rPr>
          <w:sz w:val="20"/>
          <w:szCs w:val="20"/>
          <w:color w:val="auto"/>
        </w:rPr>
      </w:pPr>
    </w:p>
    <w:p>
      <w:pPr>
        <w:sectPr>
          <w:pgSz w:w="11900" w:h="16838" w:orient="portrait"/>
          <w:cols w:equalWidth="0" w:num="2">
            <w:col w:w="3580" w:space="217"/>
            <w:col w:w="7443"/>
          </w:cols>
          <w:pgMar w:left="320" w:top="410" w:right="339" w:bottom="1440" w:gutter="0" w:footer="0" w:header="0"/>
          <w:type w:val="continuous"/>
        </w:sectPr>
      </w:pPr>
    </w:p>
    <w:p>
      <w:pPr>
        <w:ind w:left="3800" w:right="700"/>
        <w:spacing w:after="0" w:line="241" w:lineRule="auto"/>
        <w:rPr>
          <w:sz w:val="20"/>
          <w:szCs w:val="20"/>
          <w:color w:val="auto"/>
        </w:rPr>
      </w:pPr>
      <w:r>
        <w:rPr>
          <w:rFonts w:ascii="Arial" w:cs="Arial" w:eastAsia="Arial" w:hAnsi="Arial"/>
          <w:sz w:val="16"/>
          <w:szCs w:val="16"/>
          <w:i w:val="1"/>
          <w:iCs w:val="1"/>
          <w:color w:val="auto"/>
        </w:rPr>
        <w:t>Dr. Bassler’s extensive research experience and her scientific and academic career and accomplishments, as well as her experience as a corporate director, led to the board’s decision to nominate Dr. Bassler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99695</wp:posOffset>
            </wp:positionV>
            <wp:extent cx="64465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36" w:lineRule="exact"/>
        <w:rPr>
          <w:sz w:val="20"/>
          <w:szCs w:val="20"/>
          <w:color w:val="auto"/>
        </w:rPr>
      </w:pPr>
    </w:p>
    <w:p>
      <w:pPr>
        <w:ind w:left="720" w:right="660" w:hanging="172"/>
        <w:spacing w:after="0" w:line="249" w:lineRule="auto"/>
        <w:tabs>
          <w:tab w:leader="none" w:pos="720" w:val="left"/>
        </w:tabs>
        <w:numPr>
          <w:ilvl w:val="0"/>
          <w:numId w:val="17"/>
        </w:numPr>
        <w:rPr>
          <w:rFonts w:ascii="Arial" w:cs="Arial" w:eastAsia="Arial" w:hAnsi="Arial"/>
          <w:sz w:val="14"/>
          <w:szCs w:val="14"/>
          <w:color w:val="215BA8"/>
        </w:rPr>
      </w:pPr>
      <w:r>
        <w:rPr>
          <w:rFonts w:ascii="Arial" w:cs="Arial" w:eastAsia="Arial" w:hAnsi="Arial"/>
          <w:sz w:val="14"/>
          <w:szCs w:val="14"/>
          <w:color w:val="1A1A1A"/>
        </w:rPr>
        <w:t>Biographical information is given, as of April 12, 2022, for each nominee and for each of the other directors whose term of office will continue after the 2022 Annual Meeting. All nominees are presently directors and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8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23" w:name="page24"/>
    <w:bookmarkEnd w:id="23"/>
    <w:p>
      <w:pPr>
        <w:ind w:left="756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46520" cy="24892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172720</wp:posOffset>
            </wp:positionV>
            <wp:extent cx="1080135" cy="10801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1991</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80</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440" w:type="dxa"/>
            <w:vAlign w:val="bottom"/>
          </w:tcPr>
          <w:p>
            <w:pPr>
              <w:spacing w:after="0"/>
              <w:rPr>
                <w:sz w:val="20"/>
                <w:szCs w:val="20"/>
                <w:color w:val="auto"/>
              </w:rPr>
            </w:pPr>
            <w:r>
              <w:rPr>
                <w:rFonts w:ascii="Arial" w:cs="Arial" w:eastAsia="Arial" w:hAnsi="Arial"/>
                <w:sz w:val="15"/>
                <w:szCs w:val="15"/>
                <w:color w:val="auto"/>
              </w:rPr>
              <w:t>Board of Directors: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c>
          <w:tcPr>
            <w:tcW w:w="0" w:type="dxa"/>
            <w:vAlign w:val="bottom"/>
          </w:tcPr>
          <w:p>
            <w:pPr>
              <w:spacing w:after="0"/>
              <w:rPr>
                <w:sz w:val="1"/>
                <w:szCs w:val="1"/>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5"/>
                <w:szCs w:val="15"/>
                <w:color w:val="auto"/>
              </w:rPr>
              <w:t>Corporate Governance and</w:t>
            </w:r>
          </w:p>
        </w:tc>
        <w:tc>
          <w:tcPr>
            <w:tcW w:w="600" w:type="dxa"/>
            <w:vAlign w:val="bottom"/>
            <w:vMerge w:val="restart"/>
          </w:tcPr>
          <w:p>
            <w:pPr>
              <w:jc w:val="right"/>
              <w:spacing w:after="0"/>
              <w:rPr>
                <w:sz w:val="20"/>
                <w:szCs w:val="20"/>
                <w:color w:val="auto"/>
              </w:rPr>
            </w:pPr>
            <w:r>
              <w:rPr>
                <w:rFonts w:ascii="Arial" w:cs="Arial" w:eastAsia="Arial" w:hAnsi="Arial"/>
                <w:sz w:val="15"/>
                <w:szCs w:val="15"/>
                <w:b w:val="1"/>
                <w:bCs w:val="1"/>
                <w:color w:val="215BA8"/>
              </w:rPr>
              <w:t>5/5</w:t>
            </w:r>
          </w:p>
        </w:tc>
        <w:tc>
          <w:tcPr>
            <w:tcW w:w="0" w:type="dxa"/>
            <w:vAlign w:val="bottom"/>
          </w:tcPr>
          <w:p>
            <w:pPr>
              <w:spacing w:after="0"/>
              <w:rPr>
                <w:sz w:val="1"/>
                <w:szCs w:val="1"/>
                <w:color w:val="auto"/>
              </w:rPr>
            </w:pPr>
          </w:p>
        </w:tc>
      </w:tr>
      <w:tr>
        <w:trPr>
          <w:trHeight w:val="178"/>
        </w:trPr>
        <w:tc>
          <w:tcPr>
            <w:tcW w:w="2440" w:type="dxa"/>
            <w:vAlign w:val="bottom"/>
          </w:tcPr>
          <w:p>
            <w:pPr>
              <w:spacing w:after="0"/>
              <w:rPr>
                <w:sz w:val="20"/>
                <w:szCs w:val="20"/>
                <w:color w:val="auto"/>
              </w:rPr>
            </w:pPr>
            <w:r>
              <w:rPr>
                <w:rFonts w:ascii="Arial" w:cs="Arial" w:eastAsia="Arial" w:hAnsi="Arial"/>
                <w:sz w:val="15"/>
                <w:szCs w:val="15"/>
                <w:color w:val="auto"/>
              </w:rPr>
              <w:t>Compliance Committee:</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0"/>
                <w:szCs w:val="20"/>
                <w:color w:val="auto"/>
              </w:rPr>
            </w:pPr>
            <w:r>
              <w:rPr>
                <w:rFonts w:ascii="Arial" w:cs="Arial" w:eastAsia="Arial" w:hAnsi="Arial"/>
                <w:sz w:val="15"/>
                <w:szCs w:val="15"/>
                <w:color w:val="auto"/>
              </w:rPr>
              <w:t>Technology Committee (Chair):</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19284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06" w:lineRule="exact"/>
        <w:rPr>
          <w:sz w:val="20"/>
          <w:szCs w:val="20"/>
          <w:color w:val="auto"/>
        </w:rPr>
      </w:pPr>
    </w:p>
    <w:p>
      <w:pPr>
        <w:ind w:left="183" w:right="620" w:hanging="183"/>
        <w:spacing w:after="0" w:line="234" w:lineRule="auto"/>
        <w:tabs>
          <w:tab w:leader="none" w:pos="183" w:val="left"/>
        </w:tabs>
        <w:numPr>
          <w:ilvl w:val="0"/>
          <w:numId w:val="18"/>
        </w:numPr>
        <w:rPr>
          <w:rFonts w:ascii="Arial" w:cs="Arial" w:eastAsia="Arial" w:hAnsi="Arial"/>
          <w:sz w:val="16"/>
          <w:szCs w:val="16"/>
          <w:b w:val="1"/>
          <w:bCs w:val="1"/>
          <w:color w:val="215BA8"/>
        </w:rPr>
      </w:pPr>
      <w:r>
        <w:rPr>
          <w:rFonts w:ascii="Arial" w:cs="Arial" w:eastAsia="Arial" w:hAnsi="Arial"/>
          <w:sz w:val="16"/>
          <w:szCs w:val="16"/>
          <w:color w:val="auto"/>
        </w:rPr>
        <w:t>Distinguished Chair in Biomedical Sciences since 1989 and Regental Professor of Molecular Genetics and Internal Medicine and Director of the Jonsson Center for Molecular Genetics since 1985 at The University of Texas Southwestern Medical Center at Dallas</w:t>
      </w:r>
    </w:p>
    <w:p>
      <w:pPr>
        <w:spacing w:after="0" w:line="69"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8"/>
        </w:numPr>
        <w:rPr>
          <w:rFonts w:ascii="Arial" w:cs="Arial" w:eastAsia="Arial" w:hAnsi="Arial"/>
          <w:sz w:val="16"/>
          <w:szCs w:val="16"/>
          <w:b w:val="1"/>
          <w:bCs w:val="1"/>
          <w:color w:val="215BA8"/>
        </w:rPr>
      </w:pPr>
      <w:r>
        <w:rPr>
          <w:rFonts w:ascii="Arial" w:cs="Arial" w:eastAsia="Arial" w:hAnsi="Arial"/>
          <w:sz w:val="16"/>
          <w:szCs w:val="16"/>
          <w:color w:val="auto"/>
        </w:rPr>
        <w:t>Nobel Prize for Physiology or Medicine in 1985 (jointly with Dr. Goldstein)</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8"/>
        </w:numPr>
        <w:rPr>
          <w:rFonts w:ascii="Arial" w:cs="Arial" w:eastAsia="Arial" w:hAnsi="Arial"/>
          <w:sz w:val="16"/>
          <w:szCs w:val="16"/>
          <w:b w:val="1"/>
          <w:bCs w:val="1"/>
          <w:color w:val="215BA8"/>
        </w:rPr>
      </w:pPr>
      <w:r>
        <w:rPr>
          <w:rFonts w:ascii="Arial" w:cs="Arial" w:eastAsia="Arial" w:hAnsi="Arial"/>
          <w:sz w:val="16"/>
          <w:szCs w:val="16"/>
          <w:color w:val="auto"/>
        </w:rPr>
        <w:t>U.S. National Medal of Science in 1988 (jointly with Dr. Goldstein)</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19"/>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9"/>
        </w:numPr>
        <w:rPr>
          <w:rFonts w:ascii="Arial" w:cs="Arial" w:eastAsia="Arial" w:hAnsi="Arial"/>
          <w:sz w:val="16"/>
          <w:szCs w:val="16"/>
          <w:b w:val="1"/>
          <w:bCs w:val="1"/>
          <w:color w:val="215BA8"/>
        </w:rPr>
      </w:pPr>
      <w:r>
        <w:rPr>
          <w:rFonts w:ascii="Arial" w:cs="Arial" w:eastAsia="Arial" w:hAnsi="Arial"/>
          <w:sz w:val="16"/>
          <w:szCs w:val="16"/>
          <w:color w:val="auto"/>
        </w:rPr>
        <w:t>The National Academy of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19"/>
        </w:numPr>
        <w:rPr>
          <w:rFonts w:ascii="Arial" w:cs="Arial" w:eastAsia="Arial" w:hAnsi="Arial"/>
          <w:sz w:val="16"/>
          <w:szCs w:val="16"/>
          <w:b w:val="1"/>
          <w:bCs w:val="1"/>
          <w:color w:val="215BA8"/>
        </w:rPr>
      </w:pPr>
      <w:r>
        <w:rPr>
          <w:rFonts w:ascii="Arial" w:cs="Arial" w:eastAsia="Arial" w:hAnsi="Arial"/>
          <w:sz w:val="16"/>
          <w:szCs w:val="16"/>
          <w:color w:val="auto"/>
        </w:rPr>
        <w:t>The Royal Society of London</w:t>
      </w:r>
    </w:p>
    <w:p>
      <w:pPr>
        <w:spacing w:after="0" w:line="151" w:lineRule="exact"/>
        <w:rPr>
          <w:sz w:val="20"/>
          <w:szCs w:val="20"/>
          <w:color w:val="auto"/>
        </w:rPr>
      </w:pPr>
    </w:p>
    <w:p>
      <w:pPr>
        <w:ind w:left="3" w:right="580"/>
        <w:spacing w:after="0" w:line="238" w:lineRule="auto"/>
        <w:rPr>
          <w:sz w:val="20"/>
          <w:szCs w:val="20"/>
          <w:color w:val="auto"/>
        </w:rPr>
      </w:pPr>
      <w:r>
        <w:rPr>
          <w:rFonts w:ascii="Arial" w:cs="Arial" w:eastAsia="Arial" w:hAnsi="Arial"/>
          <w:sz w:val="16"/>
          <w:szCs w:val="16"/>
          <w:i w:val="1"/>
          <w:iCs w:val="1"/>
          <w:color w:val="auto"/>
        </w:rPr>
        <w:t>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to the board’s decision to nominate Dr. Brown for reelection to the board.</w:t>
      </w:r>
    </w:p>
    <w:p>
      <w:pPr>
        <w:spacing w:after="0" w:line="927"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Regeneron Securities Beneficially Owned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as of April 12,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ind w:left="540"/>
              <w:spacing w:after="0"/>
              <w:rPr>
                <w:sz w:val="20"/>
                <w:szCs w:val="20"/>
                <w:color w:val="auto"/>
              </w:rPr>
            </w:pPr>
            <w:r>
              <w:rPr>
                <w:rFonts w:ascii="Arial" w:cs="Arial" w:eastAsia="Arial" w:hAnsi="Arial"/>
                <w:sz w:val="15"/>
                <w:szCs w:val="15"/>
                <w:color w:val="auto"/>
              </w:rPr>
              <w:t>Common Stock:</w:t>
            </w:r>
          </w:p>
        </w:tc>
        <w:tc>
          <w:tcPr>
            <w:tcW w:w="5880" w:type="dxa"/>
            <w:vAlign w:val="bottom"/>
          </w:tcPr>
          <w:p>
            <w:pPr>
              <w:jc w:val="right"/>
              <w:ind w:right="4586"/>
              <w:spacing w:after="0"/>
              <w:rPr>
                <w:sz w:val="20"/>
                <w:szCs w:val="20"/>
                <w:color w:val="auto"/>
              </w:rPr>
            </w:pPr>
            <w:r>
              <w:rPr>
                <w:rFonts w:ascii="Arial" w:cs="Arial" w:eastAsia="Arial" w:hAnsi="Arial"/>
                <w:sz w:val="15"/>
                <w:szCs w:val="15"/>
                <w:b w:val="1"/>
                <w:bCs w:val="1"/>
                <w:color w:val="215BA8"/>
              </w:rPr>
              <w:t>12,662</w:t>
            </w:r>
          </w:p>
        </w:tc>
        <w:tc>
          <w:tcPr>
            <w:tcW w:w="3000" w:type="dxa"/>
            <w:vAlign w:val="bottom"/>
          </w:tcPr>
          <w:p>
            <w:pPr>
              <w:spacing w:after="0"/>
              <w:rPr>
                <w:sz w:val="17"/>
                <w:szCs w:val="17"/>
                <w:color w:val="auto"/>
              </w:rPr>
            </w:pPr>
          </w:p>
        </w:tc>
      </w:tr>
      <w:tr>
        <w:trPr>
          <w:trHeight w:val="243"/>
        </w:trPr>
        <w:tc>
          <w:tcPr>
            <w:tcW w:w="2360" w:type="dxa"/>
            <w:vAlign w:val="bottom"/>
          </w:tcPr>
          <w:p>
            <w:pPr>
              <w:ind w:left="540"/>
              <w:spacing w:after="0"/>
              <w:rPr>
                <w:sz w:val="20"/>
                <w:szCs w:val="20"/>
                <w:color w:val="auto"/>
              </w:rPr>
            </w:pPr>
            <w:r>
              <w:rPr>
                <w:rFonts w:ascii="Arial" w:cs="Arial" w:eastAsia="Arial" w:hAnsi="Arial"/>
                <w:sz w:val="15"/>
                <w:szCs w:val="15"/>
                <w:color w:val="auto"/>
              </w:rPr>
              <w:t>Options:</w:t>
            </w:r>
          </w:p>
        </w:tc>
        <w:tc>
          <w:tcPr>
            <w:tcW w:w="5880" w:type="dxa"/>
            <w:vAlign w:val="bottom"/>
          </w:tcPr>
          <w:p>
            <w:pPr>
              <w:jc w:val="right"/>
              <w:ind w:right="4586"/>
              <w:spacing w:after="0"/>
              <w:rPr>
                <w:sz w:val="20"/>
                <w:szCs w:val="20"/>
                <w:color w:val="auto"/>
              </w:rPr>
            </w:pPr>
            <w:r>
              <w:rPr>
                <w:rFonts w:ascii="Arial" w:cs="Arial" w:eastAsia="Arial" w:hAnsi="Arial"/>
                <w:sz w:val="15"/>
                <w:szCs w:val="15"/>
                <w:b w:val="1"/>
                <w:bCs w:val="1"/>
                <w:color w:val="215BA8"/>
              </w:rPr>
              <w:t>16,428</w:t>
            </w:r>
          </w:p>
        </w:tc>
        <w:tc>
          <w:tcPr>
            <w:tcW w:w="3000" w:type="dxa"/>
            <w:vAlign w:val="bottom"/>
          </w:tcPr>
          <w:p>
            <w:pPr>
              <w:spacing w:after="0"/>
              <w:rPr>
                <w:sz w:val="21"/>
                <w:szCs w:val="21"/>
                <w:color w:val="auto"/>
              </w:rPr>
            </w:pPr>
          </w:p>
        </w:tc>
      </w:tr>
      <w:tr>
        <w:trPr>
          <w:trHeight w:val="243"/>
        </w:trPr>
        <w:tc>
          <w:tcPr>
            <w:tcW w:w="2360" w:type="dxa"/>
            <w:vAlign w:val="bottom"/>
          </w:tcPr>
          <w:p>
            <w:pPr>
              <w:ind w:left="540"/>
              <w:spacing w:after="0"/>
              <w:rPr>
                <w:sz w:val="20"/>
                <w:szCs w:val="20"/>
                <w:color w:val="auto"/>
              </w:rPr>
            </w:pPr>
            <w:r>
              <w:rPr>
                <w:rFonts w:ascii="Arial" w:cs="Arial" w:eastAsia="Arial" w:hAnsi="Arial"/>
                <w:sz w:val="15"/>
                <w:szCs w:val="15"/>
                <w:color w:val="auto"/>
              </w:rPr>
              <w:t>RSUs:</w:t>
            </w:r>
          </w:p>
        </w:tc>
        <w:tc>
          <w:tcPr>
            <w:tcW w:w="5880" w:type="dxa"/>
            <w:vAlign w:val="bottom"/>
          </w:tcPr>
          <w:p>
            <w:pPr>
              <w:jc w:val="right"/>
              <w:ind w:right="4586"/>
              <w:spacing w:after="0"/>
              <w:rPr>
                <w:sz w:val="20"/>
                <w:szCs w:val="20"/>
                <w:color w:val="auto"/>
              </w:rPr>
            </w:pPr>
            <w:r>
              <w:rPr>
                <w:rFonts w:ascii="Arial" w:cs="Arial" w:eastAsia="Arial" w:hAnsi="Arial"/>
                <w:sz w:val="15"/>
                <w:szCs w:val="15"/>
                <w:b w:val="1"/>
                <w:bCs w:val="1"/>
                <w:color w:val="215BA8"/>
              </w:rPr>
              <w:t>974</w:t>
            </w:r>
          </w:p>
        </w:tc>
        <w:tc>
          <w:tcPr>
            <w:tcW w:w="3000" w:type="dxa"/>
            <w:vAlign w:val="bottom"/>
          </w:tcPr>
          <w:p>
            <w:pPr>
              <w:spacing w:after="0"/>
              <w:rPr>
                <w:sz w:val="21"/>
                <w:szCs w:val="21"/>
                <w:color w:val="auto"/>
              </w:rPr>
            </w:pPr>
          </w:p>
        </w:tc>
      </w:tr>
      <w:tr>
        <w:trPr>
          <w:trHeight w:val="376"/>
        </w:trPr>
        <w:tc>
          <w:tcPr>
            <w:tcW w:w="8240" w:type="dxa"/>
            <w:vAlign w:val="bottom"/>
            <w:gridSpan w:val="2"/>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0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9</w:t>
            </w:r>
          </w:p>
        </w:tc>
      </w:tr>
      <w:tr>
        <w:trPr>
          <w:trHeight w:val="221"/>
        </w:trPr>
        <w:tc>
          <w:tcPr>
            <w:tcW w:w="2360" w:type="dxa"/>
            <w:vAlign w:val="bottom"/>
            <w:tcBorders>
              <w:bottom w:val="single" w:sz="8" w:color="C0C0C0"/>
            </w:tcBorders>
          </w:tcPr>
          <w:p>
            <w:pPr>
              <w:spacing w:after="0"/>
              <w:rPr>
                <w:sz w:val="19"/>
                <w:szCs w:val="19"/>
                <w:color w:val="auto"/>
              </w:rPr>
            </w:pPr>
          </w:p>
        </w:tc>
        <w:tc>
          <w:tcPr>
            <w:tcW w:w="5880" w:type="dxa"/>
            <w:vAlign w:val="bottom"/>
            <w:tcBorders>
              <w:bottom w:val="single" w:sz="8" w:color="C0C0C0"/>
            </w:tcBorders>
          </w:tcPr>
          <w:p>
            <w:pPr>
              <w:spacing w:after="0"/>
              <w:rPr>
                <w:sz w:val="19"/>
                <w:szCs w:val="19"/>
                <w:color w:val="auto"/>
              </w:rPr>
            </w:pPr>
          </w:p>
        </w:tc>
        <w:tc>
          <w:tcPr>
            <w:tcW w:w="300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24" w:name="page25"/>
    <w:bookmarkEnd w:id="24"/>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46520" cy="2482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LEONARD S. SCHLEIFER, M.D., PH.D.</w:t>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1988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-1289685</wp:posOffset>
            </wp:positionV>
            <wp:extent cx="1080135" cy="10801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200" w:type="dxa"/>
            <w:vAlign w:val="bottom"/>
          </w:tcPr>
          <w:p>
            <w:pPr>
              <w:spacing w:after="0"/>
              <w:rPr>
                <w:sz w:val="20"/>
                <w:szCs w:val="20"/>
                <w:color w:val="auto"/>
              </w:rPr>
            </w:pPr>
            <w:r>
              <w:rPr>
                <w:rFonts w:ascii="Arial" w:cs="Arial" w:eastAsia="Arial" w:hAnsi="Arial"/>
                <w:sz w:val="15"/>
                <w:szCs w:val="15"/>
                <w:color w:val="auto"/>
              </w:rPr>
              <w:t>Board of Directors: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15BA8"/>
              </w:rPr>
              <w:t>8/9</w:t>
            </w:r>
          </w:p>
        </w:tc>
      </w:tr>
      <w:tr>
        <w:trPr>
          <w:trHeight w:val="243"/>
        </w:trPr>
        <w:tc>
          <w:tcPr>
            <w:tcW w:w="2200" w:type="dxa"/>
            <w:vAlign w:val="bottom"/>
          </w:tcPr>
          <w:p>
            <w:pPr>
              <w:spacing w:after="0"/>
              <w:rPr>
                <w:sz w:val="20"/>
                <w:szCs w:val="20"/>
                <w:color w:val="auto"/>
              </w:rPr>
            </w:pPr>
            <w:r>
              <w:rPr>
                <w:rFonts w:ascii="Arial" w:cs="Arial" w:eastAsia="Arial" w:hAnsi="Arial"/>
                <w:sz w:val="15"/>
                <w:szCs w:val="15"/>
                <w:color w:val="auto"/>
              </w:rPr>
              <w:t>Technology Committee:</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1928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06" w:lineRule="exact"/>
        <w:rPr>
          <w:sz w:val="20"/>
          <w:szCs w:val="20"/>
          <w:color w:val="auto"/>
        </w:rPr>
      </w:pPr>
    </w:p>
    <w:p>
      <w:pPr>
        <w:ind w:left="183" w:right="560" w:hanging="183"/>
        <w:spacing w:after="0" w:line="236" w:lineRule="auto"/>
        <w:tabs>
          <w:tab w:leader="none" w:pos="183" w:val="left"/>
        </w:tabs>
        <w:numPr>
          <w:ilvl w:val="0"/>
          <w:numId w:val="20"/>
        </w:numPr>
        <w:rPr>
          <w:rFonts w:ascii="Arial" w:cs="Arial" w:eastAsia="Arial" w:hAnsi="Arial"/>
          <w:sz w:val="16"/>
          <w:szCs w:val="16"/>
          <w:b w:val="1"/>
          <w:bCs w:val="1"/>
          <w:color w:val="215BA8"/>
        </w:rPr>
      </w:pPr>
      <w:r>
        <w:rPr>
          <w:rFonts w:ascii="Arial" w:cs="Arial" w:eastAsia="Arial" w:hAnsi="Arial"/>
          <w:sz w:val="16"/>
          <w:szCs w:val="16"/>
          <w:color w:val="auto"/>
        </w:rPr>
        <w:t>Founded the Company in 1988; built and managed the Company over the past 34 years together with Regeneron’s founding scientist, Dr. Yancopoulos</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0"/>
        </w:numPr>
        <w:rPr>
          <w:rFonts w:ascii="Arial" w:cs="Arial" w:eastAsia="Arial" w:hAnsi="Arial"/>
          <w:sz w:val="16"/>
          <w:szCs w:val="16"/>
          <w:b w:val="1"/>
          <w:bCs w:val="1"/>
          <w:color w:val="215BA8"/>
        </w:rPr>
      </w:pPr>
      <w:r>
        <w:rPr>
          <w:rFonts w:ascii="Arial" w:cs="Arial" w:eastAsia="Arial" w:hAnsi="Arial"/>
          <w:sz w:val="16"/>
          <w:szCs w:val="16"/>
          <w:color w:val="auto"/>
        </w:rPr>
        <w:t>Director, President, and Chief Executive Officer of the Company since its inception</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0"/>
        </w:numPr>
        <w:rPr>
          <w:rFonts w:ascii="Arial" w:cs="Arial" w:eastAsia="Arial" w:hAnsi="Arial"/>
          <w:sz w:val="16"/>
          <w:szCs w:val="16"/>
          <w:b w:val="1"/>
          <w:bCs w:val="1"/>
          <w:color w:val="215BA8"/>
        </w:rPr>
      </w:pPr>
      <w:r>
        <w:rPr>
          <w:rFonts w:ascii="Arial" w:cs="Arial" w:eastAsia="Arial" w:hAnsi="Arial"/>
          <w:sz w:val="16"/>
          <w:szCs w:val="16"/>
          <w:color w:val="auto"/>
        </w:rPr>
        <w:t>Former Chair of the Board of the Company from 1990 through 1994</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0"/>
        </w:numPr>
        <w:rPr>
          <w:rFonts w:ascii="Arial" w:cs="Arial" w:eastAsia="Arial" w:hAnsi="Arial"/>
          <w:sz w:val="16"/>
          <w:szCs w:val="16"/>
          <w:b w:val="1"/>
          <w:bCs w:val="1"/>
          <w:color w:val="215BA8"/>
        </w:rPr>
      </w:pPr>
      <w:r>
        <w:rPr>
          <w:rFonts w:ascii="Arial" w:cs="Arial" w:eastAsia="Arial" w:hAnsi="Arial"/>
          <w:sz w:val="16"/>
          <w:szCs w:val="16"/>
          <w:color w:val="auto"/>
        </w:rPr>
        <w:t>Licensed physician certified in Neurology by the American Board of Psychiatry and Neurology</w:t>
      </w:r>
    </w:p>
    <w:p>
      <w:pPr>
        <w:spacing w:after="0" w:line="151" w:lineRule="exact"/>
        <w:rPr>
          <w:sz w:val="20"/>
          <w:szCs w:val="20"/>
          <w:color w:val="auto"/>
        </w:rPr>
      </w:pPr>
    </w:p>
    <w:p>
      <w:pPr>
        <w:ind w:left="3" w:right="860"/>
        <w:spacing w:after="0" w:line="238" w:lineRule="auto"/>
        <w:rPr>
          <w:sz w:val="20"/>
          <w:szCs w:val="20"/>
          <w:color w:val="auto"/>
        </w:rPr>
      </w:pPr>
      <w:r>
        <w:rPr>
          <w:rFonts w:ascii="Arial" w:cs="Arial" w:eastAsia="Arial" w:hAnsi="Arial"/>
          <w:sz w:val="16"/>
          <w:szCs w:val="16"/>
          <w:i w:val="1"/>
          <w:iCs w:val="1"/>
          <w:color w:val="auto"/>
        </w:rPr>
        <w:t>Dr. Schleifer’s significant industry and leadership experience, as well as his incomparable knowledge of the Company and an in-depth understanding of the complex research, drug development, and business issues facing companies in the biopharmaceutical sector, led to the board’s decision to nominate Dr. Schleifer for reelection to the board.</w:t>
      </w:r>
    </w:p>
    <w:p>
      <w:pPr>
        <w:spacing w:after="0" w:line="1345"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Regeneron Securities Beneficially Owned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as of April 12,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60" w:type="dxa"/>
            <w:vAlign w:val="bottom"/>
          </w:tcPr>
          <w:p>
            <w:pPr>
              <w:ind w:left="540"/>
              <w:spacing w:after="0"/>
              <w:rPr>
                <w:sz w:val="20"/>
                <w:szCs w:val="20"/>
                <w:color w:val="auto"/>
              </w:rPr>
            </w:pPr>
            <w:r>
              <w:rPr>
                <w:rFonts w:ascii="Arial" w:cs="Arial" w:eastAsia="Arial" w:hAnsi="Arial"/>
                <w:sz w:val="15"/>
                <w:szCs w:val="15"/>
                <w:color w:val="auto"/>
              </w:rPr>
              <w:t>Class A Stock:</w:t>
            </w:r>
          </w:p>
        </w:tc>
        <w:tc>
          <w:tcPr>
            <w:tcW w:w="8980" w:type="dxa"/>
            <w:vAlign w:val="bottom"/>
          </w:tcPr>
          <w:p>
            <w:pPr>
              <w:jc w:val="right"/>
              <w:ind w:right="7586"/>
              <w:spacing w:after="0"/>
              <w:rPr>
                <w:sz w:val="20"/>
                <w:szCs w:val="20"/>
                <w:color w:val="auto"/>
              </w:rPr>
            </w:pPr>
            <w:r>
              <w:rPr>
                <w:rFonts w:ascii="Arial" w:cs="Arial" w:eastAsia="Arial" w:hAnsi="Arial"/>
                <w:sz w:val="15"/>
                <w:szCs w:val="15"/>
                <w:b w:val="1"/>
                <w:bCs w:val="1"/>
                <w:color w:val="215BA8"/>
              </w:rPr>
              <w:t>1,726,565</w:t>
            </w:r>
          </w:p>
        </w:tc>
      </w:tr>
      <w:tr>
        <w:trPr>
          <w:trHeight w:val="243"/>
        </w:trPr>
        <w:tc>
          <w:tcPr>
            <w:tcW w:w="2260" w:type="dxa"/>
            <w:vAlign w:val="bottom"/>
          </w:tcPr>
          <w:p>
            <w:pPr>
              <w:ind w:left="540"/>
              <w:spacing w:after="0"/>
              <w:rPr>
                <w:sz w:val="20"/>
                <w:szCs w:val="20"/>
                <w:color w:val="auto"/>
              </w:rPr>
            </w:pPr>
            <w:r>
              <w:rPr>
                <w:rFonts w:ascii="Arial" w:cs="Arial" w:eastAsia="Arial" w:hAnsi="Arial"/>
                <w:sz w:val="15"/>
                <w:szCs w:val="15"/>
                <w:color w:val="auto"/>
              </w:rPr>
              <w:t>Common Stock:</w:t>
            </w:r>
          </w:p>
        </w:tc>
        <w:tc>
          <w:tcPr>
            <w:tcW w:w="8980" w:type="dxa"/>
            <w:vAlign w:val="bottom"/>
          </w:tcPr>
          <w:p>
            <w:pPr>
              <w:jc w:val="right"/>
              <w:ind w:right="7586"/>
              <w:spacing w:after="0"/>
              <w:rPr>
                <w:sz w:val="20"/>
                <w:szCs w:val="20"/>
                <w:color w:val="auto"/>
              </w:rPr>
            </w:pPr>
            <w:r>
              <w:rPr>
                <w:rFonts w:ascii="Arial" w:cs="Arial" w:eastAsia="Arial" w:hAnsi="Arial"/>
                <w:sz w:val="15"/>
                <w:szCs w:val="15"/>
                <w:b w:val="1"/>
                <w:bCs w:val="1"/>
                <w:color w:val="215BA8"/>
              </w:rPr>
              <w:t>683,074</w:t>
            </w:r>
          </w:p>
        </w:tc>
      </w:tr>
      <w:tr>
        <w:trPr>
          <w:trHeight w:val="243"/>
        </w:trPr>
        <w:tc>
          <w:tcPr>
            <w:tcW w:w="2260" w:type="dxa"/>
            <w:vAlign w:val="bottom"/>
          </w:tcPr>
          <w:p>
            <w:pPr>
              <w:ind w:left="540"/>
              <w:spacing w:after="0"/>
              <w:rPr>
                <w:sz w:val="20"/>
                <w:szCs w:val="20"/>
                <w:color w:val="auto"/>
              </w:rPr>
            </w:pPr>
            <w:r>
              <w:rPr>
                <w:rFonts w:ascii="Arial" w:cs="Arial" w:eastAsia="Arial" w:hAnsi="Arial"/>
                <w:sz w:val="15"/>
                <w:szCs w:val="15"/>
                <w:color w:val="auto"/>
              </w:rPr>
              <w:t>Options:</w:t>
            </w:r>
          </w:p>
        </w:tc>
        <w:tc>
          <w:tcPr>
            <w:tcW w:w="8980" w:type="dxa"/>
            <w:vAlign w:val="bottom"/>
          </w:tcPr>
          <w:p>
            <w:pPr>
              <w:jc w:val="right"/>
              <w:ind w:right="7586"/>
              <w:spacing w:after="0"/>
              <w:rPr>
                <w:sz w:val="20"/>
                <w:szCs w:val="20"/>
                <w:color w:val="auto"/>
              </w:rPr>
            </w:pPr>
            <w:r>
              <w:rPr>
                <w:rFonts w:ascii="Arial" w:cs="Arial" w:eastAsia="Arial" w:hAnsi="Arial"/>
                <w:sz w:val="15"/>
                <w:szCs w:val="15"/>
                <w:b w:val="1"/>
                <w:bCs w:val="1"/>
                <w:color w:val="215BA8"/>
              </w:rPr>
              <w:t>799,616</w:t>
            </w:r>
          </w:p>
        </w:tc>
      </w:tr>
      <w:tr>
        <w:trPr>
          <w:trHeight w:val="376"/>
        </w:trPr>
        <w:tc>
          <w:tcPr>
            <w:tcW w:w="2260" w:type="dxa"/>
            <w:vAlign w:val="bottom"/>
          </w:tcPr>
          <w:p>
            <w:pPr>
              <w:jc w:val="right"/>
              <w:ind w:right="1906"/>
              <w:spacing w:after="0"/>
              <w:rPr>
                <w:sz w:val="20"/>
                <w:szCs w:val="20"/>
                <w:color w:val="auto"/>
              </w:rPr>
            </w:pPr>
            <w:r>
              <w:rPr>
                <w:rFonts w:ascii="Arial" w:cs="Arial" w:eastAsia="Arial" w:hAnsi="Arial"/>
                <w:sz w:val="14"/>
                <w:szCs w:val="14"/>
                <w:b w:val="1"/>
                <w:bCs w:val="1"/>
                <w:color w:val="auto"/>
              </w:rPr>
              <w:t xml:space="preserve">10 </w:t>
            </w:r>
            <w:r>
              <w:rPr>
                <w:rFonts w:ascii="Arial" w:cs="Arial" w:eastAsia="Arial" w:hAnsi="Arial"/>
                <w:sz w:val="14"/>
                <w:szCs w:val="14"/>
                <w:b w:val="1"/>
                <w:bCs w:val="1"/>
                <w:color w:val="00ADEE"/>
              </w:rPr>
              <w:t>/</w:t>
            </w:r>
          </w:p>
        </w:tc>
        <w:tc>
          <w:tcPr>
            <w:tcW w:w="8980" w:type="dxa"/>
            <w:vAlign w:val="bottom"/>
          </w:tcPr>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r>
      <w:tr>
        <w:trPr>
          <w:trHeight w:val="221"/>
        </w:trPr>
        <w:tc>
          <w:tcPr>
            <w:tcW w:w="2260" w:type="dxa"/>
            <w:vAlign w:val="bottom"/>
            <w:tcBorders>
              <w:bottom w:val="single" w:sz="8" w:color="C0C0C0"/>
            </w:tcBorders>
          </w:tcPr>
          <w:p>
            <w:pPr>
              <w:spacing w:after="0"/>
              <w:rPr>
                <w:sz w:val="19"/>
                <w:szCs w:val="19"/>
                <w:color w:val="auto"/>
              </w:rPr>
            </w:pPr>
          </w:p>
        </w:tc>
        <w:tc>
          <w:tcPr>
            <w:tcW w:w="898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25" w:name="page26"/>
    <w:bookmarkEnd w:id="25"/>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46520" cy="2482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GEORGE D. YANCOPOULOS, M.D., PH.D.</w:t>
      </w:r>
    </w:p>
    <w:p>
      <w:pPr>
        <w:spacing w:after="0" w:line="2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D6005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-116205</wp:posOffset>
            </wp:positionV>
            <wp:extent cx="1080135" cy="10883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2001</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1980" w:type="dxa"/>
            <w:vAlign w:val="bottom"/>
          </w:tcPr>
          <w:p>
            <w:pPr>
              <w:spacing w:after="0"/>
              <w:rPr>
                <w:sz w:val="20"/>
                <w:szCs w:val="20"/>
                <w:color w:val="auto"/>
              </w:rPr>
            </w:pPr>
            <w:r>
              <w:rPr>
                <w:rFonts w:ascii="Arial" w:cs="Arial" w:eastAsia="Arial" w:hAnsi="Arial"/>
                <w:sz w:val="15"/>
                <w:szCs w:val="15"/>
                <w:color w:val="auto"/>
              </w:rPr>
              <w:t>Board of Directors:</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215BA8"/>
              </w:rPr>
              <w:t>7/9</w:t>
            </w:r>
          </w:p>
        </w:tc>
      </w:tr>
      <w:tr>
        <w:trPr>
          <w:trHeight w:val="243"/>
        </w:trPr>
        <w:tc>
          <w:tcPr>
            <w:tcW w:w="1980" w:type="dxa"/>
            <w:vAlign w:val="bottom"/>
          </w:tcPr>
          <w:p>
            <w:pPr>
              <w:spacing w:after="0"/>
              <w:rPr>
                <w:sz w:val="20"/>
                <w:szCs w:val="20"/>
                <w:color w:val="auto"/>
              </w:rPr>
            </w:pPr>
            <w:r>
              <w:rPr>
                <w:rFonts w:ascii="Arial" w:cs="Arial" w:eastAsia="Arial" w:hAnsi="Arial"/>
                <w:sz w:val="15"/>
                <w:szCs w:val="15"/>
                <w:color w:val="auto"/>
              </w:rPr>
              <w:t>Technology Committee:</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r>
      <w:tr>
        <w:trPr>
          <w:trHeight w:val="145"/>
        </w:trPr>
        <w:tc>
          <w:tcPr>
            <w:tcW w:w="3040" w:type="dxa"/>
            <w:vAlign w:val="bottom"/>
            <w:tcBorders>
              <w:bottom w:val="single" w:sz="8" w:color="auto"/>
            </w:tcBorders>
            <w:gridSpan w:val="2"/>
          </w:tcPr>
          <w:p>
            <w:pPr>
              <w:spacing w:after="0"/>
              <w:rPr>
                <w:sz w:val="12"/>
                <w:szCs w:val="12"/>
                <w:color w:val="auto"/>
              </w:rPr>
            </w:pPr>
          </w:p>
        </w:tc>
      </w:tr>
      <w:tr>
        <w:trPr>
          <w:trHeight w:val="300"/>
        </w:trPr>
        <w:tc>
          <w:tcPr>
            <w:tcW w:w="3040" w:type="dxa"/>
            <w:vAlign w:val="bottom"/>
            <w:gridSpan w:val="2"/>
          </w:tcPr>
          <w:p>
            <w:pPr>
              <w:spacing w:after="0"/>
              <w:rPr>
                <w:sz w:val="20"/>
                <w:szCs w:val="20"/>
                <w:color w:val="auto"/>
              </w:rPr>
            </w:pPr>
            <w:r>
              <w:rPr>
                <w:rFonts w:ascii="Arial" w:cs="Arial" w:eastAsia="Arial" w:hAnsi="Arial"/>
                <w:sz w:val="15"/>
                <w:szCs w:val="15"/>
                <w:b w:val="1"/>
                <w:bCs w:val="1"/>
                <w:color w:val="215BA8"/>
              </w:rPr>
              <w:t>Regeneron Securities Beneficially Owned</w:t>
            </w:r>
          </w:p>
        </w:tc>
      </w:tr>
      <w:tr>
        <w:trPr>
          <w:trHeight w:val="196"/>
        </w:trPr>
        <w:tc>
          <w:tcPr>
            <w:tcW w:w="1980" w:type="dxa"/>
            <w:vAlign w:val="bottom"/>
          </w:tcPr>
          <w:p>
            <w:pPr>
              <w:spacing w:after="0"/>
              <w:rPr>
                <w:sz w:val="20"/>
                <w:szCs w:val="20"/>
                <w:color w:val="auto"/>
              </w:rPr>
            </w:pPr>
            <w:r>
              <w:rPr>
                <w:rFonts w:ascii="Arial" w:cs="Arial" w:eastAsia="Arial" w:hAnsi="Arial"/>
                <w:sz w:val="15"/>
                <w:szCs w:val="15"/>
                <w:b w:val="1"/>
                <w:bCs w:val="1"/>
                <w:color w:val="215BA8"/>
              </w:rPr>
              <w:t>as of April 12, 2022</w:t>
            </w:r>
          </w:p>
        </w:tc>
        <w:tc>
          <w:tcPr>
            <w:tcW w:w="1060" w:type="dxa"/>
            <w:vAlign w:val="bottom"/>
          </w:tcPr>
          <w:p>
            <w:pPr>
              <w:spacing w:after="0"/>
              <w:rPr>
                <w:sz w:val="17"/>
                <w:szCs w:val="17"/>
                <w:color w:val="auto"/>
              </w:rPr>
            </w:pPr>
          </w:p>
        </w:tc>
      </w:tr>
      <w:tr>
        <w:trPr>
          <w:trHeight w:val="243"/>
        </w:trPr>
        <w:tc>
          <w:tcPr>
            <w:tcW w:w="1980" w:type="dxa"/>
            <w:vAlign w:val="bottom"/>
          </w:tcPr>
          <w:p>
            <w:pPr>
              <w:spacing w:after="0"/>
              <w:rPr>
                <w:sz w:val="20"/>
                <w:szCs w:val="20"/>
                <w:color w:val="auto"/>
              </w:rPr>
            </w:pPr>
            <w:r>
              <w:rPr>
                <w:rFonts w:ascii="Arial" w:cs="Arial" w:eastAsia="Arial" w:hAnsi="Arial"/>
                <w:sz w:val="15"/>
                <w:szCs w:val="15"/>
                <w:color w:val="auto"/>
              </w:rPr>
              <w:t>Class A Stock:</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215BA8"/>
              </w:rPr>
              <w:t>42,750</w:t>
            </w:r>
          </w:p>
        </w:tc>
      </w:tr>
      <w:tr>
        <w:trPr>
          <w:trHeight w:val="243"/>
        </w:trPr>
        <w:tc>
          <w:tcPr>
            <w:tcW w:w="1980" w:type="dxa"/>
            <w:vAlign w:val="bottom"/>
          </w:tcPr>
          <w:p>
            <w:pPr>
              <w:spacing w:after="0"/>
              <w:rPr>
                <w:sz w:val="20"/>
                <w:szCs w:val="20"/>
                <w:color w:val="auto"/>
              </w:rPr>
            </w:pPr>
            <w:r>
              <w:rPr>
                <w:rFonts w:ascii="Arial" w:cs="Arial" w:eastAsia="Arial" w:hAnsi="Arial"/>
                <w:sz w:val="15"/>
                <w:szCs w:val="15"/>
                <w:color w:val="auto"/>
              </w:rPr>
              <w:t>Common Stock:</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215BA8"/>
              </w:rPr>
              <w:t>1,239,194</w:t>
            </w:r>
          </w:p>
        </w:tc>
      </w:tr>
      <w:tr>
        <w:trPr>
          <w:trHeight w:val="243"/>
        </w:trPr>
        <w:tc>
          <w:tcPr>
            <w:tcW w:w="1980" w:type="dxa"/>
            <w:vAlign w:val="bottom"/>
          </w:tcPr>
          <w:p>
            <w:pPr>
              <w:spacing w:after="0"/>
              <w:rPr>
                <w:sz w:val="20"/>
                <w:szCs w:val="20"/>
                <w:color w:val="auto"/>
              </w:rPr>
            </w:pPr>
            <w:r>
              <w:rPr>
                <w:rFonts w:ascii="Arial" w:cs="Arial" w:eastAsia="Arial" w:hAnsi="Arial"/>
                <w:sz w:val="15"/>
                <w:szCs w:val="15"/>
                <w:color w:val="auto"/>
              </w:rPr>
              <w:t>Options:</w:t>
            </w:r>
          </w:p>
        </w:tc>
        <w:tc>
          <w:tcPr>
            <w:tcW w:w="1060" w:type="dxa"/>
            <w:vAlign w:val="bottom"/>
          </w:tcPr>
          <w:p>
            <w:pPr>
              <w:jc w:val="right"/>
              <w:spacing w:after="0"/>
              <w:rPr>
                <w:sz w:val="20"/>
                <w:szCs w:val="20"/>
                <w:color w:val="auto"/>
              </w:rPr>
            </w:pPr>
            <w:r>
              <w:rPr>
                <w:rFonts w:ascii="Arial" w:cs="Arial" w:eastAsia="Arial" w:hAnsi="Arial"/>
                <w:sz w:val="15"/>
                <w:szCs w:val="15"/>
                <w:b w:val="1"/>
                <w:bCs w:val="1"/>
                <w:color w:val="215BA8"/>
              </w:rPr>
              <w:t>743,227</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83" w:right="760" w:hanging="183"/>
        <w:spacing w:after="0" w:line="236" w:lineRule="auto"/>
        <w:tabs>
          <w:tab w:leader="none" w:pos="183" w:val="left"/>
        </w:tabs>
        <w:numPr>
          <w:ilvl w:val="0"/>
          <w:numId w:val="21"/>
        </w:numPr>
        <w:rPr>
          <w:rFonts w:ascii="Arial" w:cs="Arial" w:eastAsia="Arial" w:hAnsi="Arial"/>
          <w:sz w:val="16"/>
          <w:szCs w:val="16"/>
          <w:b w:val="1"/>
          <w:bCs w:val="1"/>
          <w:color w:val="215BA8"/>
        </w:rPr>
      </w:pPr>
      <w:r>
        <w:rPr>
          <w:rFonts w:ascii="Arial" w:cs="Arial" w:eastAsia="Arial" w:hAnsi="Arial"/>
          <w:sz w:val="16"/>
          <w:szCs w:val="16"/>
          <w:color w:val="auto"/>
        </w:rPr>
        <w:t>Founding scientist of the Company; built and managed the Company since 1989 together with Dr. Schleifer</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1"/>
        </w:numPr>
        <w:rPr>
          <w:rFonts w:ascii="Arial" w:cs="Arial" w:eastAsia="Arial" w:hAnsi="Arial"/>
          <w:sz w:val="16"/>
          <w:szCs w:val="16"/>
          <w:b w:val="1"/>
          <w:bCs w:val="1"/>
          <w:color w:val="215BA8"/>
        </w:rPr>
      </w:pPr>
      <w:r>
        <w:rPr>
          <w:rFonts w:ascii="Arial" w:cs="Arial" w:eastAsia="Arial" w:hAnsi="Arial"/>
          <w:sz w:val="16"/>
          <w:szCs w:val="16"/>
          <w:color w:val="auto"/>
        </w:rPr>
        <w:t>President and Chief Scientific Officer of the Company</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1"/>
        </w:numPr>
        <w:rPr>
          <w:rFonts w:ascii="Arial" w:cs="Arial" w:eastAsia="Arial" w:hAnsi="Arial"/>
          <w:sz w:val="16"/>
          <w:szCs w:val="16"/>
          <w:b w:val="1"/>
          <w:bCs w:val="1"/>
          <w:color w:val="215BA8"/>
        </w:rPr>
      </w:pPr>
      <w:r>
        <w:rPr>
          <w:rFonts w:ascii="Arial" w:cs="Arial" w:eastAsia="Arial" w:hAnsi="Arial"/>
          <w:sz w:val="16"/>
          <w:szCs w:val="16"/>
          <w:color w:val="auto"/>
        </w:rPr>
        <w:t>Director of the Company since 2001</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1"/>
        </w:numPr>
        <w:rPr>
          <w:rFonts w:ascii="Arial" w:cs="Arial" w:eastAsia="Arial" w:hAnsi="Arial"/>
          <w:sz w:val="16"/>
          <w:szCs w:val="16"/>
          <w:b w:val="1"/>
          <w:bCs w:val="1"/>
          <w:color w:val="215BA8"/>
        </w:rPr>
      </w:pPr>
      <w:r>
        <w:rPr>
          <w:rFonts w:ascii="Arial" w:cs="Arial" w:eastAsia="Arial" w:hAnsi="Arial"/>
          <w:sz w:val="16"/>
          <w:szCs w:val="16"/>
          <w:color w:val="auto"/>
        </w:rPr>
        <w:t>11th most highly cited scientist in the world in the 1990s</w:t>
      </w:r>
    </w:p>
    <w:p>
      <w:pPr>
        <w:spacing w:after="0" w:line="72" w:lineRule="exact"/>
        <w:rPr>
          <w:rFonts w:ascii="Arial" w:cs="Arial" w:eastAsia="Arial" w:hAnsi="Arial"/>
          <w:sz w:val="16"/>
          <w:szCs w:val="16"/>
          <w:b w:val="1"/>
          <w:bCs w:val="1"/>
          <w:color w:val="215BA8"/>
        </w:rPr>
      </w:pPr>
    </w:p>
    <w:p>
      <w:pPr>
        <w:ind w:left="183" w:right="640" w:hanging="183"/>
        <w:spacing w:after="0" w:line="199" w:lineRule="auto"/>
        <w:tabs>
          <w:tab w:leader="none" w:pos="183" w:val="left"/>
        </w:tabs>
        <w:numPr>
          <w:ilvl w:val="0"/>
          <w:numId w:val="21"/>
        </w:numPr>
        <w:rPr>
          <w:rFonts w:ascii="Arial" w:cs="Arial" w:eastAsia="Arial" w:hAnsi="Arial"/>
          <w:sz w:val="16"/>
          <w:szCs w:val="16"/>
          <w:b w:val="1"/>
          <w:bCs w:val="1"/>
          <w:color w:val="215BA8"/>
        </w:rPr>
      </w:pPr>
      <w:r>
        <w:rPr>
          <w:rFonts w:ascii="Arial" w:cs="Arial" w:eastAsia="Arial" w:hAnsi="Arial"/>
          <w:sz w:val="16"/>
          <w:szCs w:val="16"/>
          <w:color w:val="auto"/>
        </w:rPr>
        <w:t>Principal inventor and/or developer, together with key members of his team, of the nine FDA-approved drugs the Company has developed, EYLEA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Injection, Praluent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(alirocumab), Dupixent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(dupilumab), Kevzara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(sarilumab), Libtayo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(cemiplimab), Evkeeza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(evinacumab-dgnb), Inmazeb</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(atoltivimab, maftivimab and odesivimab-ebgn),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(ziv-aflibercept) Injection for Intravenous Infusion, and ARCALYST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(rilonacept) Injection for Subcutaneous Use, as well as of its foundation technologies, including the TRAP technology, </w:t>
      </w:r>
      <w:r>
        <w:rPr>
          <w:rFonts w:ascii="Arial" w:cs="Arial" w:eastAsia="Arial" w:hAnsi="Arial"/>
          <w:sz w:val="16"/>
          <w:szCs w:val="16"/>
          <w:i w:val="1"/>
          <w:iCs w:val="1"/>
          <w:color w:val="auto"/>
        </w:rPr>
        <w:t>VelociGene</w:t>
      </w:r>
      <w:r>
        <w:rPr>
          <w:rFonts w:ascii="Arial" w:cs="Arial" w:eastAsia="Arial" w:hAnsi="Arial"/>
          <w:sz w:val="26"/>
          <w:szCs w:val="26"/>
          <w:color w:val="auto"/>
          <w:vertAlign w:val="superscript"/>
        </w:rPr>
        <w:t>®</w:t>
      </w:r>
      <w:r>
        <w:rPr>
          <w:rFonts w:ascii="Arial" w:cs="Arial" w:eastAsia="Arial" w:hAnsi="Arial"/>
          <w:sz w:val="16"/>
          <w:szCs w:val="16"/>
          <w:color w:val="auto"/>
        </w:rPr>
        <w:t>, and</w:t>
      </w:r>
      <w:r>
        <w:rPr>
          <w:rFonts w:ascii="Arial" w:cs="Arial" w:eastAsia="Arial" w:hAnsi="Arial"/>
          <w:sz w:val="16"/>
          <w:szCs w:val="16"/>
          <w:i w:val="1"/>
          <w:iCs w:val="1"/>
          <w:color w:val="auto"/>
        </w:rPr>
        <w:t xml:space="preserve"> VelocImmune</w:t>
      </w:r>
      <w:r>
        <w:rPr>
          <w:rFonts w:ascii="Arial" w:cs="Arial" w:eastAsia="Arial" w:hAnsi="Arial"/>
          <w:sz w:val="26"/>
          <w:szCs w:val="26"/>
          <w:color w:val="auto"/>
          <w:vertAlign w:val="superscript"/>
        </w:rPr>
        <w:t>®</w:t>
      </w:r>
    </w:p>
    <w:p>
      <w:pPr>
        <w:spacing w:after="0" w:line="32"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22"/>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151" w:lineRule="exact"/>
        <w:rPr>
          <w:sz w:val="20"/>
          <w:szCs w:val="20"/>
          <w:color w:val="auto"/>
        </w:rPr>
      </w:pPr>
    </w:p>
    <w:p>
      <w:pPr>
        <w:ind w:left="3" w:right="580"/>
        <w:spacing w:after="0" w:line="238" w:lineRule="auto"/>
        <w:rPr>
          <w:sz w:val="20"/>
          <w:szCs w:val="20"/>
          <w:color w:val="auto"/>
        </w:rPr>
      </w:pPr>
      <w:r>
        <w:rPr>
          <w:rFonts w:ascii="Arial" w:cs="Arial" w:eastAsia="Arial" w:hAnsi="Arial"/>
          <w:sz w:val="16"/>
          <w:szCs w:val="16"/>
          <w:i w:val="1"/>
          <w:iCs w:val="1"/>
          <w:color w:val="auto"/>
        </w:rPr>
        <w:t>Dr. Yancopoulos’s significant industry and scientific experience and distinguished record of scientific expertise, as well as his extensive knowledge of the Company and an in-depth knowledge of the Company’s technologies and research and development programs, led to the board’s decision to nominate Dr. Yancopoulos for reelection to the board.</w:t>
      </w:r>
    </w:p>
    <w:p>
      <w:pPr>
        <w:spacing w:after="0" w:line="589"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11</w:t>
            </w:r>
          </w:p>
        </w:tc>
      </w:tr>
      <w:tr>
        <w:trPr>
          <w:trHeight w:val="222"/>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26" w:name="page27"/>
    <w:bookmarkEnd w:id="26"/>
    <w:p>
      <w:pPr>
        <w:ind w:left="532"/>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32"/>
        <w:spacing w:after="0"/>
        <w:rPr>
          <w:sz w:val="20"/>
          <w:szCs w:val="20"/>
          <w:color w:val="auto"/>
        </w:rPr>
      </w:pPr>
      <w:r>
        <w:rPr>
          <w:rFonts w:ascii="Arial" w:cs="Arial" w:eastAsia="Arial" w:hAnsi="Arial"/>
          <w:sz w:val="23"/>
          <w:szCs w:val="23"/>
          <w:b w:val="1"/>
          <w:bCs w:val="1"/>
          <w:color w:val="D60058"/>
        </w:rPr>
        <w:t>CLASS II DIRECTORS CONTINUING IN OFFICE</w:t>
      </w:r>
    </w:p>
    <w:p>
      <w:pPr>
        <w:spacing w:after="0" w:line="45" w:lineRule="exact"/>
        <w:rPr>
          <w:sz w:val="20"/>
          <w:szCs w:val="20"/>
          <w:color w:val="auto"/>
        </w:rPr>
      </w:pPr>
    </w:p>
    <w:p>
      <w:pPr>
        <w:ind w:left="532"/>
        <w:spacing w:after="0"/>
        <w:rPr>
          <w:sz w:val="20"/>
          <w:szCs w:val="20"/>
          <w:color w:val="auto"/>
        </w:rPr>
      </w:pPr>
      <w:r>
        <w:rPr>
          <w:rFonts w:ascii="Arial" w:cs="Arial" w:eastAsia="Arial" w:hAnsi="Arial"/>
          <w:sz w:val="23"/>
          <w:szCs w:val="23"/>
          <w:b w:val="1"/>
          <w:bCs w:val="1"/>
          <w:color w:val="D60058"/>
        </w:rPr>
        <w:t>TERM EXPIRES AT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10795</wp:posOffset>
            </wp:positionV>
            <wp:extent cx="64465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130810</wp:posOffset>
            </wp:positionV>
            <wp:extent cx="6446520" cy="2482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46520" cy="248285"/>
                    </a:xfrm>
                    <a:prstGeom prst="rect">
                      <a:avLst/>
                    </a:prstGeom>
                    <a:noFill/>
                  </pic:spPr>
                </pic:pic>
              </a:graphicData>
            </a:graphic>
          </wp:anchor>
        </w:drawing>
      </w:r>
    </w:p>
    <w:p>
      <w:pPr>
        <w:spacing w:after="0" w:line="216" w:lineRule="exact"/>
        <w:rPr>
          <w:sz w:val="20"/>
          <w:szCs w:val="20"/>
          <w:color w:val="auto"/>
        </w:rPr>
      </w:pPr>
    </w:p>
    <w:p>
      <w:pPr>
        <w:ind w:left="592"/>
        <w:spacing w:after="0"/>
        <w:rPr>
          <w:sz w:val="20"/>
          <w:szCs w:val="20"/>
          <w:color w:val="auto"/>
        </w:rPr>
      </w:pPr>
      <w:r>
        <w:rPr>
          <w:rFonts w:ascii="Arial" w:cs="Arial" w:eastAsia="Arial" w:hAnsi="Arial"/>
          <w:sz w:val="23"/>
          <w:szCs w:val="23"/>
          <w:b w:val="1"/>
          <w:bCs w:val="1"/>
          <w:color w:val="FFFFFF"/>
        </w:rPr>
        <w:t>JOSEPH L. GOLDSTEIN, M.D.</w:t>
      </w:r>
    </w:p>
    <w:p>
      <w:pPr>
        <w:sectPr>
          <w:pgSz w:w="11900" w:h="16838" w:orient="portrait"/>
          <w:cols w:equalWidth="0" w:num="1">
            <w:col w:w="11232"/>
          </w:cols>
          <w:pgMar w:left="328" w:top="6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32"/>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-1289685</wp:posOffset>
            </wp:positionV>
            <wp:extent cx="1080135" cy="1080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51" w:lineRule="exact"/>
        <w:rPr>
          <w:sz w:val="20"/>
          <w:szCs w:val="20"/>
          <w:color w:val="auto"/>
        </w:rPr>
      </w:pPr>
    </w:p>
    <w:p>
      <w:pPr>
        <w:ind w:left="532"/>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81</w:t>
      </w:r>
    </w:p>
    <w:p>
      <w:pPr>
        <w:spacing w:after="0" w:line="71" w:lineRule="exact"/>
        <w:rPr>
          <w:sz w:val="20"/>
          <w:szCs w:val="20"/>
          <w:color w:val="auto"/>
        </w:rPr>
      </w:pPr>
    </w:p>
    <w:p>
      <w:pPr>
        <w:ind w:left="532"/>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107315</wp:posOffset>
            </wp:positionV>
            <wp:extent cx="19284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32"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32" w:type="dxa"/>
        <w:tblCellMar>
          <w:top w:w="0" w:type="dxa"/>
          <w:left w:w="0" w:type="dxa"/>
          <w:bottom w:w="0" w:type="dxa"/>
          <w:right w:w="0" w:type="dxa"/>
        </w:tblCellMar>
      </w:tblPr>
      <w:tr>
        <w:trPr>
          <w:trHeight w:val="196"/>
        </w:trPr>
        <w:tc>
          <w:tcPr>
            <w:tcW w:w="2660" w:type="dxa"/>
            <w:vAlign w:val="bottom"/>
          </w:tcPr>
          <w:p>
            <w:pPr>
              <w:spacing w:after="0"/>
              <w:rPr>
                <w:sz w:val="20"/>
                <w:szCs w:val="20"/>
                <w:color w:val="auto"/>
              </w:rPr>
            </w:pPr>
            <w:r>
              <w:rPr>
                <w:rFonts w:ascii="Arial" w:cs="Arial" w:eastAsia="Arial" w:hAnsi="Arial"/>
                <w:sz w:val="15"/>
                <w:szCs w:val="15"/>
                <w:color w:val="auto"/>
              </w:rPr>
              <w:t>Board of Directors:</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c>
          <w:tcPr>
            <w:tcW w:w="0" w:type="dxa"/>
            <w:vAlign w:val="bottom"/>
          </w:tcPr>
          <w:p>
            <w:pPr>
              <w:spacing w:after="0"/>
              <w:rPr>
                <w:sz w:val="1"/>
                <w:szCs w:val="1"/>
                <w:color w:val="auto"/>
              </w:rPr>
            </w:pPr>
          </w:p>
        </w:tc>
      </w:tr>
      <w:tr>
        <w:trPr>
          <w:trHeight w:val="227"/>
        </w:trPr>
        <w:tc>
          <w:tcPr>
            <w:tcW w:w="2660" w:type="dxa"/>
            <w:vAlign w:val="bottom"/>
          </w:tcPr>
          <w:p>
            <w:pPr>
              <w:spacing w:after="0"/>
              <w:rPr>
                <w:sz w:val="20"/>
                <w:szCs w:val="20"/>
                <w:color w:val="auto"/>
              </w:rPr>
            </w:pPr>
            <w:r>
              <w:rPr>
                <w:rFonts w:ascii="Arial" w:cs="Arial" w:eastAsia="Arial" w:hAnsi="Arial"/>
                <w:sz w:val="15"/>
                <w:szCs w:val="15"/>
                <w:color w:val="auto"/>
                <w:w w:val="99"/>
              </w:rPr>
              <w:t>Corporate Governance and Compliance</w:t>
            </w:r>
          </w:p>
        </w:tc>
        <w:tc>
          <w:tcPr>
            <w:tcW w:w="380" w:type="dxa"/>
            <w:vAlign w:val="bottom"/>
            <w:vMerge w:val="restart"/>
          </w:tcPr>
          <w:p>
            <w:pPr>
              <w:jc w:val="right"/>
              <w:spacing w:after="0"/>
              <w:rPr>
                <w:sz w:val="20"/>
                <w:szCs w:val="20"/>
                <w:color w:val="auto"/>
              </w:rPr>
            </w:pPr>
            <w:r>
              <w:rPr>
                <w:rFonts w:ascii="Arial" w:cs="Arial" w:eastAsia="Arial" w:hAnsi="Arial"/>
                <w:sz w:val="15"/>
                <w:szCs w:val="15"/>
                <w:b w:val="1"/>
                <w:bCs w:val="1"/>
                <w:color w:val="215BA8"/>
              </w:rPr>
              <w:t>5/5</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20"/>
                <w:szCs w:val="20"/>
                <w:color w:val="auto"/>
              </w:rPr>
            </w:pPr>
            <w:r>
              <w:rPr>
                <w:rFonts w:ascii="Arial" w:cs="Arial" w:eastAsia="Arial" w:hAnsi="Arial"/>
                <w:sz w:val="15"/>
                <w:szCs w:val="15"/>
                <w:color w:val="auto"/>
              </w:rPr>
              <w:t>Committee:</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5"/>
                <w:szCs w:val="15"/>
                <w:color w:val="auto"/>
              </w:rPr>
              <w:t>Technology Committee:</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c>
          <w:tcPr>
            <w:tcW w:w="0" w:type="dxa"/>
            <w:vAlign w:val="bottom"/>
          </w:tcPr>
          <w:p>
            <w:pPr>
              <w:spacing w:after="0"/>
              <w:rPr>
                <w:sz w:val="1"/>
                <w:szCs w:val="1"/>
                <w:color w:val="auto"/>
              </w:rPr>
            </w:pPr>
          </w:p>
        </w:tc>
      </w:tr>
      <w:tr>
        <w:trPr>
          <w:trHeight w:val="145"/>
        </w:trPr>
        <w:tc>
          <w:tcPr>
            <w:tcW w:w="304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3040" w:type="dxa"/>
            <w:vAlign w:val="bottom"/>
            <w:gridSpan w:val="2"/>
          </w:tcPr>
          <w:p>
            <w:pPr>
              <w:spacing w:after="0"/>
              <w:rPr>
                <w:sz w:val="20"/>
                <w:szCs w:val="20"/>
                <w:color w:val="auto"/>
              </w:rPr>
            </w:pPr>
            <w:r>
              <w:rPr>
                <w:rFonts w:ascii="Arial" w:cs="Arial" w:eastAsia="Arial" w:hAnsi="Arial"/>
                <w:sz w:val="15"/>
                <w:szCs w:val="15"/>
                <w:b w:val="1"/>
                <w:bCs w:val="1"/>
                <w:color w:val="215BA8"/>
              </w:rPr>
              <w:t>Regeneron Securities Beneficially Owned</w:t>
            </w:r>
          </w:p>
        </w:tc>
        <w:tc>
          <w:tcPr>
            <w:tcW w:w="0" w:type="dxa"/>
            <w:vAlign w:val="bottom"/>
          </w:tcPr>
          <w:p>
            <w:pPr>
              <w:spacing w:after="0"/>
              <w:rPr>
                <w:sz w:val="1"/>
                <w:szCs w:val="1"/>
                <w:color w:val="auto"/>
              </w:rPr>
            </w:pPr>
          </w:p>
        </w:tc>
      </w:tr>
      <w:tr>
        <w:trPr>
          <w:trHeight w:val="196"/>
        </w:trPr>
        <w:tc>
          <w:tcPr>
            <w:tcW w:w="2660" w:type="dxa"/>
            <w:vAlign w:val="bottom"/>
          </w:tcPr>
          <w:p>
            <w:pPr>
              <w:spacing w:after="0"/>
              <w:rPr>
                <w:sz w:val="20"/>
                <w:szCs w:val="20"/>
                <w:color w:val="auto"/>
              </w:rPr>
            </w:pPr>
            <w:r>
              <w:rPr>
                <w:rFonts w:ascii="Arial" w:cs="Arial" w:eastAsia="Arial" w:hAnsi="Arial"/>
                <w:sz w:val="15"/>
                <w:szCs w:val="15"/>
                <w:b w:val="1"/>
                <w:bCs w:val="1"/>
                <w:color w:val="215BA8"/>
              </w:rPr>
              <w:t>as of April 12, 2022</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5"/>
                <w:szCs w:val="15"/>
                <w:color w:val="auto"/>
              </w:rPr>
              <w:t>Common Stock:</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215BA8"/>
                <w:w w:val="95"/>
              </w:rPr>
              <w:t>5,000</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5"/>
                <w:szCs w:val="15"/>
                <w:color w:val="auto"/>
              </w:rPr>
              <w:t>Options:</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215BA8"/>
                <w:w w:val="95"/>
              </w:rPr>
              <w:t>4,785</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0"/>
                <w:szCs w:val="20"/>
                <w:color w:val="auto"/>
              </w:rPr>
            </w:pPr>
            <w:r>
              <w:rPr>
                <w:rFonts w:ascii="Arial" w:cs="Arial" w:eastAsia="Arial" w:hAnsi="Arial"/>
                <w:sz w:val="15"/>
                <w:szCs w:val="15"/>
                <w:color w:val="auto"/>
              </w:rPr>
              <w:t>RSUs:</w:t>
            </w:r>
          </w:p>
        </w:tc>
        <w:tc>
          <w:tcPr>
            <w:tcW w:w="380" w:type="dxa"/>
            <w:vAlign w:val="bottom"/>
          </w:tcPr>
          <w:p>
            <w:pPr>
              <w:jc w:val="right"/>
              <w:spacing w:after="0"/>
              <w:rPr>
                <w:sz w:val="20"/>
                <w:szCs w:val="20"/>
                <w:color w:val="auto"/>
              </w:rPr>
            </w:pPr>
            <w:r>
              <w:rPr>
                <w:rFonts w:ascii="Arial" w:cs="Arial" w:eastAsia="Arial" w:hAnsi="Arial"/>
                <w:sz w:val="15"/>
                <w:szCs w:val="15"/>
                <w:b w:val="1"/>
                <w:bCs w:val="1"/>
                <w:color w:val="215BA8"/>
              </w:rPr>
              <w:t>974</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32" w:hanging="232"/>
        <w:spacing w:after="0"/>
        <w:tabs>
          <w:tab w:leader="none" w:pos="232"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00ADEE"/>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20" w:lineRule="exact"/>
        <w:rPr>
          <w:sz w:val="20"/>
          <w:szCs w:val="20"/>
          <w:color w:val="auto"/>
        </w:rPr>
      </w:pPr>
    </w:p>
    <w:p>
      <w:pPr>
        <w:ind w:left="183" w:right="580" w:hanging="183"/>
        <w:spacing w:after="0" w:line="265" w:lineRule="auto"/>
        <w:tabs>
          <w:tab w:leader="none" w:pos="183" w:val="left"/>
        </w:tabs>
        <w:numPr>
          <w:ilvl w:val="0"/>
          <w:numId w:val="24"/>
        </w:numPr>
        <w:rPr>
          <w:rFonts w:ascii="Arial" w:cs="Arial" w:eastAsia="Arial" w:hAnsi="Arial"/>
          <w:sz w:val="15"/>
          <w:szCs w:val="15"/>
          <w:b w:val="1"/>
          <w:bCs w:val="1"/>
          <w:color w:val="215BA8"/>
        </w:rPr>
      </w:pPr>
      <w:r>
        <w:rPr>
          <w:rFonts w:ascii="Arial" w:cs="Arial" w:eastAsia="Arial" w:hAnsi="Arial"/>
          <w:sz w:val="15"/>
          <w:szCs w:val="15"/>
          <w:color w:val="auto"/>
        </w:rPr>
        <w:t>Professor of Molecular Genetics and Internal Medicine and Chair of the Department of Molecular Genetics at The University of Texas Southwestern Medical Center at Dallas since 1977</w:t>
      </w:r>
    </w:p>
    <w:p>
      <w:pPr>
        <w:spacing w:after="0" w:line="51" w:lineRule="exact"/>
        <w:rPr>
          <w:rFonts w:ascii="Arial" w:cs="Arial" w:eastAsia="Arial" w:hAnsi="Arial"/>
          <w:sz w:val="15"/>
          <w:szCs w:val="15"/>
          <w:b w:val="1"/>
          <w:bCs w:val="1"/>
          <w:color w:val="215BA8"/>
        </w:rPr>
      </w:pPr>
    </w:p>
    <w:p>
      <w:pPr>
        <w:ind w:left="183" w:right="600" w:hanging="183"/>
        <w:spacing w:after="0" w:line="236" w:lineRule="auto"/>
        <w:tabs>
          <w:tab w:leader="none" w:pos="183" w:val="left"/>
        </w:tabs>
        <w:numPr>
          <w:ilvl w:val="0"/>
          <w:numId w:val="24"/>
        </w:numPr>
        <w:rPr>
          <w:rFonts w:ascii="Arial" w:cs="Arial" w:eastAsia="Arial" w:hAnsi="Arial"/>
          <w:sz w:val="16"/>
          <w:szCs w:val="16"/>
          <w:b w:val="1"/>
          <w:bCs w:val="1"/>
          <w:color w:val="215BA8"/>
        </w:rPr>
      </w:pPr>
      <w:r>
        <w:rPr>
          <w:rFonts w:ascii="Arial" w:cs="Arial" w:eastAsia="Arial" w:hAnsi="Arial"/>
          <w:sz w:val="16"/>
          <w:szCs w:val="16"/>
          <w:color w:val="auto"/>
        </w:rPr>
        <w:t>Member of the boards of trustees of The Rockefeller University and the Howard Hughes Medical Institute</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4"/>
        </w:numPr>
        <w:rPr>
          <w:rFonts w:ascii="Arial" w:cs="Arial" w:eastAsia="Arial" w:hAnsi="Arial"/>
          <w:sz w:val="16"/>
          <w:szCs w:val="16"/>
          <w:b w:val="1"/>
          <w:bCs w:val="1"/>
          <w:color w:val="215BA8"/>
        </w:rPr>
      </w:pPr>
      <w:r>
        <w:rPr>
          <w:rFonts w:ascii="Arial" w:cs="Arial" w:eastAsia="Arial" w:hAnsi="Arial"/>
          <w:sz w:val="16"/>
          <w:szCs w:val="16"/>
          <w:color w:val="auto"/>
        </w:rPr>
        <w:t>Nobel Prize for Physiology or Medicine in 1985 (jointly with Dr. Brown)</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4"/>
        </w:numPr>
        <w:rPr>
          <w:rFonts w:ascii="Arial" w:cs="Arial" w:eastAsia="Arial" w:hAnsi="Arial"/>
          <w:sz w:val="16"/>
          <w:szCs w:val="16"/>
          <w:b w:val="1"/>
          <w:bCs w:val="1"/>
          <w:color w:val="215BA8"/>
        </w:rPr>
      </w:pPr>
      <w:r>
        <w:rPr>
          <w:rFonts w:ascii="Arial" w:cs="Arial" w:eastAsia="Arial" w:hAnsi="Arial"/>
          <w:sz w:val="16"/>
          <w:szCs w:val="16"/>
          <w:color w:val="auto"/>
        </w:rPr>
        <w:t>U.S. National Medal of Science in 1988 (jointly with Dr. Brown)</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25"/>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5"/>
        </w:numPr>
        <w:rPr>
          <w:rFonts w:ascii="Arial" w:cs="Arial" w:eastAsia="Arial" w:hAnsi="Arial"/>
          <w:sz w:val="16"/>
          <w:szCs w:val="16"/>
          <w:b w:val="1"/>
          <w:bCs w:val="1"/>
          <w:color w:val="215BA8"/>
        </w:rPr>
      </w:pPr>
      <w:r>
        <w:rPr>
          <w:rFonts w:ascii="Arial" w:cs="Arial" w:eastAsia="Arial" w:hAnsi="Arial"/>
          <w:sz w:val="16"/>
          <w:szCs w:val="16"/>
          <w:color w:val="auto"/>
        </w:rPr>
        <w:t>The National Academy of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5"/>
        </w:numPr>
        <w:rPr>
          <w:rFonts w:ascii="Arial" w:cs="Arial" w:eastAsia="Arial" w:hAnsi="Arial"/>
          <w:sz w:val="16"/>
          <w:szCs w:val="16"/>
          <w:b w:val="1"/>
          <w:bCs w:val="1"/>
          <w:color w:val="215BA8"/>
        </w:rPr>
      </w:pPr>
      <w:r>
        <w:rPr>
          <w:rFonts w:ascii="Arial" w:cs="Arial" w:eastAsia="Arial" w:hAnsi="Arial"/>
          <w:sz w:val="16"/>
          <w:szCs w:val="16"/>
          <w:color w:val="auto"/>
        </w:rPr>
        <w:t>The Royal Society of London</w:t>
      </w:r>
    </w:p>
    <w:p>
      <w:pPr>
        <w:spacing w:after="0" w:line="151" w:lineRule="exact"/>
        <w:rPr>
          <w:sz w:val="20"/>
          <w:szCs w:val="20"/>
          <w:color w:val="auto"/>
        </w:rPr>
      </w:pPr>
    </w:p>
    <w:p>
      <w:pPr>
        <w:ind w:left="3" w:right="560"/>
        <w:spacing w:after="0" w:line="238" w:lineRule="auto"/>
        <w:rPr>
          <w:sz w:val="20"/>
          <w:szCs w:val="20"/>
          <w:color w:val="auto"/>
        </w:rPr>
      </w:pPr>
      <w:r>
        <w:rPr>
          <w:rFonts w:ascii="Arial" w:cs="Arial" w:eastAsia="Arial" w:hAnsi="Arial"/>
          <w:sz w:val="16"/>
          <w:szCs w:val="16"/>
          <w:i w:val="1"/>
          <w:iCs w:val="1"/>
          <w:color w:val="auto"/>
        </w:rPr>
        <w:t>Dr. Goldstein’s extensive research experience, his distinguished scientific and academic credentials, including his receipt of the Nobel Prize for Physiology or Medicine in 1985, and his substantial understanding of the Company gained through his service as a director, led the board to conclude that Dr. Goldstein should serve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137795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3572" w:space="217"/>
            <w:col w:w="7443"/>
          </w:cols>
          <w:pgMar w:left="328" w:top="626" w:right="339" w:bottom="1440" w:gutter="0" w:footer="0" w:header="0"/>
          <w:type w:val="continuous"/>
        </w:sectPr>
      </w:pPr>
    </w:p>
    <w:bookmarkStart w:id="27" w:name="page28"/>
    <w:bookmarkEnd w:id="27"/>
    <w:p>
      <w:pPr>
        <w:ind w:left="756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46520" cy="24828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172720</wp:posOffset>
            </wp:positionV>
            <wp:extent cx="1080135" cy="10883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2010</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69</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500"/>
        <w:spacing w:after="0" w:line="258" w:lineRule="auto"/>
        <w:rPr>
          <w:sz w:val="20"/>
          <w:szCs w:val="20"/>
          <w:color w:val="auto"/>
        </w:rPr>
      </w:pPr>
      <w:r>
        <w:rPr>
          <w:rFonts w:ascii="Arial" w:cs="Arial" w:eastAsia="Arial" w:hAnsi="Arial"/>
          <w:sz w:val="15"/>
          <w:szCs w:val="15"/>
          <w:b w:val="1"/>
          <w:bCs w:val="1"/>
          <w:color w:val="215BA8"/>
        </w:rPr>
        <w:t>Board and Committee Membership– 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460" w:type="dxa"/>
            <w:vAlign w:val="bottom"/>
          </w:tcPr>
          <w:p>
            <w:pPr>
              <w:spacing w:after="0"/>
              <w:rPr>
                <w:sz w:val="20"/>
                <w:szCs w:val="20"/>
                <w:color w:val="auto"/>
              </w:rPr>
            </w:pPr>
            <w:r>
              <w:rPr>
                <w:rFonts w:ascii="Arial" w:cs="Arial" w:eastAsia="Arial" w:hAnsi="Arial"/>
                <w:sz w:val="15"/>
                <w:szCs w:val="15"/>
                <w:color w:val="auto"/>
              </w:rPr>
              <w:t>Board of Directors:</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0"/>
                <w:szCs w:val="20"/>
                <w:color w:val="auto"/>
              </w:rPr>
            </w:pPr>
            <w:r>
              <w:rPr>
                <w:rFonts w:ascii="Arial" w:cs="Arial" w:eastAsia="Arial" w:hAnsi="Arial"/>
                <w:sz w:val="15"/>
                <w:szCs w:val="15"/>
                <w:color w:val="auto"/>
              </w:rPr>
              <w:t>Compensation Committee (Chair):</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215AA8"/>
              </w:rPr>
              <w:t>15/15</w:t>
            </w:r>
          </w:p>
        </w:tc>
        <w:tc>
          <w:tcPr>
            <w:tcW w:w="0" w:type="dxa"/>
            <w:vAlign w:val="bottom"/>
          </w:tcPr>
          <w:p>
            <w:pPr>
              <w:spacing w:after="0"/>
              <w:rPr>
                <w:sz w:val="1"/>
                <w:szCs w:val="1"/>
                <w:color w:val="auto"/>
              </w:rPr>
            </w:pPr>
          </w:p>
        </w:tc>
      </w:tr>
      <w:tr>
        <w:trPr>
          <w:trHeight w:val="227"/>
        </w:trPr>
        <w:tc>
          <w:tcPr>
            <w:tcW w:w="2460" w:type="dxa"/>
            <w:vAlign w:val="bottom"/>
          </w:tcPr>
          <w:p>
            <w:pPr>
              <w:spacing w:after="0"/>
              <w:rPr>
                <w:sz w:val="20"/>
                <w:szCs w:val="20"/>
                <w:color w:val="auto"/>
              </w:rPr>
            </w:pPr>
            <w:r>
              <w:rPr>
                <w:rFonts w:ascii="Arial" w:cs="Arial" w:eastAsia="Arial" w:hAnsi="Arial"/>
                <w:sz w:val="15"/>
                <w:szCs w:val="15"/>
                <w:color w:val="auto"/>
              </w:rPr>
              <w:t>Corporate Governance and</w:t>
            </w: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215BA8"/>
              </w:rPr>
              <w:t>5/5</w:t>
            </w:r>
          </w:p>
        </w:tc>
        <w:tc>
          <w:tcPr>
            <w:tcW w:w="0" w:type="dxa"/>
            <w:vAlign w:val="bottom"/>
          </w:tcPr>
          <w:p>
            <w:pPr>
              <w:spacing w:after="0"/>
              <w:rPr>
                <w:sz w:val="1"/>
                <w:szCs w:val="1"/>
                <w:color w:val="auto"/>
              </w:rPr>
            </w:pPr>
          </w:p>
        </w:tc>
      </w:tr>
      <w:tr>
        <w:trPr>
          <w:trHeight w:val="178"/>
        </w:trPr>
        <w:tc>
          <w:tcPr>
            <w:tcW w:w="2460" w:type="dxa"/>
            <w:vAlign w:val="bottom"/>
          </w:tcPr>
          <w:p>
            <w:pPr>
              <w:spacing w:after="0"/>
              <w:rPr>
                <w:sz w:val="20"/>
                <w:szCs w:val="20"/>
                <w:color w:val="auto"/>
              </w:rPr>
            </w:pPr>
            <w:r>
              <w:rPr>
                <w:rFonts w:ascii="Arial" w:cs="Arial" w:eastAsia="Arial" w:hAnsi="Arial"/>
                <w:sz w:val="15"/>
                <w:szCs w:val="15"/>
                <w:color w:val="auto"/>
              </w:rPr>
              <w:t>Compliance Committee:</w:t>
            </w: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19284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06" w:lineRule="exact"/>
        <w:rPr>
          <w:sz w:val="20"/>
          <w:szCs w:val="20"/>
          <w:color w:val="auto"/>
        </w:rPr>
      </w:pPr>
    </w:p>
    <w:p>
      <w:pPr>
        <w:ind w:left="183" w:right="580" w:hanging="183"/>
        <w:spacing w:after="0" w:line="234" w:lineRule="auto"/>
        <w:tabs>
          <w:tab w:leader="none" w:pos="183" w:val="left"/>
        </w:tabs>
        <w:numPr>
          <w:ilvl w:val="0"/>
          <w:numId w:val="26"/>
        </w:numPr>
        <w:rPr>
          <w:rFonts w:ascii="Arial" w:cs="Arial" w:eastAsia="Arial" w:hAnsi="Arial"/>
          <w:sz w:val="16"/>
          <w:szCs w:val="16"/>
          <w:b w:val="1"/>
          <w:bCs w:val="1"/>
          <w:color w:val="215BA8"/>
        </w:rPr>
      </w:pPr>
      <w:r>
        <w:rPr>
          <w:rFonts w:ascii="Arial" w:cs="Arial" w:eastAsia="Arial" w:hAnsi="Arial"/>
          <w:sz w:val="16"/>
          <w:szCs w:val="16"/>
          <w:color w:val="auto"/>
        </w:rPr>
        <w:t>Former Executive-in-Residence in the Department of Management and Human Resources and former Dean and John W. Berry, Sr. Chair in Business at The Max M. Fisher College of Business at The Ohio State University</w:t>
      </w:r>
    </w:p>
    <w:p>
      <w:pPr>
        <w:spacing w:after="0" w:line="69" w:lineRule="exact"/>
        <w:rPr>
          <w:rFonts w:ascii="Arial" w:cs="Arial" w:eastAsia="Arial" w:hAnsi="Arial"/>
          <w:sz w:val="16"/>
          <w:szCs w:val="16"/>
          <w:b w:val="1"/>
          <w:bCs w:val="1"/>
          <w:color w:val="215BA8"/>
        </w:rPr>
      </w:pPr>
    </w:p>
    <w:p>
      <w:pPr>
        <w:ind w:left="183" w:right="640" w:hanging="183"/>
        <w:spacing w:after="0" w:line="236" w:lineRule="auto"/>
        <w:tabs>
          <w:tab w:leader="none" w:pos="183" w:val="left"/>
        </w:tabs>
        <w:numPr>
          <w:ilvl w:val="0"/>
          <w:numId w:val="26"/>
        </w:numPr>
        <w:rPr>
          <w:rFonts w:ascii="Arial" w:cs="Arial" w:eastAsia="Arial" w:hAnsi="Arial"/>
          <w:sz w:val="16"/>
          <w:szCs w:val="16"/>
          <w:b w:val="1"/>
          <w:bCs w:val="1"/>
          <w:color w:val="215BA8"/>
        </w:rPr>
      </w:pPr>
      <w:r>
        <w:rPr>
          <w:rFonts w:ascii="Arial" w:cs="Arial" w:eastAsia="Arial" w:hAnsi="Arial"/>
          <w:sz w:val="16"/>
          <w:szCs w:val="16"/>
          <w:color w:val="auto"/>
        </w:rPr>
        <w:t>Former vice chair, worldwide chair of pharmaceuticals, member of the executive committee, and director at Johnson &amp; Johnson</w:t>
      </w:r>
    </w:p>
    <w:p>
      <w:pPr>
        <w:spacing w:after="0" w:line="70" w:lineRule="exact"/>
        <w:rPr>
          <w:rFonts w:ascii="Arial" w:cs="Arial" w:eastAsia="Arial" w:hAnsi="Arial"/>
          <w:sz w:val="16"/>
          <w:szCs w:val="16"/>
          <w:b w:val="1"/>
          <w:bCs w:val="1"/>
          <w:color w:val="215BA8"/>
        </w:rPr>
      </w:pPr>
    </w:p>
    <w:p>
      <w:pPr>
        <w:ind w:left="183" w:right="1120" w:hanging="183"/>
        <w:spacing w:after="0" w:line="236" w:lineRule="auto"/>
        <w:tabs>
          <w:tab w:leader="none" w:pos="183" w:val="left"/>
        </w:tabs>
        <w:numPr>
          <w:ilvl w:val="0"/>
          <w:numId w:val="26"/>
        </w:numPr>
        <w:rPr>
          <w:rFonts w:ascii="Arial" w:cs="Arial" w:eastAsia="Arial" w:hAnsi="Arial"/>
          <w:sz w:val="16"/>
          <w:szCs w:val="16"/>
          <w:b w:val="1"/>
          <w:bCs w:val="1"/>
          <w:color w:val="215BA8"/>
        </w:rPr>
      </w:pPr>
      <w:r>
        <w:rPr>
          <w:rFonts w:ascii="Arial" w:cs="Arial" w:eastAsia="Arial" w:hAnsi="Arial"/>
          <w:sz w:val="16"/>
          <w:szCs w:val="16"/>
          <w:color w:val="auto"/>
        </w:rPr>
        <w:t>Held senior leadership positions at Bristol-Myers Squibb Company, including president of international medicines and president of medical devices</w:t>
      </w:r>
    </w:p>
    <w:p>
      <w:pPr>
        <w:spacing w:after="0" w:line="70" w:lineRule="exact"/>
        <w:rPr>
          <w:rFonts w:ascii="Arial" w:cs="Arial" w:eastAsia="Arial" w:hAnsi="Arial"/>
          <w:sz w:val="16"/>
          <w:szCs w:val="16"/>
          <w:b w:val="1"/>
          <w:bCs w:val="1"/>
          <w:color w:val="215BA8"/>
        </w:rPr>
      </w:pPr>
    </w:p>
    <w:p>
      <w:pPr>
        <w:ind w:left="183" w:right="620" w:hanging="183"/>
        <w:spacing w:after="0" w:line="236" w:lineRule="auto"/>
        <w:tabs>
          <w:tab w:leader="none" w:pos="183" w:val="left"/>
        </w:tabs>
        <w:numPr>
          <w:ilvl w:val="0"/>
          <w:numId w:val="26"/>
        </w:numPr>
        <w:rPr>
          <w:rFonts w:ascii="Arial" w:cs="Arial" w:eastAsia="Arial" w:hAnsi="Arial"/>
          <w:sz w:val="16"/>
          <w:szCs w:val="16"/>
          <w:b w:val="1"/>
          <w:bCs w:val="1"/>
          <w:color w:val="215BA8"/>
        </w:rPr>
      </w:pPr>
      <w:r>
        <w:rPr>
          <w:rFonts w:ascii="Arial" w:cs="Arial" w:eastAsia="Arial" w:hAnsi="Arial"/>
          <w:sz w:val="16"/>
          <w:szCs w:val="16"/>
          <w:color w:val="auto"/>
        </w:rPr>
        <w:t>Former member of the Supervisory Board of Royal Philips Electronics and the board of directors of Decibel Therapeutics, Inc.</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Other Public Boards</w:t>
      </w:r>
    </w:p>
    <w:p>
      <w:pPr>
        <w:spacing w:after="0" w:line="106" w:lineRule="exact"/>
        <w:rPr>
          <w:sz w:val="20"/>
          <w:szCs w:val="20"/>
          <w:color w:val="auto"/>
        </w:rPr>
      </w:pPr>
    </w:p>
    <w:p>
      <w:pPr>
        <w:ind w:left="183" w:hanging="183"/>
        <w:spacing w:after="0"/>
        <w:tabs>
          <w:tab w:leader="none" w:pos="183" w:val="left"/>
        </w:tabs>
        <w:numPr>
          <w:ilvl w:val="0"/>
          <w:numId w:val="27"/>
        </w:numPr>
        <w:rPr>
          <w:rFonts w:ascii="Arial" w:cs="Arial" w:eastAsia="Arial" w:hAnsi="Arial"/>
          <w:sz w:val="16"/>
          <w:szCs w:val="16"/>
          <w:b w:val="1"/>
          <w:bCs w:val="1"/>
          <w:color w:val="215BA8"/>
        </w:rPr>
      </w:pPr>
      <w:r>
        <w:rPr>
          <w:rFonts w:ascii="Arial" w:cs="Arial" w:eastAsia="Arial" w:hAnsi="Arial"/>
          <w:sz w:val="16"/>
          <w:szCs w:val="16"/>
          <w:color w:val="auto"/>
        </w:rPr>
        <w:t>Prudential Financial,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7"/>
        </w:numPr>
        <w:rPr>
          <w:rFonts w:ascii="Arial" w:cs="Arial" w:eastAsia="Arial" w:hAnsi="Arial"/>
          <w:sz w:val="16"/>
          <w:szCs w:val="16"/>
          <w:b w:val="1"/>
          <w:bCs w:val="1"/>
          <w:color w:val="215BA8"/>
        </w:rPr>
      </w:pPr>
      <w:r>
        <w:rPr>
          <w:rFonts w:ascii="Arial" w:cs="Arial" w:eastAsia="Arial" w:hAnsi="Arial"/>
          <w:sz w:val="16"/>
          <w:szCs w:val="16"/>
          <w:color w:val="auto"/>
        </w:rPr>
        <w:t>The Sherwin-Williams Company</w:t>
      </w:r>
    </w:p>
    <w:p>
      <w:pPr>
        <w:spacing w:after="0" w:line="151" w:lineRule="exact"/>
        <w:rPr>
          <w:sz w:val="20"/>
          <w:szCs w:val="20"/>
          <w:color w:val="auto"/>
        </w:rPr>
      </w:pPr>
    </w:p>
    <w:p>
      <w:pPr>
        <w:ind w:left="3" w:right="700"/>
        <w:spacing w:after="0" w:line="265" w:lineRule="auto"/>
        <w:rPr>
          <w:sz w:val="20"/>
          <w:szCs w:val="20"/>
          <w:color w:val="auto"/>
        </w:rPr>
      </w:pPr>
      <w:r>
        <w:rPr>
          <w:rFonts w:ascii="Arial" w:cs="Arial" w:eastAsia="Arial" w:hAnsi="Arial"/>
          <w:sz w:val="15"/>
          <w:szCs w:val="15"/>
          <w:i w:val="1"/>
          <w:iCs w:val="1"/>
          <w:color w:val="auto"/>
        </w:rPr>
        <w:t>Ms. Poon’s extensive expertise in domestic and international business operations, including sales and marketing and commercial operations, and her deep strategic and operational knowledge of the pharmaceutical industry, led the board to conclude that Ms. Poon should serve as a director.</w:t>
      </w:r>
    </w:p>
    <w:p>
      <w:pPr>
        <w:spacing w:after="0" w:line="572"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Regeneron Securities Beneficially</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Owned as of April 12,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ind w:left="540"/>
              <w:spacing w:after="0"/>
              <w:rPr>
                <w:sz w:val="20"/>
                <w:szCs w:val="20"/>
                <w:color w:val="auto"/>
              </w:rPr>
            </w:pPr>
            <w:r>
              <w:rPr>
                <w:rFonts w:ascii="Arial" w:cs="Arial" w:eastAsia="Arial" w:hAnsi="Arial"/>
                <w:sz w:val="15"/>
                <w:szCs w:val="15"/>
                <w:color w:val="auto"/>
              </w:rPr>
              <w:t>Common Stock:</w:t>
            </w:r>
          </w:p>
        </w:tc>
        <w:tc>
          <w:tcPr>
            <w:tcW w:w="5840" w:type="dxa"/>
            <w:vAlign w:val="bottom"/>
          </w:tcPr>
          <w:p>
            <w:pPr>
              <w:jc w:val="right"/>
              <w:ind w:right="4546"/>
              <w:spacing w:after="0"/>
              <w:rPr>
                <w:sz w:val="20"/>
                <w:szCs w:val="20"/>
                <w:color w:val="auto"/>
              </w:rPr>
            </w:pPr>
            <w:r>
              <w:rPr>
                <w:rFonts w:ascii="Arial" w:cs="Arial" w:eastAsia="Arial" w:hAnsi="Arial"/>
                <w:sz w:val="15"/>
                <w:szCs w:val="15"/>
                <w:b w:val="1"/>
                <w:bCs w:val="1"/>
                <w:color w:val="215BA8"/>
              </w:rPr>
              <w:t>790</w:t>
            </w:r>
          </w:p>
        </w:tc>
        <w:tc>
          <w:tcPr>
            <w:tcW w:w="3040" w:type="dxa"/>
            <w:vAlign w:val="bottom"/>
          </w:tcPr>
          <w:p>
            <w:pPr>
              <w:spacing w:after="0"/>
              <w:rPr>
                <w:sz w:val="17"/>
                <w:szCs w:val="17"/>
                <w:color w:val="auto"/>
              </w:rPr>
            </w:pPr>
          </w:p>
        </w:tc>
      </w:tr>
      <w:tr>
        <w:trPr>
          <w:trHeight w:val="243"/>
        </w:trPr>
        <w:tc>
          <w:tcPr>
            <w:tcW w:w="2360" w:type="dxa"/>
            <w:vAlign w:val="bottom"/>
          </w:tcPr>
          <w:p>
            <w:pPr>
              <w:ind w:left="540"/>
              <w:spacing w:after="0"/>
              <w:rPr>
                <w:sz w:val="20"/>
                <w:szCs w:val="20"/>
                <w:color w:val="auto"/>
              </w:rPr>
            </w:pPr>
            <w:r>
              <w:rPr>
                <w:rFonts w:ascii="Arial" w:cs="Arial" w:eastAsia="Arial" w:hAnsi="Arial"/>
                <w:sz w:val="15"/>
                <w:szCs w:val="15"/>
                <w:color w:val="auto"/>
              </w:rPr>
              <w:t>Options:</w:t>
            </w:r>
          </w:p>
        </w:tc>
        <w:tc>
          <w:tcPr>
            <w:tcW w:w="5840" w:type="dxa"/>
            <w:vAlign w:val="bottom"/>
          </w:tcPr>
          <w:p>
            <w:pPr>
              <w:jc w:val="right"/>
              <w:ind w:right="4546"/>
              <w:spacing w:after="0"/>
              <w:rPr>
                <w:sz w:val="20"/>
                <w:szCs w:val="20"/>
                <w:color w:val="auto"/>
              </w:rPr>
            </w:pPr>
            <w:r>
              <w:rPr>
                <w:rFonts w:ascii="Arial" w:cs="Arial" w:eastAsia="Arial" w:hAnsi="Arial"/>
                <w:sz w:val="15"/>
                <w:szCs w:val="15"/>
                <w:b w:val="1"/>
                <w:bCs w:val="1"/>
                <w:color w:val="215BA8"/>
              </w:rPr>
              <w:t>75,529</w:t>
            </w:r>
          </w:p>
        </w:tc>
        <w:tc>
          <w:tcPr>
            <w:tcW w:w="3040" w:type="dxa"/>
            <w:vAlign w:val="bottom"/>
          </w:tcPr>
          <w:p>
            <w:pPr>
              <w:spacing w:after="0"/>
              <w:rPr>
                <w:sz w:val="21"/>
                <w:szCs w:val="21"/>
                <w:color w:val="auto"/>
              </w:rPr>
            </w:pPr>
          </w:p>
        </w:tc>
      </w:tr>
      <w:tr>
        <w:trPr>
          <w:trHeight w:val="243"/>
        </w:trPr>
        <w:tc>
          <w:tcPr>
            <w:tcW w:w="2360" w:type="dxa"/>
            <w:vAlign w:val="bottom"/>
          </w:tcPr>
          <w:p>
            <w:pPr>
              <w:ind w:left="540"/>
              <w:spacing w:after="0"/>
              <w:rPr>
                <w:sz w:val="20"/>
                <w:szCs w:val="20"/>
                <w:color w:val="auto"/>
              </w:rPr>
            </w:pPr>
            <w:r>
              <w:rPr>
                <w:rFonts w:ascii="Arial" w:cs="Arial" w:eastAsia="Arial" w:hAnsi="Arial"/>
                <w:sz w:val="15"/>
                <w:szCs w:val="15"/>
                <w:color w:val="auto"/>
              </w:rPr>
              <w:t>RSUs:</w:t>
            </w:r>
          </w:p>
        </w:tc>
        <w:tc>
          <w:tcPr>
            <w:tcW w:w="5840" w:type="dxa"/>
            <w:vAlign w:val="bottom"/>
          </w:tcPr>
          <w:p>
            <w:pPr>
              <w:jc w:val="right"/>
              <w:ind w:right="4546"/>
              <w:spacing w:after="0"/>
              <w:rPr>
                <w:sz w:val="20"/>
                <w:szCs w:val="20"/>
                <w:color w:val="auto"/>
              </w:rPr>
            </w:pPr>
            <w:r>
              <w:rPr>
                <w:rFonts w:ascii="Arial" w:cs="Arial" w:eastAsia="Arial" w:hAnsi="Arial"/>
                <w:sz w:val="15"/>
                <w:szCs w:val="15"/>
                <w:b w:val="1"/>
                <w:bCs w:val="1"/>
                <w:color w:val="215BA8"/>
              </w:rPr>
              <w:t>974</w:t>
            </w:r>
          </w:p>
        </w:tc>
        <w:tc>
          <w:tcPr>
            <w:tcW w:w="3040" w:type="dxa"/>
            <w:vAlign w:val="bottom"/>
          </w:tcPr>
          <w:p>
            <w:pPr>
              <w:spacing w:after="0"/>
              <w:rPr>
                <w:sz w:val="21"/>
                <w:szCs w:val="21"/>
                <w:color w:val="auto"/>
              </w:rPr>
            </w:pPr>
          </w:p>
        </w:tc>
      </w:tr>
      <w:tr>
        <w:trPr>
          <w:trHeight w:val="376"/>
        </w:trPr>
        <w:tc>
          <w:tcPr>
            <w:tcW w:w="8200" w:type="dxa"/>
            <w:vAlign w:val="bottom"/>
            <w:gridSpan w:val="2"/>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13</w:t>
            </w:r>
          </w:p>
        </w:tc>
      </w:tr>
      <w:tr>
        <w:trPr>
          <w:trHeight w:val="221"/>
        </w:trPr>
        <w:tc>
          <w:tcPr>
            <w:tcW w:w="2360" w:type="dxa"/>
            <w:vAlign w:val="bottom"/>
            <w:tcBorders>
              <w:bottom w:val="single" w:sz="8" w:color="C0C0C0"/>
            </w:tcBorders>
          </w:tcPr>
          <w:p>
            <w:pPr>
              <w:spacing w:after="0"/>
              <w:rPr>
                <w:sz w:val="19"/>
                <w:szCs w:val="19"/>
                <w:color w:val="auto"/>
              </w:rPr>
            </w:pPr>
          </w:p>
        </w:tc>
        <w:tc>
          <w:tcPr>
            <w:tcW w:w="584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28" w:name="page29"/>
    <w:bookmarkEnd w:id="28"/>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2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46520" cy="248285"/>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left="200"/>
        <w:spacing w:after="0"/>
        <w:rPr>
          <w:sz w:val="20"/>
          <w:szCs w:val="20"/>
          <w:color w:val="auto"/>
        </w:rPr>
      </w:pPr>
      <w:r>
        <w:rPr>
          <w:rFonts w:ascii="Arial" w:cs="Arial" w:eastAsia="Arial" w:hAnsi="Arial"/>
          <w:sz w:val="23"/>
          <w:szCs w:val="23"/>
          <w:b w:val="1"/>
          <w:bCs w:val="1"/>
          <w:color w:val="FFFFFF"/>
        </w:rPr>
        <w:t>P. ROY VAGELOS,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172720</wp:posOffset>
            </wp:positionV>
            <wp:extent cx="1080135" cy="10801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1995</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200" w:type="dxa"/>
            <w:vAlign w:val="bottom"/>
          </w:tcPr>
          <w:p>
            <w:pPr>
              <w:spacing w:after="0"/>
              <w:rPr>
                <w:sz w:val="20"/>
                <w:szCs w:val="20"/>
                <w:color w:val="auto"/>
              </w:rPr>
            </w:pPr>
            <w:r>
              <w:rPr>
                <w:rFonts w:ascii="Arial" w:cs="Arial" w:eastAsia="Arial" w:hAnsi="Arial"/>
                <w:sz w:val="15"/>
                <w:szCs w:val="15"/>
                <w:color w:val="auto"/>
              </w:rPr>
              <w:t>Board of Directors:</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r>
      <w:tr>
        <w:trPr>
          <w:trHeight w:val="243"/>
        </w:trPr>
        <w:tc>
          <w:tcPr>
            <w:tcW w:w="2200" w:type="dxa"/>
            <w:vAlign w:val="bottom"/>
          </w:tcPr>
          <w:p>
            <w:pPr>
              <w:spacing w:after="0"/>
              <w:rPr>
                <w:sz w:val="20"/>
                <w:szCs w:val="20"/>
                <w:color w:val="auto"/>
              </w:rPr>
            </w:pPr>
            <w:r>
              <w:rPr>
                <w:rFonts w:ascii="Arial" w:cs="Arial" w:eastAsia="Arial" w:hAnsi="Arial"/>
                <w:sz w:val="15"/>
                <w:szCs w:val="15"/>
                <w:color w:val="auto"/>
              </w:rPr>
              <w:t>Technology Committee:</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19284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06" w:lineRule="exact"/>
        <w:rPr>
          <w:sz w:val="20"/>
          <w:szCs w:val="20"/>
          <w:color w:val="auto"/>
        </w:rPr>
      </w:pPr>
    </w:p>
    <w:p>
      <w:pPr>
        <w:ind w:left="183" w:hanging="183"/>
        <w:spacing w:after="0"/>
        <w:tabs>
          <w:tab w:leader="none" w:pos="183" w:val="left"/>
        </w:tabs>
        <w:numPr>
          <w:ilvl w:val="0"/>
          <w:numId w:val="28"/>
        </w:numPr>
        <w:rPr>
          <w:rFonts w:ascii="Arial" w:cs="Arial" w:eastAsia="Arial" w:hAnsi="Arial"/>
          <w:sz w:val="16"/>
          <w:szCs w:val="16"/>
          <w:b w:val="1"/>
          <w:bCs w:val="1"/>
          <w:color w:val="215BA8"/>
        </w:rPr>
      </w:pPr>
      <w:r>
        <w:rPr>
          <w:rFonts w:ascii="Arial" w:cs="Arial" w:eastAsia="Arial" w:hAnsi="Arial"/>
          <w:sz w:val="16"/>
          <w:szCs w:val="16"/>
          <w:color w:val="auto"/>
        </w:rPr>
        <w:t>Former President, Chief Executive Officer, and Chair of the Board of Merck &amp; Co.,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8"/>
        </w:numPr>
        <w:rPr>
          <w:rFonts w:ascii="Arial" w:cs="Arial" w:eastAsia="Arial" w:hAnsi="Arial"/>
          <w:sz w:val="16"/>
          <w:szCs w:val="16"/>
          <w:b w:val="1"/>
          <w:bCs w:val="1"/>
          <w:color w:val="215BA8"/>
        </w:rPr>
      </w:pPr>
      <w:r>
        <w:rPr>
          <w:rFonts w:ascii="Arial" w:cs="Arial" w:eastAsia="Arial" w:hAnsi="Arial"/>
          <w:sz w:val="16"/>
          <w:szCs w:val="16"/>
          <w:color w:val="auto"/>
        </w:rPr>
        <w:t>Chair of the board of directors since 1995</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29"/>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9"/>
        </w:numPr>
        <w:rPr>
          <w:rFonts w:ascii="Arial" w:cs="Arial" w:eastAsia="Arial" w:hAnsi="Arial"/>
          <w:sz w:val="16"/>
          <w:szCs w:val="16"/>
          <w:b w:val="1"/>
          <w:bCs w:val="1"/>
          <w:color w:val="215BA8"/>
        </w:rPr>
      </w:pPr>
      <w:r>
        <w:rPr>
          <w:rFonts w:ascii="Arial" w:cs="Arial" w:eastAsia="Arial" w:hAnsi="Arial"/>
          <w:sz w:val="16"/>
          <w:szCs w:val="16"/>
          <w:color w:val="auto"/>
        </w:rPr>
        <w:t>The National Academy of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29"/>
        </w:numPr>
        <w:rPr>
          <w:rFonts w:ascii="Arial" w:cs="Arial" w:eastAsia="Arial" w:hAnsi="Arial"/>
          <w:sz w:val="16"/>
          <w:szCs w:val="16"/>
          <w:b w:val="1"/>
          <w:bCs w:val="1"/>
          <w:color w:val="215BA8"/>
        </w:rPr>
      </w:pPr>
      <w:r>
        <w:rPr>
          <w:rFonts w:ascii="Arial" w:cs="Arial" w:eastAsia="Arial" w:hAnsi="Arial"/>
          <w:sz w:val="16"/>
          <w:szCs w:val="16"/>
          <w:color w:val="auto"/>
        </w:rPr>
        <w:t>The American Philosophical Society</w:t>
      </w:r>
    </w:p>
    <w:p>
      <w:pPr>
        <w:spacing w:after="0" w:line="151" w:lineRule="exact"/>
        <w:rPr>
          <w:sz w:val="20"/>
          <w:szCs w:val="20"/>
          <w:color w:val="auto"/>
        </w:rPr>
      </w:pPr>
    </w:p>
    <w:p>
      <w:pPr>
        <w:ind w:left="3" w:right="600"/>
        <w:spacing w:after="0" w:line="236" w:lineRule="auto"/>
        <w:rPr>
          <w:sz w:val="20"/>
          <w:szCs w:val="20"/>
          <w:color w:val="auto"/>
        </w:rPr>
      </w:pPr>
      <w:r>
        <w:rPr>
          <w:rFonts w:ascii="Arial" w:cs="Arial" w:eastAsia="Arial" w:hAnsi="Arial"/>
          <w:sz w:val="16"/>
          <w:szCs w:val="16"/>
          <w:i w:val="1"/>
          <w:iCs w:val="1"/>
          <w:color w:val="auto"/>
        </w:rPr>
        <w:t>Dr. Vagelos’s tenure and experience with the Company and Merck, his extensive knowledge of the pharmaceutical industry, his substantial leadership experience, and his significant understanding of the Company and the complex business, operational, scientific, regulatory, and commercial issues facing the pharmaceutical industry led the board to conclude that Dr. Vagelos should serve as a director.</w:t>
      </w:r>
    </w:p>
    <w:p>
      <w:pPr>
        <w:spacing w:after="0" w:line="712"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Regeneron Securities Beneficially Owned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as of April 12,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20" w:type="dxa"/>
            <w:vAlign w:val="bottom"/>
          </w:tcPr>
          <w:p>
            <w:pPr>
              <w:ind w:left="540"/>
              <w:spacing w:after="0"/>
              <w:rPr>
                <w:sz w:val="20"/>
                <w:szCs w:val="20"/>
                <w:color w:val="auto"/>
              </w:rPr>
            </w:pPr>
            <w:r>
              <w:rPr>
                <w:rFonts w:ascii="Arial" w:cs="Arial" w:eastAsia="Arial" w:hAnsi="Arial"/>
                <w:sz w:val="15"/>
                <w:szCs w:val="15"/>
                <w:color w:val="auto"/>
              </w:rPr>
              <w:t>Common Stock:</w:t>
            </w:r>
          </w:p>
        </w:tc>
        <w:tc>
          <w:tcPr>
            <w:tcW w:w="8920" w:type="dxa"/>
            <w:vAlign w:val="bottom"/>
          </w:tcPr>
          <w:p>
            <w:pPr>
              <w:jc w:val="right"/>
              <w:ind w:right="7587"/>
              <w:spacing w:after="0"/>
              <w:rPr>
                <w:sz w:val="20"/>
                <w:szCs w:val="20"/>
                <w:color w:val="auto"/>
              </w:rPr>
            </w:pPr>
            <w:r>
              <w:rPr>
                <w:rFonts w:ascii="Arial" w:cs="Arial" w:eastAsia="Arial" w:hAnsi="Arial"/>
                <w:sz w:val="15"/>
                <w:szCs w:val="15"/>
                <w:b w:val="1"/>
                <w:bCs w:val="1"/>
                <w:color w:val="215BA8"/>
              </w:rPr>
              <w:t>592,313</w:t>
            </w:r>
          </w:p>
        </w:tc>
      </w:tr>
      <w:tr>
        <w:trPr>
          <w:trHeight w:val="243"/>
        </w:trPr>
        <w:tc>
          <w:tcPr>
            <w:tcW w:w="2320" w:type="dxa"/>
            <w:vAlign w:val="bottom"/>
          </w:tcPr>
          <w:p>
            <w:pPr>
              <w:ind w:left="540"/>
              <w:spacing w:after="0"/>
              <w:rPr>
                <w:sz w:val="20"/>
                <w:szCs w:val="20"/>
                <w:color w:val="auto"/>
              </w:rPr>
            </w:pPr>
            <w:r>
              <w:rPr>
                <w:rFonts w:ascii="Arial" w:cs="Arial" w:eastAsia="Arial" w:hAnsi="Arial"/>
                <w:sz w:val="15"/>
                <w:szCs w:val="15"/>
                <w:color w:val="auto"/>
              </w:rPr>
              <w:t>Options:</w:t>
            </w:r>
          </w:p>
        </w:tc>
        <w:tc>
          <w:tcPr>
            <w:tcW w:w="8920" w:type="dxa"/>
            <w:vAlign w:val="bottom"/>
          </w:tcPr>
          <w:p>
            <w:pPr>
              <w:jc w:val="right"/>
              <w:ind w:right="7587"/>
              <w:spacing w:after="0"/>
              <w:rPr>
                <w:sz w:val="20"/>
                <w:szCs w:val="20"/>
                <w:color w:val="auto"/>
              </w:rPr>
            </w:pPr>
            <w:r>
              <w:rPr>
                <w:rFonts w:ascii="Arial" w:cs="Arial" w:eastAsia="Arial" w:hAnsi="Arial"/>
                <w:sz w:val="15"/>
                <w:szCs w:val="15"/>
                <w:b w:val="1"/>
                <w:bCs w:val="1"/>
                <w:color w:val="215BA8"/>
              </w:rPr>
              <w:t>529,409</w:t>
            </w:r>
          </w:p>
        </w:tc>
      </w:tr>
      <w:tr>
        <w:trPr>
          <w:trHeight w:val="376"/>
        </w:trPr>
        <w:tc>
          <w:tcPr>
            <w:tcW w:w="2320" w:type="dxa"/>
            <w:vAlign w:val="bottom"/>
          </w:tcPr>
          <w:p>
            <w:pPr>
              <w:jc w:val="right"/>
              <w:ind w:right="1967"/>
              <w:spacing w:after="0"/>
              <w:rPr>
                <w:sz w:val="20"/>
                <w:szCs w:val="20"/>
                <w:color w:val="auto"/>
              </w:rPr>
            </w:pPr>
            <w:r>
              <w:rPr>
                <w:rFonts w:ascii="Arial" w:cs="Arial" w:eastAsia="Arial" w:hAnsi="Arial"/>
                <w:sz w:val="14"/>
                <w:szCs w:val="14"/>
                <w:b w:val="1"/>
                <w:bCs w:val="1"/>
                <w:color w:val="auto"/>
              </w:rPr>
              <w:t xml:space="preserve">14 </w:t>
            </w:r>
            <w:r>
              <w:rPr>
                <w:rFonts w:ascii="Arial" w:cs="Arial" w:eastAsia="Arial" w:hAnsi="Arial"/>
                <w:sz w:val="14"/>
                <w:szCs w:val="14"/>
                <w:b w:val="1"/>
                <w:bCs w:val="1"/>
                <w:color w:val="00ADEE"/>
              </w:rPr>
              <w:t>/</w:t>
            </w:r>
          </w:p>
        </w:tc>
        <w:tc>
          <w:tcPr>
            <w:tcW w:w="8920" w:type="dxa"/>
            <w:vAlign w:val="bottom"/>
          </w:tcPr>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r>
      <w:tr>
        <w:trPr>
          <w:trHeight w:val="221"/>
        </w:trPr>
        <w:tc>
          <w:tcPr>
            <w:tcW w:w="2320" w:type="dxa"/>
            <w:vAlign w:val="bottom"/>
            <w:tcBorders>
              <w:bottom w:val="single" w:sz="8" w:color="C0C0C0"/>
            </w:tcBorders>
          </w:tcPr>
          <w:p>
            <w:pPr>
              <w:spacing w:after="0"/>
              <w:rPr>
                <w:sz w:val="19"/>
                <w:szCs w:val="19"/>
                <w:color w:val="auto"/>
              </w:rPr>
            </w:pPr>
          </w:p>
        </w:tc>
        <w:tc>
          <w:tcPr>
            <w:tcW w:w="892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29" w:name="page30"/>
    <w:bookmarkEnd w:id="29"/>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2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46520" cy="2482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HUDA Y. ZOGHBI, M.D.</w:t>
      </w:r>
    </w:p>
    <w:p>
      <w:pPr>
        <w:spacing w:after="0" w:line="2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D6005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-116205</wp:posOffset>
            </wp:positionV>
            <wp:extent cx="1080135" cy="10883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2016</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67</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180" w:type="dxa"/>
            <w:vAlign w:val="bottom"/>
          </w:tcPr>
          <w:p>
            <w:pPr>
              <w:spacing w:after="0"/>
              <w:rPr>
                <w:sz w:val="20"/>
                <w:szCs w:val="20"/>
                <w:color w:val="auto"/>
              </w:rPr>
            </w:pPr>
            <w:r>
              <w:rPr>
                <w:rFonts w:ascii="Arial" w:cs="Arial" w:eastAsia="Arial" w:hAnsi="Arial"/>
                <w:sz w:val="15"/>
                <w:szCs w:val="15"/>
                <w:color w:val="auto"/>
              </w:rPr>
              <w:t>Board of Directors: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r>
      <w:tr>
        <w:trPr>
          <w:trHeight w:val="243"/>
        </w:trPr>
        <w:tc>
          <w:tcPr>
            <w:tcW w:w="2180" w:type="dxa"/>
            <w:vAlign w:val="bottom"/>
          </w:tcPr>
          <w:p>
            <w:pPr>
              <w:spacing w:after="0"/>
              <w:rPr>
                <w:sz w:val="20"/>
                <w:szCs w:val="20"/>
                <w:color w:val="auto"/>
              </w:rPr>
            </w:pPr>
            <w:r>
              <w:rPr>
                <w:rFonts w:ascii="Arial" w:cs="Arial" w:eastAsia="Arial" w:hAnsi="Arial"/>
                <w:sz w:val="15"/>
                <w:szCs w:val="15"/>
                <w:color w:val="auto"/>
              </w:rPr>
              <w:t>Compensation Committee:</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15/15</w:t>
            </w:r>
          </w:p>
        </w:tc>
      </w:tr>
      <w:tr>
        <w:trPr>
          <w:trHeight w:val="243"/>
        </w:trPr>
        <w:tc>
          <w:tcPr>
            <w:tcW w:w="2180" w:type="dxa"/>
            <w:vAlign w:val="bottom"/>
          </w:tcPr>
          <w:p>
            <w:pPr>
              <w:spacing w:after="0"/>
              <w:rPr>
                <w:sz w:val="20"/>
                <w:szCs w:val="20"/>
                <w:color w:val="auto"/>
              </w:rPr>
            </w:pPr>
            <w:r>
              <w:rPr>
                <w:rFonts w:ascii="Arial" w:cs="Arial" w:eastAsia="Arial" w:hAnsi="Arial"/>
                <w:sz w:val="15"/>
                <w:szCs w:val="15"/>
                <w:color w:val="auto"/>
              </w:rPr>
              <w:t>Technology Committee:</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r>
      <w:tr>
        <w:trPr>
          <w:trHeight w:val="145"/>
        </w:trPr>
        <w:tc>
          <w:tcPr>
            <w:tcW w:w="3040" w:type="dxa"/>
            <w:vAlign w:val="bottom"/>
            <w:tcBorders>
              <w:bottom w:val="single" w:sz="8" w:color="auto"/>
            </w:tcBorders>
            <w:gridSpan w:val="2"/>
          </w:tcPr>
          <w:p>
            <w:pPr>
              <w:spacing w:after="0"/>
              <w:rPr>
                <w:sz w:val="12"/>
                <w:szCs w:val="12"/>
                <w:color w:val="auto"/>
              </w:rPr>
            </w:pPr>
          </w:p>
        </w:tc>
      </w:tr>
      <w:tr>
        <w:trPr>
          <w:trHeight w:val="300"/>
        </w:trPr>
        <w:tc>
          <w:tcPr>
            <w:tcW w:w="3040" w:type="dxa"/>
            <w:vAlign w:val="bottom"/>
            <w:gridSpan w:val="2"/>
          </w:tcPr>
          <w:p>
            <w:pPr>
              <w:spacing w:after="0"/>
              <w:rPr>
                <w:sz w:val="20"/>
                <w:szCs w:val="20"/>
                <w:color w:val="auto"/>
              </w:rPr>
            </w:pPr>
            <w:r>
              <w:rPr>
                <w:rFonts w:ascii="Arial" w:cs="Arial" w:eastAsia="Arial" w:hAnsi="Arial"/>
                <w:sz w:val="15"/>
                <w:szCs w:val="15"/>
                <w:b w:val="1"/>
                <w:bCs w:val="1"/>
                <w:color w:val="215BA8"/>
              </w:rPr>
              <w:t>Regeneron Securities Beneficially Owned</w:t>
            </w:r>
          </w:p>
        </w:tc>
      </w:tr>
      <w:tr>
        <w:trPr>
          <w:trHeight w:val="196"/>
        </w:trPr>
        <w:tc>
          <w:tcPr>
            <w:tcW w:w="2180" w:type="dxa"/>
            <w:vAlign w:val="bottom"/>
          </w:tcPr>
          <w:p>
            <w:pPr>
              <w:spacing w:after="0"/>
              <w:rPr>
                <w:sz w:val="20"/>
                <w:szCs w:val="20"/>
                <w:color w:val="auto"/>
              </w:rPr>
            </w:pPr>
            <w:r>
              <w:rPr>
                <w:rFonts w:ascii="Arial" w:cs="Arial" w:eastAsia="Arial" w:hAnsi="Arial"/>
                <w:sz w:val="15"/>
                <w:szCs w:val="15"/>
                <w:b w:val="1"/>
                <w:bCs w:val="1"/>
                <w:color w:val="215BA8"/>
              </w:rPr>
              <w:t>as of April 12, 2022</w:t>
            </w:r>
          </w:p>
        </w:tc>
        <w:tc>
          <w:tcPr>
            <w:tcW w:w="860" w:type="dxa"/>
            <w:vAlign w:val="bottom"/>
          </w:tcPr>
          <w:p>
            <w:pPr>
              <w:spacing w:after="0"/>
              <w:rPr>
                <w:sz w:val="17"/>
                <w:szCs w:val="17"/>
                <w:color w:val="auto"/>
              </w:rPr>
            </w:pPr>
          </w:p>
        </w:tc>
      </w:tr>
      <w:tr>
        <w:trPr>
          <w:trHeight w:val="243"/>
        </w:trPr>
        <w:tc>
          <w:tcPr>
            <w:tcW w:w="2180" w:type="dxa"/>
            <w:vAlign w:val="bottom"/>
          </w:tcPr>
          <w:p>
            <w:pPr>
              <w:spacing w:after="0"/>
              <w:rPr>
                <w:sz w:val="20"/>
                <w:szCs w:val="20"/>
                <w:color w:val="auto"/>
              </w:rPr>
            </w:pPr>
            <w:r>
              <w:rPr>
                <w:rFonts w:ascii="Arial" w:cs="Arial" w:eastAsia="Arial" w:hAnsi="Arial"/>
                <w:sz w:val="15"/>
                <w:szCs w:val="15"/>
                <w:color w:val="auto"/>
              </w:rPr>
              <w:t>Common Stock:</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0</w:t>
            </w:r>
          </w:p>
        </w:tc>
      </w:tr>
      <w:tr>
        <w:trPr>
          <w:trHeight w:val="243"/>
        </w:trPr>
        <w:tc>
          <w:tcPr>
            <w:tcW w:w="2180" w:type="dxa"/>
            <w:vAlign w:val="bottom"/>
          </w:tcPr>
          <w:p>
            <w:pPr>
              <w:spacing w:after="0"/>
              <w:rPr>
                <w:sz w:val="20"/>
                <w:szCs w:val="20"/>
                <w:color w:val="auto"/>
              </w:rPr>
            </w:pPr>
            <w:r>
              <w:rPr>
                <w:rFonts w:ascii="Arial" w:cs="Arial" w:eastAsia="Arial" w:hAnsi="Arial"/>
                <w:sz w:val="15"/>
                <w:szCs w:val="15"/>
                <w:color w:val="auto"/>
              </w:rPr>
              <w:t>Options: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24,924</w:t>
            </w:r>
          </w:p>
        </w:tc>
      </w:tr>
      <w:tr>
        <w:trPr>
          <w:trHeight w:val="243"/>
        </w:trPr>
        <w:tc>
          <w:tcPr>
            <w:tcW w:w="2180" w:type="dxa"/>
            <w:vAlign w:val="bottom"/>
          </w:tcPr>
          <w:p>
            <w:pPr>
              <w:spacing w:after="0"/>
              <w:rPr>
                <w:sz w:val="20"/>
                <w:szCs w:val="20"/>
                <w:color w:val="auto"/>
              </w:rPr>
            </w:pPr>
            <w:r>
              <w:rPr>
                <w:rFonts w:ascii="Arial" w:cs="Arial" w:eastAsia="Arial" w:hAnsi="Arial"/>
                <w:sz w:val="15"/>
                <w:szCs w:val="15"/>
                <w:color w:val="auto"/>
              </w:rPr>
              <w:t>RSUs: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974</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83" w:right="660" w:hanging="183"/>
        <w:spacing w:after="0" w:line="236" w:lineRule="auto"/>
        <w:tabs>
          <w:tab w:leader="none" w:pos="183" w:val="left"/>
        </w:tabs>
        <w:numPr>
          <w:ilvl w:val="0"/>
          <w:numId w:val="30"/>
        </w:numPr>
        <w:rPr>
          <w:rFonts w:ascii="Arial" w:cs="Arial" w:eastAsia="Arial" w:hAnsi="Arial"/>
          <w:sz w:val="16"/>
          <w:szCs w:val="16"/>
          <w:b w:val="1"/>
          <w:bCs w:val="1"/>
          <w:color w:val="215BA8"/>
        </w:rPr>
      </w:pPr>
      <w:r>
        <w:rPr>
          <w:rFonts w:ascii="Arial" w:cs="Arial" w:eastAsia="Arial" w:hAnsi="Arial"/>
          <w:sz w:val="16"/>
          <w:szCs w:val="16"/>
          <w:color w:val="auto"/>
        </w:rPr>
        <w:t>Professor in the departments of Pediatrics, Molecular and Human Genetics, and Neurology and Neuroscience at Baylor College of Medicine since 1994</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0"/>
        </w:numPr>
        <w:rPr>
          <w:rFonts w:ascii="Arial" w:cs="Arial" w:eastAsia="Arial" w:hAnsi="Arial"/>
          <w:sz w:val="15"/>
          <w:szCs w:val="15"/>
          <w:b w:val="1"/>
          <w:bCs w:val="1"/>
          <w:color w:val="215BA8"/>
        </w:rPr>
      </w:pPr>
      <w:r>
        <w:rPr>
          <w:rFonts w:ascii="Arial" w:cs="Arial" w:eastAsia="Arial" w:hAnsi="Arial"/>
          <w:sz w:val="15"/>
          <w:szCs w:val="15"/>
          <w:color w:val="auto"/>
        </w:rPr>
        <w:t>Director of the Jan and Dan Duncan Neurological Research Institute at Texas Children’s Hospital</w:t>
      </w:r>
    </w:p>
    <w:p>
      <w:pPr>
        <w:spacing w:after="0" w:line="84" w:lineRule="exact"/>
        <w:rPr>
          <w:rFonts w:ascii="Arial" w:cs="Arial" w:eastAsia="Arial" w:hAnsi="Arial"/>
          <w:sz w:val="15"/>
          <w:szCs w:val="15"/>
          <w:b w:val="1"/>
          <w:bCs w:val="1"/>
          <w:color w:val="215BA8"/>
        </w:rPr>
      </w:pPr>
    </w:p>
    <w:p>
      <w:pPr>
        <w:ind w:left="183" w:hanging="183"/>
        <w:spacing w:after="0"/>
        <w:tabs>
          <w:tab w:leader="none" w:pos="183" w:val="left"/>
        </w:tabs>
        <w:numPr>
          <w:ilvl w:val="0"/>
          <w:numId w:val="30"/>
        </w:numPr>
        <w:rPr>
          <w:rFonts w:ascii="Arial" w:cs="Arial" w:eastAsia="Arial" w:hAnsi="Arial"/>
          <w:sz w:val="16"/>
          <w:szCs w:val="16"/>
          <w:b w:val="1"/>
          <w:bCs w:val="1"/>
          <w:color w:val="215BA8"/>
        </w:rPr>
      </w:pPr>
      <w:r>
        <w:rPr>
          <w:rFonts w:ascii="Arial" w:cs="Arial" w:eastAsia="Arial" w:hAnsi="Arial"/>
          <w:sz w:val="16"/>
          <w:szCs w:val="16"/>
          <w:color w:val="auto"/>
        </w:rPr>
        <w:t>Howard Hughes Medical Institute Investigator</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0"/>
        </w:numPr>
        <w:rPr>
          <w:rFonts w:ascii="Arial" w:cs="Arial" w:eastAsia="Arial" w:hAnsi="Arial"/>
          <w:sz w:val="16"/>
          <w:szCs w:val="16"/>
          <w:b w:val="1"/>
          <w:bCs w:val="1"/>
          <w:color w:val="215BA8"/>
        </w:rPr>
      </w:pPr>
      <w:r>
        <w:rPr>
          <w:rFonts w:ascii="Arial" w:cs="Arial" w:eastAsia="Arial" w:hAnsi="Arial"/>
          <w:sz w:val="16"/>
          <w:szCs w:val="16"/>
          <w:color w:val="auto"/>
        </w:rPr>
        <w:t>Pearl Meister Greengard Prize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0"/>
        </w:numPr>
        <w:rPr>
          <w:rFonts w:ascii="Arial" w:cs="Arial" w:eastAsia="Arial" w:hAnsi="Arial"/>
          <w:sz w:val="16"/>
          <w:szCs w:val="16"/>
          <w:b w:val="1"/>
          <w:bCs w:val="1"/>
          <w:color w:val="215BA8"/>
        </w:rPr>
      </w:pPr>
      <w:r>
        <w:rPr>
          <w:rFonts w:ascii="Arial" w:cs="Arial" w:eastAsia="Arial" w:hAnsi="Arial"/>
          <w:sz w:val="16"/>
          <w:szCs w:val="16"/>
          <w:color w:val="auto"/>
        </w:rPr>
        <w:t>March of Dimes Prize in Developmental Biology</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0"/>
        </w:numPr>
        <w:rPr>
          <w:rFonts w:ascii="Arial" w:cs="Arial" w:eastAsia="Arial" w:hAnsi="Arial"/>
          <w:sz w:val="16"/>
          <w:szCs w:val="16"/>
          <w:b w:val="1"/>
          <w:bCs w:val="1"/>
          <w:color w:val="215BA8"/>
        </w:rPr>
      </w:pPr>
      <w:r>
        <w:rPr>
          <w:rFonts w:ascii="Arial" w:cs="Arial" w:eastAsia="Arial" w:hAnsi="Arial"/>
          <w:sz w:val="16"/>
          <w:szCs w:val="16"/>
          <w:color w:val="auto"/>
        </w:rPr>
        <w:t>Vanderbilt Prize in Biomedical Science</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31"/>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1"/>
        </w:numPr>
        <w:rPr>
          <w:rFonts w:ascii="Arial" w:cs="Arial" w:eastAsia="Arial" w:hAnsi="Arial"/>
          <w:sz w:val="16"/>
          <w:szCs w:val="16"/>
          <w:b w:val="1"/>
          <w:bCs w:val="1"/>
          <w:color w:val="215BA8"/>
        </w:rPr>
      </w:pPr>
      <w:r>
        <w:rPr>
          <w:rFonts w:ascii="Arial" w:cs="Arial" w:eastAsia="Arial" w:hAnsi="Arial"/>
          <w:sz w:val="16"/>
          <w:szCs w:val="16"/>
          <w:color w:val="auto"/>
        </w:rPr>
        <w:t>The Institute of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1"/>
        </w:numPr>
        <w:rPr>
          <w:rFonts w:ascii="Arial" w:cs="Arial" w:eastAsia="Arial" w:hAnsi="Arial"/>
          <w:sz w:val="16"/>
          <w:szCs w:val="16"/>
          <w:b w:val="1"/>
          <w:bCs w:val="1"/>
          <w:color w:val="215BA8"/>
        </w:rPr>
      </w:pPr>
      <w:r>
        <w:rPr>
          <w:rFonts w:ascii="Arial" w:cs="Arial" w:eastAsia="Arial" w:hAnsi="Arial"/>
          <w:sz w:val="16"/>
          <w:szCs w:val="16"/>
          <w:color w:val="auto"/>
        </w:rPr>
        <w:t>The American Association for the Advancement of Science</w:t>
      </w:r>
    </w:p>
    <w:p>
      <w:pPr>
        <w:spacing w:after="0" w:line="151" w:lineRule="exact"/>
        <w:rPr>
          <w:sz w:val="20"/>
          <w:szCs w:val="20"/>
          <w:color w:val="auto"/>
        </w:rPr>
      </w:pPr>
    </w:p>
    <w:p>
      <w:pPr>
        <w:ind w:left="3" w:right="1420"/>
        <w:spacing w:after="0" w:line="287" w:lineRule="auto"/>
        <w:rPr>
          <w:sz w:val="20"/>
          <w:szCs w:val="20"/>
          <w:color w:val="auto"/>
        </w:rPr>
      </w:pPr>
      <w:r>
        <w:rPr>
          <w:rFonts w:ascii="Arial" w:cs="Arial" w:eastAsia="Arial" w:hAnsi="Arial"/>
          <w:sz w:val="15"/>
          <w:szCs w:val="15"/>
          <w:i w:val="1"/>
          <w:iCs w:val="1"/>
          <w:color w:val="auto"/>
        </w:rPr>
        <w:t>Dr. Zoghbi’s extensive research experience and her scientific and academic career and accomplishments led the board to conclude that Dr. Zoghbi should serve as a director.</w:t>
      </w:r>
    </w:p>
    <w:p>
      <w:pPr>
        <w:spacing w:after="0" w:line="1878"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15</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30" w:name="page31"/>
    <w:bookmarkEnd w:id="30"/>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CLASS III DIRECTORS CONTINUING IN OFFICE</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TERM EXPIRES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10795</wp:posOffset>
            </wp:positionV>
            <wp:extent cx="64465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130810</wp:posOffset>
            </wp:positionV>
            <wp:extent cx="6446520" cy="248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46520" cy="24892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36"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N. ANTHONY COLES,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172720</wp:posOffset>
            </wp:positionV>
            <wp:extent cx="1080135" cy="10801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2017</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61</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240" w:type="dxa"/>
            <w:vAlign w:val="bottom"/>
          </w:tcPr>
          <w:p>
            <w:pPr>
              <w:spacing w:after="0"/>
              <w:rPr>
                <w:sz w:val="20"/>
                <w:szCs w:val="20"/>
                <w:color w:val="auto"/>
              </w:rPr>
            </w:pPr>
            <w:r>
              <w:rPr>
                <w:rFonts w:ascii="Arial" w:cs="Arial" w:eastAsia="Arial" w:hAnsi="Arial"/>
                <w:sz w:val="15"/>
                <w:szCs w:val="15"/>
                <w:color w:val="auto"/>
              </w:rPr>
              <w:t>Board of Directors: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r>
      <w:tr>
        <w:trPr>
          <w:trHeight w:val="243"/>
        </w:trPr>
        <w:tc>
          <w:tcPr>
            <w:tcW w:w="2240" w:type="dxa"/>
            <w:vAlign w:val="bottom"/>
          </w:tcPr>
          <w:p>
            <w:pPr>
              <w:spacing w:after="0"/>
              <w:rPr>
                <w:sz w:val="20"/>
                <w:szCs w:val="20"/>
                <w:color w:val="auto"/>
              </w:rPr>
            </w:pPr>
            <w:r>
              <w:rPr>
                <w:rFonts w:ascii="Arial" w:cs="Arial" w:eastAsia="Arial" w:hAnsi="Arial"/>
                <w:sz w:val="15"/>
                <w:szCs w:val="15"/>
                <w:color w:val="auto"/>
              </w:rPr>
              <w:t>Audit Committee:</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15BA8"/>
              </w:rPr>
              <w:t>9/10</w:t>
            </w:r>
          </w:p>
        </w:tc>
      </w:tr>
      <w:tr>
        <w:trPr>
          <w:trHeight w:val="145"/>
        </w:trPr>
        <w:tc>
          <w:tcPr>
            <w:tcW w:w="3040" w:type="dxa"/>
            <w:vAlign w:val="bottom"/>
            <w:tcBorders>
              <w:bottom w:val="single" w:sz="8" w:color="auto"/>
            </w:tcBorders>
            <w:gridSpan w:val="2"/>
          </w:tcPr>
          <w:p>
            <w:pPr>
              <w:spacing w:after="0"/>
              <w:rPr>
                <w:sz w:val="12"/>
                <w:szCs w:val="12"/>
                <w:color w:val="auto"/>
              </w:rPr>
            </w:pPr>
          </w:p>
        </w:tc>
      </w:tr>
      <w:tr>
        <w:trPr>
          <w:trHeight w:val="300"/>
        </w:trPr>
        <w:tc>
          <w:tcPr>
            <w:tcW w:w="3040" w:type="dxa"/>
            <w:vAlign w:val="bottom"/>
            <w:gridSpan w:val="2"/>
          </w:tcPr>
          <w:p>
            <w:pPr>
              <w:spacing w:after="0"/>
              <w:rPr>
                <w:sz w:val="20"/>
                <w:szCs w:val="20"/>
                <w:color w:val="auto"/>
              </w:rPr>
            </w:pPr>
            <w:r>
              <w:rPr>
                <w:rFonts w:ascii="Arial" w:cs="Arial" w:eastAsia="Arial" w:hAnsi="Arial"/>
                <w:sz w:val="15"/>
                <w:szCs w:val="15"/>
                <w:b w:val="1"/>
                <w:bCs w:val="1"/>
                <w:color w:val="215BA8"/>
              </w:rPr>
              <w:t>Regeneron Common Stock Beneficially</w:t>
            </w:r>
          </w:p>
        </w:tc>
      </w:tr>
      <w:tr>
        <w:trPr>
          <w:trHeight w:val="196"/>
        </w:trPr>
        <w:tc>
          <w:tcPr>
            <w:tcW w:w="2240" w:type="dxa"/>
            <w:vAlign w:val="bottom"/>
          </w:tcPr>
          <w:p>
            <w:pPr>
              <w:spacing w:after="0"/>
              <w:rPr>
                <w:sz w:val="20"/>
                <w:szCs w:val="20"/>
                <w:color w:val="auto"/>
              </w:rPr>
            </w:pPr>
            <w:r>
              <w:rPr>
                <w:rFonts w:ascii="Arial" w:cs="Arial" w:eastAsia="Arial" w:hAnsi="Arial"/>
                <w:sz w:val="15"/>
                <w:szCs w:val="15"/>
                <w:b w:val="1"/>
                <w:bCs w:val="1"/>
                <w:color w:val="215BA8"/>
              </w:rPr>
              <w:t>Owned as of April 12, 2022</w:t>
            </w:r>
          </w:p>
        </w:tc>
        <w:tc>
          <w:tcPr>
            <w:tcW w:w="800" w:type="dxa"/>
            <w:vAlign w:val="bottom"/>
          </w:tcPr>
          <w:p>
            <w:pPr>
              <w:spacing w:after="0"/>
              <w:rPr>
                <w:sz w:val="17"/>
                <w:szCs w:val="17"/>
                <w:color w:val="auto"/>
              </w:rPr>
            </w:pPr>
          </w:p>
        </w:tc>
      </w:tr>
      <w:tr>
        <w:trPr>
          <w:trHeight w:val="243"/>
        </w:trPr>
        <w:tc>
          <w:tcPr>
            <w:tcW w:w="2240" w:type="dxa"/>
            <w:vAlign w:val="bottom"/>
          </w:tcPr>
          <w:p>
            <w:pPr>
              <w:spacing w:after="0"/>
              <w:rPr>
                <w:sz w:val="20"/>
                <w:szCs w:val="20"/>
                <w:color w:val="auto"/>
              </w:rPr>
            </w:pPr>
            <w:r>
              <w:rPr>
                <w:rFonts w:ascii="Arial" w:cs="Arial" w:eastAsia="Arial" w:hAnsi="Arial"/>
                <w:sz w:val="15"/>
                <w:szCs w:val="15"/>
                <w:color w:val="auto"/>
              </w:rPr>
              <w:t>Common Stock:</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15BA8"/>
              </w:rPr>
              <w:t>11</w:t>
            </w:r>
          </w:p>
        </w:tc>
      </w:tr>
      <w:tr>
        <w:trPr>
          <w:trHeight w:val="243"/>
        </w:trPr>
        <w:tc>
          <w:tcPr>
            <w:tcW w:w="2240" w:type="dxa"/>
            <w:vAlign w:val="bottom"/>
          </w:tcPr>
          <w:p>
            <w:pPr>
              <w:spacing w:after="0"/>
              <w:rPr>
                <w:sz w:val="20"/>
                <w:szCs w:val="20"/>
                <w:color w:val="auto"/>
              </w:rPr>
            </w:pPr>
            <w:r>
              <w:rPr>
                <w:rFonts w:ascii="Arial" w:cs="Arial" w:eastAsia="Arial" w:hAnsi="Arial"/>
                <w:sz w:val="15"/>
                <w:szCs w:val="15"/>
                <w:color w:val="auto"/>
              </w:rPr>
              <w:t>Options: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15BA8"/>
              </w:rPr>
              <w:t>12,930</w:t>
            </w:r>
          </w:p>
        </w:tc>
      </w:tr>
      <w:tr>
        <w:trPr>
          <w:trHeight w:val="243"/>
        </w:trPr>
        <w:tc>
          <w:tcPr>
            <w:tcW w:w="2240" w:type="dxa"/>
            <w:vAlign w:val="bottom"/>
          </w:tcPr>
          <w:p>
            <w:pPr>
              <w:spacing w:after="0"/>
              <w:rPr>
                <w:sz w:val="20"/>
                <w:szCs w:val="20"/>
                <w:color w:val="auto"/>
              </w:rPr>
            </w:pPr>
            <w:r>
              <w:rPr>
                <w:rFonts w:ascii="Arial" w:cs="Arial" w:eastAsia="Arial" w:hAnsi="Arial"/>
                <w:sz w:val="15"/>
                <w:szCs w:val="15"/>
                <w:color w:val="auto"/>
              </w:rPr>
              <w:t>RSUs:</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215BA8"/>
              </w:rPr>
              <w:t>974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06" w:lineRule="exact"/>
        <w:rPr>
          <w:sz w:val="20"/>
          <w:szCs w:val="20"/>
          <w:color w:val="auto"/>
        </w:rPr>
      </w:pPr>
    </w:p>
    <w:p>
      <w:pPr>
        <w:ind w:left="183" w:right="640" w:hanging="183"/>
        <w:spacing w:after="0" w:line="236" w:lineRule="auto"/>
        <w:tabs>
          <w:tab w:leader="none" w:pos="183" w:val="left"/>
        </w:tabs>
        <w:numPr>
          <w:ilvl w:val="0"/>
          <w:numId w:val="32"/>
        </w:numPr>
        <w:rPr>
          <w:rFonts w:ascii="Arial" w:cs="Arial" w:eastAsia="Arial" w:hAnsi="Arial"/>
          <w:sz w:val="16"/>
          <w:szCs w:val="16"/>
          <w:b w:val="1"/>
          <w:bCs w:val="1"/>
          <w:color w:val="215BA8"/>
        </w:rPr>
      </w:pPr>
      <w:r>
        <w:rPr>
          <w:rFonts w:ascii="Arial" w:cs="Arial" w:eastAsia="Arial" w:hAnsi="Arial"/>
          <w:sz w:val="16"/>
          <w:szCs w:val="16"/>
          <w:color w:val="auto"/>
        </w:rPr>
        <w:t>President and Chief Executive Officer since 2019 and Chair since 2018 of Cerevel Therapeutics Holdings, Inc., the parent entity of Cerevel Therapeutics, Inc.</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2"/>
        </w:numPr>
        <w:rPr>
          <w:rFonts w:ascii="Arial" w:cs="Arial" w:eastAsia="Arial" w:hAnsi="Arial"/>
          <w:sz w:val="16"/>
          <w:szCs w:val="16"/>
          <w:b w:val="1"/>
          <w:bCs w:val="1"/>
          <w:color w:val="215BA8"/>
        </w:rPr>
      </w:pPr>
      <w:r>
        <w:rPr>
          <w:rFonts w:ascii="Arial" w:cs="Arial" w:eastAsia="Arial" w:hAnsi="Arial"/>
          <w:sz w:val="16"/>
          <w:szCs w:val="16"/>
          <w:color w:val="auto"/>
        </w:rPr>
        <w:t>Chair and CEO of TRATE Enterprises LLC, a privately-held company, since 2013</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2"/>
        </w:numPr>
        <w:rPr>
          <w:rFonts w:ascii="Arial" w:cs="Arial" w:eastAsia="Arial" w:hAnsi="Arial"/>
          <w:sz w:val="16"/>
          <w:szCs w:val="16"/>
          <w:b w:val="1"/>
          <w:bCs w:val="1"/>
          <w:color w:val="215BA8"/>
        </w:rPr>
      </w:pPr>
      <w:r>
        <w:rPr>
          <w:rFonts w:ascii="Arial" w:cs="Arial" w:eastAsia="Arial" w:hAnsi="Arial"/>
          <w:sz w:val="16"/>
          <w:szCs w:val="16"/>
          <w:color w:val="auto"/>
        </w:rPr>
        <w:t>Former Chief Executive Officer and current Chair of the Board of Yumanity Therapeutics,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2"/>
        </w:numPr>
        <w:rPr>
          <w:rFonts w:ascii="Arial" w:cs="Arial" w:eastAsia="Arial" w:hAnsi="Arial"/>
          <w:sz w:val="15"/>
          <w:szCs w:val="15"/>
          <w:b w:val="1"/>
          <w:bCs w:val="1"/>
          <w:color w:val="215BA8"/>
        </w:rPr>
      </w:pPr>
      <w:r>
        <w:rPr>
          <w:rFonts w:ascii="Arial" w:cs="Arial" w:eastAsia="Arial" w:hAnsi="Arial"/>
          <w:sz w:val="15"/>
          <w:szCs w:val="15"/>
          <w:color w:val="auto"/>
        </w:rPr>
        <w:t>Former President, Chief Executive Officer and Chair of the Board of Onyx Pharmaceuticals, Inc.</w:t>
      </w:r>
    </w:p>
    <w:p>
      <w:pPr>
        <w:spacing w:after="0" w:line="84" w:lineRule="exact"/>
        <w:rPr>
          <w:rFonts w:ascii="Arial" w:cs="Arial" w:eastAsia="Arial" w:hAnsi="Arial"/>
          <w:sz w:val="15"/>
          <w:szCs w:val="15"/>
          <w:b w:val="1"/>
          <w:bCs w:val="1"/>
          <w:color w:val="215BA8"/>
        </w:rPr>
      </w:pPr>
    </w:p>
    <w:p>
      <w:pPr>
        <w:ind w:left="183" w:right="1180" w:hanging="183"/>
        <w:spacing w:after="0" w:line="236" w:lineRule="auto"/>
        <w:tabs>
          <w:tab w:leader="none" w:pos="183" w:val="left"/>
        </w:tabs>
        <w:numPr>
          <w:ilvl w:val="0"/>
          <w:numId w:val="32"/>
        </w:numPr>
        <w:rPr>
          <w:rFonts w:ascii="Arial" w:cs="Arial" w:eastAsia="Arial" w:hAnsi="Arial"/>
          <w:sz w:val="16"/>
          <w:szCs w:val="16"/>
          <w:b w:val="1"/>
          <w:bCs w:val="1"/>
          <w:color w:val="215BA8"/>
        </w:rPr>
      </w:pPr>
      <w:r>
        <w:rPr>
          <w:rFonts w:ascii="Arial" w:cs="Arial" w:eastAsia="Arial" w:hAnsi="Arial"/>
          <w:sz w:val="16"/>
          <w:szCs w:val="16"/>
          <w:color w:val="auto"/>
        </w:rPr>
        <w:t>Former President, Chief Executive Officer, and member of the board of directors of NPS Pharmaceuticals, Inc.</w:t>
      </w:r>
    </w:p>
    <w:p>
      <w:pPr>
        <w:spacing w:after="0" w:line="70" w:lineRule="exact"/>
        <w:rPr>
          <w:rFonts w:ascii="Arial" w:cs="Arial" w:eastAsia="Arial" w:hAnsi="Arial"/>
          <w:sz w:val="16"/>
          <w:szCs w:val="16"/>
          <w:b w:val="1"/>
          <w:bCs w:val="1"/>
          <w:color w:val="215BA8"/>
        </w:rPr>
      </w:pPr>
    </w:p>
    <w:p>
      <w:pPr>
        <w:ind w:left="183" w:right="1080" w:hanging="183"/>
        <w:spacing w:after="0" w:line="234" w:lineRule="auto"/>
        <w:tabs>
          <w:tab w:leader="none" w:pos="183" w:val="left"/>
        </w:tabs>
        <w:numPr>
          <w:ilvl w:val="0"/>
          <w:numId w:val="32"/>
        </w:numPr>
        <w:rPr>
          <w:rFonts w:ascii="Arial" w:cs="Arial" w:eastAsia="Arial" w:hAnsi="Arial"/>
          <w:sz w:val="16"/>
          <w:szCs w:val="16"/>
          <w:b w:val="1"/>
          <w:bCs w:val="1"/>
          <w:color w:val="215BA8"/>
        </w:rPr>
      </w:pPr>
      <w:r>
        <w:rPr>
          <w:rFonts w:ascii="Arial" w:cs="Arial" w:eastAsia="Arial" w:hAnsi="Arial"/>
          <w:sz w:val="16"/>
          <w:szCs w:val="16"/>
          <w:color w:val="auto"/>
        </w:rPr>
        <w:t>Previously held various leadership positions in the biopharmaceutical and pharmaceutical industries, including at Merck &amp; Co., Inc., Bristol-Myers Squibb Company, and Vertex Pharmaceuticals Incorporated</w:t>
      </w:r>
    </w:p>
    <w:p>
      <w:pPr>
        <w:spacing w:after="0" w:line="69" w:lineRule="exact"/>
        <w:rPr>
          <w:rFonts w:ascii="Arial" w:cs="Arial" w:eastAsia="Arial" w:hAnsi="Arial"/>
          <w:sz w:val="16"/>
          <w:szCs w:val="16"/>
          <w:b w:val="1"/>
          <w:bCs w:val="1"/>
          <w:color w:val="215BA8"/>
        </w:rPr>
      </w:pPr>
    </w:p>
    <w:p>
      <w:pPr>
        <w:ind w:left="183" w:right="840" w:hanging="183"/>
        <w:spacing w:after="0" w:line="236" w:lineRule="auto"/>
        <w:tabs>
          <w:tab w:leader="none" w:pos="183" w:val="left"/>
        </w:tabs>
        <w:numPr>
          <w:ilvl w:val="0"/>
          <w:numId w:val="32"/>
        </w:numPr>
        <w:rPr>
          <w:rFonts w:ascii="Arial" w:cs="Arial" w:eastAsia="Arial" w:hAnsi="Arial"/>
          <w:sz w:val="16"/>
          <w:szCs w:val="16"/>
          <w:b w:val="1"/>
          <w:bCs w:val="1"/>
          <w:color w:val="215BA8"/>
        </w:rPr>
      </w:pPr>
      <w:r>
        <w:rPr>
          <w:rFonts w:ascii="Arial" w:cs="Arial" w:eastAsia="Arial" w:hAnsi="Arial"/>
          <w:sz w:val="16"/>
          <w:szCs w:val="16"/>
          <w:color w:val="auto"/>
        </w:rPr>
        <w:t>Former director of Laboratory Corporation of America Holdings, Campus Crest Communities, Inc., CRISPR Therapeutics AG, and McKesson Corporation</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Other Public Boards</w:t>
      </w:r>
    </w:p>
    <w:p>
      <w:pPr>
        <w:spacing w:after="0" w:line="106" w:lineRule="exact"/>
        <w:rPr>
          <w:sz w:val="20"/>
          <w:szCs w:val="20"/>
          <w:color w:val="auto"/>
        </w:rPr>
      </w:pPr>
    </w:p>
    <w:p>
      <w:pPr>
        <w:ind w:left="183" w:hanging="183"/>
        <w:spacing w:after="0"/>
        <w:tabs>
          <w:tab w:leader="none" w:pos="183" w:val="left"/>
        </w:tabs>
        <w:numPr>
          <w:ilvl w:val="0"/>
          <w:numId w:val="33"/>
        </w:numPr>
        <w:rPr>
          <w:rFonts w:ascii="Arial" w:cs="Arial" w:eastAsia="Arial" w:hAnsi="Arial"/>
          <w:sz w:val="16"/>
          <w:szCs w:val="16"/>
          <w:b w:val="1"/>
          <w:bCs w:val="1"/>
          <w:color w:val="215BA8"/>
        </w:rPr>
      </w:pPr>
      <w:r>
        <w:rPr>
          <w:rFonts w:ascii="Arial" w:cs="Arial" w:eastAsia="Arial" w:hAnsi="Arial"/>
          <w:sz w:val="16"/>
          <w:szCs w:val="16"/>
          <w:color w:val="auto"/>
        </w:rPr>
        <w:t>Cerevel Therapeutics Holdings,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3"/>
        </w:numPr>
        <w:rPr>
          <w:rFonts w:ascii="Arial" w:cs="Arial" w:eastAsia="Arial" w:hAnsi="Arial"/>
          <w:sz w:val="16"/>
          <w:szCs w:val="16"/>
          <w:b w:val="1"/>
          <w:bCs w:val="1"/>
          <w:color w:val="215BA8"/>
        </w:rPr>
      </w:pPr>
      <w:r>
        <w:rPr>
          <w:rFonts w:ascii="Arial" w:cs="Arial" w:eastAsia="Arial" w:hAnsi="Arial"/>
          <w:sz w:val="16"/>
          <w:szCs w:val="16"/>
          <w:color w:val="auto"/>
        </w:rPr>
        <w:t>Yumanity Therapeutics, Inc.</w:t>
      </w:r>
    </w:p>
    <w:p>
      <w:pPr>
        <w:spacing w:after="0" w:line="151" w:lineRule="exact"/>
        <w:rPr>
          <w:sz w:val="20"/>
          <w:szCs w:val="20"/>
          <w:color w:val="auto"/>
        </w:rPr>
      </w:pPr>
    </w:p>
    <w:p>
      <w:pPr>
        <w:ind w:left="3" w:right="640"/>
        <w:spacing w:after="0" w:line="238" w:lineRule="auto"/>
        <w:rPr>
          <w:sz w:val="20"/>
          <w:szCs w:val="20"/>
          <w:color w:val="auto"/>
        </w:rPr>
      </w:pPr>
      <w:r>
        <w:rPr>
          <w:rFonts w:ascii="Arial" w:cs="Arial" w:eastAsia="Arial" w:hAnsi="Arial"/>
          <w:sz w:val="16"/>
          <w:szCs w:val="16"/>
          <w:i w:val="1"/>
          <w:iCs w:val="1"/>
          <w:color w:val="auto"/>
        </w:rPr>
        <w:t>Dr. Coles’s experience as a seasoned executive and corporate director with extensive knowledge of highly regulated biopharmaceutical and pharmaceutical companies, as well as his in-depth knowledge and understanding of the regulatory environment in which Regeneron operates, led the board to conclude that Dr. Coles should serve as a director.</w:t>
      </w:r>
    </w:p>
    <w:p>
      <w:pPr>
        <w:spacing w:after="0" w:line="602"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16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type w:val="continuous"/>
        </w:sectPr>
      </w:pPr>
    </w:p>
    <w:bookmarkStart w:id="31" w:name="page32"/>
    <w:bookmarkEnd w:id="31"/>
    <w:p>
      <w:pPr>
        <w:ind w:left="756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9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46520" cy="24892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172720</wp:posOffset>
            </wp:positionV>
            <wp:extent cx="1080135" cy="1071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8013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2003</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79</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420" w:type="dxa"/>
            <w:vAlign w:val="bottom"/>
          </w:tcPr>
          <w:p>
            <w:pPr>
              <w:spacing w:after="0"/>
              <w:rPr>
                <w:sz w:val="20"/>
                <w:szCs w:val="20"/>
                <w:color w:val="auto"/>
              </w:rPr>
            </w:pPr>
            <w:r>
              <w:rPr>
                <w:rFonts w:ascii="Arial" w:cs="Arial" w:eastAsia="Arial" w:hAnsi="Arial"/>
                <w:sz w:val="15"/>
                <w:szCs w:val="15"/>
                <w:color w:val="auto"/>
              </w:rPr>
              <w:t>Board of Directors:</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5"/>
                <w:szCs w:val="15"/>
                <w:color w:val="auto"/>
              </w:rPr>
              <w:t>Audit Committee:</w:t>
            </w:r>
          </w:p>
        </w:tc>
        <w:tc>
          <w:tcPr>
            <w:tcW w:w="620" w:type="dxa"/>
            <w:vAlign w:val="bottom"/>
          </w:tcPr>
          <w:p>
            <w:pPr>
              <w:jc w:val="right"/>
              <w:spacing w:after="0"/>
              <w:rPr>
                <w:sz w:val="20"/>
                <w:szCs w:val="20"/>
                <w:color w:val="auto"/>
              </w:rPr>
            </w:pPr>
            <w:r>
              <w:rPr>
                <w:rFonts w:ascii="Arial" w:cs="Arial" w:eastAsia="Arial" w:hAnsi="Arial"/>
                <w:sz w:val="15"/>
                <w:szCs w:val="15"/>
                <w:b w:val="1"/>
                <w:bCs w:val="1"/>
                <w:color w:val="215BA8"/>
              </w:rPr>
              <w:t>9/10</w:t>
            </w:r>
          </w:p>
        </w:tc>
        <w:tc>
          <w:tcPr>
            <w:tcW w:w="0" w:type="dxa"/>
            <w:vAlign w:val="bottom"/>
          </w:tcPr>
          <w:p>
            <w:pPr>
              <w:spacing w:after="0"/>
              <w:rPr>
                <w:sz w:val="1"/>
                <w:szCs w:val="1"/>
                <w:color w:val="auto"/>
              </w:rPr>
            </w:pPr>
          </w:p>
        </w:tc>
      </w:tr>
      <w:tr>
        <w:trPr>
          <w:trHeight w:val="227"/>
        </w:trPr>
        <w:tc>
          <w:tcPr>
            <w:tcW w:w="2420" w:type="dxa"/>
            <w:vAlign w:val="bottom"/>
          </w:tcPr>
          <w:p>
            <w:pPr>
              <w:spacing w:after="0"/>
              <w:rPr>
                <w:sz w:val="20"/>
                <w:szCs w:val="20"/>
                <w:color w:val="auto"/>
              </w:rPr>
            </w:pPr>
            <w:r>
              <w:rPr>
                <w:rFonts w:ascii="Arial" w:cs="Arial" w:eastAsia="Arial" w:hAnsi="Arial"/>
                <w:sz w:val="15"/>
                <w:szCs w:val="15"/>
                <w:color w:val="auto"/>
              </w:rPr>
              <w:t>Corporate Governance and</w:t>
            </w:r>
          </w:p>
        </w:tc>
        <w:tc>
          <w:tcPr>
            <w:tcW w:w="620" w:type="dxa"/>
            <w:vAlign w:val="bottom"/>
            <w:vMerge w:val="restart"/>
          </w:tcPr>
          <w:p>
            <w:pPr>
              <w:jc w:val="right"/>
              <w:spacing w:after="0"/>
              <w:rPr>
                <w:sz w:val="20"/>
                <w:szCs w:val="20"/>
                <w:color w:val="auto"/>
              </w:rPr>
            </w:pPr>
            <w:r>
              <w:rPr>
                <w:rFonts w:ascii="Arial" w:cs="Arial" w:eastAsia="Arial" w:hAnsi="Arial"/>
                <w:sz w:val="15"/>
                <w:szCs w:val="15"/>
                <w:b w:val="1"/>
                <w:bCs w:val="1"/>
                <w:color w:val="215BA8"/>
              </w:rPr>
              <w:t>5/5</w:t>
            </w:r>
          </w:p>
        </w:tc>
        <w:tc>
          <w:tcPr>
            <w:tcW w:w="0" w:type="dxa"/>
            <w:vAlign w:val="bottom"/>
          </w:tcPr>
          <w:p>
            <w:pPr>
              <w:spacing w:after="0"/>
              <w:rPr>
                <w:sz w:val="1"/>
                <w:szCs w:val="1"/>
                <w:color w:val="auto"/>
              </w:rPr>
            </w:pPr>
          </w:p>
        </w:tc>
      </w:tr>
      <w:tr>
        <w:trPr>
          <w:trHeight w:val="178"/>
        </w:trPr>
        <w:tc>
          <w:tcPr>
            <w:tcW w:w="2420" w:type="dxa"/>
            <w:vAlign w:val="bottom"/>
          </w:tcPr>
          <w:p>
            <w:pPr>
              <w:spacing w:after="0"/>
              <w:rPr>
                <w:sz w:val="20"/>
                <w:szCs w:val="20"/>
                <w:color w:val="auto"/>
              </w:rPr>
            </w:pPr>
            <w:r>
              <w:rPr>
                <w:rFonts w:ascii="Arial" w:cs="Arial" w:eastAsia="Arial" w:hAnsi="Arial"/>
                <w:sz w:val="15"/>
                <w:szCs w:val="15"/>
                <w:color w:val="auto"/>
              </w:rPr>
              <w:t>Compliance Committee (Chair):</w:t>
            </w: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92075</wp:posOffset>
            </wp:positionV>
            <wp:extent cx="19284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Career Highlights</w:t>
      </w:r>
    </w:p>
    <w:p>
      <w:pPr>
        <w:spacing w:after="0" w:line="106" w:lineRule="exact"/>
        <w:rPr>
          <w:sz w:val="20"/>
          <w:szCs w:val="20"/>
          <w:color w:val="auto"/>
        </w:rPr>
      </w:pPr>
    </w:p>
    <w:p>
      <w:pPr>
        <w:ind w:left="183" w:hanging="183"/>
        <w:spacing w:after="0"/>
        <w:tabs>
          <w:tab w:leader="none" w:pos="183" w:val="left"/>
        </w:tabs>
        <w:numPr>
          <w:ilvl w:val="0"/>
          <w:numId w:val="34"/>
        </w:numPr>
        <w:rPr>
          <w:rFonts w:ascii="Arial" w:cs="Arial" w:eastAsia="Arial" w:hAnsi="Arial"/>
          <w:sz w:val="16"/>
          <w:szCs w:val="16"/>
          <w:b w:val="1"/>
          <w:bCs w:val="1"/>
          <w:color w:val="215BA8"/>
        </w:rPr>
      </w:pPr>
      <w:r>
        <w:rPr>
          <w:rFonts w:ascii="Arial" w:cs="Arial" w:eastAsia="Arial" w:hAnsi="Arial"/>
          <w:sz w:val="16"/>
          <w:szCs w:val="16"/>
          <w:color w:val="auto"/>
        </w:rPr>
        <w:t>Former Chief Executive Officer and Chair of the Board of Prudential Financial, Inc.</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4"/>
        </w:numPr>
        <w:rPr>
          <w:rFonts w:ascii="Arial" w:cs="Arial" w:eastAsia="Arial" w:hAnsi="Arial"/>
          <w:sz w:val="16"/>
          <w:szCs w:val="16"/>
          <w:b w:val="1"/>
          <w:bCs w:val="1"/>
          <w:color w:val="215BA8"/>
        </w:rPr>
      </w:pPr>
      <w:r>
        <w:rPr>
          <w:rFonts w:ascii="Arial" w:cs="Arial" w:eastAsia="Arial" w:hAnsi="Arial"/>
          <w:sz w:val="16"/>
          <w:szCs w:val="16"/>
          <w:color w:val="auto"/>
        </w:rPr>
        <w:t>President and Chief Operating Officer of Chase Manhattan Bank from 1990 to 1994</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4"/>
        </w:numPr>
        <w:rPr>
          <w:rFonts w:ascii="Arial" w:cs="Arial" w:eastAsia="Arial" w:hAnsi="Arial"/>
          <w:sz w:val="16"/>
          <w:szCs w:val="16"/>
          <w:b w:val="1"/>
          <w:bCs w:val="1"/>
          <w:color w:val="215BA8"/>
        </w:rPr>
      </w:pPr>
      <w:r>
        <w:rPr>
          <w:rFonts w:ascii="Arial" w:cs="Arial" w:eastAsia="Arial" w:hAnsi="Arial"/>
          <w:sz w:val="16"/>
          <w:szCs w:val="16"/>
          <w:color w:val="auto"/>
        </w:rPr>
        <w:t>Managed Chase’s worldwide retail bank between 1984 and 1990</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4"/>
        </w:numPr>
        <w:rPr>
          <w:rFonts w:ascii="Arial" w:cs="Arial" w:eastAsia="Arial" w:hAnsi="Arial"/>
          <w:sz w:val="16"/>
          <w:szCs w:val="16"/>
          <w:b w:val="1"/>
          <w:bCs w:val="1"/>
          <w:color w:val="215BA8"/>
        </w:rPr>
      </w:pPr>
      <w:r>
        <w:rPr>
          <w:rFonts w:ascii="Arial" w:cs="Arial" w:eastAsia="Arial" w:hAnsi="Arial"/>
          <w:sz w:val="16"/>
          <w:szCs w:val="16"/>
          <w:color w:val="auto"/>
        </w:rPr>
        <w:t>Non-executive director of the Royal Bank of Scotland Group plc from 2008 to 2013</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4"/>
        </w:numPr>
        <w:rPr>
          <w:rFonts w:ascii="Arial" w:cs="Arial" w:eastAsia="Arial" w:hAnsi="Arial"/>
          <w:sz w:val="16"/>
          <w:szCs w:val="16"/>
          <w:b w:val="1"/>
          <w:bCs w:val="1"/>
          <w:color w:val="215BA8"/>
        </w:rPr>
      </w:pPr>
      <w:r>
        <w:rPr>
          <w:rFonts w:ascii="Arial" w:cs="Arial" w:eastAsia="Arial" w:hAnsi="Arial"/>
          <w:sz w:val="16"/>
          <w:szCs w:val="16"/>
          <w:color w:val="auto"/>
        </w:rPr>
        <w:t>Director of Citizens Financial Group, Inc. from 2009 to 2019</w:t>
      </w:r>
    </w:p>
    <w:p>
      <w:pPr>
        <w:spacing w:after="0" w:line="151" w:lineRule="exact"/>
        <w:rPr>
          <w:sz w:val="20"/>
          <w:szCs w:val="20"/>
          <w:color w:val="auto"/>
        </w:rPr>
      </w:pPr>
    </w:p>
    <w:p>
      <w:pPr>
        <w:ind w:left="3" w:right="760"/>
        <w:spacing w:after="0" w:line="241" w:lineRule="auto"/>
        <w:rPr>
          <w:sz w:val="20"/>
          <w:szCs w:val="20"/>
          <w:color w:val="auto"/>
        </w:rPr>
      </w:pPr>
      <w:r>
        <w:rPr>
          <w:rFonts w:ascii="Arial" w:cs="Arial" w:eastAsia="Arial" w:hAnsi="Arial"/>
          <w:sz w:val="16"/>
          <w:szCs w:val="16"/>
          <w:i w:val="1"/>
          <w:iCs w:val="1"/>
          <w:color w:val="auto"/>
        </w:rPr>
        <w:t>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2074"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Regeneron Securities Beneficially Owned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as of April 12,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60" w:type="dxa"/>
            <w:vAlign w:val="bottom"/>
          </w:tcPr>
          <w:p>
            <w:pPr>
              <w:ind w:left="540"/>
              <w:spacing w:after="0"/>
              <w:rPr>
                <w:sz w:val="20"/>
                <w:szCs w:val="20"/>
                <w:color w:val="auto"/>
              </w:rPr>
            </w:pPr>
            <w:r>
              <w:rPr>
                <w:rFonts w:ascii="Arial" w:cs="Arial" w:eastAsia="Arial" w:hAnsi="Arial"/>
                <w:sz w:val="15"/>
                <w:szCs w:val="15"/>
                <w:color w:val="auto"/>
              </w:rPr>
              <w:t>Common Stock:</w:t>
            </w:r>
          </w:p>
        </w:tc>
        <w:tc>
          <w:tcPr>
            <w:tcW w:w="5840" w:type="dxa"/>
            <w:vAlign w:val="bottom"/>
          </w:tcPr>
          <w:p>
            <w:pPr>
              <w:jc w:val="right"/>
              <w:ind w:right="4546"/>
              <w:spacing w:after="0"/>
              <w:rPr>
                <w:sz w:val="20"/>
                <w:szCs w:val="20"/>
                <w:color w:val="auto"/>
              </w:rPr>
            </w:pPr>
            <w:r>
              <w:rPr>
                <w:rFonts w:ascii="Arial" w:cs="Arial" w:eastAsia="Arial" w:hAnsi="Arial"/>
                <w:sz w:val="15"/>
                <w:szCs w:val="15"/>
                <w:b w:val="1"/>
                <w:bCs w:val="1"/>
                <w:color w:val="215BA8"/>
              </w:rPr>
              <w:t>21,200</w:t>
            </w:r>
          </w:p>
        </w:tc>
        <w:tc>
          <w:tcPr>
            <w:tcW w:w="3040" w:type="dxa"/>
            <w:vAlign w:val="bottom"/>
          </w:tcPr>
          <w:p>
            <w:pPr>
              <w:spacing w:after="0"/>
              <w:rPr>
                <w:sz w:val="17"/>
                <w:szCs w:val="17"/>
                <w:color w:val="auto"/>
              </w:rPr>
            </w:pPr>
          </w:p>
        </w:tc>
      </w:tr>
      <w:tr>
        <w:trPr>
          <w:trHeight w:val="243"/>
        </w:trPr>
        <w:tc>
          <w:tcPr>
            <w:tcW w:w="2360" w:type="dxa"/>
            <w:vAlign w:val="bottom"/>
          </w:tcPr>
          <w:p>
            <w:pPr>
              <w:ind w:left="540"/>
              <w:spacing w:after="0"/>
              <w:rPr>
                <w:sz w:val="20"/>
                <w:szCs w:val="20"/>
                <w:color w:val="auto"/>
              </w:rPr>
            </w:pPr>
            <w:r>
              <w:rPr>
                <w:rFonts w:ascii="Arial" w:cs="Arial" w:eastAsia="Arial" w:hAnsi="Arial"/>
                <w:sz w:val="15"/>
                <w:szCs w:val="15"/>
                <w:color w:val="auto"/>
              </w:rPr>
              <w:t>Options:</w:t>
            </w:r>
          </w:p>
        </w:tc>
        <w:tc>
          <w:tcPr>
            <w:tcW w:w="5840" w:type="dxa"/>
            <w:vAlign w:val="bottom"/>
          </w:tcPr>
          <w:p>
            <w:pPr>
              <w:jc w:val="right"/>
              <w:ind w:right="4546"/>
              <w:spacing w:after="0"/>
              <w:rPr>
                <w:sz w:val="20"/>
                <w:szCs w:val="20"/>
                <w:color w:val="auto"/>
              </w:rPr>
            </w:pPr>
            <w:r>
              <w:rPr>
                <w:rFonts w:ascii="Arial" w:cs="Arial" w:eastAsia="Arial" w:hAnsi="Arial"/>
                <w:sz w:val="15"/>
                <w:szCs w:val="15"/>
                <w:b w:val="1"/>
                <w:bCs w:val="1"/>
                <w:color w:val="215BA8"/>
              </w:rPr>
              <w:t>11,625</w:t>
            </w:r>
          </w:p>
        </w:tc>
        <w:tc>
          <w:tcPr>
            <w:tcW w:w="3040" w:type="dxa"/>
            <w:vAlign w:val="bottom"/>
          </w:tcPr>
          <w:p>
            <w:pPr>
              <w:spacing w:after="0"/>
              <w:rPr>
                <w:sz w:val="21"/>
                <w:szCs w:val="21"/>
                <w:color w:val="auto"/>
              </w:rPr>
            </w:pPr>
          </w:p>
        </w:tc>
      </w:tr>
      <w:tr>
        <w:trPr>
          <w:trHeight w:val="243"/>
        </w:trPr>
        <w:tc>
          <w:tcPr>
            <w:tcW w:w="2360" w:type="dxa"/>
            <w:vAlign w:val="bottom"/>
          </w:tcPr>
          <w:p>
            <w:pPr>
              <w:ind w:left="540"/>
              <w:spacing w:after="0"/>
              <w:rPr>
                <w:sz w:val="20"/>
                <w:szCs w:val="20"/>
                <w:color w:val="auto"/>
              </w:rPr>
            </w:pPr>
            <w:r>
              <w:rPr>
                <w:rFonts w:ascii="Arial" w:cs="Arial" w:eastAsia="Arial" w:hAnsi="Arial"/>
                <w:sz w:val="15"/>
                <w:szCs w:val="15"/>
                <w:color w:val="auto"/>
              </w:rPr>
              <w:t>RSUs:</w:t>
            </w:r>
          </w:p>
        </w:tc>
        <w:tc>
          <w:tcPr>
            <w:tcW w:w="5840" w:type="dxa"/>
            <w:vAlign w:val="bottom"/>
          </w:tcPr>
          <w:p>
            <w:pPr>
              <w:jc w:val="right"/>
              <w:ind w:right="4546"/>
              <w:spacing w:after="0"/>
              <w:rPr>
                <w:sz w:val="20"/>
                <w:szCs w:val="20"/>
                <w:color w:val="auto"/>
              </w:rPr>
            </w:pPr>
            <w:r>
              <w:rPr>
                <w:rFonts w:ascii="Arial" w:cs="Arial" w:eastAsia="Arial" w:hAnsi="Arial"/>
                <w:sz w:val="15"/>
                <w:szCs w:val="15"/>
                <w:b w:val="1"/>
                <w:bCs w:val="1"/>
                <w:color w:val="215BA8"/>
              </w:rPr>
              <w:t>974</w:t>
            </w:r>
          </w:p>
        </w:tc>
        <w:tc>
          <w:tcPr>
            <w:tcW w:w="3040" w:type="dxa"/>
            <w:vAlign w:val="bottom"/>
          </w:tcPr>
          <w:p>
            <w:pPr>
              <w:spacing w:after="0"/>
              <w:rPr>
                <w:sz w:val="21"/>
                <w:szCs w:val="21"/>
                <w:color w:val="auto"/>
              </w:rPr>
            </w:pPr>
          </w:p>
        </w:tc>
      </w:tr>
      <w:tr>
        <w:trPr>
          <w:trHeight w:val="376"/>
        </w:trPr>
        <w:tc>
          <w:tcPr>
            <w:tcW w:w="8200" w:type="dxa"/>
            <w:vAlign w:val="bottom"/>
            <w:gridSpan w:val="2"/>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17</w:t>
            </w:r>
          </w:p>
        </w:tc>
      </w:tr>
      <w:tr>
        <w:trPr>
          <w:trHeight w:val="222"/>
        </w:trPr>
        <w:tc>
          <w:tcPr>
            <w:tcW w:w="2360" w:type="dxa"/>
            <w:vAlign w:val="bottom"/>
            <w:tcBorders>
              <w:bottom w:val="single" w:sz="8" w:color="C0C0C0"/>
            </w:tcBorders>
          </w:tcPr>
          <w:p>
            <w:pPr>
              <w:spacing w:after="0"/>
              <w:rPr>
                <w:sz w:val="19"/>
                <w:szCs w:val="19"/>
                <w:color w:val="auto"/>
              </w:rPr>
            </w:pPr>
          </w:p>
        </w:tc>
        <w:tc>
          <w:tcPr>
            <w:tcW w:w="584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32" w:name="page33"/>
    <w:bookmarkEnd w:id="32"/>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9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46520" cy="2489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GEORGE L. SING</w:t>
      </w:r>
    </w:p>
    <w:p>
      <w:pPr>
        <w:spacing w:after="0" w:line="2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D6005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-116205</wp:posOffset>
            </wp:positionV>
            <wp:extent cx="1080135" cy="10801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80135" cy="1080135"/>
                    </a:xfrm>
                    <a:prstGeom prst="rect">
                      <a:avLst/>
                    </a:prstGeom>
                    <a:noFill/>
                  </pic:spPr>
                </pic:pic>
              </a:graphicData>
            </a:graphic>
          </wp:anchor>
        </w:drawing>
      </w:r>
    </w:p>
    <w:p>
      <w:pPr>
        <w:spacing w:after="0" w:line="86" w:lineRule="exact"/>
        <w:rPr>
          <w:sz w:val="20"/>
          <w:szCs w:val="20"/>
          <w:color w:val="auto"/>
        </w:rPr>
      </w:pPr>
    </w:p>
    <w:p>
      <w:pPr>
        <w:ind w:left="3980" w:hanging="183"/>
        <w:spacing w:after="0"/>
        <w:tabs>
          <w:tab w:leader="none" w:pos="3980" w:val="left"/>
        </w:tabs>
        <w:numPr>
          <w:ilvl w:val="0"/>
          <w:numId w:val="35"/>
        </w:numPr>
        <w:rPr>
          <w:rFonts w:ascii="Arial" w:cs="Arial" w:eastAsia="Arial" w:hAnsi="Arial"/>
          <w:sz w:val="16"/>
          <w:szCs w:val="16"/>
          <w:b w:val="1"/>
          <w:bCs w:val="1"/>
          <w:color w:val="215BA8"/>
        </w:rPr>
      </w:pPr>
      <w:r>
        <w:rPr>
          <w:rFonts w:ascii="Arial" w:cs="Arial" w:eastAsia="Arial" w:hAnsi="Arial"/>
          <w:sz w:val="16"/>
          <w:szCs w:val="16"/>
          <w:color w:val="auto"/>
        </w:rPr>
        <w:t>Chief Executive Officer of GanD, Inc. since 2016</w:t>
      </w:r>
    </w:p>
    <w:p>
      <w:pPr>
        <w:spacing w:after="0" w:line="72" w:lineRule="exact"/>
        <w:rPr>
          <w:rFonts w:ascii="Arial" w:cs="Arial" w:eastAsia="Arial" w:hAnsi="Arial"/>
          <w:sz w:val="16"/>
          <w:szCs w:val="16"/>
          <w:b w:val="1"/>
          <w:bCs w:val="1"/>
          <w:color w:val="215BA8"/>
        </w:rPr>
      </w:pPr>
    </w:p>
    <w:p>
      <w:pPr>
        <w:ind w:left="3980" w:hanging="183"/>
        <w:spacing w:after="0"/>
        <w:tabs>
          <w:tab w:leader="none" w:pos="3980" w:val="left"/>
        </w:tabs>
        <w:numPr>
          <w:ilvl w:val="0"/>
          <w:numId w:val="35"/>
        </w:numPr>
        <w:rPr>
          <w:rFonts w:ascii="Arial" w:cs="Arial" w:eastAsia="Arial" w:hAnsi="Arial"/>
          <w:sz w:val="16"/>
          <w:szCs w:val="16"/>
          <w:b w:val="1"/>
          <w:bCs w:val="1"/>
          <w:color w:val="215BA8"/>
        </w:rPr>
      </w:pPr>
      <w:r>
        <w:rPr>
          <w:rFonts w:ascii="Arial" w:cs="Arial" w:eastAsia="Arial" w:hAnsi="Arial"/>
          <w:sz w:val="16"/>
          <w:szCs w:val="16"/>
          <w:color w:val="auto"/>
        </w:rPr>
        <w:t>Chair of Grace Science, LLC since 2017</w:t>
      </w:r>
    </w:p>
    <w:p>
      <w:pPr>
        <w:spacing w:after="0" w:line="72" w:lineRule="exact"/>
        <w:rPr>
          <w:rFonts w:ascii="Arial" w:cs="Arial" w:eastAsia="Arial" w:hAnsi="Arial"/>
          <w:sz w:val="16"/>
          <w:szCs w:val="16"/>
          <w:b w:val="1"/>
          <w:bCs w:val="1"/>
          <w:color w:val="215BA8"/>
        </w:rPr>
      </w:pPr>
    </w:p>
    <w:p>
      <w:pPr>
        <w:ind w:left="3980" w:hanging="183"/>
        <w:spacing w:after="0"/>
        <w:tabs>
          <w:tab w:leader="none" w:pos="3980" w:val="left"/>
        </w:tabs>
        <w:numPr>
          <w:ilvl w:val="0"/>
          <w:numId w:val="35"/>
        </w:numPr>
        <w:rPr>
          <w:rFonts w:ascii="Arial" w:cs="Arial" w:eastAsia="Arial" w:hAnsi="Arial"/>
          <w:sz w:val="16"/>
          <w:szCs w:val="16"/>
          <w:b w:val="1"/>
          <w:bCs w:val="1"/>
          <w:color w:val="215BA8"/>
        </w:rPr>
      </w:pPr>
      <w:r>
        <w:rPr>
          <w:rFonts w:ascii="Arial" w:cs="Arial" w:eastAsia="Arial" w:hAnsi="Arial"/>
          <w:sz w:val="16"/>
          <w:szCs w:val="16"/>
          <w:color w:val="auto"/>
        </w:rPr>
        <w:t>Extensive venture capital and leadership experience in the biotechnology sector</w:t>
      </w:r>
    </w:p>
    <w:p>
      <w:pPr>
        <w:spacing w:after="0" w:line="151" w:lineRule="exact"/>
        <w:rPr>
          <w:sz w:val="20"/>
          <w:szCs w:val="20"/>
          <w:color w:val="auto"/>
        </w:rPr>
      </w:pPr>
    </w:p>
    <w:p>
      <w:pPr>
        <w:ind w:left="3800" w:right="600"/>
        <w:spacing w:after="0" w:line="238" w:lineRule="auto"/>
        <w:rPr>
          <w:sz w:val="20"/>
          <w:szCs w:val="20"/>
          <w:color w:val="auto"/>
        </w:rPr>
      </w:pPr>
      <w:r>
        <w:rPr>
          <w:rFonts w:ascii="Arial" w:cs="Arial" w:eastAsia="Arial" w:hAnsi="Arial"/>
          <w:sz w:val="16"/>
          <w:szCs w:val="16"/>
          <w:i w:val="1"/>
          <w:iCs w:val="1"/>
          <w:color w:val="auto"/>
        </w:rPr>
        <w:t>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1988</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72</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Board and Committee Membership–2021</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Attendance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Board of Directors:</w:t>
            </w:r>
          </w:p>
        </w:tc>
        <w:tc>
          <w:tcPr>
            <w:tcW w:w="8520" w:type="dxa"/>
            <w:vAlign w:val="bottom"/>
            <w:gridSpan w:val="2"/>
          </w:tcPr>
          <w:p>
            <w:pPr>
              <w:jc w:val="right"/>
              <w:ind w:right="7588"/>
              <w:spacing w:after="0"/>
              <w:rPr>
                <w:sz w:val="20"/>
                <w:szCs w:val="20"/>
                <w:color w:val="auto"/>
              </w:rPr>
            </w:pPr>
            <w:r>
              <w:rPr>
                <w:rFonts w:ascii="Arial" w:cs="Arial" w:eastAsia="Arial" w:hAnsi="Arial"/>
                <w:sz w:val="15"/>
                <w:szCs w:val="15"/>
                <w:b w:val="1"/>
                <w:bCs w:val="1"/>
                <w:color w:val="215BA8"/>
              </w:rPr>
              <w:t>9/9</w:t>
            </w:r>
          </w:p>
        </w:tc>
      </w:tr>
      <w:tr>
        <w:trPr>
          <w:trHeight w:val="243"/>
        </w:trPr>
        <w:tc>
          <w:tcPr>
            <w:tcW w:w="5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Audit Committee (Chair):</w:t>
            </w:r>
          </w:p>
        </w:tc>
        <w:tc>
          <w:tcPr>
            <w:tcW w:w="8520" w:type="dxa"/>
            <w:vAlign w:val="bottom"/>
            <w:gridSpan w:val="2"/>
          </w:tcPr>
          <w:p>
            <w:pPr>
              <w:jc w:val="right"/>
              <w:ind w:right="7588"/>
              <w:spacing w:after="0"/>
              <w:rPr>
                <w:sz w:val="20"/>
                <w:szCs w:val="20"/>
                <w:color w:val="auto"/>
              </w:rPr>
            </w:pPr>
            <w:r>
              <w:rPr>
                <w:rFonts w:ascii="Arial" w:cs="Arial" w:eastAsia="Arial" w:hAnsi="Arial"/>
                <w:sz w:val="15"/>
                <w:szCs w:val="15"/>
                <w:b w:val="1"/>
                <w:bCs w:val="1"/>
                <w:color w:val="215BA8"/>
              </w:rPr>
              <w:t>10/10</w:t>
            </w:r>
          </w:p>
        </w:tc>
      </w:tr>
      <w:tr>
        <w:trPr>
          <w:trHeight w:val="243"/>
        </w:trPr>
        <w:tc>
          <w:tcPr>
            <w:tcW w:w="5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Compensation Committee:</w:t>
            </w:r>
          </w:p>
        </w:tc>
        <w:tc>
          <w:tcPr>
            <w:tcW w:w="8520" w:type="dxa"/>
            <w:vAlign w:val="bottom"/>
            <w:gridSpan w:val="2"/>
          </w:tcPr>
          <w:p>
            <w:pPr>
              <w:jc w:val="right"/>
              <w:ind w:right="7588"/>
              <w:spacing w:after="0"/>
              <w:rPr>
                <w:sz w:val="20"/>
                <w:szCs w:val="20"/>
                <w:color w:val="auto"/>
              </w:rPr>
            </w:pPr>
            <w:r>
              <w:rPr>
                <w:rFonts w:ascii="Arial" w:cs="Arial" w:eastAsia="Arial" w:hAnsi="Arial"/>
                <w:sz w:val="15"/>
                <w:szCs w:val="15"/>
                <w:b w:val="1"/>
                <w:bCs w:val="1"/>
                <w:color w:val="215BA8"/>
              </w:rPr>
              <w:t>15/15</w:t>
            </w:r>
          </w:p>
        </w:tc>
      </w:tr>
      <w:tr>
        <w:trPr>
          <w:trHeight w:val="145"/>
        </w:trPr>
        <w:tc>
          <w:tcPr>
            <w:tcW w:w="540" w:type="dxa"/>
            <w:vAlign w:val="bottom"/>
          </w:tcPr>
          <w:p>
            <w:pPr>
              <w:spacing w:after="0"/>
              <w:rPr>
                <w:sz w:val="12"/>
                <w:szCs w:val="12"/>
                <w:color w:val="auto"/>
              </w:rPr>
            </w:pPr>
          </w:p>
        </w:tc>
        <w:tc>
          <w:tcPr>
            <w:tcW w:w="3040" w:type="dxa"/>
            <w:vAlign w:val="bottom"/>
            <w:tcBorders>
              <w:bottom w:val="single" w:sz="8" w:color="auto"/>
            </w:tcBorders>
            <w:gridSpan w:val="2"/>
          </w:tcPr>
          <w:p>
            <w:pPr>
              <w:spacing w:after="0"/>
              <w:rPr>
                <w:sz w:val="12"/>
                <w:szCs w:val="12"/>
                <w:color w:val="auto"/>
              </w:rPr>
            </w:pPr>
          </w:p>
        </w:tc>
        <w:tc>
          <w:tcPr>
            <w:tcW w:w="7660" w:type="dxa"/>
            <w:vAlign w:val="bottom"/>
          </w:tcPr>
          <w:p>
            <w:pPr>
              <w:spacing w:after="0"/>
              <w:rPr>
                <w:sz w:val="12"/>
                <w:szCs w:val="12"/>
                <w:color w:val="auto"/>
              </w:rPr>
            </w:pPr>
          </w:p>
        </w:tc>
      </w:tr>
      <w:tr>
        <w:trPr>
          <w:trHeight w:val="300"/>
        </w:trPr>
        <w:tc>
          <w:tcPr>
            <w:tcW w:w="540" w:type="dxa"/>
            <w:vAlign w:val="bottom"/>
          </w:tcPr>
          <w:p>
            <w:pPr>
              <w:spacing w:after="0"/>
              <w:rPr>
                <w:sz w:val="24"/>
                <w:szCs w:val="24"/>
                <w:color w:val="auto"/>
              </w:rPr>
            </w:pPr>
          </w:p>
        </w:tc>
        <w:tc>
          <w:tcPr>
            <w:tcW w:w="10700" w:type="dxa"/>
            <w:vAlign w:val="bottom"/>
            <w:gridSpan w:val="3"/>
          </w:tcPr>
          <w:p>
            <w:pPr>
              <w:spacing w:after="0"/>
              <w:rPr>
                <w:sz w:val="20"/>
                <w:szCs w:val="20"/>
                <w:color w:val="auto"/>
              </w:rPr>
            </w:pPr>
            <w:r>
              <w:rPr>
                <w:rFonts w:ascii="Arial" w:cs="Arial" w:eastAsia="Arial" w:hAnsi="Arial"/>
                <w:sz w:val="15"/>
                <w:szCs w:val="15"/>
                <w:b w:val="1"/>
                <w:bCs w:val="1"/>
                <w:color w:val="215BA8"/>
              </w:rPr>
              <w:t>Regeneron Securities Beneficially Owned</w:t>
            </w:r>
          </w:p>
        </w:tc>
      </w:tr>
      <w:tr>
        <w:trPr>
          <w:trHeight w:val="196"/>
        </w:trPr>
        <w:tc>
          <w:tcPr>
            <w:tcW w:w="5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5"/>
                <w:szCs w:val="15"/>
                <w:b w:val="1"/>
                <w:bCs w:val="1"/>
                <w:color w:val="215BA8"/>
              </w:rPr>
              <w:t>as of April 12, 2022</w:t>
            </w:r>
          </w:p>
        </w:tc>
        <w:tc>
          <w:tcPr>
            <w:tcW w:w="860" w:type="dxa"/>
            <w:vAlign w:val="bottom"/>
          </w:tcPr>
          <w:p>
            <w:pPr>
              <w:spacing w:after="0"/>
              <w:rPr>
                <w:sz w:val="17"/>
                <w:szCs w:val="17"/>
                <w:color w:val="auto"/>
              </w:rPr>
            </w:pPr>
          </w:p>
        </w:tc>
        <w:tc>
          <w:tcPr>
            <w:tcW w:w="7660" w:type="dxa"/>
            <w:vAlign w:val="bottom"/>
          </w:tcPr>
          <w:p>
            <w:pPr>
              <w:spacing w:after="0"/>
              <w:rPr>
                <w:sz w:val="17"/>
                <w:szCs w:val="17"/>
                <w:color w:val="auto"/>
              </w:rPr>
            </w:pPr>
          </w:p>
        </w:tc>
      </w:tr>
      <w:tr>
        <w:trPr>
          <w:trHeight w:val="243"/>
        </w:trPr>
        <w:tc>
          <w:tcPr>
            <w:tcW w:w="5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Common Stock:</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27,117</w:t>
            </w:r>
          </w:p>
        </w:tc>
        <w:tc>
          <w:tcPr>
            <w:tcW w:w="766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Options: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215BA8"/>
              </w:rPr>
              <w:t>48,249</w:t>
            </w:r>
          </w:p>
        </w:tc>
        <w:tc>
          <w:tcPr>
            <w:tcW w:w="766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2180" w:type="dxa"/>
            <w:vAlign w:val="bottom"/>
          </w:tcPr>
          <w:p>
            <w:pPr>
              <w:spacing w:after="0"/>
              <w:rPr>
                <w:sz w:val="20"/>
                <w:szCs w:val="20"/>
                <w:color w:val="auto"/>
              </w:rPr>
            </w:pPr>
            <w:r>
              <w:rPr>
                <w:rFonts w:ascii="Arial" w:cs="Arial" w:eastAsia="Arial" w:hAnsi="Arial"/>
                <w:sz w:val="15"/>
                <w:szCs w:val="15"/>
                <w:color w:val="auto"/>
              </w:rPr>
              <w:t>RSUs:</w:t>
            </w:r>
          </w:p>
        </w:tc>
        <w:tc>
          <w:tcPr>
            <w:tcW w:w="8520" w:type="dxa"/>
            <w:vAlign w:val="bottom"/>
            <w:gridSpan w:val="2"/>
          </w:tcPr>
          <w:p>
            <w:pPr>
              <w:jc w:val="right"/>
              <w:ind w:right="7588"/>
              <w:spacing w:after="0"/>
              <w:rPr>
                <w:sz w:val="20"/>
                <w:szCs w:val="20"/>
                <w:color w:val="auto"/>
              </w:rPr>
            </w:pPr>
            <w:r>
              <w:rPr>
                <w:rFonts w:ascii="Arial" w:cs="Arial" w:eastAsia="Arial" w:hAnsi="Arial"/>
                <w:sz w:val="15"/>
                <w:szCs w:val="15"/>
                <w:b w:val="1"/>
                <w:bCs w:val="1"/>
                <w:color w:val="215BA8"/>
              </w:rPr>
              <w:t>974</w:t>
            </w:r>
          </w:p>
        </w:tc>
      </w:tr>
      <w:tr>
        <w:trPr>
          <w:trHeight w:val="376"/>
        </w:trPr>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18 </w:t>
            </w:r>
            <w:r>
              <w:rPr>
                <w:rFonts w:ascii="Arial" w:cs="Arial" w:eastAsia="Arial" w:hAnsi="Arial"/>
                <w:sz w:val="14"/>
                <w:szCs w:val="14"/>
                <w:b w:val="1"/>
                <w:bCs w:val="1"/>
                <w:color w:val="00ADEE"/>
              </w:rPr>
              <w:t>/</w:t>
            </w: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60" w:type="dxa"/>
            <w:vAlign w:val="bottom"/>
          </w:tcPr>
          <w:p>
            <w:pPr>
              <w:jc w:val="right"/>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r>
      <w:tr>
        <w:trPr>
          <w:trHeight w:val="221"/>
        </w:trPr>
        <w:tc>
          <w:tcPr>
            <w:tcW w:w="540" w:type="dxa"/>
            <w:vAlign w:val="bottom"/>
            <w:tcBorders>
              <w:bottom w:val="single" w:sz="8" w:color="C0C0C0"/>
            </w:tcBorders>
          </w:tcPr>
          <w:p>
            <w:pPr>
              <w:spacing w:after="0"/>
              <w:rPr>
                <w:sz w:val="19"/>
                <w:szCs w:val="19"/>
                <w:color w:val="auto"/>
              </w:rPr>
            </w:pPr>
          </w:p>
        </w:tc>
        <w:tc>
          <w:tcPr>
            <w:tcW w:w="2180" w:type="dxa"/>
            <w:vAlign w:val="bottom"/>
            <w:tcBorders>
              <w:bottom w:val="single" w:sz="8" w:color="C0C0C0"/>
            </w:tcBorders>
          </w:tcPr>
          <w:p>
            <w:pPr>
              <w:spacing w:after="0"/>
              <w:rPr>
                <w:sz w:val="19"/>
                <w:szCs w:val="19"/>
                <w:color w:val="auto"/>
              </w:rPr>
            </w:pPr>
          </w:p>
        </w:tc>
        <w:tc>
          <w:tcPr>
            <w:tcW w:w="860" w:type="dxa"/>
            <w:vAlign w:val="bottom"/>
            <w:tcBorders>
              <w:bottom w:val="single" w:sz="8" w:color="C0C0C0"/>
            </w:tcBorders>
          </w:tcPr>
          <w:p>
            <w:pPr>
              <w:spacing w:after="0"/>
              <w:rPr>
                <w:sz w:val="19"/>
                <w:szCs w:val="19"/>
                <w:color w:val="auto"/>
              </w:rPr>
            </w:pPr>
          </w:p>
        </w:tc>
        <w:tc>
          <w:tcPr>
            <w:tcW w:w="766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33" w:name="page34"/>
    <w:bookmarkEnd w:id="33"/>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MEET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309245</wp:posOffset>
            </wp:positionV>
            <wp:extent cx="6446520" cy="2489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46520" cy="2489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23"/>
          <w:szCs w:val="23"/>
          <w:b w:val="1"/>
          <w:bCs w:val="1"/>
          <w:color w:val="FFFFFF"/>
        </w:rPr>
        <w:t>MARC TESSIER-LAVIGNE, PH.D.</w:t>
      </w:r>
    </w:p>
    <w:p>
      <w:pPr>
        <w:spacing w:after="0" w:line="24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D60058"/>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-116205</wp:posOffset>
            </wp:positionV>
            <wp:extent cx="1080135" cy="10883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Director since: </w:t>
      </w:r>
      <w:r>
        <w:rPr>
          <w:rFonts w:ascii="Arial" w:cs="Arial" w:eastAsia="Arial" w:hAnsi="Arial"/>
          <w:sz w:val="15"/>
          <w:szCs w:val="15"/>
          <w:color w:val="000000"/>
        </w:rPr>
        <w:t>2011</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Age: </w:t>
      </w:r>
      <w:r>
        <w:rPr>
          <w:rFonts w:ascii="Arial" w:cs="Arial" w:eastAsia="Arial" w:hAnsi="Arial"/>
          <w:sz w:val="15"/>
          <w:szCs w:val="15"/>
          <w:color w:val="000000"/>
        </w:rPr>
        <w:t>62</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107315</wp:posOffset>
            </wp:positionV>
            <wp:extent cx="1928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07" w:lineRule="exact"/>
        <w:rPr>
          <w:sz w:val="20"/>
          <w:szCs w:val="20"/>
          <w:color w:val="auto"/>
        </w:rPr>
      </w:pPr>
    </w:p>
    <w:p>
      <w:pPr>
        <w:ind w:left="540" w:right="160"/>
        <w:spacing w:after="0" w:line="258" w:lineRule="auto"/>
        <w:rPr>
          <w:sz w:val="20"/>
          <w:szCs w:val="20"/>
          <w:color w:val="auto"/>
        </w:rPr>
      </w:pPr>
      <w:r>
        <w:rPr>
          <w:rFonts w:ascii="Arial" w:cs="Arial" w:eastAsia="Arial" w:hAnsi="Arial"/>
          <w:sz w:val="15"/>
          <w:szCs w:val="15"/>
          <w:b w:val="1"/>
          <w:bCs w:val="1"/>
          <w:color w:val="215BA8"/>
        </w:rPr>
        <w:t>Board and Committee Membership–2021 Attendance</w:t>
      </w:r>
    </w:p>
    <w:p>
      <w:pPr>
        <w:spacing w:after="0" w:line="34"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2080" w:type="dxa"/>
            <w:vAlign w:val="bottom"/>
          </w:tcPr>
          <w:p>
            <w:pPr>
              <w:spacing w:after="0"/>
              <w:rPr>
                <w:sz w:val="20"/>
                <w:szCs w:val="20"/>
                <w:color w:val="auto"/>
              </w:rPr>
            </w:pPr>
            <w:r>
              <w:rPr>
                <w:rFonts w:ascii="Arial" w:cs="Arial" w:eastAsia="Arial" w:hAnsi="Arial"/>
                <w:sz w:val="15"/>
                <w:szCs w:val="15"/>
                <w:color w:val="auto"/>
              </w:rPr>
              <w:t>Board of Directors: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15BA8"/>
              </w:rPr>
              <w:t>9/9</w:t>
            </w:r>
          </w:p>
        </w:tc>
      </w:tr>
      <w:tr>
        <w:trPr>
          <w:trHeight w:val="243"/>
        </w:trPr>
        <w:tc>
          <w:tcPr>
            <w:tcW w:w="2080" w:type="dxa"/>
            <w:vAlign w:val="bottom"/>
          </w:tcPr>
          <w:p>
            <w:pPr>
              <w:spacing w:after="0"/>
              <w:rPr>
                <w:sz w:val="20"/>
                <w:szCs w:val="20"/>
                <w:color w:val="auto"/>
              </w:rPr>
            </w:pPr>
            <w:r>
              <w:rPr>
                <w:rFonts w:ascii="Arial" w:cs="Arial" w:eastAsia="Arial" w:hAnsi="Arial"/>
                <w:sz w:val="15"/>
                <w:szCs w:val="15"/>
                <w:color w:val="auto"/>
              </w:rPr>
              <w:t>Technology Committee:</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15BA8"/>
              </w:rPr>
              <w:t>2/2</w:t>
            </w:r>
          </w:p>
        </w:tc>
      </w:tr>
      <w:tr>
        <w:trPr>
          <w:trHeight w:val="145"/>
        </w:trPr>
        <w:tc>
          <w:tcPr>
            <w:tcW w:w="3040" w:type="dxa"/>
            <w:vAlign w:val="bottom"/>
            <w:tcBorders>
              <w:bottom w:val="single" w:sz="8" w:color="auto"/>
            </w:tcBorders>
            <w:gridSpan w:val="2"/>
          </w:tcPr>
          <w:p>
            <w:pPr>
              <w:spacing w:after="0"/>
              <w:rPr>
                <w:sz w:val="12"/>
                <w:szCs w:val="12"/>
                <w:color w:val="auto"/>
              </w:rPr>
            </w:pPr>
          </w:p>
        </w:tc>
      </w:tr>
      <w:tr>
        <w:trPr>
          <w:trHeight w:val="300"/>
        </w:trPr>
        <w:tc>
          <w:tcPr>
            <w:tcW w:w="3040" w:type="dxa"/>
            <w:vAlign w:val="bottom"/>
            <w:gridSpan w:val="2"/>
          </w:tcPr>
          <w:p>
            <w:pPr>
              <w:spacing w:after="0"/>
              <w:rPr>
                <w:sz w:val="20"/>
                <w:szCs w:val="20"/>
                <w:color w:val="auto"/>
              </w:rPr>
            </w:pPr>
            <w:r>
              <w:rPr>
                <w:rFonts w:ascii="Arial" w:cs="Arial" w:eastAsia="Arial" w:hAnsi="Arial"/>
                <w:sz w:val="15"/>
                <w:szCs w:val="15"/>
                <w:b w:val="1"/>
                <w:bCs w:val="1"/>
                <w:color w:val="215BA8"/>
              </w:rPr>
              <w:t>Regeneron Securities Beneficially Owned</w:t>
            </w:r>
          </w:p>
        </w:tc>
      </w:tr>
      <w:tr>
        <w:trPr>
          <w:trHeight w:val="196"/>
        </w:trPr>
        <w:tc>
          <w:tcPr>
            <w:tcW w:w="2080" w:type="dxa"/>
            <w:vAlign w:val="bottom"/>
          </w:tcPr>
          <w:p>
            <w:pPr>
              <w:spacing w:after="0"/>
              <w:rPr>
                <w:sz w:val="20"/>
                <w:szCs w:val="20"/>
                <w:color w:val="auto"/>
              </w:rPr>
            </w:pPr>
            <w:r>
              <w:rPr>
                <w:rFonts w:ascii="Arial" w:cs="Arial" w:eastAsia="Arial" w:hAnsi="Arial"/>
                <w:sz w:val="15"/>
                <w:szCs w:val="15"/>
                <w:b w:val="1"/>
                <w:bCs w:val="1"/>
                <w:color w:val="215BA8"/>
              </w:rPr>
              <w:t>as of April 12, 2022</w:t>
            </w:r>
          </w:p>
        </w:tc>
        <w:tc>
          <w:tcPr>
            <w:tcW w:w="960" w:type="dxa"/>
            <w:vAlign w:val="bottom"/>
          </w:tcPr>
          <w:p>
            <w:pPr>
              <w:spacing w:after="0"/>
              <w:rPr>
                <w:sz w:val="17"/>
                <w:szCs w:val="17"/>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15"/>
                <w:szCs w:val="15"/>
                <w:color w:val="auto"/>
              </w:rPr>
              <w:t>Common Stock:</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15BA8"/>
              </w:rPr>
              <w:t>1,187</w:t>
            </w:r>
          </w:p>
        </w:tc>
      </w:tr>
      <w:tr>
        <w:trPr>
          <w:trHeight w:val="243"/>
        </w:trPr>
        <w:tc>
          <w:tcPr>
            <w:tcW w:w="2080" w:type="dxa"/>
            <w:vAlign w:val="bottom"/>
          </w:tcPr>
          <w:p>
            <w:pPr>
              <w:spacing w:after="0"/>
              <w:rPr>
                <w:sz w:val="20"/>
                <w:szCs w:val="20"/>
                <w:color w:val="auto"/>
              </w:rPr>
            </w:pPr>
            <w:r>
              <w:rPr>
                <w:rFonts w:ascii="Arial" w:cs="Arial" w:eastAsia="Arial" w:hAnsi="Arial"/>
                <w:sz w:val="15"/>
                <w:szCs w:val="15"/>
                <w:color w:val="auto"/>
              </w:rPr>
              <w:t>Options: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15BA8"/>
              </w:rPr>
              <w:t>24,835</w:t>
            </w:r>
          </w:p>
        </w:tc>
      </w:tr>
      <w:tr>
        <w:trPr>
          <w:trHeight w:val="243"/>
        </w:trPr>
        <w:tc>
          <w:tcPr>
            <w:tcW w:w="2080" w:type="dxa"/>
            <w:vAlign w:val="bottom"/>
          </w:tcPr>
          <w:p>
            <w:pPr>
              <w:spacing w:after="0"/>
              <w:rPr>
                <w:sz w:val="20"/>
                <w:szCs w:val="20"/>
                <w:color w:val="auto"/>
              </w:rPr>
            </w:pPr>
            <w:r>
              <w:rPr>
                <w:rFonts w:ascii="Arial" w:cs="Arial" w:eastAsia="Arial" w:hAnsi="Arial"/>
                <w:sz w:val="15"/>
                <w:szCs w:val="15"/>
                <w:color w:val="auto"/>
              </w:rPr>
              <w:t>RSUs:</w:t>
            </w:r>
          </w:p>
        </w:tc>
        <w:tc>
          <w:tcPr>
            <w:tcW w:w="960" w:type="dxa"/>
            <w:vAlign w:val="bottom"/>
          </w:tcPr>
          <w:p>
            <w:pPr>
              <w:jc w:val="right"/>
              <w:spacing w:after="0"/>
              <w:rPr>
                <w:sz w:val="20"/>
                <w:szCs w:val="20"/>
                <w:color w:val="auto"/>
              </w:rPr>
            </w:pPr>
            <w:r>
              <w:rPr>
                <w:rFonts w:ascii="Arial" w:cs="Arial" w:eastAsia="Arial" w:hAnsi="Arial"/>
                <w:sz w:val="15"/>
                <w:szCs w:val="15"/>
                <w:b w:val="1"/>
                <w:bCs w:val="1"/>
                <w:color w:val="215BA8"/>
              </w:rPr>
              <w:t>974</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183" w:hanging="183"/>
        <w:spacing w:after="0"/>
        <w:tabs>
          <w:tab w:leader="none" w:pos="183" w:val="left"/>
        </w:tabs>
        <w:numPr>
          <w:ilvl w:val="0"/>
          <w:numId w:val="36"/>
        </w:numPr>
        <w:rPr>
          <w:rFonts w:ascii="Arial" w:cs="Arial" w:eastAsia="Arial" w:hAnsi="Arial"/>
          <w:sz w:val="16"/>
          <w:szCs w:val="16"/>
          <w:b w:val="1"/>
          <w:bCs w:val="1"/>
          <w:color w:val="215BA8"/>
        </w:rPr>
      </w:pPr>
      <w:r>
        <w:rPr>
          <w:rFonts w:ascii="Arial" w:cs="Arial" w:eastAsia="Arial" w:hAnsi="Arial"/>
          <w:sz w:val="16"/>
          <w:szCs w:val="16"/>
          <w:color w:val="auto"/>
        </w:rPr>
        <w:t>President of Stanford University since 2016</w:t>
      </w:r>
    </w:p>
    <w:p>
      <w:pPr>
        <w:spacing w:after="0" w:line="72" w:lineRule="exact"/>
        <w:rPr>
          <w:rFonts w:ascii="Arial" w:cs="Arial" w:eastAsia="Arial" w:hAnsi="Arial"/>
          <w:sz w:val="16"/>
          <w:szCs w:val="16"/>
          <w:b w:val="1"/>
          <w:bCs w:val="1"/>
          <w:color w:val="215BA8"/>
        </w:rPr>
      </w:pPr>
    </w:p>
    <w:p>
      <w:pPr>
        <w:ind w:left="183" w:right="560" w:hanging="183"/>
        <w:spacing w:after="0" w:line="236" w:lineRule="auto"/>
        <w:tabs>
          <w:tab w:leader="none" w:pos="183" w:val="left"/>
        </w:tabs>
        <w:numPr>
          <w:ilvl w:val="0"/>
          <w:numId w:val="36"/>
        </w:numPr>
        <w:rPr>
          <w:rFonts w:ascii="Arial" w:cs="Arial" w:eastAsia="Arial" w:hAnsi="Arial"/>
          <w:sz w:val="16"/>
          <w:szCs w:val="16"/>
          <w:b w:val="1"/>
          <w:bCs w:val="1"/>
          <w:color w:val="215BA8"/>
        </w:rPr>
      </w:pPr>
      <w:r>
        <w:rPr>
          <w:rFonts w:ascii="Arial" w:cs="Arial" w:eastAsia="Arial" w:hAnsi="Arial"/>
          <w:sz w:val="16"/>
          <w:szCs w:val="16"/>
          <w:color w:val="auto"/>
        </w:rPr>
        <w:t>President of The Rockefeller University and Carson Family Professor and head of the Laboratory of Brain Development at The Rockefeller University from 2011 to 2016</w:t>
      </w:r>
    </w:p>
    <w:p>
      <w:pPr>
        <w:spacing w:after="0" w:line="70"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6"/>
        </w:numPr>
        <w:rPr>
          <w:rFonts w:ascii="Arial" w:cs="Arial" w:eastAsia="Arial" w:hAnsi="Arial"/>
          <w:sz w:val="16"/>
          <w:szCs w:val="16"/>
          <w:b w:val="1"/>
          <w:bCs w:val="1"/>
          <w:color w:val="215BA8"/>
        </w:rPr>
      </w:pPr>
      <w:r>
        <w:rPr>
          <w:rFonts w:ascii="Arial" w:cs="Arial" w:eastAsia="Arial" w:hAnsi="Arial"/>
          <w:sz w:val="16"/>
          <w:szCs w:val="16"/>
          <w:color w:val="auto"/>
        </w:rPr>
        <w:t>Executive Vice President and Chief Scientific Officer at Genentech, Inc. from 2003 to 2011</w:t>
      </w:r>
    </w:p>
    <w:p>
      <w:pPr>
        <w:spacing w:after="0" w:line="72" w:lineRule="exact"/>
        <w:rPr>
          <w:rFonts w:ascii="Arial" w:cs="Arial" w:eastAsia="Arial" w:hAnsi="Arial"/>
          <w:sz w:val="16"/>
          <w:szCs w:val="16"/>
          <w:b w:val="1"/>
          <w:bCs w:val="1"/>
          <w:color w:val="215BA8"/>
        </w:rPr>
      </w:pPr>
    </w:p>
    <w:p>
      <w:pPr>
        <w:ind w:left="183" w:right="1040" w:hanging="183"/>
        <w:spacing w:after="0" w:line="236" w:lineRule="auto"/>
        <w:tabs>
          <w:tab w:leader="none" w:pos="183" w:val="left"/>
        </w:tabs>
        <w:numPr>
          <w:ilvl w:val="0"/>
          <w:numId w:val="36"/>
        </w:numPr>
        <w:rPr>
          <w:rFonts w:ascii="Arial" w:cs="Arial" w:eastAsia="Arial" w:hAnsi="Arial"/>
          <w:sz w:val="16"/>
          <w:szCs w:val="16"/>
          <w:b w:val="1"/>
          <w:bCs w:val="1"/>
          <w:color w:val="215BA8"/>
        </w:rPr>
      </w:pPr>
      <w:r>
        <w:rPr>
          <w:rFonts w:ascii="Arial" w:cs="Arial" w:eastAsia="Arial" w:hAnsi="Arial"/>
          <w:sz w:val="16"/>
          <w:szCs w:val="16"/>
          <w:color w:val="auto"/>
        </w:rPr>
        <w:t>Professor at Stanford University from 2001 to 2003 and at the University of California, San Francisco from 1991 to 2001</w:t>
      </w:r>
    </w:p>
    <w:p>
      <w:pPr>
        <w:spacing w:after="0" w:line="70" w:lineRule="exact"/>
        <w:rPr>
          <w:rFonts w:ascii="Arial" w:cs="Arial" w:eastAsia="Arial" w:hAnsi="Arial"/>
          <w:sz w:val="16"/>
          <w:szCs w:val="16"/>
          <w:b w:val="1"/>
          <w:bCs w:val="1"/>
          <w:color w:val="215BA8"/>
        </w:rPr>
      </w:pPr>
    </w:p>
    <w:p>
      <w:pPr>
        <w:ind w:left="183" w:right="780" w:hanging="183"/>
        <w:spacing w:after="0" w:line="236" w:lineRule="auto"/>
        <w:tabs>
          <w:tab w:leader="none" w:pos="183" w:val="left"/>
        </w:tabs>
        <w:numPr>
          <w:ilvl w:val="0"/>
          <w:numId w:val="36"/>
        </w:numPr>
        <w:rPr>
          <w:rFonts w:ascii="Arial" w:cs="Arial" w:eastAsia="Arial" w:hAnsi="Arial"/>
          <w:sz w:val="16"/>
          <w:szCs w:val="16"/>
          <w:b w:val="1"/>
          <w:bCs w:val="1"/>
          <w:color w:val="215BA8"/>
        </w:rPr>
      </w:pPr>
      <w:r>
        <w:rPr>
          <w:rFonts w:ascii="Arial" w:cs="Arial" w:eastAsia="Arial" w:hAnsi="Arial"/>
          <w:sz w:val="16"/>
          <w:szCs w:val="16"/>
          <w:color w:val="auto"/>
        </w:rPr>
        <w:t>Former member of the board of directors of Pfizer Inc., Agios Pharmaceuticals, Inc., and Juno Therapeutics, Inc.</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Scientific Society Memberships</w:t>
      </w:r>
    </w:p>
    <w:p>
      <w:pPr>
        <w:spacing w:after="0" w:line="106" w:lineRule="exact"/>
        <w:rPr>
          <w:sz w:val="20"/>
          <w:szCs w:val="20"/>
          <w:color w:val="auto"/>
        </w:rPr>
      </w:pPr>
    </w:p>
    <w:p>
      <w:pPr>
        <w:ind w:left="183" w:hanging="183"/>
        <w:spacing w:after="0"/>
        <w:tabs>
          <w:tab w:leader="none" w:pos="183" w:val="left"/>
        </w:tabs>
        <w:numPr>
          <w:ilvl w:val="0"/>
          <w:numId w:val="37"/>
        </w:numPr>
        <w:rPr>
          <w:rFonts w:ascii="Arial" w:cs="Arial" w:eastAsia="Arial" w:hAnsi="Arial"/>
          <w:sz w:val="16"/>
          <w:szCs w:val="16"/>
          <w:b w:val="1"/>
          <w:bCs w:val="1"/>
          <w:color w:val="215BA8"/>
        </w:rPr>
      </w:pPr>
      <w:r>
        <w:rPr>
          <w:rFonts w:ascii="Arial" w:cs="Arial" w:eastAsia="Arial" w:hAnsi="Arial"/>
          <w:sz w:val="16"/>
          <w:szCs w:val="16"/>
          <w:color w:val="auto"/>
        </w:rPr>
        <w:t>The National Academy of Sciences</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7"/>
        </w:numPr>
        <w:rPr>
          <w:rFonts w:ascii="Arial" w:cs="Arial" w:eastAsia="Arial" w:hAnsi="Arial"/>
          <w:sz w:val="16"/>
          <w:szCs w:val="16"/>
          <w:b w:val="1"/>
          <w:bCs w:val="1"/>
          <w:color w:val="215BA8"/>
        </w:rPr>
      </w:pPr>
      <w:r>
        <w:rPr>
          <w:rFonts w:ascii="Arial" w:cs="Arial" w:eastAsia="Arial" w:hAnsi="Arial"/>
          <w:sz w:val="16"/>
          <w:szCs w:val="16"/>
          <w:color w:val="auto"/>
        </w:rPr>
        <w:t>The National Academy of Medicine</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7"/>
        </w:numPr>
        <w:rPr>
          <w:rFonts w:ascii="Arial" w:cs="Arial" w:eastAsia="Arial" w:hAnsi="Arial"/>
          <w:sz w:val="16"/>
          <w:szCs w:val="16"/>
          <w:b w:val="1"/>
          <w:bCs w:val="1"/>
          <w:color w:val="215BA8"/>
        </w:rPr>
      </w:pPr>
      <w:r>
        <w:rPr>
          <w:rFonts w:ascii="Arial" w:cs="Arial" w:eastAsia="Arial" w:hAnsi="Arial"/>
          <w:sz w:val="16"/>
          <w:szCs w:val="16"/>
          <w:color w:val="auto"/>
        </w:rPr>
        <w:t>The Royal Society of London</w:t>
      </w:r>
    </w:p>
    <w:p>
      <w:pPr>
        <w:spacing w:after="0" w:line="72" w:lineRule="exact"/>
        <w:rPr>
          <w:rFonts w:ascii="Arial" w:cs="Arial" w:eastAsia="Arial" w:hAnsi="Arial"/>
          <w:sz w:val="16"/>
          <w:szCs w:val="16"/>
          <w:b w:val="1"/>
          <w:bCs w:val="1"/>
          <w:color w:val="215BA8"/>
        </w:rPr>
      </w:pPr>
    </w:p>
    <w:p>
      <w:pPr>
        <w:ind w:left="183" w:hanging="183"/>
        <w:spacing w:after="0"/>
        <w:tabs>
          <w:tab w:leader="none" w:pos="183" w:val="left"/>
        </w:tabs>
        <w:numPr>
          <w:ilvl w:val="0"/>
          <w:numId w:val="37"/>
        </w:numPr>
        <w:rPr>
          <w:rFonts w:ascii="Arial" w:cs="Arial" w:eastAsia="Arial" w:hAnsi="Arial"/>
          <w:sz w:val="16"/>
          <w:szCs w:val="16"/>
          <w:b w:val="1"/>
          <w:bCs w:val="1"/>
          <w:color w:val="215BA8"/>
        </w:rPr>
      </w:pPr>
      <w:r>
        <w:rPr>
          <w:rFonts w:ascii="Arial" w:cs="Arial" w:eastAsia="Arial" w:hAnsi="Arial"/>
          <w:sz w:val="16"/>
          <w:szCs w:val="16"/>
          <w:color w:val="auto"/>
        </w:rPr>
        <w:t>The Royal Society of Canada</w:t>
      </w:r>
    </w:p>
    <w:p>
      <w:pPr>
        <w:spacing w:after="0" w:line="13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D60058"/>
        </w:rPr>
        <w:t>Other Public Boards</w:t>
      </w:r>
    </w:p>
    <w:p>
      <w:pPr>
        <w:spacing w:after="0" w:line="106" w:lineRule="exact"/>
        <w:rPr>
          <w:sz w:val="20"/>
          <w:szCs w:val="20"/>
          <w:color w:val="auto"/>
        </w:rPr>
      </w:pPr>
    </w:p>
    <w:p>
      <w:pPr>
        <w:ind w:left="183" w:hanging="183"/>
        <w:spacing w:after="0"/>
        <w:tabs>
          <w:tab w:leader="none" w:pos="183" w:val="left"/>
        </w:tabs>
        <w:numPr>
          <w:ilvl w:val="0"/>
          <w:numId w:val="38"/>
        </w:numPr>
        <w:rPr>
          <w:rFonts w:ascii="Arial" w:cs="Arial" w:eastAsia="Arial" w:hAnsi="Arial"/>
          <w:sz w:val="16"/>
          <w:szCs w:val="16"/>
          <w:b w:val="1"/>
          <w:bCs w:val="1"/>
          <w:color w:val="215BA8"/>
        </w:rPr>
      </w:pPr>
      <w:r>
        <w:rPr>
          <w:rFonts w:ascii="Arial" w:cs="Arial" w:eastAsia="Arial" w:hAnsi="Arial"/>
          <w:sz w:val="16"/>
          <w:szCs w:val="16"/>
          <w:color w:val="auto"/>
        </w:rPr>
        <w:t>Denali Therapeutics Inc.</w:t>
      </w:r>
    </w:p>
    <w:p>
      <w:pPr>
        <w:spacing w:after="0" w:line="151" w:lineRule="exact"/>
        <w:rPr>
          <w:sz w:val="20"/>
          <w:szCs w:val="20"/>
          <w:color w:val="auto"/>
        </w:rPr>
      </w:pPr>
    </w:p>
    <w:p>
      <w:pPr>
        <w:jc w:val="both"/>
        <w:ind w:left="3" w:right="560"/>
        <w:spacing w:after="0" w:line="265" w:lineRule="auto"/>
        <w:rPr>
          <w:sz w:val="20"/>
          <w:szCs w:val="20"/>
          <w:color w:val="auto"/>
        </w:rPr>
      </w:pPr>
      <w:r>
        <w:rPr>
          <w:rFonts w:ascii="Arial" w:cs="Arial" w:eastAsia="Arial" w:hAnsi="Arial"/>
          <w:sz w:val="15"/>
          <w:szCs w:val="15"/>
          <w:i w:val="1"/>
          <w:iCs w:val="1"/>
          <w:color w:val="auto"/>
        </w:rPr>
        <w:t>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p>
      <w:pPr>
        <w:spacing w:after="0" w:line="491" w:lineRule="exact"/>
        <w:rPr>
          <w:sz w:val="20"/>
          <w:szCs w:val="20"/>
          <w:color w:val="auto"/>
        </w:rPr>
      </w:pPr>
    </w:p>
    <w:p>
      <w:pPr>
        <w:sectPr>
          <w:pgSz w:w="11900" w:h="16838" w:orient="portrait"/>
          <w:cols w:equalWidth="0" w:num="2">
            <w:col w:w="3580" w:space="217"/>
            <w:col w:w="7443"/>
          </w:cols>
          <w:pgMar w:left="320" w:top="626"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19</w:t>
            </w:r>
          </w:p>
        </w:tc>
      </w:tr>
      <w:tr>
        <w:trPr>
          <w:trHeight w:val="222"/>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34" w:name="page35"/>
    <w:bookmarkEnd w:id="34"/>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405765</wp:posOffset>
            </wp:positionV>
            <wp:extent cx="6858000" cy="1191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50"/>
          <w:szCs w:val="50"/>
          <w:b w:val="1"/>
          <w:bCs w:val="1"/>
          <w:color w:val="215AA8"/>
        </w:rPr>
        <w:t>BOARD COMMITTEES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40" w:right="580"/>
        <w:spacing w:after="0" w:line="231" w:lineRule="auto"/>
        <w:rPr>
          <w:sz w:val="20"/>
          <w:szCs w:val="20"/>
          <w:color w:val="auto"/>
        </w:rPr>
      </w:pPr>
      <w:r>
        <w:rPr>
          <w:rFonts w:ascii="Arial" w:cs="Arial" w:eastAsia="Arial" w:hAnsi="Arial"/>
          <w:sz w:val="16"/>
          <w:szCs w:val="16"/>
          <w:color w:val="auto"/>
        </w:rPr>
        <w:t xml:space="preserve">The board has a standing Audit Committee, Compensation Committee, and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which provides direct oversight of our research and clinical development programs, plans, and policies.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6"/>
          <w:szCs w:val="16"/>
          <w:b w:val="1"/>
          <w:bCs w:val="1"/>
          <w:color w:val="auto"/>
        </w:rPr>
        <w:t>www.regeneron.com</w:t>
      </w:r>
      <w:r>
        <w:rPr>
          <w:rFonts w:ascii="Arial" w:cs="Arial" w:eastAsia="Arial" w:hAnsi="Arial"/>
          <w:sz w:val="16"/>
          <w:szCs w:val="16"/>
          <w:color w:val="auto"/>
        </w:rPr>
        <w:t xml:space="preserve"> under the “Corporate Governance” heading on the “Investors &amp; Media” page.</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101600</wp:posOffset>
            </wp:positionV>
            <wp:extent cx="6386195" cy="2825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86195" cy="2825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FFFFFF"/>
        </w:rPr>
        <w:t>AUDIT COMMITTEE</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Members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 xml:space="preserve">George L. Sing, </w:t>
      </w:r>
      <w:r>
        <w:rPr>
          <w:rFonts w:ascii="Arial" w:cs="Arial" w:eastAsia="Arial" w:hAnsi="Arial"/>
          <w:sz w:val="14"/>
          <w:szCs w:val="14"/>
          <w:i w:val="1"/>
          <w:iCs w:val="1"/>
          <w:color w:val="215BA8"/>
        </w:rPr>
        <w:t>Chair</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N. Anthony Coles, M.D.</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Arthur F. Ryan</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Number of Meetings Held in 2021</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D60058"/>
        </w:rPr>
        <w:t>Key Functions</w:t>
      </w:r>
    </w:p>
    <w:p>
      <w:pPr>
        <w:spacing w:after="0" w:line="55" w:lineRule="exact"/>
        <w:rPr>
          <w:sz w:val="20"/>
          <w:szCs w:val="20"/>
          <w:color w:val="auto"/>
        </w:rPr>
      </w:pPr>
    </w:p>
    <w:p>
      <w:pPr>
        <w:ind w:left="169" w:right="560" w:hanging="169"/>
        <w:spacing w:after="0" w:line="236"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Select the independent registered public accounting firm, review and approve its engagement letter, and monitor its independence and performance.</w:t>
      </w:r>
    </w:p>
    <w:p>
      <w:pPr>
        <w:spacing w:after="0" w:line="11" w:lineRule="exact"/>
        <w:rPr>
          <w:rFonts w:ascii="Arial" w:cs="Arial" w:eastAsia="Arial" w:hAnsi="Arial"/>
          <w:sz w:val="15"/>
          <w:szCs w:val="15"/>
          <w:b w:val="1"/>
          <w:bCs w:val="1"/>
          <w:color w:val="215BA8"/>
        </w:rPr>
      </w:pPr>
    </w:p>
    <w:p>
      <w:pPr>
        <w:ind w:left="169" w:right="560" w:hanging="169"/>
        <w:spacing w:after="0" w:line="236"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Review the overall scope and plans for the annual audit by the independent registered public accounting firm.</w:t>
      </w:r>
    </w:p>
    <w:p>
      <w:pPr>
        <w:spacing w:after="0" w:line="25" w:lineRule="exact"/>
        <w:rPr>
          <w:rFonts w:ascii="Arial" w:cs="Arial" w:eastAsia="Arial" w:hAnsi="Arial"/>
          <w:sz w:val="15"/>
          <w:szCs w:val="15"/>
          <w:b w:val="1"/>
          <w:bCs w:val="1"/>
          <w:color w:val="215BA8"/>
        </w:rPr>
      </w:pPr>
    </w:p>
    <w:p>
      <w:pPr>
        <w:ind w:left="169" w:right="780" w:hanging="169"/>
        <w:spacing w:after="0" w:line="258" w:lineRule="auto"/>
        <w:tabs>
          <w:tab w:leader="none" w:pos="174" w:val="left"/>
        </w:tabs>
        <w:numPr>
          <w:ilvl w:val="0"/>
          <w:numId w:val="39"/>
        </w:numPr>
        <w:rPr>
          <w:rFonts w:ascii="Arial" w:cs="Arial" w:eastAsia="Arial" w:hAnsi="Arial"/>
          <w:sz w:val="14"/>
          <w:szCs w:val="14"/>
          <w:b w:val="1"/>
          <w:bCs w:val="1"/>
          <w:color w:val="215BA8"/>
        </w:rPr>
      </w:pPr>
      <w:r>
        <w:rPr>
          <w:rFonts w:ascii="Arial" w:cs="Arial" w:eastAsia="Arial" w:hAnsi="Arial"/>
          <w:sz w:val="14"/>
          <w:szCs w:val="14"/>
          <w:color w:val="auto"/>
        </w:rPr>
        <w:t>Approve performance of non-audit services by the independent registered public accounting firm and evaluate the performance and independence of the independent registered public accounting firm.</w:t>
      </w:r>
    </w:p>
    <w:p>
      <w:pPr>
        <w:spacing w:after="0" w:line="18" w:lineRule="exact"/>
        <w:rPr>
          <w:rFonts w:ascii="Arial" w:cs="Arial" w:eastAsia="Arial" w:hAnsi="Arial"/>
          <w:sz w:val="14"/>
          <w:szCs w:val="14"/>
          <w:b w:val="1"/>
          <w:bCs w:val="1"/>
          <w:color w:val="215BA8"/>
        </w:rPr>
      </w:pPr>
    </w:p>
    <w:p>
      <w:pPr>
        <w:ind w:left="169" w:hanging="169"/>
        <w:spacing w:after="0"/>
        <w:tabs>
          <w:tab w:leader="none" w:pos="169"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Review and approve the Company’s periodic financial statements and the results of the year-end audit.</w:t>
      </w:r>
    </w:p>
    <w:p>
      <w:pPr>
        <w:spacing w:after="0" w:line="16" w:lineRule="exact"/>
        <w:rPr>
          <w:rFonts w:ascii="Arial" w:cs="Arial" w:eastAsia="Arial" w:hAnsi="Arial"/>
          <w:sz w:val="15"/>
          <w:szCs w:val="15"/>
          <w:b w:val="1"/>
          <w:bCs w:val="1"/>
          <w:color w:val="215BA8"/>
        </w:rPr>
      </w:pPr>
    </w:p>
    <w:p>
      <w:pPr>
        <w:ind w:left="169" w:right="700" w:hanging="169"/>
        <w:spacing w:after="0" w:line="236"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Review and discuss the adequacy and effectiveness of the Company’s accounting and internal control policies and procedures.</w:t>
      </w:r>
    </w:p>
    <w:p>
      <w:pPr>
        <w:spacing w:after="0" w:line="25" w:lineRule="exact"/>
        <w:rPr>
          <w:rFonts w:ascii="Arial" w:cs="Arial" w:eastAsia="Arial" w:hAnsi="Arial"/>
          <w:sz w:val="15"/>
          <w:szCs w:val="15"/>
          <w:b w:val="1"/>
          <w:bCs w:val="1"/>
          <w:color w:val="215BA8"/>
        </w:rPr>
      </w:pPr>
    </w:p>
    <w:p>
      <w:pPr>
        <w:ind w:left="169" w:right="780" w:hanging="169"/>
        <w:spacing w:after="0" w:line="233"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Evaluate the internal audit process for establishing the annual audit plan; review and approve the appointment and replacement of the Company’s Chief Audit Executive, if applicable, and any outside entities providing internal audit services and evaluate their performance on an annual basis.</w:t>
      </w:r>
    </w:p>
    <w:p>
      <w:pPr>
        <w:spacing w:after="0" w:line="24" w:lineRule="exact"/>
        <w:rPr>
          <w:rFonts w:ascii="Arial" w:cs="Arial" w:eastAsia="Arial" w:hAnsi="Arial"/>
          <w:sz w:val="15"/>
          <w:szCs w:val="15"/>
          <w:b w:val="1"/>
          <w:bCs w:val="1"/>
          <w:color w:val="215BA8"/>
        </w:rPr>
      </w:pPr>
    </w:p>
    <w:p>
      <w:pPr>
        <w:ind w:left="169" w:right="1280" w:hanging="169"/>
        <w:spacing w:after="0" w:line="236"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Review the independent registered public accounting firm’s recommendations concerning the Company’s financial practices and procedures.</w:t>
      </w:r>
    </w:p>
    <w:p>
      <w:pPr>
        <w:spacing w:after="0" w:line="11" w:lineRule="exact"/>
        <w:rPr>
          <w:rFonts w:ascii="Arial" w:cs="Arial" w:eastAsia="Arial" w:hAnsi="Arial"/>
          <w:sz w:val="15"/>
          <w:szCs w:val="15"/>
          <w:b w:val="1"/>
          <w:bCs w:val="1"/>
          <w:color w:val="215BA8"/>
        </w:rPr>
      </w:pPr>
    </w:p>
    <w:p>
      <w:pPr>
        <w:ind w:left="169" w:hanging="169"/>
        <w:spacing w:after="0"/>
        <w:tabs>
          <w:tab w:leader="none" w:pos="169"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Oversee the Company’s risk management program.</w:t>
      </w:r>
    </w:p>
    <w:p>
      <w:pPr>
        <w:spacing w:after="0" w:line="30" w:lineRule="exact"/>
        <w:rPr>
          <w:rFonts w:ascii="Arial" w:cs="Arial" w:eastAsia="Arial" w:hAnsi="Arial"/>
          <w:sz w:val="15"/>
          <w:szCs w:val="15"/>
          <w:b w:val="1"/>
          <w:bCs w:val="1"/>
          <w:color w:val="215BA8"/>
        </w:rPr>
      </w:pPr>
    </w:p>
    <w:p>
      <w:pPr>
        <w:ind w:left="169" w:right="800" w:hanging="169"/>
        <w:spacing w:after="0" w:line="236"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Discuss with management the Company’s major financial risk exposures and the steps management has taken to monitor and control such exposures.</w:t>
      </w:r>
    </w:p>
    <w:p>
      <w:pPr>
        <w:spacing w:after="0" w:line="25" w:lineRule="exact"/>
        <w:rPr>
          <w:rFonts w:ascii="Arial" w:cs="Arial" w:eastAsia="Arial" w:hAnsi="Arial"/>
          <w:sz w:val="15"/>
          <w:szCs w:val="15"/>
          <w:b w:val="1"/>
          <w:bCs w:val="1"/>
          <w:color w:val="215BA8"/>
        </w:rPr>
      </w:pPr>
    </w:p>
    <w:p>
      <w:pPr>
        <w:ind w:left="169" w:right="760" w:hanging="169"/>
        <w:spacing w:after="0" w:line="231" w:lineRule="auto"/>
        <w:tabs>
          <w:tab w:leader="none" w:pos="174"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Establish procedures for the receipt, retention, and treatment of complaints received by the Company regarding accounting, internal accounting controls, or auditing matters and for the confidential, anonymous submission by employees of concerns regarding questionable accounting or auditing matters.</w:t>
      </w:r>
    </w:p>
    <w:p>
      <w:pPr>
        <w:spacing w:after="0" w:line="10" w:lineRule="exact"/>
        <w:rPr>
          <w:rFonts w:ascii="Arial" w:cs="Arial" w:eastAsia="Arial" w:hAnsi="Arial"/>
          <w:sz w:val="15"/>
          <w:szCs w:val="15"/>
          <w:b w:val="1"/>
          <w:bCs w:val="1"/>
          <w:color w:val="215BA8"/>
        </w:rPr>
      </w:pPr>
    </w:p>
    <w:p>
      <w:pPr>
        <w:ind w:left="169" w:hanging="169"/>
        <w:spacing w:after="0"/>
        <w:tabs>
          <w:tab w:leader="none" w:pos="169"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Review and approve any related person transaction.</w:t>
      </w:r>
    </w:p>
    <w:p>
      <w:pPr>
        <w:spacing w:after="0" w:line="30" w:lineRule="exact"/>
        <w:rPr>
          <w:rFonts w:ascii="Arial" w:cs="Arial" w:eastAsia="Arial" w:hAnsi="Arial"/>
          <w:sz w:val="15"/>
          <w:szCs w:val="15"/>
          <w:b w:val="1"/>
          <w:bCs w:val="1"/>
          <w:color w:val="215BA8"/>
        </w:rPr>
      </w:pPr>
    </w:p>
    <w:p>
      <w:pPr>
        <w:ind w:left="169" w:hanging="169"/>
        <w:spacing w:after="0"/>
        <w:tabs>
          <w:tab w:leader="none" w:pos="169" w:val="left"/>
        </w:tabs>
        <w:numPr>
          <w:ilvl w:val="0"/>
          <w:numId w:val="39"/>
        </w:numPr>
        <w:rPr>
          <w:rFonts w:ascii="Arial" w:cs="Arial" w:eastAsia="Arial" w:hAnsi="Arial"/>
          <w:sz w:val="15"/>
          <w:szCs w:val="15"/>
          <w:b w:val="1"/>
          <w:bCs w:val="1"/>
          <w:color w:val="215BA8"/>
        </w:rPr>
      </w:pPr>
      <w:r>
        <w:rPr>
          <w:rFonts w:ascii="Arial" w:cs="Arial" w:eastAsia="Arial" w:hAnsi="Arial"/>
          <w:sz w:val="15"/>
          <w:szCs w:val="15"/>
          <w:color w:val="auto"/>
        </w:rPr>
        <w:t>Prepare an annual report of the Audit Committee for inclusion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44450</wp:posOffset>
            </wp:positionV>
            <wp:extent cx="63861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11"/>
            <w:col w:w="7569"/>
          </w:cols>
          <w:pgMar w:left="320" w:top="1440" w:right="339" w:bottom="1440" w:gutter="0" w:footer="0" w:header="0"/>
          <w:type w:val="continuous"/>
        </w:sectPr>
      </w:pPr>
    </w:p>
    <w:p>
      <w:pPr>
        <w:spacing w:after="0" w:line="8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20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309245</wp:posOffset>
            </wp:positionV>
            <wp:extent cx="6386195" cy="282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86195" cy="28257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FFFFFF"/>
        </w:rPr>
        <w:t>COMPENSATION COMMITTEE</w:t>
      </w:r>
    </w:p>
    <w:p>
      <w:pPr>
        <w:sectPr>
          <w:pgSz w:w="11900" w:h="16838" w:orient="portrait"/>
          <w:cols w:equalWidth="0" w:num="1">
            <w:col w:w="11240"/>
          </w:cols>
          <w:pgMar w:left="320" w:top="410" w:right="339" w:bottom="1440" w:gutter="0" w:footer="0" w:header="0"/>
        </w:sect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Members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 xml:space="preserve">Christine A. Poon, </w:t>
      </w:r>
      <w:r>
        <w:rPr>
          <w:rFonts w:ascii="Arial" w:cs="Arial" w:eastAsia="Arial" w:hAnsi="Arial"/>
          <w:sz w:val="14"/>
          <w:szCs w:val="14"/>
          <w:i w:val="1"/>
          <w:iCs w:val="1"/>
          <w:color w:val="215BA8"/>
        </w:rPr>
        <w:t>Chair</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George L. Sing</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Huda Y. Zoghbi, M.D.</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Number of Meetings Held in 2021</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15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Key Functions</w:t>
      </w:r>
    </w:p>
    <w:p>
      <w:pPr>
        <w:spacing w:after="0" w:line="55" w:lineRule="exact"/>
        <w:rPr>
          <w:sz w:val="20"/>
          <w:szCs w:val="20"/>
          <w:color w:val="auto"/>
        </w:rPr>
      </w:pPr>
    </w:p>
    <w:p>
      <w:pPr>
        <w:ind w:left="180" w:hanging="169"/>
        <w:spacing w:after="0"/>
        <w:tabs>
          <w:tab w:leader="none" w:pos="180"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Evaluate the performance of the Chief Executive Officer and other executive officers of the Company.</w:t>
      </w:r>
    </w:p>
    <w:p>
      <w:pPr>
        <w:spacing w:after="0" w:line="16" w:lineRule="exact"/>
        <w:rPr>
          <w:rFonts w:ascii="Arial" w:cs="Arial" w:eastAsia="Arial" w:hAnsi="Arial"/>
          <w:sz w:val="15"/>
          <w:szCs w:val="15"/>
          <w:b w:val="1"/>
          <w:bCs w:val="1"/>
          <w:color w:val="215BA8"/>
        </w:rPr>
      </w:pPr>
    </w:p>
    <w:p>
      <w:pPr>
        <w:ind w:left="180" w:right="660" w:hanging="169"/>
        <w:spacing w:after="0" w:line="236" w:lineRule="auto"/>
        <w:tabs>
          <w:tab w:leader="none" w:pos="185"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Recommend compensation for the Chief Executive Officer for approval by the non-employee members of the board of directors.</w:t>
      </w:r>
    </w:p>
    <w:p>
      <w:pPr>
        <w:spacing w:after="0" w:line="25" w:lineRule="exact"/>
        <w:rPr>
          <w:rFonts w:ascii="Arial" w:cs="Arial" w:eastAsia="Arial" w:hAnsi="Arial"/>
          <w:sz w:val="15"/>
          <w:szCs w:val="15"/>
          <w:b w:val="1"/>
          <w:bCs w:val="1"/>
          <w:color w:val="215BA8"/>
        </w:rPr>
      </w:pPr>
    </w:p>
    <w:p>
      <w:pPr>
        <w:ind w:left="180" w:hanging="169"/>
        <w:spacing w:after="0"/>
        <w:tabs>
          <w:tab w:leader="none" w:pos="180"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Approve compensation for other executive officers.</w:t>
      </w:r>
    </w:p>
    <w:p>
      <w:pPr>
        <w:spacing w:after="0" w:line="30" w:lineRule="exact"/>
        <w:rPr>
          <w:rFonts w:ascii="Arial" w:cs="Arial" w:eastAsia="Arial" w:hAnsi="Arial"/>
          <w:sz w:val="15"/>
          <w:szCs w:val="15"/>
          <w:b w:val="1"/>
          <w:bCs w:val="1"/>
          <w:color w:val="215BA8"/>
        </w:rPr>
      </w:pPr>
    </w:p>
    <w:p>
      <w:pPr>
        <w:ind w:left="180" w:hanging="169"/>
        <w:spacing w:after="0"/>
        <w:tabs>
          <w:tab w:leader="none" w:pos="180"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Approve the total compensation budget for all Company employees.</w:t>
      </w:r>
    </w:p>
    <w:p>
      <w:pPr>
        <w:spacing w:after="0" w:line="16" w:lineRule="exact"/>
        <w:rPr>
          <w:rFonts w:ascii="Arial" w:cs="Arial" w:eastAsia="Arial" w:hAnsi="Arial"/>
          <w:sz w:val="15"/>
          <w:szCs w:val="15"/>
          <w:b w:val="1"/>
          <w:bCs w:val="1"/>
          <w:color w:val="215BA8"/>
        </w:rPr>
      </w:pPr>
    </w:p>
    <w:p>
      <w:pPr>
        <w:ind w:left="180" w:hanging="169"/>
        <w:spacing w:after="0"/>
        <w:tabs>
          <w:tab w:leader="none" w:pos="180"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Oversee the Company’s compensation and benefit philosophy and programs generally.</w:t>
      </w:r>
    </w:p>
    <w:p>
      <w:pPr>
        <w:spacing w:after="0" w:line="30" w:lineRule="exact"/>
        <w:rPr>
          <w:rFonts w:ascii="Arial" w:cs="Arial" w:eastAsia="Arial" w:hAnsi="Arial"/>
          <w:sz w:val="15"/>
          <w:szCs w:val="15"/>
          <w:b w:val="1"/>
          <w:bCs w:val="1"/>
          <w:color w:val="215BA8"/>
        </w:rPr>
      </w:pPr>
    </w:p>
    <w:p>
      <w:pPr>
        <w:ind w:left="180" w:right="780" w:hanging="169"/>
        <w:spacing w:after="0" w:line="233" w:lineRule="auto"/>
        <w:tabs>
          <w:tab w:leader="none" w:pos="185"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Oversee the Company’s strategies and policies related to human capital management, including with respect to workplace environment and culture; talent recruitment, development, and retention; and employee engagement.*</w:t>
      </w:r>
    </w:p>
    <w:p>
      <w:pPr>
        <w:spacing w:after="0" w:line="24" w:lineRule="exact"/>
        <w:rPr>
          <w:rFonts w:ascii="Arial" w:cs="Arial" w:eastAsia="Arial" w:hAnsi="Arial"/>
          <w:sz w:val="15"/>
          <w:szCs w:val="15"/>
          <w:b w:val="1"/>
          <w:bCs w:val="1"/>
          <w:color w:val="215BA8"/>
        </w:rPr>
      </w:pPr>
    </w:p>
    <w:p>
      <w:pPr>
        <w:ind w:left="180" w:right="640" w:hanging="169"/>
        <w:spacing w:after="0" w:line="233" w:lineRule="auto"/>
        <w:tabs>
          <w:tab w:leader="none" w:pos="185"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Review and approve annually the corporate goals and objectives applicable to the compensation of the Chief Executive Officer and the goals and objectives of the Company’s executive compensation programs.</w:t>
      </w:r>
    </w:p>
    <w:p>
      <w:pPr>
        <w:spacing w:after="0" w:line="10" w:lineRule="exact"/>
        <w:rPr>
          <w:rFonts w:ascii="Arial" w:cs="Arial" w:eastAsia="Arial" w:hAnsi="Arial"/>
          <w:sz w:val="15"/>
          <w:szCs w:val="15"/>
          <w:b w:val="1"/>
          <w:bCs w:val="1"/>
          <w:color w:val="215BA8"/>
        </w:rPr>
      </w:pPr>
    </w:p>
    <w:p>
      <w:pPr>
        <w:ind w:left="180" w:right="600" w:hanging="169"/>
        <w:spacing w:after="0" w:line="236" w:lineRule="auto"/>
        <w:tabs>
          <w:tab w:leader="none" w:pos="185"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Review and approve the Compensation Discussion and Analysis to be included in the Company’s proxy statement.</w:t>
      </w:r>
    </w:p>
    <w:p>
      <w:pPr>
        <w:spacing w:after="0" w:line="25" w:lineRule="exact"/>
        <w:rPr>
          <w:rFonts w:ascii="Arial" w:cs="Arial" w:eastAsia="Arial" w:hAnsi="Arial"/>
          <w:sz w:val="15"/>
          <w:szCs w:val="15"/>
          <w:b w:val="1"/>
          <w:bCs w:val="1"/>
          <w:color w:val="215BA8"/>
        </w:rPr>
      </w:pPr>
    </w:p>
    <w:p>
      <w:pPr>
        <w:ind w:left="180" w:right="1140" w:hanging="169"/>
        <w:spacing w:after="0" w:line="236" w:lineRule="auto"/>
        <w:tabs>
          <w:tab w:leader="none" w:pos="185" w:val="left"/>
        </w:tabs>
        <w:numPr>
          <w:ilvl w:val="0"/>
          <w:numId w:val="40"/>
        </w:numPr>
        <w:rPr>
          <w:rFonts w:ascii="Arial" w:cs="Arial" w:eastAsia="Arial" w:hAnsi="Arial"/>
          <w:sz w:val="15"/>
          <w:szCs w:val="15"/>
          <w:b w:val="1"/>
          <w:bCs w:val="1"/>
          <w:color w:val="215BA8"/>
        </w:rPr>
      </w:pPr>
      <w:r>
        <w:rPr>
          <w:rFonts w:ascii="Arial" w:cs="Arial" w:eastAsia="Arial" w:hAnsi="Arial"/>
          <w:sz w:val="15"/>
          <w:szCs w:val="15"/>
          <w:color w:val="auto"/>
        </w:rPr>
        <w:t>Prepare an annual report of the Compensation Committee for inclusion in the Company’s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109855</wp:posOffset>
            </wp:positionV>
            <wp:extent cx="6386195" cy="282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86195" cy="28257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41275</wp:posOffset>
            </wp:positionV>
            <wp:extent cx="63861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00"/>
            <w:col w:w="7580"/>
          </w:cols>
          <w:pgMar w:left="320" w:top="410" w:right="339" w:bottom="1440" w:gutter="0" w:footer="0" w:header="0"/>
          <w:type w:val="continuous"/>
        </w:sectPr>
      </w:pPr>
    </w:p>
    <w:p>
      <w:pPr>
        <w:spacing w:after="0" w:line="30"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FFFFFF"/>
        </w:rPr>
        <w:t>CORPORATE GOVERNANCE AND COMPLIANCE COMMITTEE</w:t>
      </w:r>
    </w:p>
    <w:p>
      <w:pPr>
        <w:sectPr>
          <w:pgSz w:w="11900" w:h="16838" w:orient="portrait"/>
          <w:cols w:equalWidth="0" w:num="1">
            <w:col w:w="11240"/>
          </w:cols>
          <w:pgMar w:left="320" w:top="410" w:right="339" w:bottom="1440" w:gutter="0" w:footer="0" w:header="0"/>
          <w:type w:val="continuous"/>
        </w:sect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Members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 xml:space="preserve">Arthur F. Ryan, </w:t>
      </w:r>
      <w:r>
        <w:rPr>
          <w:rFonts w:ascii="Arial" w:cs="Arial" w:eastAsia="Arial" w:hAnsi="Arial"/>
          <w:sz w:val="14"/>
          <w:szCs w:val="14"/>
          <w:i w:val="1"/>
          <w:iCs w:val="1"/>
          <w:color w:val="215BA8"/>
        </w:rPr>
        <w:t>Chair</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Bonnie L. Bassler, Ph.D.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Michael S. Brown, M.D.</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Joseph L. Goldstein, M.D.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Christine A. Poon</w:t>
      </w:r>
    </w:p>
    <w:p>
      <w:pPr>
        <w:spacing w:after="0" w:line="7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Number of Meetings Held in 2021</w:t>
      </w:r>
    </w:p>
    <w:p>
      <w:pPr>
        <w:spacing w:after="0" w:line="19"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5</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Key Functions</w:t>
      </w:r>
    </w:p>
    <w:p>
      <w:pPr>
        <w:spacing w:after="0" w:line="55" w:lineRule="exact"/>
        <w:rPr>
          <w:sz w:val="20"/>
          <w:szCs w:val="20"/>
          <w:color w:val="auto"/>
        </w:rPr>
      </w:pPr>
    </w:p>
    <w:p>
      <w:pPr>
        <w:ind w:left="180" w:right="720" w:hanging="169"/>
        <w:spacing w:after="0" w:line="236" w:lineRule="auto"/>
        <w:tabs>
          <w:tab w:leader="none" w:pos="185" w:val="left"/>
        </w:tabs>
        <w:numPr>
          <w:ilvl w:val="0"/>
          <w:numId w:val="41"/>
        </w:numPr>
        <w:rPr>
          <w:rFonts w:ascii="Arial" w:cs="Arial" w:eastAsia="Arial" w:hAnsi="Arial"/>
          <w:sz w:val="15"/>
          <w:szCs w:val="15"/>
          <w:b w:val="1"/>
          <w:bCs w:val="1"/>
          <w:color w:val="215BA8"/>
        </w:rPr>
      </w:pPr>
      <w:r>
        <w:rPr>
          <w:rFonts w:ascii="Arial" w:cs="Arial" w:eastAsia="Arial" w:hAnsi="Arial"/>
          <w:sz w:val="15"/>
          <w:szCs w:val="15"/>
          <w:color w:val="auto"/>
        </w:rPr>
        <w:t>Identify qualified individuals to become members of the board and recommend such candidates to the board.</w:t>
      </w:r>
    </w:p>
    <w:p>
      <w:pPr>
        <w:spacing w:after="0" w:line="11" w:lineRule="exact"/>
        <w:rPr>
          <w:rFonts w:ascii="Arial" w:cs="Arial" w:eastAsia="Arial" w:hAnsi="Arial"/>
          <w:sz w:val="15"/>
          <w:szCs w:val="15"/>
          <w:b w:val="1"/>
          <w:bCs w:val="1"/>
          <w:color w:val="215BA8"/>
        </w:rPr>
      </w:pPr>
    </w:p>
    <w:p>
      <w:pPr>
        <w:ind w:left="180" w:right="1040" w:hanging="169"/>
        <w:spacing w:after="0" w:line="236" w:lineRule="auto"/>
        <w:tabs>
          <w:tab w:leader="none" w:pos="185" w:val="left"/>
        </w:tabs>
        <w:numPr>
          <w:ilvl w:val="0"/>
          <w:numId w:val="41"/>
        </w:numPr>
        <w:rPr>
          <w:rFonts w:ascii="Arial" w:cs="Arial" w:eastAsia="Arial" w:hAnsi="Arial"/>
          <w:sz w:val="15"/>
          <w:szCs w:val="15"/>
          <w:b w:val="1"/>
          <w:bCs w:val="1"/>
          <w:color w:val="215BA8"/>
        </w:rPr>
      </w:pPr>
      <w:r>
        <w:rPr>
          <w:rFonts w:ascii="Arial" w:cs="Arial" w:eastAsia="Arial" w:hAnsi="Arial"/>
          <w:sz w:val="15"/>
          <w:szCs w:val="15"/>
          <w:color w:val="auto"/>
        </w:rPr>
        <w:t>Assess the functioning of the board and its committees and make recommendations to the board concerning the appropriate size, function, and needs of the board.</w:t>
      </w:r>
    </w:p>
    <w:p>
      <w:pPr>
        <w:spacing w:after="0" w:line="25" w:lineRule="exact"/>
        <w:rPr>
          <w:rFonts w:ascii="Arial" w:cs="Arial" w:eastAsia="Arial" w:hAnsi="Arial"/>
          <w:sz w:val="15"/>
          <w:szCs w:val="15"/>
          <w:b w:val="1"/>
          <w:bCs w:val="1"/>
          <w:color w:val="215BA8"/>
        </w:rPr>
      </w:pPr>
    </w:p>
    <w:p>
      <w:pPr>
        <w:ind w:left="180" w:hanging="169"/>
        <w:spacing w:after="0"/>
        <w:tabs>
          <w:tab w:leader="none" w:pos="180" w:val="left"/>
        </w:tabs>
        <w:numPr>
          <w:ilvl w:val="0"/>
          <w:numId w:val="41"/>
        </w:numPr>
        <w:rPr>
          <w:rFonts w:ascii="Arial" w:cs="Arial" w:eastAsia="Arial" w:hAnsi="Arial"/>
          <w:sz w:val="15"/>
          <w:szCs w:val="15"/>
          <w:b w:val="1"/>
          <w:bCs w:val="1"/>
          <w:color w:val="215BA8"/>
        </w:rPr>
      </w:pPr>
      <w:r>
        <w:rPr>
          <w:rFonts w:ascii="Arial" w:cs="Arial" w:eastAsia="Arial" w:hAnsi="Arial"/>
          <w:sz w:val="15"/>
          <w:szCs w:val="15"/>
          <w:color w:val="auto"/>
        </w:rPr>
        <w:t>Review, and make recommendations to the board regarding, non-employee director compensation.</w:t>
      </w:r>
    </w:p>
    <w:p>
      <w:pPr>
        <w:spacing w:after="0" w:line="30" w:lineRule="exact"/>
        <w:rPr>
          <w:rFonts w:ascii="Arial" w:cs="Arial" w:eastAsia="Arial" w:hAnsi="Arial"/>
          <w:sz w:val="15"/>
          <w:szCs w:val="15"/>
          <w:b w:val="1"/>
          <w:bCs w:val="1"/>
          <w:color w:val="215BA8"/>
        </w:rPr>
      </w:pPr>
    </w:p>
    <w:p>
      <w:pPr>
        <w:ind w:left="180" w:hanging="169"/>
        <w:spacing w:after="0"/>
        <w:tabs>
          <w:tab w:leader="none" w:pos="180" w:val="left"/>
        </w:tabs>
        <w:numPr>
          <w:ilvl w:val="0"/>
          <w:numId w:val="41"/>
        </w:numPr>
        <w:rPr>
          <w:rFonts w:ascii="Arial" w:cs="Arial" w:eastAsia="Arial" w:hAnsi="Arial"/>
          <w:sz w:val="15"/>
          <w:szCs w:val="15"/>
          <w:b w:val="1"/>
          <w:bCs w:val="1"/>
          <w:color w:val="215BA8"/>
        </w:rPr>
      </w:pPr>
      <w:r>
        <w:rPr>
          <w:rFonts w:ascii="Arial" w:cs="Arial" w:eastAsia="Arial" w:hAnsi="Arial"/>
          <w:sz w:val="15"/>
          <w:szCs w:val="15"/>
          <w:color w:val="auto"/>
        </w:rPr>
        <w:t>Make recommendations to the board regarding corporate governance matters and practices.</w:t>
      </w:r>
    </w:p>
    <w:p>
      <w:pPr>
        <w:spacing w:after="0" w:line="16" w:lineRule="exact"/>
        <w:rPr>
          <w:rFonts w:ascii="Arial" w:cs="Arial" w:eastAsia="Arial" w:hAnsi="Arial"/>
          <w:sz w:val="15"/>
          <w:szCs w:val="15"/>
          <w:b w:val="1"/>
          <w:bCs w:val="1"/>
          <w:color w:val="215BA8"/>
        </w:rPr>
      </w:pPr>
    </w:p>
    <w:p>
      <w:pPr>
        <w:ind w:left="180" w:right="1160" w:hanging="169"/>
        <w:spacing w:after="0" w:line="236" w:lineRule="auto"/>
        <w:tabs>
          <w:tab w:leader="none" w:pos="185" w:val="left"/>
        </w:tabs>
        <w:numPr>
          <w:ilvl w:val="0"/>
          <w:numId w:val="41"/>
        </w:numPr>
        <w:rPr>
          <w:rFonts w:ascii="Arial" w:cs="Arial" w:eastAsia="Arial" w:hAnsi="Arial"/>
          <w:sz w:val="15"/>
          <w:szCs w:val="15"/>
          <w:b w:val="1"/>
          <w:bCs w:val="1"/>
          <w:color w:val="215BA8"/>
        </w:rPr>
      </w:pPr>
      <w:r>
        <w:rPr>
          <w:rFonts w:ascii="Arial" w:cs="Arial" w:eastAsia="Arial" w:hAnsi="Arial"/>
          <w:sz w:val="15"/>
          <w:szCs w:val="15"/>
          <w:color w:val="auto"/>
        </w:rPr>
        <w:t>Oversee all aspects of the Company’s comprehensive compliance program other than financial compliance.</w:t>
      </w:r>
    </w:p>
    <w:p>
      <w:pPr>
        <w:spacing w:after="0" w:line="25" w:lineRule="exact"/>
        <w:rPr>
          <w:rFonts w:ascii="Arial" w:cs="Arial" w:eastAsia="Arial" w:hAnsi="Arial"/>
          <w:sz w:val="15"/>
          <w:szCs w:val="15"/>
          <w:b w:val="1"/>
          <w:bCs w:val="1"/>
          <w:color w:val="215BA8"/>
        </w:rPr>
      </w:pPr>
    </w:p>
    <w:p>
      <w:pPr>
        <w:ind w:left="180" w:right="1140" w:hanging="169"/>
        <w:spacing w:after="0" w:line="236" w:lineRule="auto"/>
        <w:tabs>
          <w:tab w:leader="none" w:pos="185" w:val="left"/>
        </w:tabs>
        <w:numPr>
          <w:ilvl w:val="0"/>
          <w:numId w:val="41"/>
        </w:numPr>
        <w:rPr>
          <w:rFonts w:ascii="Arial" w:cs="Arial" w:eastAsia="Arial" w:hAnsi="Arial"/>
          <w:sz w:val="15"/>
          <w:szCs w:val="15"/>
          <w:b w:val="1"/>
          <w:bCs w:val="1"/>
          <w:color w:val="215BA8"/>
        </w:rPr>
      </w:pPr>
      <w:r>
        <w:rPr>
          <w:rFonts w:ascii="Arial" w:cs="Arial" w:eastAsia="Arial" w:hAnsi="Arial"/>
          <w:sz w:val="15"/>
          <w:szCs w:val="15"/>
          <w:color w:val="auto"/>
        </w:rPr>
        <w:t>Oversee the Company’s key corporate responsibility initiatives and conduct a periodic review of environmental, social, and governance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109855</wp:posOffset>
            </wp:positionV>
            <wp:extent cx="6386195" cy="2825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86195" cy="282575"/>
                    </a:xfrm>
                    <a:prstGeom prst="rect">
                      <a:avLst/>
                    </a:prstGeom>
                    <a:noFill/>
                  </pic:spPr>
                </pic:pic>
              </a:graphicData>
            </a:graphic>
          </wp:anchor>
        </w:drawing>
        <w:drawing>
          <wp:anchor simplePos="0" relativeHeight="251657728" behindDoc="1" locked="0" layoutInCell="0" allowOverlap="1">
            <wp:simplePos x="0" y="0"/>
            <wp:positionH relativeFrom="column">
              <wp:posOffset>-1915795</wp:posOffset>
            </wp:positionH>
            <wp:positionV relativeFrom="paragraph">
              <wp:posOffset>41275</wp:posOffset>
            </wp:positionV>
            <wp:extent cx="63861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00"/>
            <w:col w:w="7580"/>
          </w:cols>
          <w:pgMar w:left="320" w:top="410" w:right="339" w:bottom="1440" w:gutter="0" w:footer="0" w:header="0"/>
          <w:type w:val="continuous"/>
        </w:sectPr>
      </w:pPr>
    </w:p>
    <w:p>
      <w:pPr>
        <w:spacing w:after="0" w:line="30" w:lineRule="exact"/>
        <w:rPr>
          <w:sz w:val="20"/>
          <w:szCs w:val="20"/>
          <w:color w:val="auto"/>
        </w:rPr>
      </w:pPr>
    </w:p>
    <w:p>
      <w:pPr>
        <w:ind w:left="700"/>
        <w:spacing w:after="0"/>
        <w:rPr>
          <w:sz w:val="20"/>
          <w:szCs w:val="20"/>
          <w:color w:val="auto"/>
        </w:rPr>
      </w:pPr>
      <w:r>
        <w:rPr>
          <w:rFonts w:ascii="Arial" w:cs="Arial" w:eastAsia="Arial" w:hAnsi="Arial"/>
          <w:sz w:val="23"/>
          <w:szCs w:val="23"/>
          <w:b w:val="1"/>
          <w:bCs w:val="1"/>
          <w:color w:val="FFFFFF"/>
        </w:rPr>
        <w:t>TECHNOLOGY COMMITTEE</w:t>
      </w:r>
    </w:p>
    <w:p>
      <w:pPr>
        <w:sectPr>
          <w:pgSz w:w="11900" w:h="16838" w:orient="portrait"/>
          <w:cols w:equalWidth="0" w:num="1">
            <w:col w:w="11240"/>
          </w:cols>
          <w:pgMar w:left="320" w:top="410" w:right="339" w:bottom="1440" w:gutter="0" w:footer="0" w:header="0"/>
          <w:type w:val="continuous"/>
        </w:sect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D60058"/>
        </w:rPr>
        <w:t>Members</w:t>
      </w:r>
    </w:p>
    <w:p>
      <w:pPr>
        <w:spacing w:after="0" w:line="46" w:lineRule="exact"/>
        <w:rPr>
          <w:sz w:val="20"/>
          <w:szCs w:val="20"/>
          <w:color w:val="auto"/>
        </w:rPr>
      </w:pPr>
    </w:p>
    <w:p>
      <w:pPr>
        <w:ind w:left="700" w:right="520"/>
        <w:spacing w:after="0" w:line="275" w:lineRule="auto"/>
        <w:rPr>
          <w:sz w:val="20"/>
          <w:szCs w:val="20"/>
          <w:color w:val="auto"/>
        </w:rPr>
      </w:pPr>
      <w:r>
        <w:rPr>
          <w:rFonts w:ascii="Arial" w:cs="Arial" w:eastAsia="Arial" w:hAnsi="Arial"/>
          <w:sz w:val="14"/>
          <w:szCs w:val="14"/>
          <w:color w:val="215BA8"/>
        </w:rPr>
        <w:t xml:space="preserve">Michael S. Brown, M.D., </w:t>
      </w:r>
      <w:r>
        <w:rPr>
          <w:rFonts w:ascii="Arial" w:cs="Arial" w:eastAsia="Arial" w:hAnsi="Arial"/>
          <w:sz w:val="14"/>
          <w:szCs w:val="14"/>
          <w:i w:val="1"/>
          <w:iCs w:val="1"/>
          <w:color w:val="215BA8"/>
        </w:rPr>
        <w:t>Chair</w:t>
      </w:r>
      <w:r>
        <w:rPr>
          <w:rFonts w:ascii="Arial" w:cs="Arial" w:eastAsia="Arial" w:hAnsi="Arial"/>
          <w:sz w:val="14"/>
          <w:szCs w:val="14"/>
          <w:color w:val="215BA8"/>
        </w:rPr>
        <w:t xml:space="preserve"> Bonnie L. Bassler, Ph.D. Joseph L. Goldstein, M.D.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Marc Tessier-Lavigne, Ph.D.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P. Roy Vagelos, M.D.</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4"/>
          <w:szCs w:val="14"/>
          <w:color w:val="215BA8"/>
        </w:rPr>
        <w:t>Huda Y. Zoghbi, M.D.</w:t>
      </w:r>
    </w:p>
    <w:p>
      <w:pPr>
        <w:spacing w:after="0" w:line="23" w:lineRule="exact"/>
        <w:rPr>
          <w:sz w:val="20"/>
          <w:szCs w:val="20"/>
          <w:color w:val="auto"/>
        </w:rPr>
      </w:pPr>
    </w:p>
    <w:p>
      <w:pPr>
        <w:ind w:left="700"/>
        <w:spacing w:after="0" w:line="222" w:lineRule="auto"/>
        <w:rPr>
          <w:sz w:val="20"/>
          <w:szCs w:val="20"/>
          <w:color w:val="auto"/>
        </w:rPr>
      </w:pPr>
      <w:r>
        <w:rPr>
          <w:rFonts w:ascii="Arial" w:cs="Arial" w:eastAsia="Arial" w:hAnsi="Arial"/>
          <w:sz w:val="14"/>
          <w:szCs w:val="14"/>
          <w:color w:val="215BA8"/>
        </w:rPr>
        <w:t>Leonard S. Schleifer, M.D., Ph.D.</w:t>
      </w:r>
      <w:r>
        <w:rPr>
          <w:rFonts w:ascii="Arial" w:cs="Arial" w:eastAsia="Arial" w:hAnsi="Arial"/>
          <w:sz w:val="23"/>
          <w:szCs w:val="23"/>
          <w:color w:val="215BA8"/>
          <w:vertAlign w:val="superscript"/>
        </w:rPr>
        <w:t>**</w:t>
      </w:r>
      <w:r>
        <w:rPr>
          <w:rFonts w:ascii="Arial" w:cs="Arial" w:eastAsia="Arial" w:hAnsi="Arial"/>
          <w:sz w:val="14"/>
          <w:szCs w:val="14"/>
          <w:color w:val="215BA8"/>
        </w:rPr>
        <w:t xml:space="preserve"> George D. Yancopoulos, M.D., Ph.D.</w:t>
      </w:r>
      <w:r>
        <w:rPr>
          <w:rFonts w:ascii="Arial" w:cs="Arial" w:eastAsia="Arial" w:hAnsi="Arial"/>
          <w:sz w:val="23"/>
          <w:szCs w:val="23"/>
          <w:color w:val="215BA8"/>
          <w:vertAlign w:val="superscript"/>
        </w:rPr>
        <w:t>**</w:t>
      </w:r>
    </w:p>
    <w:p>
      <w:pPr>
        <w:spacing w:after="0" w:line="2" w:lineRule="exact"/>
        <w:rPr>
          <w:sz w:val="20"/>
          <w:szCs w:val="20"/>
          <w:color w:val="auto"/>
        </w:rPr>
      </w:pPr>
    </w:p>
    <w:p>
      <w:pPr>
        <w:ind w:left="700" w:right="180"/>
        <w:spacing w:after="0" w:line="258" w:lineRule="auto"/>
        <w:rPr>
          <w:sz w:val="20"/>
          <w:szCs w:val="20"/>
          <w:color w:val="auto"/>
        </w:rPr>
      </w:pPr>
      <w:r>
        <w:rPr>
          <w:rFonts w:ascii="Arial" w:cs="Arial" w:eastAsia="Arial" w:hAnsi="Arial"/>
          <w:sz w:val="14"/>
          <w:szCs w:val="14"/>
          <w:b w:val="1"/>
          <w:bCs w:val="1"/>
          <w:color w:val="D60058"/>
        </w:rPr>
        <w:t xml:space="preserve">Number of Meetings Held in 2021 </w:t>
      </w:r>
      <w:r>
        <w:rPr>
          <w:rFonts w:ascii="Arial" w:cs="Arial" w:eastAsia="Arial" w:hAnsi="Arial"/>
          <w:sz w:val="14"/>
          <w:szCs w:val="14"/>
          <w:color w:val="215BA8"/>
        </w:rPr>
        <w:t>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Key Functions</w:t>
      </w:r>
    </w:p>
    <w:p>
      <w:pPr>
        <w:spacing w:after="0" w:line="55" w:lineRule="exact"/>
        <w:rPr>
          <w:sz w:val="20"/>
          <w:szCs w:val="20"/>
          <w:color w:val="auto"/>
        </w:rPr>
      </w:pPr>
    </w:p>
    <w:p>
      <w:pPr>
        <w:ind w:left="180" w:right="640" w:hanging="169"/>
        <w:spacing w:after="0" w:line="236" w:lineRule="auto"/>
        <w:tabs>
          <w:tab w:leader="none" w:pos="185" w:val="left"/>
        </w:tabs>
        <w:numPr>
          <w:ilvl w:val="0"/>
          <w:numId w:val="42"/>
        </w:numPr>
        <w:rPr>
          <w:rFonts w:ascii="Arial" w:cs="Arial" w:eastAsia="Arial" w:hAnsi="Arial"/>
          <w:sz w:val="15"/>
          <w:szCs w:val="15"/>
          <w:b w:val="1"/>
          <w:bCs w:val="1"/>
          <w:color w:val="215BA8"/>
        </w:rPr>
      </w:pPr>
      <w:r>
        <w:rPr>
          <w:rFonts w:ascii="Arial" w:cs="Arial" w:eastAsia="Arial" w:hAnsi="Arial"/>
          <w:sz w:val="15"/>
          <w:szCs w:val="15"/>
          <w:color w:val="auto"/>
        </w:rPr>
        <w:t>Oversee, review, and evaluate the Company’s research and clinical development programs, plans, and policies.</w:t>
      </w:r>
    </w:p>
    <w:p>
      <w:pPr>
        <w:spacing w:after="0" w:line="11" w:lineRule="exact"/>
        <w:rPr>
          <w:rFonts w:ascii="Arial" w:cs="Arial" w:eastAsia="Arial" w:hAnsi="Arial"/>
          <w:sz w:val="15"/>
          <w:szCs w:val="15"/>
          <w:b w:val="1"/>
          <w:bCs w:val="1"/>
          <w:color w:val="215BA8"/>
        </w:rPr>
      </w:pPr>
    </w:p>
    <w:p>
      <w:pPr>
        <w:ind w:left="180" w:right="880" w:hanging="169"/>
        <w:spacing w:after="0" w:line="236" w:lineRule="auto"/>
        <w:tabs>
          <w:tab w:leader="none" w:pos="185" w:val="left"/>
        </w:tabs>
        <w:numPr>
          <w:ilvl w:val="0"/>
          <w:numId w:val="42"/>
        </w:numPr>
        <w:rPr>
          <w:rFonts w:ascii="Arial" w:cs="Arial" w:eastAsia="Arial" w:hAnsi="Arial"/>
          <w:sz w:val="15"/>
          <w:szCs w:val="15"/>
          <w:b w:val="1"/>
          <w:bCs w:val="1"/>
          <w:color w:val="215BA8"/>
        </w:rPr>
      </w:pPr>
      <w:r>
        <w:rPr>
          <w:rFonts w:ascii="Arial" w:cs="Arial" w:eastAsia="Arial" w:hAnsi="Arial"/>
          <w:sz w:val="15"/>
          <w:szCs w:val="15"/>
          <w:color w:val="auto"/>
        </w:rPr>
        <w:t>Identify and discuss emerging scientific and technology issues and trends, including their impact on Regeneron’s research and development programs, plans, or policies.</w:t>
      </w:r>
    </w:p>
    <w:p>
      <w:pPr>
        <w:spacing w:after="0" w:line="25" w:lineRule="exact"/>
        <w:rPr>
          <w:rFonts w:ascii="Arial" w:cs="Arial" w:eastAsia="Arial" w:hAnsi="Arial"/>
          <w:sz w:val="15"/>
          <w:szCs w:val="15"/>
          <w:b w:val="1"/>
          <w:bCs w:val="1"/>
          <w:color w:val="215BA8"/>
        </w:rPr>
      </w:pPr>
    </w:p>
    <w:p>
      <w:pPr>
        <w:ind w:left="180" w:hanging="169"/>
        <w:spacing w:after="0"/>
        <w:tabs>
          <w:tab w:leader="none" w:pos="180" w:val="left"/>
        </w:tabs>
        <w:numPr>
          <w:ilvl w:val="0"/>
          <w:numId w:val="42"/>
        </w:numPr>
        <w:rPr>
          <w:rFonts w:ascii="Arial" w:cs="Arial" w:eastAsia="Arial" w:hAnsi="Arial"/>
          <w:sz w:val="14"/>
          <w:szCs w:val="14"/>
          <w:b w:val="1"/>
          <w:bCs w:val="1"/>
          <w:color w:val="215BA8"/>
        </w:rPr>
      </w:pPr>
      <w:r>
        <w:rPr>
          <w:rFonts w:ascii="Arial" w:cs="Arial" w:eastAsia="Arial" w:hAnsi="Arial"/>
          <w:sz w:val="14"/>
          <w:szCs w:val="14"/>
          <w:color w:val="auto"/>
        </w:rPr>
        <w:t>Identify and assess new leaders within research &amp; development and global development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-1915795</wp:posOffset>
            </wp:positionH>
            <wp:positionV relativeFrom="paragraph">
              <wp:posOffset>694690</wp:posOffset>
            </wp:positionV>
            <wp:extent cx="63861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206" w:lineRule="exact"/>
        <w:rPr>
          <w:sz w:val="20"/>
          <w:szCs w:val="20"/>
          <w:color w:val="auto"/>
        </w:rPr>
      </w:pPr>
    </w:p>
    <w:p>
      <w:pPr>
        <w:sectPr>
          <w:pgSz w:w="11900" w:h="16838" w:orient="portrait"/>
          <w:cols w:equalWidth="0" w:num="2">
            <w:col w:w="3140" w:space="520"/>
            <w:col w:w="7580"/>
          </w:cols>
          <w:pgMar w:left="320" w:top="410" w:right="339" w:bottom="1440" w:gutter="0" w:footer="0" w:header="0"/>
          <w:type w:val="continuous"/>
        </w:sectPr>
      </w:pPr>
    </w:p>
    <w:p>
      <w:pPr>
        <w:ind w:left="840" w:right="800" w:hanging="202"/>
        <w:spacing w:after="0" w:line="258" w:lineRule="auto"/>
        <w:tabs>
          <w:tab w:leader="none" w:pos="840" w:val="left"/>
        </w:tabs>
        <w:numPr>
          <w:ilvl w:val="0"/>
          <w:numId w:val="43"/>
        </w:numPr>
        <w:rPr>
          <w:rFonts w:ascii="Arial" w:cs="Arial" w:eastAsia="Arial" w:hAnsi="Arial"/>
          <w:sz w:val="14"/>
          <w:szCs w:val="14"/>
          <w:color w:val="215BA8"/>
        </w:rPr>
      </w:pPr>
      <w:r>
        <w:rPr>
          <w:rFonts w:ascii="Arial" w:cs="Arial" w:eastAsia="Arial" w:hAnsi="Arial"/>
          <w:sz w:val="14"/>
          <w:szCs w:val="14"/>
          <w:color w:val="1A1A1A"/>
        </w:rPr>
        <w:t>The full board retains oversight of the Company’s strategies and policies related to diversity, equity, and inclusion. See the subsection “The Company— Corporate Governance—Corporate Responsibility” for more information.</w:t>
      </w:r>
    </w:p>
    <w:p>
      <w:pPr>
        <w:spacing w:after="0" w:line="32" w:lineRule="exact"/>
        <w:rPr>
          <w:sz w:val="20"/>
          <w:szCs w:val="20"/>
          <w:color w:val="auto"/>
        </w:rPr>
      </w:pPr>
    </w:p>
    <w:p>
      <w:pPr>
        <w:ind w:left="840" w:hanging="202"/>
        <w:spacing w:after="0"/>
        <w:tabs>
          <w:tab w:leader="none" w:pos="840" w:val="left"/>
        </w:tabs>
        <w:numPr>
          <w:ilvl w:val="0"/>
          <w:numId w:val="44"/>
        </w:numPr>
        <w:rPr>
          <w:rFonts w:ascii="Arial" w:cs="Arial" w:eastAsia="Arial" w:hAnsi="Arial"/>
          <w:sz w:val="14"/>
          <w:szCs w:val="14"/>
          <w:color w:val="215BA8"/>
        </w:rPr>
      </w:pPr>
      <w:r>
        <w:rPr>
          <w:rFonts w:ascii="Arial" w:cs="Arial" w:eastAsia="Arial" w:hAnsi="Arial"/>
          <w:sz w:val="14"/>
          <w:szCs w:val="14"/>
          <w:color w:val="1A1A1A"/>
        </w:rPr>
        <w:t>Ex Officio Member.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21</w:t>
            </w:r>
          </w:p>
        </w:tc>
      </w:tr>
      <w:tr>
        <w:trPr>
          <w:trHeight w:val="235"/>
        </w:trPr>
        <w:tc>
          <w:tcPr>
            <w:tcW w:w="820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type w:val="continuous"/>
        </w:sectPr>
      </w:pPr>
    </w:p>
    <w:bookmarkStart w:id="36" w:name="page37"/>
    <w:bookmarkEnd w:id="36"/>
    <w:p>
      <w:pPr>
        <w:ind w:left="1400"/>
        <w:spacing w:after="0"/>
        <w:rPr>
          <w:sz w:val="20"/>
          <w:szCs w:val="20"/>
          <w:color w:val="auto"/>
        </w:rPr>
      </w:pPr>
      <w:r>
        <w:rPr>
          <w:rFonts w:ascii="Arial" w:cs="Arial" w:eastAsia="Arial" w:hAnsi="Arial"/>
          <w:sz w:val="50"/>
          <w:szCs w:val="50"/>
          <w:b w:val="1"/>
          <w:bCs w:val="1"/>
          <w:color w:val="215AA8"/>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918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895"/>
                    </a:xfrm>
                    <a:prstGeom prst="rect">
                      <a:avLst/>
                    </a:prstGeom>
                    <a:noFill/>
                  </pic:spPr>
                </pic:pic>
              </a:graphicData>
            </a:graphic>
          </wp:anchor>
        </w:drawing>
        <w:t>BOARD GOVERNANCE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15BA8"/>
        </w:rPr>
        <w:t>Board Classes</w:t>
      </w:r>
    </w:p>
    <w:p>
      <w:pPr>
        <w:spacing w:after="0" w:line="201" w:lineRule="exact"/>
        <w:rPr>
          <w:sz w:val="20"/>
          <w:szCs w:val="20"/>
          <w:color w:val="auto"/>
        </w:rPr>
      </w:pPr>
    </w:p>
    <w:p>
      <w:pPr>
        <w:ind w:left="640" w:right="580"/>
        <w:spacing w:after="0" w:line="232" w:lineRule="auto"/>
        <w:rPr>
          <w:sz w:val="20"/>
          <w:szCs w:val="20"/>
          <w:color w:val="auto"/>
        </w:rPr>
      </w:pPr>
      <w:r>
        <w:rPr>
          <w:rFonts w:ascii="Arial" w:cs="Arial" w:eastAsia="Arial" w:hAnsi="Arial"/>
          <w:sz w:val="16"/>
          <w:szCs w:val="16"/>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of Class I, Class II, and Class III. The respective terms of the directors expire (in all cases, subject to the election and qualification of their successors and to their earlier death, resignation, or removal) as follows:</w:t>
      </w:r>
    </w:p>
    <w:p>
      <w:pPr>
        <w:spacing w:after="0" w:line="166" w:lineRule="exact"/>
        <w:rPr>
          <w:sz w:val="20"/>
          <w:szCs w:val="20"/>
          <w:color w:val="auto"/>
        </w:rPr>
      </w:pPr>
    </w:p>
    <w:p>
      <w:pPr>
        <w:ind w:left="840" w:hanging="202"/>
        <w:spacing w:after="0"/>
        <w:tabs>
          <w:tab w:leader="none" w:pos="840" w:val="left"/>
        </w:tabs>
        <w:numPr>
          <w:ilvl w:val="0"/>
          <w:numId w:val="45"/>
        </w:numPr>
        <w:rPr>
          <w:rFonts w:ascii="Arial" w:cs="Arial" w:eastAsia="Arial" w:hAnsi="Arial"/>
          <w:sz w:val="16"/>
          <w:szCs w:val="16"/>
          <w:color w:val="215BA8"/>
        </w:rPr>
      </w:pPr>
      <w:r>
        <w:rPr>
          <w:rFonts w:ascii="Arial" w:cs="Arial" w:eastAsia="Arial" w:hAnsi="Arial"/>
          <w:sz w:val="16"/>
          <w:szCs w:val="16"/>
          <w:color w:val="auto"/>
        </w:rPr>
        <w:t>The terms of the Class I Directors expire at the 2022 Annual Meeting;</w:t>
      </w:r>
    </w:p>
    <w:p>
      <w:pPr>
        <w:spacing w:after="0" w:line="167" w:lineRule="exact"/>
        <w:rPr>
          <w:rFonts w:ascii="Arial" w:cs="Arial" w:eastAsia="Arial" w:hAnsi="Arial"/>
          <w:sz w:val="16"/>
          <w:szCs w:val="16"/>
          <w:color w:val="215BA8"/>
        </w:rPr>
      </w:pPr>
    </w:p>
    <w:p>
      <w:pPr>
        <w:ind w:left="840" w:hanging="202"/>
        <w:spacing w:after="0"/>
        <w:tabs>
          <w:tab w:leader="none" w:pos="840" w:val="left"/>
        </w:tabs>
        <w:numPr>
          <w:ilvl w:val="0"/>
          <w:numId w:val="45"/>
        </w:numPr>
        <w:rPr>
          <w:rFonts w:ascii="Arial" w:cs="Arial" w:eastAsia="Arial" w:hAnsi="Arial"/>
          <w:sz w:val="16"/>
          <w:szCs w:val="16"/>
          <w:color w:val="215BA8"/>
        </w:rPr>
      </w:pPr>
      <w:r>
        <w:rPr>
          <w:rFonts w:ascii="Arial" w:cs="Arial" w:eastAsia="Arial" w:hAnsi="Arial"/>
          <w:sz w:val="16"/>
          <w:szCs w:val="16"/>
          <w:color w:val="auto"/>
        </w:rPr>
        <w:t>The terms of the Class II Directors expire at the 2023 Annual Meeting; and</w:t>
      </w:r>
    </w:p>
    <w:p>
      <w:pPr>
        <w:spacing w:after="0" w:line="167" w:lineRule="exact"/>
        <w:rPr>
          <w:rFonts w:ascii="Arial" w:cs="Arial" w:eastAsia="Arial" w:hAnsi="Arial"/>
          <w:sz w:val="16"/>
          <w:szCs w:val="16"/>
          <w:color w:val="215BA8"/>
        </w:rPr>
      </w:pPr>
    </w:p>
    <w:p>
      <w:pPr>
        <w:ind w:left="840" w:hanging="202"/>
        <w:spacing w:after="0"/>
        <w:tabs>
          <w:tab w:leader="none" w:pos="840" w:val="left"/>
        </w:tabs>
        <w:numPr>
          <w:ilvl w:val="0"/>
          <w:numId w:val="45"/>
        </w:numPr>
        <w:rPr>
          <w:rFonts w:ascii="Arial" w:cs="Arial" w:eastAsia="Arial" w:hAnsi="Arial"/>
          <w:sz w:val="16"/>
          <w:szCs w:val="16"/>
          <w:color w:val="215BA8"/>
        </w:rPr>
      </w:pPr>
      <w:r>
        <w:rPr>
          <w:rFonts w:ascii="Arial" w:cs="Arial" w:eastAsia="Arial" w:hAnsi="Arial"/>
          <w:sz w:val="16"/>
          <w:szCs w:val="16"/>
          <w:color w:val="auto"/>
        </w:rPr>
        <w:t>The terms of the Class III Directors expire at the 2024 Annual Meeting.</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15BA8"/>
        </w:rPr>
        <w:t>Rationale for Board Structure</w:t>
      </w:r>
    </w:p>
    <w:p>
      <w:pPr>
        <w:spacing w:after="0" w:line="201" w:lineRule="exact"/>
        <w:rPr>
          <w:sz w:val="20"/>
          <w:szCs w:val="20"/>
          <w:color w:val="auto"/>
        </w:rPr>
      </w:pPr>
    </w:p>
    <w:p>
      <w:pPr>
        <w:ind w:left="640" w:right="580"/>
        <w:spacing w:after="0" w:line="231" w:lineRule="auto"/>
        <w:rPr>
          <w:sz w:val="20"/>
          <w:szCs w:val="20"/>
          <w:color w:val="auto"/>
        </w:rPr>
      </w:pPr>
      <w:r>
        <w:rPr>
          <w:rFonts w:ascii="Arial" w:cs="Arial" w:eastAsia="Arial" w:hAnsi="Arial"/>
          <w:sz w:val="16"/>
          <w:szCs w:val="16"/>
          <w:color w:val="auto"/>
        </w:rPr>
        <w:t>Regeneron continues to operate with the long-term outlook required to turn rigorous scientific research into important new medicines. To deliver on this mission, we manage our business for the long term and pursue our core strategy of creating and advancing a high-quality, internally developed product pipeline. We believe that the classified board structure aligns with this long-term orientation and has enabled the board to provide appropriate and expert oversight of management over the course of the development cycle of our products, which we believe ultimately drives the creation of sustainable shareholder value. Furthermore, we believe three-year terms enhance the independence of our non-employee directors by providing continuity of service and protecting them against potential pressures from special interest groups or others who might have an agenda contrary to the long-term interests of shareholders.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BOARD MEETINGS AND ATTENDANCE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15BA8"/>
        </w:rPr>
        <w:t>Board Meetings</w:t>
      </w:r>
    </w:p>
    <w:p>
      <w:pPr>
        <w:spacing w:after="0" w:line="201" w:lineRule="exact"/>
        <w:rPr>
          <w:sz w:val="20"/>
          <w:szCs w:val="20"/>
          <w:color w:val="auto"/>
        </w:rPr>
      </w:pPr>
    </w:p>
    <w:p>
      <w:pPr>
        <w:ind w:left="640" w:right="740"/>
        <w:spacing w:after="0" w:line="254" w:lineRule="auto"/>
        <w:rPr>
          <w:sz w:val="20"/>
          <w:szCs w:val="20"/>
          <w:color w:val="auto"/>
        </w:rPr>
      </w:pPr>
      <w:r>
        <w:rPr>
          <w:rFonts w:ascii="Arial" w:cs="Arial" w:eastAsia="Arial" w:hAnsi="Arial"/>
          <w:sz w:val="15"/>
          <w:szCs w:val="15"/>
          <w:color w:val="auto"/>
        </w:rPr>
        <w:t>The board held 9 meetings in 2021, of which five were regular and four were special meetings. The Regeneron Board of Directors Corporate Governance Guidelines provide that directors are expected to attend all or substantially all meetings of the board and the committees on which they serve. All directors attended at least 75% of the total number of meetings of the board and committees of the board on which they served.</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15BA8"/>
        </w:rPr>
        <w:t>Annual Shareholder Meetings</w:t>
      </w:r>
    </w:p>
    <w:p>
      <w:pPr>
        <w:spacing w:after="0" w:line="201" w:lineRule="exact"/>
        <w:rPr>
          <w:sz w:val="20"/>
          <w:szCs w:val="20"/>
          <w:color w:val="auto"/>
        </w:rPr>
      </w:pPr>
    </w:p>
    <w:p>
      <w:pPr>
        <w:ind w:left="640" w:right="1060"/>
        <w:spacing w:after="0" w:line="236" w:lineRule="auto"/>
        <w:rPr>
          <w:sz w:val="20"/>
          <w:szCs w:val="20"/>
          <w:color w:val="auto"/>
        </w:rPr>
      </w:pPr>
      <w:r>
        <w:rPr>
          <w:rFonts w:ascii="Arial" w:cs="Arial" w:eastAsia="Arial" w:hAnsi="Arial"/>
          <w:sz w:val="16"/>
          <w:szCs w:val="16"/>
          <w:color w:val="auto"/>
        </w:rPr>
        <w:t>According to the Regeneron Board of Directors Corporate Governance Guidelines, board members are expected to attend the Company’s Annual Meeting of Shareholders. All of the directors attended our 2021 Annual Meeting of Shareholders.</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DIRECTOR REFRESHMENT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59" w:lineRule="exact"/>
        <w:rPr>
          <w:sz w:val="20"/>
          <w:szCs w:val="20"/>
          <w:color w:val="auto"/>
        </w:rPr>
      </w:pPr>
    </w:p>
    <w:p>
      <w:pPr>
        <w:ind w:left="640" w:right="600"/>
        <w:spacing w:after="0" w:line="232" w:lineRule="auto"/>
        <w:rPr>
          <w:sz w:val="20"/>
          <w:szCs w:val="20"/>
          <w:color w:val="auto"/>
        </w:rPr>
      </w:pPr>
      <w:r>
        <w:rPr>
          <w:rFonts w:ascii="Arial" w:cs="Arial" w:eastAsia="Arial" w:hAnsi="Arial"/>
          <w:sz w:val="16"/>
          <w:szCs w:val="16"/>
          <w:color w:val="auto"/>
        </w:rPr>
        <w:t>The Corporate Governance and Compliance Committee is responsible for ensuring that our board is comprised of highly qualified directors with diverse skillsets and backgrounds who will serve as stewards of investor capital and drive the Company’s scientific focus to ensure the continued creation of long-term shareholder value. The Committee seeks to ensure that our board as a whole possesses the mix of skills and experiences to provide effective oversight and guidance to management to execute on the Company’s long-term strategy.</w:t>
      </w:r>
    </w:p>
    <w:p>
      <w:pPr>
        <w:spacing w:after="0" w:line="166" w:lineRule="exact"/>
        <w:rPr>
          <w:sz w:val="20"/>
          <w:szCs w:val="20"/>
          <w:color w:val="auto"/>
        </w:rPr>
      </w:pPr>
    </w:p>
    <w:p>
      <w:pPr>
        <w:jc w:val="both"/>
        <w:ind w:left="640" w:right="720"/>
        <w:spacing w:after="0" w:line="234" w:lineRule="auto"/>
        <w:rPr>
          <w:sz w:val="20"/>
          <w:szCs w:val="20"/>
          <w:color w:val="auto"/>
        </w:rPr>
      </w:pPr>
      <w:r>
        <w:rPr>
          <w:rFonts w:ascii="Arial" w:cs="Arial" w:eastAsia="Arial" w:hAnsi="Arial"/>
          <w:sz w:val="16"/>
          <w:szCs w:val="16"/>
          <w:color w:val="auto"/>
        </w:rPr>
        <w:t>As part of its analysis to ensure the appropriate composition of the board, the Committee at least annually evaluates director performance. This analysis includes an assessment of the board members’ contributions, their continued activity in and knowledge of the healthcare industry, and ultimately whether they are effective in challenging and</w:t>
      </w:r>
    </w:p>
    <w:p>
      <w:pPr>
        <w:spacing w:after="0" w:line="18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22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37" w:name="page38"/>
    <w:bookmarkEnd w:id="37"/>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40" w:right="540"/>
        <w:spacing w:after="0" w:line="232" w:lineRule="auto"/>
        <w:rPr>
          <w:sz w:val="20"/>
          <w:szCs w:val="20"/>
          <w:color w:val="auto"/>
        </w:rPr>
      </w:pPr>
      <w:r>
        <w:rPr>
          <w:rFonts w:ascii="Arial" w:cs="Arial" w:eastAsia="Arial" w:hAnsi="Arial"/>
          <w:sz w:val="16"/>
          <w:szCs w:val="16"/>
          <w:color w:val="auto"/>
        </w:rPr>
        <w:t>providing independent oversight of management. In addition to ensuring adequate scientific expertise on the board, the Committee also assesses the continued relevance of the directors’ expertise and skills to the Company’s long-term strategy and goals. The Committee further evaluates the extent to which the directors continue to remain independent of management, with its evaluation focusing not only on applicable listing standards of the Nasdaq Stock Market LLC but also on whether the directors have a material link to the Company and management other than their board seat.</w:t>
      </w:r>
    </w:p>
    <w:p>
      <w:pPr>
        <w:spacing w:after="0" w:line="164" w:lineRule="exact"/>
        <w:rPr>
          <w:sz w:val="20"/>
          <w:szCs w:val="20"/>
          <w:color w:val="auto"/>
        </w:rPr>
      </w:pPr>
    </w:p>
    <w:p>
      <w:pPr>
        <w:ind w:left="640" w:right="540"/>
        <w:spacing w:after="0" w:line="230" w:lineRule="auto"/>
        <w:rPr>
          <w:sz w:val="20"/>
          <w:szCs w:val="20"/>
          <w:color w:val="auto"/>
        </w:rPr>
      </w:pPr>
      <w:r>
        <w:rPr>
          <w:rFonts w:ascii="Arial" w:cs="Arial" w:eastAsia="Arial" w:hAnsi="Arial"/>
          <w:sz w:val="16"/>
          <w:szCs w:val="16"/>
          <w:color w:val="auto"/>
        </w:rPr>
        <w:t>The Committee believes it is desirable to maintain a mix of longer-tenured, experienced directors who have developed enhanced knowledge and understanding of, and valuable insight into, the Company and its operations and newer directors with fresh perspectives. As a result, we do not impose director tenure limits or a mandatory retirement age. The Committee has considered the perspectives of some shareholders regarding longer-tenured directors but believes that longer-serving directors with experience and institutional knowledge bring critical skills to the boardroom. In particular, the Committee believes that continuity on the board allows for longer-tenured directors to make meaningful contributions and provide effective oversight of management during the complete drug discovery and development cycle. Accordingly, while director tenure is taken into consideration when evaluating the board’s composition, the Committee believes that imposing arbitrary limits on director tenure would deprive the board of the valuable contributions of its most experienced members.</w:t>
      </w:r>
    </w:p>
    <w:p>
      <w:pPr>
        <w:spacing w:after="0" w:line="169" w:lineRule="exact"/>
        <w:rPr>
          <w:sz w:val="20"/>
          <w:szCs w:val="20"/>
          <w:color w:val="auto"/>
        </w:rPr>
      </w:pPr>
    </w:p>
    <w:p>
      <w:pPr>
        <w:ind w:left="640" w:right="1060"/>
        <w:spacing w:after="0" w:line="236" w:lineRule="auto"/>
        <w:rPr>
          <w:sz w:val="20"/>
          <w:szCs w:val="20"/>
          <w:color w:val="auto"/>
        </w:rPr>
      </w:pPr>
      <w:r>
        <w:rPr>
          <w:rFonts w:ascii="Arial" w:cs="Arial" w:eastAsia="Arial" w:hAnsi="Arial"/>
          <w:sz w:val="16"/>
          <w:szCs w:val="16"/>
          <w:color w:val="auto"/>
        </w:rPr>
        <w:t>To ensure a robust approach to director suitability, evaluation, and refreshment, the Committee has adopted refreshment mechanisms that include the following:</w:t>
      </w:r>
    </w:p>
    <w:p>
      <w:pPr>
        <w:spacing w:after="0" w:line="165" w:lineRule="exact"/>
        <w:rPr>
          <w:sz w:val="20"/>
          <w:szCs w:val="20"/>
          <w:color w:val="auto"/>
        </w:rPr>
      </w:pPr>
    </w:p>
    <w:p>
      <w:pPr>
        <w:ind w:left="840" w:hanging="202"/>
        <w:spacing w:after="0"/>
        <w:tabs>
          <w:tab w:leader="none" w:pos="840" w:val="left"/>
        </w:tabs>
        <w:numPr>
          <w:ilvl w:val="0"/>
          <w:numId w:val="46"/>
        </w:numPr>
        <w:rPr>
          <w:rFonts w:ascii="Arial" w:cs="Arial" w:eastAsia="Arial" w:hAnsi="Arial"/>
          <w:sz w:val="16"/>
          <w:szCs w:val="16"/>
          <w:color w:val="215BA8"/>
        </w:rPr>
      </w:pPr>
      <w:r>
        <w:rPr>
          <w:rFonts w:ascii="Arial" w:cs="Arial" w:eastAsia="Arial" w:hAnsi="Arial"/>
          <w:sz w:val="16"/>
          <w:szCs w:val="16"/>
          <w:color w:val="auto"/>
        </w:rPr>
        <w:t>A formal annual board and committee self-evaluation, as discussed further below;</w:t>
      </w:r>
    </w:p>
    <w:p>
      <w:pPr>
        <w:spacing w:after="0" w:line="167" w:lineRule="exact"/>
        <w:rPr>
          <w:rFonts w:ascii="Arial" w:cs="Arial" w:eastAsia="Arial" w:hAnsi="Arial"/>
          <w:sz w:val="16"/>
          <w:szCs w:val="16"/>
          <w:color w:val="215BA8"/>
        </w:rPr>
      </w:pPr>
    </w:p>
    <w:p>
      <w:pPr>
        <w:ind w:left="840" w:hanging="202"/>
        <w:spacing w:after="0"/>
        <w:tabs>
          <w:tab w:leader="none" w:pos="840" w:val="left"/>
        </w:tabs>
        <w:numPr>
          <w:ilvl w:val="0"/>
          <w:numId w:val="46"/>
        </w:numPr>
        <w:rPr>
          <w:rFonts w:ascii="Arial" w:cs="Arial" w:eastAsia="Arial" w:hAnsi="Arial"/>
          <w:sz w:val="16"/>
          <w:szCs w:val="16"/>
          <w:color w:val="215BA8"/>
        </w:rPr>
      </w:pPr>
      <w:r>
        <w:rPr>
          <w:rFonts w:ascii="Arial" w:cs="Arial" w:eastAsia="Arial" w:hAnsi="Arial"/>
          <w:sz w:val="16"/>
          <w:szCs w:val="16"/>
          <w:color w:val="auto"/>
        </w:rPr>
        <w:t>A requirement to offer resignation upon material change in principal employment; and</w:t>
      </w:r>
    </w:p>
    <w:p>
      <w:pPr>
        <w:spacing w:after="0" w:line="167" w:lineRule="exact"/>
        <w:rPr>
          <w:rFonts w:ascii="Arial" w:cs="Arial" w:eastAsia="Arial" w:hAnsi="Arial"/>
          <w:sz w:val="16"/>
          <w:szCs w:val="16"/>
          <w:color w:val="215BA8"/>
        </w:rPr>
      </w:pPr>
    </w:p>
    <w:p>
      <w:pPr>
        <w:ind w:left="840" w:right="720" w:hanging="202"/>
        <w:spacing w:after="0" w:line="236" w:lineRule="auto"/>
        <w:tabs>
          <w:tab w:leader="none" w:pos="840" w:val="left"/>
        </w:tabs>
        <w:numPr>
          <w:ilvl w:val="0"/>
          <w:numId w:val="46"/>
        </w:numPr>
        <w:rPr>
          <w:rFonts w:ascii="Arial" w:cs="Arial" w:eastAsia="Arial" w:hAnsi="Arial"/>
          <w:sz w:val="16"/>
          <w:szCs w:val="16"/>
          <w:color w:val="215BA8"/>
        </w:rPr>
      </w:pPr>
      <w:r>
        <w:rPr>
          <w:rFonts w:ascii="Arial" w:cs="Arial" w:eastAsia="Arial" w:hAnsi="Arial"/>
          <w:sz w:val="16"/>
          <w:szCs w:val="16"/>
          <w:color w:val="auto"/>
        </w:rPr>
        <w:t>A policy that limits director service to no more than four public boards (including Regeneron) and requires notification prior to appointment to another public or for-profit company board.</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PROCEDURES RELATING TO NOMINEES; BOARD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59" w:lineRule="exact"/>
        <w:rPr>
          <w:sz w:val="20"/>
          <w:szCs w:val="20"/>
          <w:color w:val="auto"/>
        </w:rPr>
      </w:pPr>
    </w:p>
    <w:p>
      <w:pPr>
        <w:ind w:left="640" w:right="580"/>
        <w:spacing w:after="0" w:line="232" w:lineRule="auto"/>
        <w:rPr>
          <w:sz w:val="20"/>
          <w:szCs w:val="20"/>
          <w:color w:val="auto"/>
        </w:rPr>
      </w:pPr>
      <w:r>
        <w:rPr>
          <w:rFonts w:ascii="Arial" w:cs="Arial" w:eastAsia="Arial" w:hAnsi="Arial"/>
          <w:sz w:val="16"/>
          <w:szCs w:val="16"/>
          <w:color w:val="auto"/>
        </w:rPr>
        <w:t xml:space="preserve">The Corporate Governance and Compliance Committee will consider a nominee for election to the board of directors recommended by a shareholder of record if the shareholder submits the recommendation in compliance with the requirements of our Guidelines Regarding Director Nominations, which are available on our website at </w:t>
      </w:r>
      <w:r>
        <w:rPr>
          <w:rFonts w:ascii="Arial" w:cs="Arial" w:eastAsia="Arial" w:hAnsi="Arial"/>
          <w:sz w:val="16"/>
          <w:szCs w:val="16"/>
          <w:b w:val="1"/>
          <w:bCs w:val="1"/>
          <w:color w:val="auto"/>
        </w:rPr>
        <w:t>www.regeneron.com</w:t>
      </w:r>
      <w:r>
        <w:rPr>
          <w:rFonts w:ascii="Arial" w:cs="Arial" w:eastAsia="Arial" w:hAnsi="Arial"/>
          <w:sz w:val="16"/>
          <w:szCs w:val="16"/>
          <w:color w:val="auto"/>
        </w:rPr>
        <w:t xml:space="preserve"> under the “Corporate Governance” heading on the “Investors &amp; Media” page.</w:t>
      </w:r>
    </w:p>
    <w:p>
      <w:pPr>
        <w:spacing w:after="0" w:line="166" w:lineRule="exact"/>
        <w:rPr>
          <w:sz w:val="20"/>
          <w:szCs w:val="20"/>
          <w:color w:val="auto"/>
        </w:rPr>
      </w:pPr>
    </w:p>
    <w:p>
      <w:pPr>
        <w:ind w:left="640" w:right="580"/>
        <w:spacing w:after="0" w:line="231" w:lineRule="auto"/>
        <w:rPr>
          <w:sz w:val="20"/>
          <w:szCs w:val="20"/>
          <w:color w:val="auto"/>
        </w:rPr>
      </w:pPr>
      <w:r>
        <w:rPr>
          <w:rFonts w:ascii="Arial" w:cs="Arial" w:eastAsia="Arial" w:hAnsi="Arial"/>
          <w:sz w:val="16"/>
          <w:szCs w:val="16"/>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 (6) has the commitment to rigorously represent the long-term interests of the Company’s shareholders; (7) possesses a diverse background and experience, including with respect to race, age, and gender; and (8) such other factors as the Corporate Governance and Compliance Committee may determine from time to time.</w:t>
      </w:r>
    </w:p>
    <w:p>
      <w:pPr>
        <w:spacing w:after="0" w:line="166" w:lineRule="exact"/>
        <w:rPr>
          <w:sz w:val="20"/>
          <w:szCs w:val="20"/>
          <w:color w:val="auto"/>
        </w:rPr>
      </w:pPr>
    </w:p>
    <w:p>
      <w:pPr>
        <w:ind w:left="640" w:right="540"/>
        <w:spacing w:after="0" w:line="231" w:lineRule="auto"/>
        <w:rPr>
          <w:sz w:val="20"/>
          <w:szCs w:val="20"/>
          <w:color w:val="auto"/>
        </w:rPr>
      </w:pPr>
      <w:r>
        <w:rPr>
          <w:rFonts w:ascii="Arial" w:cs="Arial" w:eastAsia="Arial" w:hAnsi="Arial"/>
          <w:sz w:val="16"/>
          <w:szCs w:val="16"/>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64" w:lineRule="exact"/>
        <w:rPr>
          <w:sz w:val="20"/>
          <w:szCs w:val="20"/>
          <w:color w:val="auto"/>
        </w:rPr>
      </w:pPr>
    </w:p>
    <w:p>
      <w:pPr>
        <w:ind w:left="640" w:right="760"/>
        <w:spacing w:after="0" w:line="232" w:lineRule="auto"/>
        <w:rPr>
          <w:sz w:val="20"/>
          <w:szCs w:val="20"/>
          <w:color w:val="auto"/>
        </w:rPr>
      </w:pPr>
      <w:r>
        <w:rPr>
          <w:rFonts w:ascii="Arial" w:cs="Arial" w:eastAsia="Arial" w:hAnsi="Arial"/>
          <w:sz w:val="16"/>
          <w:szCs w:val="16"/>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23</w:t>
            </w:r>
          </w:p>
        </w:tc>
      </w:tr>
      <w:tr>
        <w:trPr>
          <w:trHeight w:val="235"/>
        </w:trPr>
        <w:tc>
          <w:tcPr>
            <w:tcW w:w="820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sectPr>
      </w:pPr>
    </w:p>
    <w:bookmarkStart w:id="38" w:name="page39"/>
    <w:bookmarkEnd w:id="38"/>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 nominees for the board of directors. In addition,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 any search firm will affirmatively be instructed to seek to include diverse candidates. Candidates recommended by shareholders will be evaluated on the same basis as candidates recommended by our directors or management or by third-party search firms or other sources. Candidates may be evaluated at regular or special meetings of the Corporate Governance and Compliance Committee. The Committee also considers succession planning for board and committee chairs for purposes of continuity and to maintain relevant expertise and depth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102870</wp:posOffset>
            </wp:positionV>
            <wp:extent cx="5974715" cy="1697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7471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BOARD AND COMMITTEE SELF-ASSESSMENTS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On an annual basis, the board of directors, the Audit Committee, the Compensation Committee, and the Corporate</w:t>
      </w:r>
    </w:p>
    <w:p>
      <w:pPr>
        <w:ind w:left="540" w:right="600"/>
        <w:spacing w:after="0" w:line="231" w:lineRule="auto"/>
        <w:rPr>
          <w:sz w:val="20"/>
          <w:szCs w:val="20"/>
          <w:color w:val="auto"/>
        </w:rPr>
      </w:pPr>
      <w:r>
        <w:rPr>
          <w:rFonts w:ascii="Arial" w:cs="Arial" w:eastAsia="Arial" w:hAnsi="Arial"/>
          <w:sz w:val="16"/>
          <w:szCs w:val="16"/>
          <w:color w:val="auto"/>
        </w:rPr>
        <w:t>Governance and Compliance Committee conduct self-assessments to ensure effective performance and to identify opportunities for improvement. As the first step in the self-assessment process, directors complete a comprehensive questionnaire, which asks them to consider various topics related to board and committee composition, structure, effectiveness, and responsibilities, as well as satisfaction with the schedule, materials, and discussion topics. Each committee, as well as the board as a whole, then reviews and assesses the responses and presents its findings and recommendations to the board of directors. The results of the assessments are then discussed by the board of directors and the respective committees in executive session, with a view toward taking action to address any issues presented. Results requiring additional consideration are addressed at subsequent board and committee meetings, where appropriate.</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123190</wp:posOffset>
            </wp:positionV>
            <wp:extent cx="5640705" cy="12172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4070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0" w:right="900"/>
        <w:spacing w:after="0" w:line="236" w:lineRule="auto"/>
        <w:rPr>
          <w:sz w:val="20"/>
          <w:szCs w:val="20"/>
          <w:color w:val="auto"/>
        </w:rPr>
      </w:pPr>
      <w:r>
        <w:rPr>
          <w:rFonts w:ascii="Arial" w:cs="Arial" w:eastAsia="Arial" w:hAnsi="Arial"/>
          <w:sz w:val="16"/>
          <w:szCs w:val="16"/>
          <w:color w:val="auto"/>
        </w:rPr>
        <w:t>While this formal self-assessment is conducted on an annual basis, directors share perspectives, feedback, and suggestions year round, both inside and outside the boardroom.</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SHAREHOLDER RIGHT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59" w:lineRule="exact"/>
        <w:rPr>
          <w:sz w:val="20"/>
          <w:szCs w:val="20"/>
          <w:color w:val="auto"/>
        </w:rPr>
      </w:pPr>
    </w:p>
    <w:p>
      <w:pPr>
        <w:ind w:left="540" w:right="760"/>
        <w:spacing w:after="0" w:line="236" w:lineRule="auto"/>
        <w:rPr>
          <w:sz w:val="20"/>
          <w:szCs w:val="20"/>
          <w:color w:val="auto"/>
        </w:rPr>
      </w:pPr>
      <w:r>
        <w:rPr>
          <w:rFonts w:ascii="Arial" w:cs="Arial" w:eastAsia="Arial" w:hAnsi="Arial"/>
          <w:sz w:val="16"/>
          <w:szCs w:val="16"/>
          <w:color w:val="auto"/>
        </w:rPr>
        <w:t>Regeneron’s charter documents give shareholders the right to call a special shareholder meeting upon the written request of at least 25% of the total number of votes entitled to be cast by shareholders.</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24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39" w:name="page40"/>
    <w:bookmarkEnd w:id="39"/>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9"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The board of directors has determined that each of the following currently serving directors is independent as defined in the listing standards of The Nasdaq Stock Market LLC and our Corporate Governance Guidelines: Bonnie L. Bassler, Ph.D., Michael S. Brown, M.D., N. Anthony Coles, M.D., Joseph L. Goldstein, M.D., Christine A. Poon, Arthur F. Ryan, George L. Sing, Marc Tessier-Lavigne, Ph.D., and Huda Y. Zoghbi, M.D.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In accordance with our Corporate Governance Guidelines, the board conducts executive sessions of independent directors presided by the Chair of the Corporate Governance and Compliance Committee following each regularly scheduled board meeting, as discussed further below.</w:t>
      </w:r>
    </w:p>
    <w:p>
      <w:pPr>
        <w:spacing w:after="0" w:line="169" w:lineRule="exact"/>
        <w:rPr>
          <w:sz w:val="20"/>
          <w:szCs w:val="20"/>
          <w:color w:val="auto"/>
        </w:rPr>
      </w:pPr>
    </w:p>
    <w:p>
      <w:pPr>
        <w:jc w:val="both"/>
        <w:ind w:left="540" w:right="700"/>
        <w:spacing w:after="0" w:line="234" w:lineRule="auto"/>
        <w:rPr>
          <w:sz w:val="20"/>
          <w:szCs w:val="20"/>
          <w:color w:val="auto"/>
        </w:rPr>
      </w:pPr>
      <w:r>
        <w:rPr>
          <w:rFonts w:ascii="Arial" w:cs="Arial" w:eastAsia="Arial" w:hAnsi="Arial"/>
          <w:sz w:val="16"/>
          <w:szCs w:val="16"/>
          <w:color w:val="auto"/>
        </w:rPr>
        <w:t>The board of directors has determined that each of the current members of the Audit Committee, Messrs. Ryan and Sing and Dr. Coles, qualifies as an “audit committee financial expert” as that term is defined by SEC rules, and is independent as defined for audit committee members in the listing standards of The Nasdaq Stock Market LLC and SEC rules.</w:t>
      </w:r>
    </w:p>
    <w:p>
      <w:pPr>
        <w:spacing w:after="0" w:line="164" w:lineRule="exact"/>
        <w:rPr>
          <w:sz w:val="20"/>
          <w:szCs w:val="20"/>
          <w:color w:val="auto"/>
        </w:rPr>
      </w:pPr>
    </w:p>
    <w:p>
      <w:pPr>
        <w:ind w:left="540" w:right="640"/>
        <w:spacing w:after="0" w:line="232" w:lineRule="auto"/>
        <w:rPr>
          <w:sz w:val="20"/>
          <w:szCs w:val="20"/>
          <w:color w:val="auto"/>
        </w:rPr>
      </w:pPr>
      <w:r>
        <w:rPr>
          <w:rFonts w:ascii="Arial" w:cs="Arial" w:eastAsia="Arial" w:hAnsi="Arial"/>
          <w:sz w:val="16"/>
          <w:szCs w:val="16"/>
          <w:color w:val="auto"/>
        </w:rPr>
        <w:t>In addition, the board of directors has determined that each of the current members of the Compensation Committee, Ms. Poon, Mr. Sing, and Dr. Zoghbi, meets the additional independence criteria applicable to compensation committee members under the listing standards of The Nasdaq Stock Market LLC and qualifies as a “Non-Employee Director” pursuant to Rule 16b-3 under the Securities Exchange Act of 1934, as amended (the “Exchange Act”).</w:t>
      </w:r>
    </w:p>
    <w:p>
      <w:pPr>
        <w:spacing w:after="0" w:line="136" w:lineRule="exact"/>
        <w:rPr>
          <w:sz w:val="20"/>
          <w:szCs w:val="20"/>
          <w:color w:val="auto"/>
        </w:rPr>
      </w:pPr>
    </w:p>
    <w:p>
      <w:pPr>
        <w:ind w:left="540" w:right="2780"/>
        <w:spacing w:after="0" w:line="298" w:lineRule="auto"/>
        <w:rPr>
          <w:sz w:val="20"/>
          <w:szCs w:val="20"/>
          <w:color w:val="auto"/>
        </w:rPr>
      </w:pPr>
      <w:r>
        <w:rPr>
          <w:rFonts w:ascii="Arial" w:cs="Arial" w:eastAsia="Arial" w:hAnsi="Arial"/>
          <w:sz w:val="23"/>
          <w:szCs w:val="23"/>
          <w:b w:val="1"/>
          <w:bCs w:val="1"/>
          <w:color w:val="D60058"/>
        </w:rPr>
        <w:t>BOARD LEADERSHIP STRUCTURE–SEPARATE CHAIR AND CEO WITH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-15875</wp:posOffset>
            </wp:positionV>
            <wp:extent cx="64465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50" w:lineRule="exact"/>
        <w:rPr>
          <w:sz w:val="20"/>
          <w:szCs w:val="20"/>
          <w:color w:val="auto"/>
        </w:rPr>
      </w:pPr>
    </w:p>
    <w:p>
      <w:pPr>
        <w:ind w:left="540" w:right="580"/>
        <w:spacing w:after="0" w:line="230" w:lineRule="auto"/>
        <w:rPr>
          <w:sz w:val="20"/>
          <w:szCs w:val="20"/>
          <w:color w:val="auto"/>
        </w:rPr>
      </w:pPr>
      <w:r>
        <w:rPr>
          <w:rFonts w:ascii="Arial" w:cs="Arial" w:eastAsia="Arial" w:hAnsi="Arial"/>
          <w:sz w:val="16"/>
          <w:szCs w:val="16"/>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 of the Board, with Dr. Vagelos serving as Chair and Dr. Schleifer serving as President and Chief Executive Officer. The board has determined that this leadership structure is appropriate for the Company at this time. This determination was based in part on Dr. Vagelos’s extensive leadership experience, business acumen, and deep understanding of the healthcare industry, as well as the fact that in the board’s view Dr. Vagelos is able to directly challenge senior management on both scientific and business matters. The perspectives gained from his extensive industry experience make Dr. Vagelos an invaluable resource to both the board and the management team and also allow him to effectively serve as a sounding board for the other directors.</w:t>
      </w:r>
    </w:p>
    <w:p>
      <w:pPr>
        <w:spacing w:after="0" w:line="169" w:lineRule="exact"/>
        <w:rPr>
          <w:sz w:val="20"/>
          <w:szCs w:val="20"/>
          <w:color w:val="auto"/>
        </w:rPr>
      </w:pPr>
    </w:p>
    <w:p>
      <w:pPr>
        <w:ind w:left="540" w:right="740"/>
        <w:spacing w:after="0" w:line="232" w:lineRule="auto"/>
        <w:rPr>
          <w:sz w:val="20"/>
          <w:szCs w:val="20"/>
          <w:color w:val="auto"/>
        </w:rPr>
      </w:pPr>
      <w:r>
        <w:rPr>
          <w:rFonts w:ascii="Arial" w:cs="Arial" w:eastAsia="Arial" w:hAnsi="Arial"/>
          <w:sz w:val="16"/>
          <w:szCs w:val="16"/>
          <w:color w:val="auto"/>
        </w:rPr>
        <w:t>Based on the way in which he executes his role as Chair, the board considers Dr. Vagelos to be an impartial director. However, given that Dr. Vagelos does not meet the independence requirements set forth in the listing standards of the Nasdaq Stock Market LLC, and to enable even more robust independent oversight, Mr. Ryan, independent director and Chair of the Corporate Governance and Compliance Committee, serves as Presiding Director and chairs all executive sessions of independent directors. The board believes that this governance arrangement bolsters the board’s leadership structure and independent oversight of management.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BOARD OVERSIGHT OF RISK AND KEY PRICING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board executes its oversight responsibility for risk management directly and through its committees, as follows:</w:t>
      </w:r>
    </w:p>
    <w:p>
      <w:pPr>
        <w:spacing w:after="0" w:line="167" w:lineRule="exact"/>
        <w:rPr>
          <w:sz w:val="20"/>
          <w:szCs w:val="20"/>
          <w:color w:val="auto"/>
        </w:rPr>
      </w:pPr>
    </w:p>
    <w:p>
      <w:pPr>
        <w:ind w:left="760" w:right="600" w:hanging="212"/>
        <w:spacing w:after="0" w:line="232" w:lineRule="auto"/>
        <w:tabs>
          <w:tab w:leader="none" w:pos="760" w:val="left"/>
        </w:tabs>
        <w:numPr>
          <w:ilvl w:val="0"/>
          <w:numId w:val="47"/>
        </w:numPr>
        <w:rPr>
          <w:rFonts w:ascii="Arial" w:cs="Arial" w:eastAsia="Arial" w:hAnsi="Arial"/>
          <w:sz w:val="16"/>
          <w:szCs w:val="16"/>
          <w:color w:val="215BA8"/>
        </w:rPr>
      </w:pPr>
      <w:r>
        <w:rPr>
          <w:rFonts w:ascii="Arial" w:cs="Arial" w:eastAsia="Arial" w:hAnsi="Arial"/>
          <w:sz w:val="16"/>
          <w:szCs w:val="16"/>
          <w:color w:val="auto"/>
        </w:rPr>
        <w:t>The Audit Committee oversees the Company’s risk management program. The risk management program focuses on the most significant risks the Company faces. The Company’s Chief Audit Executive, who reports independently to the Committee, facilitates the risk management program. Audit Committee meetings include discussions of specific risk areas throughout the year, including, among others, those relating to cybersecurity, and reports from the Chief Audit Executive on the Company’s enterprise risk profile on an annual basis.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25</w:t>
            </w:r>
          </w:p>
        </w:tc>
      </w:tr>
      <w:tr>
        <w:trPr>
          <w:trHeight w:val="235"/>
        </w:trPr>
        <w:tc>
          <w:tcPr>
            <w:tcW w:w="820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sectPr>
      </w:pPr>
    </w:p>
    <w:bookmarkStart w:id="40" w:name="page41"/>
    <w:bookmarkEnd w:id="40"/>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60" w:right="620" w:hanging="212"/>
        <w:spacing w:after="0" w:line="236" w:lineRule="auto"/>
        <w:tabs>
          <w:tab w:leader="none" w:pos="760" w:val="left"/>
        </w:tabs>
        <w:numPr>
          <w:ilvl w:val="0"/>
          <w:numId w:val="48"/>
        </w:numPr>
        <w:rPr>
          <w:rFonts w:ascii="Arial" w:cs="Arial" w:eastAsia="Arial" w:hAnsi="Arial"/>
          <w:sz w:val="16"/>
          <w:szCs w:val="16"/>
          <w:color w:val="215BA8"/>
        </w:rPr>
      </w:pPr>
      <w:r>
        <w:rPr>
          <w:rFonts w:ascii="Arial" w:cs="Arial" w:eastAsia="Arial" w:hAnsi="Arial"/>
          <w:sz w:val="16"/>
          <w:szCs w:val="16"/>
          <w:color w:val="auto"/>
        </w:rPr>
        <w:t>The Compensation, Corporate Governance and Compliance, and Technology Committees oversee risks associated with their respective areas of responsibility.</w:t>
      </w:r>
    </w:p>
    <w:p>
      <w:pPr>
        <w:spacing w:after="0" w:line="164" w:lineRule="exact"/>
        <w:rPr>
          <w:rFonts w:ascii="Arial" w:cs="Arial" w:eastAsia="Arial" w:hAnsi="Arial"/>
          <w:sz w:val="16"/>
          <w:szCs w:val="16"/>
          <w:color w:val="215BA8"/>
        </w:rPr>
      </w:pPr>
    </w:p>
    <w:p>
      <w:pPr>
        <w:ind w:left="960" w:right="660" w:hanging="196"/>
        <w:spacing w:after="0" w:line="232" w:lineRule="auto"/>
        <w:tabs>
          <w:tab w:leader="none" w:pos="960" w:val="left"/>
        </w:tabs>
        <w:numPr>
          <w:ilvl w:val="1"/>
          <w:numId w:val="48"/>
        </w:numPr>
        <w:rPr>
          <w:rFonts w:ascii="Arial" w:cs="Arial" w:eastAsia="Arial" w:hAnsi="Arial"/>
          <w:sz w:val="16"/>
          <w:szCs w:val="16"/>
          <w:color w:val="215BA8"/>
        </w:rPr>
      </w:pPr>
      <w:r>
        <w:rPr>
          <w:rFonts w:ascii="Arial" w:cs="Arial" w:eastAsia="Arial" w:hAnsi="Arial"/>
          <w:sz w:val="16"/>
          <w:szCs w:val="16"/>
          <w:color w:val="auto"/>
        </w:rPr>
        <w:t>As part of its overall review of the Company’s compensation policies and practices, the Compensation Committee generally considers the risks associated with these policies and practices while designing performance incentives that align executives’ interests with those of long-term shareholders. At least annually the Compensation Committee reviews and considers a compensation program risk assessment performed by its independent compensation consultant.</w:t>
      </w:r>
    </w:p>
    <w:p>
      <w:pPr>
        <w:spacing w:after="0" w:line="166" w:lineRule="exact"/>
        <w:rPr>
          <w:rFonts w:ascii="Arial" w:cs="Arial" w:eastAsia="Arial" w:hAnsi="Arial"/>
          <w:sz w:val="16"/>
          <w:szCs w:val="16"/>
          <w:color w:val="215BA8"/>
        </w:rPr>
      </w:pPr>
    </w:p>
    <w:p>
      <w:pPr>
        <w:ind w:left="960" w:right="580" w:hanging="196"/>
        <w:spacing w:after="0" w:line="234" w:lineRule="auto"/>
        <w:tabs>
          <w:tab w:leader="none" w:pos="960" w:val="left"/>
        </w:tabs>
        <w:numPr>
          <w:ilvl w:val="1"/>
          <w:numId w:val="48"/>
        </w:numPr>
        <w:rPr>
          <w:rFonts w:ascii="Arial" w:cs="Arial" w:eastAsia="Arial" w:hAnsi="Arial"/>
          <w:sz w:val="16"/>
          <w:szCs w:val="16"/>
          <w:color w:val="215BA8"/>
        </w:rPr>
      </w:pPr>
      <w:r>
        <w:rPr>
          <w:rFonts w:ascii="Arial" w:cs="Arial" w:eastAsia="Arial" w:hAnsi="Arial"/>
          <w:sz w:val="16"/>
          <w:szCs w:val="16"/>
          <w:color w:val="auto"/>
        </w:rPr>
        <w:t>The Corporate Governance and Compliance Committee oversees all aspects of the Company’s comprehensive compliance program other than financial compliance and considers legal and regulatory compliance risks, including corporate responsibility initiatives that are expected to have a significant impact on the Company’s ability to deliver sustained growth.</w:t>
      </w:r>
    </w:p>
    <w:p>
      <w:pPr>
        <w:spacing w:after="0" w:line="163" w:lineRule="exact"/>
        <w:rPr>
          <w:rFonts w:ascii="Arial" w:cs="Arial" w:eastAsia="Arial" w:hAnsi="Arial"/>
          <w:sz w:val="16"/>
          <w:szCs w:val="16"/>
          <w:color w:val="215BA8"/>
        </w:rPr>
      </w:pPr>
    </w:p>
    <w:p>
      <w:pPr>
        <w:ind w:left="960" w:hanging="196"/>
        <w:spacing w:after="0"/>
        <w:tabs>
          <w:tab w:leader="none" w:pos="960" w:val="left"/>
        </w:tabs>
        <w:numPr>
          <w:ilvl w:val="1"/>
          <w:numId w:val="48"/>
        </w:numPr>
        <w:rPr>
          <w:rFonts w:ascii="Arial" w:cs="Arial" w:eastAsia="Arial" w:hAnsi="Arial"/>
          <w:sz w:val="16"/>
          <w:szCs w:val="16"/>
          <w:color w:val="215BA8"/>
        </w:rPr>
      </w:pPr>
      <w:r>
        <w:rPr>
          <w:rFonts w:ascii="Arial" w:cs="Arial" w:eastAsia="Arial" w:hAnsi="Arial"/>
          <w:sz w:val="16"/>
          <w:szCs w:val="16"/>
          <w:color w:val="auto"/>
        </w:rPr>
        <w:t>The Technology Committee considers risks associated with our research and development programs.</w:t>
      </w:r>
    </w:p>
    <w:p>
      <w:pPr>
        <w:spacing w:after="0" w:line="167" w:lineRule="exact"/>
        <w:rPr>
          <w:rFonts w:ascii="Arial" w:cs="Arial" w:eastAsia="Arial" w:hAnsi="Arial"/>
          <w:sz w:val="16"/>
          <w:szCs w:val="16"/>
          <w:color w:val="215BA8"/>
        </w:rPr>
      </w:pPr>
    </w:p>
    <w:p>
      <w:pPr>
        <w:ind w:left="760" w:right="580" w:hanging="212"/>
        <w:spacing w:after="0" w:line="231" w:lineRule="auto"/>
        <w:tabs>
          <w:tab w:leader="none" w:pos="760" w:val="left"/>
        </w:tabs>
        <w:numPr>
          <w:ilvl w:val="0"/>
          <w:numId w:val="48"/>
        </w:numPr>
        <w:rPr>
          <w:rFonts w:ascii="Arial" w:cs="Arial" w:eastAsia="Arial" w:hAnsi="Arial"/>
          <w:sz w:val="16"/>
          <w:szCs w:val="16"/>
          <w:color w:val="215BA8"/>
        </w:rPr>
      </w:pPr>
      <w:r>
        <w:rPr>
          <w:rFonts w:ascii="Arial" w:cs="Arial" w:eastAsia="Arial" w:hAnsi="Arial"/>
          <w:sz w:val="16"/>
          <w:szCs w:val="16"/>
          <w:color w:val="auto"/>
        </w:rPr>
        <w:t>The board is kept abreast of its committees’ risk oversight and other activities via reports of the committee chairs to the full board at regular board meetings. The board considers specific risk topics, including risks associated with our strategic plan, drug access and pricing (discussed further below),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166" w:lineRule="exact"/>
        <w:rPr>
          <w:sz w:val="20"/>
          <w:szCs w:val="20"/>
          <w:color w:val="auto"/>
        </w:rPr>
      </w:pPr>
    </w:p>
    <w:p>
      <w:pPr>
        <w:ind w:left="540" w:right="780"/>
        <w:spacing w:after="0" w:line="232" w:lineRule="auto"/>
        <w:rPr>
          <w:sz w:val="20"/>
          <w:szCs w:val="20"/>
          <w:color w:val="auto"/>
        </w:rPr>
      </w:pPr>
      <w:r>
        <w:rPr>
          <w:rFonts w:ascii="Arial" w:cs="Arial" w:eastAsia="Arial" w:hAnsi="Arial"/>
          <w:sz w:val="16"/>
          <w:szCs w:val="16"/>
          <w:color w:val="auto"/>
        </w:rPr>
        <w:t>The board is closely involved in and provides oversight of all key pricing determinations for our products, which we endeavor to make in a thoughtful and well-informed manner with fairness and affordability in mind.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on drug pricing strategies, practices, and trends. See “The Company–Corporate Governance–Corporate Responsibility” for more information.</w:t>
      </w:r>
    </w:p>
    <w:p>
      <w:pPr>
        <w:spacing w:after="0" w:line="133" w:lineRule="exact"/>
        <w:rPr>
          <w:sz w:val="20"/>
          <w:szCs w:val="20"/>
          <w:color w:val="auto"/>
        </w:rPr>
      </w:pPr>
    </w:p>
    <w:p>
      <w:pPr>
        <w:ind w:left="540" w:right="2420"/>
        <w:spacing w:after="0" w:line="298" w:lineRule="auto"/>
        <w:rPr>
          <w:sz w:val="20"/>
          <w:szCs w:val="20"/>
          <w:color w:val="auto"/>
        </w:rPr>
      </w:pPr>
      <w:r>
        <w:rPr>
          <w:rFonts w:ascii="Arial" w:cs="Arial" w:eastAsia="Arial" w:hAnsi="Arial"/>
          <w:sz w:val="23"/>
          <w:szCs w:val="23"/>
          <w:b w:val="1"/>
          <w:bCs w:val="1"/>
          <w:color w:val="D60058"/>
        </w:rPr>
        <w:t>EXECUTIVE COMPENSATION PROCESSES AND PROCEDURES; ROLE OF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-41275</wp:posOffset>
            </wp:positionV>
            <wp:extent cx="64465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10" w:lineRule="exact"/>
        <w:rPr>
          <w:sz w:val="20"/>
          <w:szCs w:val="20"/>
          <w:color w:val="auto"/>
        </w:rPr>
      </w:pPr>
    </w:p>
    <w:p>
      <w:pPr>
        <w:ind w:left="540" w:right="720"/>
        <w:spacing w:after="0" w:line="251" w:lineRule="auto"/>
        <w:rPr>
          <w:sz w:val="20"/>
          <w:szCs w:val="20"/>
          <w:color w:val="auto"/>
        </w:rPr>
      </w:pPr>
      <w:r>
        <w:rPr>
          <w:rFonts w:ascii="Arial" w:cs="Arial" w:eastAsia="Arial" w:hAnsi="Arial"/>
          <w:sz w:val="15"/>
          <w:szCs w:val="15"/>
          <w:color w:val="auto"/>
        </w:rPr>
        <w:t>The Compensation Committee is responsible for overseeing the Company’s general compensation objectives and programs. We describe below under “Compensation-Related Matters—Compensation Discussion and Analysis—Compensation Processes” the role of the Compensation Committee, as well as the role of our executive officers, in decisions regarding executive compensation (particularly with respect to our Named Executive Officers (as defined below under “Compensation-Related Matters—Compensation Discussion and Analysis”)).</w:t>
      </w:r>
    </w:p>
    <w:p>
      <w:pPr>
        <w:spacing w:after="0" w:line="156" w:lineRule="exact"/>
        <w:rPr>
          <w:sz w:val="20"/>
          <w:szCs w:val="20"/>
          <w:color w:val="auto"/>
        </w:rPr>
      </w:pPr>
    </w:p>
    <w:p>
      <w:pPr>
        <w:ind w:left="540" w:right="560"/>
        <w:spacing w:after="0" w:line="247" w:lineRule="auto"/>
        <w:rPr>
          <w:sz w:val="20"/>
          <w:szCs w:val="20"/>
          <w:color w:val="auto"/>
        </w:rPr>
      </w:pPr>
      <w:r>
        <w:rPr>
          <w:rFonts w:ascii="Arial" w:cs="Arial" w:eastAsia="Arial" w:hAnsi="Arial"/>
          <w:sz w:val="15"/>
          <w:szCs w:val="15"/>
          <w:color w:val="auto"/>
        </w:rPr>
        <w:t>The Compensation Committee has the sole authority to retain its own third-party compensation consultants, and has utilized the services of Pay Governance LLC since September 2021. In addition, prior to engaging Pay Governance LLC as its new compensation consultant, the Compensation Committee utilized the services of Frederic W. Cook &amp; Co., Inc. (“Frederic W. Cook &amp; Co.”) in the earlier part of 2021. Advice and recommendations provided by Pay Governance LLC in 2021 related to both executive compensation (discussed in the section “Compensation-Related Matters” below) and director compensation matters (discussed in the subsection “Compensation of Directors” below). As discussed further below, the Corporate Governance and Compliance Committee has adopted a policy requiring the annual review of non-employee director compensation by an independent compensation consultant and separately engaged Pay Governance LLC for that purpose in 2021.</w:t>
      </w:r>
    </w:p>
    <w:p>
      <w:pPr>
        <w:spacing w:after="0" w:line="161" w:lineRule="exact"/>
        <w:rPr>
          <w:sz w:val="20"/>
          <w:szCs w:val="20"/>
          <w:color w:val="auto"/>
        </w:rPr>
      </w:pPr>
    </w:p>
    <w:p>
      <w:pPr>
        <w:ind w:left="540" w:right="600"/>
        <w:spacing w:after="0" w:line="232" w:lineRule="auto"/>
        <w:rPr>
          <w:sz w:val="20"/>
          <w:szCs w:val="20"/>
          <w:color w:val="auto"/>
        </w:rPr>
      </w:pPr>
      <w:r>
        <w:rPr>
          <w:rFonts w:ascii="Arial" w:cs="Arial" w:eastAsia="Arial" w:hAnsi="Arial"/>
          <w:sz w:val="16"/>
          <w:szCs w:val="16"/>
          <w:color w:val="auto"/>
        </w:rPr>
        <w:t>Management also retains another compensation consultant for its own use. In 2021,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and assisting management in the development and analysis of executive compensation recommendations. Reports prepared by Radford that relate to executive compensation may also be shared with the Compensation Committee, the full board, or another committee of the board.</w:t>
      </w:r>
    </w:p>
    <w:p>
      <w:pPr>
        <w:spacing w:after="0" w:line="18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26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41" w:name="page42"/>
    <w:bookmarkEnd w:id="41"/>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SHAREHOLDER ENGAGEMENT PHILOSOPHY AND BOARD RESPONSIVENESS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9" w:lineRule="exact"/>
        <w:rPr>
          <w:sz w:val="20"/>
          <w:szCs w:val="20"/>
          <w:color w:val="auto"/>
        </w:rPr>
      </w:pPr>
    </w:p>
    <w:p>
      <w:pPr>
        <w:ind w:left="540" w:right="820"/>
        <w:spacing w:after="0" w:line="231" w:lineRule="auto"/>
        <w:rPr>
          <w:sz w:val="20"/>
          <w:szCs w:val="20"/>
          <w:color w:val="auto"/>
        </w:rPr>
      </w:pPr>
      <w:r>
        <w:rPr>
          <w:rFonts w:ascii="Arial" w:cs="Arial" w:eastAsia="Arial" w:hAnsi="Arial"/>
          <w:sz w:val="16"/>
          <w:szCs w:val="16"/>
          <w:color w:val="auto"/>
        </w:rPr>
        <w:t>Our board of directors has always viewed shareholder feedback as critical for its decision-making and has taken several actions after careful consideration of the feedback received. In the past several years, the board and management have conducted regular and extensive outreach. Annually, we seek to engage in direct one-on-one discussions with shareholders collectively representing in excess of 50% of the shares of common stock outstanding (excluding shares held by our directors and executive officers), which we refer to as “public shares,” We encourage director participation in our outreach, and the Chairs of our Compensation and Corporate Governance and Compliance Committees have led many of these discussions. We also routinely engage with our shareholders through regular investor-relations channels, industry and corporate governance conferences, and informal exchanges in other settings.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Regeneron’s Longstanding Commitment to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123190</wp:posOffset>
            </wp:positionV>
            <wp:extent cx="5958205" cy="2820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5820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40" w:right="600"/>
        <w:spacing w:after="0" w:line="232" w:lineRule="auto"/>
        <w:rPr>
          <w:sz w:val="20"/>
          <w:szCs w:val="20"/>
          <w:color w:val="auto"/>
        </w:rPr>
      </w:pPr>
      <w:r>
        <w:rPr>
          <w:rFonts w:ascii="Arial" w:cs="Arial" w:eastAsia="Arial" w:hAnsi="Arial"/>
          <w:sz w:val="16"/>
          <w:szCs w:val="16"/>
          <w:color w:val="auto"/>
        </w:rPr>
        <w:t>Our active outreach program solicits and gathers feedback on a broad range of matters, including but not limited to board structure and composition, executive compensation, shareholder rights, and corporate responsibility and other ESG topics. The feedback received is a key input in board and relevant committee discussions, and has consistently been a significant driver of actions taken over the last several years. We are proud of our track record of taking actions in response to shareholder input in 2021 and prior years, as described in the section “Compensation Related Matters–Compensation Discussion and Analysis–Compensation Processes–Shareholder Input and Outreach.”</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27</w:t>
            </w:r>
          </w:p>
        </w:tc>
      </w:tr>
      <w:tr>
        <w:trPr>
          <w:trHeight w:val="235"/>
        </w:trPr>
        <w:tc>
          <w:tcPr>
            <w:tcW w:w="820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sectPr>
      </w:pPr>
    </w:p>
    <w:bookmarkStart w:id="42" w:name="page43"/>
    <w:bookmarkEnd w:id="42"/>
    <w:p>
      <w:pPr>
        <w:ind w:left="1400"/>
        <w:spacing w:after="0"/>
        <w:rPr>
          <w:sz w:val="20"/>
          <w:szCs w:val="20"/>
          <w:color w:val="auto"/>
        </w:rPr>
      </w:pPr>
      <w:r>
        <w:rPr>
          <w:rFonts w:ascii="Arial" w:cs="Arial" w:eastAsia="Arial" w:hAnsi="Arial"/>
          <w:sz w:val="50"/>
          <w:szCs w:val="50"/>
          <w:b w:val="1"/>
          <w:bCs w:val="1"/>
          <w:color w:val="215AA8"/>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912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COMPENSATION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59" w:lineRule="exact"/>
        <w:rPr>
          <w:sz w:val="20"/>
          <w:szCs w:val="20"/>
          <w:color w:val="auto"/>
        </w:rPr>
      </w:pPr>
    </w:p>
    <w:p>
      <w:pPr>
        <w:ind w:left="640" w:right="560"/>
        <w:spacing w:after="0" w:line="232" w:lineRule="auto"/>
        <w:rPr>
          <w:sz w:val="20"/>
          <w:szCs w:val="20"/>
          <w:color w:val="auto"/>
        </w:rPr>
      </w:pPr>
      <w:r>
        <w:rPr>
          <w:rFonts w:ascii="Arial" w:cs="Arial" w:eastAsia="Arial" w:hAnsi="Arial"/>
          <w:sz w:val="16"/>
          <w:szCs w:val="16"/>
          <w:color w:val="auto"/>
        </w:rPr>
        <w:t>The general philosophy we have applied to compensation of our non-employee directors and the Chair of the Board is similar to the executive compensation philosophy outlined in the “Compensation-Related Matters” section of this proxy statement. This philosophy, including its emphasis on equity compensation, is consistent with the Company’s long-term business orientation and has helped ensure alignment of directors’ interests with those of Regeneron shareholders.</w:t>
      </w:r>
    </w:p>
    <w:p>
      <w:pPr>
        <w:spacing w:after="0" w:line="166" w:lineRule="exact"/>
        <w:rPr>
          <w:sz w:val="20"/>
          <w:szCs w:val="20"/>
          <w:color w:val="auto"/>
        </w:rPr>
      </w:pPr>
    </w:p>
    <w:p>
      <w:pPr>
        <w:ind w:left="640" w:right="740"/>
        <w:spacing w:after="0" w:line="243" w:lineRule="auto"/>
        <w:rPr>
          <w:sz w:val="20"/>
          <w:szCs w:val="20"/>
          <w:color w:val="auto"/>
        </w:rPr>
      </w:pPr>
      <w:r>
        <w:rPr>
          <w:rFonts w:ascii="Arial" w:cs="Arial" w:eastAsia="Arial" w:hAnsi="Arial"/>
          <w:sz w:val="15"/>
          <w:szCs w:val="15"/>
          <w:color w:val="auto"/>
        </w:rPr>
        <w:t>Non-employee director compensation matters are subject to annual review. The Corporate Governance and Compliance Committee makes recommendations to the board of directors regarding, and the board of directors determines, the compensation of non-employee directors. The Corporate Governance and Compliance Committee evaluates the appropriate level and form of compensation for non-employee directors and recommends changes to such compensation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among other things, the qualifications, expertise, and</w:t>
      </w:r>
    </w:p>
    <w:p>
      <w:pPr>
        <w:spacing w:after="0" w:line="2" w:lineRule="exact"/>
        <w:rPr>
          <w:sz w:val="20"/>
          <w:szCs w:val="20"/>
          <w:color w:val="auto"/>
        </w:rPr>
      </w:pPr>
    </w:p>
    <w:p>
      <w:pPr>
        <w:ind w:left="640" w:right="680"/>
        <w:spacing w:after="0" w:line="213" w:lineRule="auto"/>
        <w:rPr>
          <w:sz w:val="20"/>
          <w:szCs w:val="20"/>
          <w:color w:val="auto"/>
        </w:rPr>
      </w:pPr>
      <w:r>
        <w:rPr>
          <w:rFonts w:ascii="Arial" w:cs="Arial" w:eastAsia="Arial" w:hAnsi="Arial"/>
          <w:sz w:val="16"/>
          <w:szCs w:val="16"/>
          <w:color w:val="auto"/>
        </w:rPr>
        <w:t>demands on our directors, practices of similar companies in the biotechnology industry (including the Peer Group</w:t>
      </w:r>
      <w:r>
        <w:rPr>
          <w:rFonts w:ascii="Arial" w:cs="Arial" w:eastAsia="Arial" w:hAnsi="Arial"/>
          <w:sz w:val="26"/>
          <w:szCs w:val="26"/>
          <w:color w:val="auto"/>
          <w:vertAlign w:val="superscript"/>
        </w:rPr>
        <w:t>2</w:t>
      </w:r>
      <w:r>
        <w:rPr>
          <w:rFonts w:ascii="Arial" w:cs="Arial" w:eastAsia="Arial" w:hAnsi="Arial"/>
          <w:sz w:val="16"/>
          <w:szCs w:val="16"/>
          <w:color w:val="auto"/>
        </w:rPr>
        <w:t>), and any comparative information provided by independent compensation consultants. In addition, since November 2018, the Corporate Governance and Compliance Committee has required the annual review of non-employee director compensation by an independent compensation consultant, and engaged Pay Governance LLC for this purpose in 2021.</w:t>
      </w:r>
    </w:p>
    <w:p>
      <w:pPr>
        <w:spacing w:after="0" w:line="166" w:lineRule="exact"/>
        <w:rPr>
          <w:sz w:val="20"/>
          <w:szCs w:val="20"/>
          <w:color w:val="auto"/>
        </w:rPr>
      </w:pPr>
    </w:p>
    <w:p>
      <w:pPr>
        <w:ind w:left="640" w:right="660"/>
        <w:spacing w:after="0" w:line="236" w:lineRule="auto"/>
        <w:rPr>
          <w:sz w:val="20"/>
          <w:szCs w:val="20"/>
          <w:color w:val="auto"/>
        </w:rPr>
      </w:pPr>
      <w:r>
        <w:rPr>
          <w:rFonts w:ascii="Arial" w:cs="Arial" w:eastAsia="Arial" w:hAnsi="Arial"/>
          <w:sz w:val="16"/>
          <w:szCs w:val="16"/>
          <w:color w:val="auto"/>
        </w:rPr>
        <w:t>The process governing the compensation arrangements of the Chair of the Board is described under “Compensation Arrangements of the Chair of the Board of Directors” below.</w:t>
      </w:r>
    </w:p>
    <w:p>
      <w:pPr>
        <w:spacing w:after="0" w:line="165" w:lineRule="exact"/>
        <w:rPr>
          <w:sz w:val="20"/>
          <w:szCs w:val="20"/>
          <w:color w:val="auto"/>
        </w:rPr>
      </w:pPr>
    </w:p>
    <w:p>
      <w:pPr>
        <w:ind w:left="640" w:right="760"/>
        <w:spacing w:after="0" w:line="241" w:lineRule="auto"/>
        <w:rPr>
          <w:sz w:val="20"/>
          <w:szCs w:val="20"/>
          <w:color w:val="auto"/>
        </w:rPr>
      </w:pPr>
      <w:r>
        <w:rPr>
          <w:rFonts w:ascii="Arial" w:cs="Arial" w:eastAsia="Arial" w:hAnsi="Arial"/>
          <w:sz w:val="15"/>
          <w:szCs w:val="15"/>
          <w:color w:val="auto"/>
        </w:rPr>
        <w:t>The current compensation program for our non-employee directors and the Chair of the Board (which has been effective for our non-employee directors and the Chair of the Board since January 2019 and December 2018, respectively, and is further described below) is referred to in this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section as the “Current Compensation Program.”</w:t>
      </w:r>
      <w:r>
        <w:rPr>
          <w:rFonts w:ascii="Arial" w:cs="Arial" w:eastAsia="Arial" w:hAnsi="Arial"/>
          <w:sz w:val="26"/>
          <w:szCs w:val="26"/>
          <w:color w:val="auto"/>
          <w:vertAlign w:val="superscript"/>
        </w:rPr>
        <w:t>3</w:t>
      </w:r>
    </w:p>
    <w:p>
      <w:pPr>
        <w:spacing w:after="0" w:line="65"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NON-EMPLOYEE DIRECTOR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259" w:lineRule="exact"/>
        <w:rPr>
          <w:sz w:val="20"/>
          <w:szCs w:val="20"/>
          <w:color w:val="auto"/>
        </w:rPr>
      </w:pPr>
    </w:p>
    <w:p>
      <w:pPr>
        <w:ind w:left="640" w:right="600"/>
        <w:spacing w:after="0" w:line="230" w:lineRule="auto"/>
        <w:rPr>
          <w:sz w:val="20"/>
          <w:szCs w:val="20"/>
          <w:color w:val="auto"/>
        </w:rPr>
      </w:pPr>
      <w:r>
        <w:rPr>
          <w:rFonts w:ascii="Arial" w:cs="Arial" w:eastAsia="Arial" w:hAnsi="Arial"/>
          <w:sz w:val="16"/>
          <w:szCs w:val="16"/>
          <w:color w:val="auto"/>
        </w:rPr>
        <w:t>Our philosophy for non-employee director compensation is simple: to attract the most highly qualified directors with a diverse skillset who will serve as stewards of the Company’s long-term prospects and scientific focus. With this in mind, our non-employee director compensation program emphasizes equity compensation primarily in the form of stock options, which reward increases in stock price, over cash fees. The board of directors believes that this emphasis is consistent with the Company’s long-term business orientation and has helped ensure alignment of directors’ interests with those of Regeneron shareholders. Under the Current Compensation Program, we have utilized value-denominated equity compensation awards (granted in the form of stock options and a relatively small percentage of RSUs) for our non-employee directors. This feature of the Current Compensation Program is meant to, among other things, ensure greater stability in reported non-employee director compensation on a year-over-year basis. The board of directors believes that the Current Compensation Program is consistent with Regeneron’s philosophy for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102235</wp:posOffset>
            </wp:positionV>
            <wp:extent cx="63861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27" w:lineRule="exact"/>
        <w:rPr>
          <w:sz w:val="20"/>
          <w:szCs w:val="20"/>
          <w:color w:val="auto"/>
        </w:rPr>
      </w:pPr>
    </w:p>
    <w:p>
      <w:pPr>
        <w:ind w:left="840" w:right="640" w:hanging="189"/>
        <w:spacing w:after="0" w:line="258" w:lineRule="auto"/>
        <w:tabs>
          <w:tab w:leader="none" w:pos="840" w:val="left"/>
        </w:tabs>
        <w:numPr>
          <w:ilvl w:val="0"/>
          <w:numId w:val="49"/>
        </w:numPr>
        <w:rPr>
          <w:rFonts w:ascii="Arial" w:cs="Arial" w:eastAsia="Arial" w:hAnsi="Arial"/>
          <w:sz w:val="14"/>
          <w:szCs w:val="14"/>
          <w:color w:val="215BA8"/>
        </w:rPr>
      </w:pPr>
      <w:r>
        <w:rPr>
          <w:rFonts w:ascii="Arial" w:cs="Arial" w:eastAsia="Arial" w:hAnsi="Arial"/>
          <w:sz w:val="14"/>
          <w:szCs w:val="14"/>
          <w:color w:val="1A1A1A"/>
        </w:rPr>
        <w:t>See “Compensation-Related Matters— Compensation Discussion and Analysis—Compensation Processes—Peer Data” below for a list of the companies included in our Peer Group.</w:t>
      </w:r>
    </w:p>
    <w:p>
      <w:pPr>
        <w:spacing w:after="0" w:line="32" w:lineRule="exact"/>
        <w:rPr>
          <w:sz w:val="20"/>
          <w:szCs w:val="20"/>
          <w:color w:val="auto"/>
        </w:rPr>
      </w:pPr>
    </w:p>
    <w:p>
      <w:pPr>
        <w:ind w:left="840" w:right="1380" w:hanging="189"/>
        <w:spacing w:after="0" w:line="258" w:lineRule="auto"/>
        <w:tabs>
          <w:tab w:leader="none" w:pos="840" w:val="left"/>
        </w:tabs>
        <w:numPr>
          <w:ilvl w:val="0"/>
          <w:numId w:val="50"/>
        </w:numPr>
        <w:rPr>
          <w:rFonts w:ascii="Arial" w:cs="Arial" w:eastAsia="Arial" w:hAnsi="Arial"/>
          <w:sz w:val="14"/>
          <w:szCs w:val="14"/>
          <w:color w:val="215BA8"/>
        </w:rPr>
      </w:pPr>
      <w:r>
        <w:rPr>
          <w:rFonts w:ascii="Arial" w:cs="Arial" w:eastAsia="Arial" w:hAnsi="Arial"/>
          <w:sz w:val="14"/>
          <w:szCs w:val="14"/>
          <w:color w:val="1A1A1A"/>
        </w:rPr>
        <w:t>The Current Compensation Program was implemented following the previously disclosed settlement of two shareholder derivative actions (the “Settlement”) and complies with the terms of the Settlement.</w:t>
      </w:r>
    </w:p>
    <w:p>
      <w:pPr>
        <w:spacing w:after="0" w:line="17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28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43" w:name="page44"/>
    <w:bookmarkEnd w:id="43"/>
    <w:p>
      <w:pPr>
        <w:jc w:val="right"/>
        <w:ind w:righ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CASH FEES, EXPENSES, AND MATCHING GIFT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59" w:lineRule="exact"/>
        <w:rPr>
          <w:sz w:val="20"/>
          <w:szCs w:val="20"/>
          <w:color w:val="auto"/>
        </w:rPr>
      </w:pPr>
    </w:p>
    <w:p>
      <w:pPr>
        <w:ind w:left="640" w:right="760"/>
        <w:spacing w:after="0" w:line="242" w:lineRule="auto"/>
        <w:rPr>
          <w:sz w:val="20"/>
          <w:szCs w:val="20"/>
          <w:color w:val="auto"/>
        </w:rPr>
      </w:pPr>
      <w:r>
        <w:rPr>
          <w:rFonts w:ascii="Arial" w:cs="Arial" w:eastAsia="Arial" w:hAnsi="Arial"/>
          <w:sz w:val="15"/>
          <w:szCs w:val="15"/>
          <w:color w:val="auto"/>
        </w:rPr>
        <w:t>In 2021, each non-employee director received an annual retainer of $90,000 and an annual committee retainer of $10,000 for each standing committee of the Company’s board of directors on which the director served. In addition, each chair of each standing committee received an additional annual retainer of $10,000. Compared to cash compensation of non-employee directors in our Peer Group, the 2021 annual retainer</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board service was below the median and the additional retainers provided to our committee chairs were at or below the median.</w:t>
      </w:r>
      <w:r>
        <w:rPr>
          <w:rFonts w:ascii="Arial" w:cs="Arial" w:eastAsia="Arial" w:hAnsi="Arial"/>
          <w:sz w:val="26"/>
          <w:szCs w:val="26"/>
          <w:color w:val="auto"/>
          <w:vertAlign w:val="superscript"/>
        </w:rPr>
        <w:t>4</w:t>
      </w:r>
    </w:p>
    <w:p>
      <w:pPr>
        <w:spacing w:after="0" w:line="96" w:lineRule="exact"/>
        <w:rPr>
          <w:sz w:val="20"/>
          <w:szCs w:val="20"/>
          <w:color w:val="auto"/>
        </w:rPr>
      </w:pPr>
    </w:p>
    <w:p>
      <w:pPr>
        <w:ind w:left="640" w:right="860"/>
        <w:spacing w:after="0" w:line="232" w:lineRule="auto"/>
        <w:rPr>
          <w:sz w:val="20"/>
          <w:szCs w:val="20"/>
          <w:color w:val="auto"/>
        </w:rPr>
      </w:pPr>
      <w:r>
        <w:rPr>
          <w:rFonts w:ascii="Arial" w:cs="Arial" w:eastAsia="Arial" w:hAnsi="Arial"/>
          <w:sz w:val="16"/>
          <w:szCs w:val="16"/>
          <w:color w:val="auto"/>
        </w:rPr>
        <w:t>Non-employee directors are reimbursed for their actual expenses incurred in connection with their activities as directors, which include travel, hotel, and food and entertainment expenses (as applicable). In addition, directors are eligible to participate in the Regeneron Matching Gift Program, which is also available to eligible employees. Under this program, the Company matches contributions made by directors and employees to eligible tax-exempt organizations up to an annual maximum amount of $5,000 per director or employee.</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D60058"/>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52705</wp:posOffset>
            </wp:positionV>
            <wp:extent cx="63861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15BA8"/>
        </w:rPr>
        <w:t>2021 and 2022 Equity Awards</w:t>
      </w:r>
    </w:p>
    <w:p>
      <w:pPr>
        <w:spacing w:after="0" w:line="201" w:lineRule="exact"/>
        <w:rPr>
          <w:sz w:val="20"/>
          <w:szCs w:val="20"/>
          <w:color w:val="auto"/>
        </w:rPr>
      </w:pPr>
    </w:p>
    <w:p>
      <w:pPr>
        <w:ind w:left="640" w:right="800"/>
        <w:spacing w:after="0" w:line="234" w:lineRule="auto"/>
        <w:rPr>
          <w:sz w:val="20"/>
          <w:szCs w:val="20"/>
          <w:color w:val="auto"/>
        </w:rPr>
      </w:pPr>
      <w:r>
        <w:rPr>
          <w:rFonts w:ascii="Arial" w:cs="Arial" w:eastAsia="Arial" w:hAnsi="Arial"/>
          <w:sz w:val="16"/>
          <w:szCs w:val="16"/>
          <w:color w:val="auto"/>
        </w:rPr>
        <w:t>The January 2021 and January 2022 annual equity awards to our non-employee directors were made in accordance with the Current Compensation Program and complied with the respective limits imposed by the Second Amended and Restated Regeneron Pharmaceuticals, Inc. 2014 Long-Term Incentive Plan and the Settlement.</w:t>
      </w:r>
    </w:p>
    <w:p>
      <w:pPr>
        <w:spacing w:after="0" w:line="164" w:lineRule="exact"/>
        <w:rPr>
          <w:sz w:val="20"/>
          <w:szCs w:val="20"/>
          <w:color w:val="auto"/>
        </w:rPr>
      </w:pPr>
    </w:p>
    <w:p>
      <w:pPr>
        <w:ind w:left="640" w:right="560"/>
        <w:spacing w:after="0" w:line="231" w:lineRule="auto"/>
        <w:rPr>
          <w:sz w:val="20"/>
          <w:szCs w:val="20"/>
          <w:color w:val="auto"/>
        </w:rPr>
      </w:pPr>
      <w:r>
        <w:rPr>
          <w:rFonts w:ascii="Arial" w:cs="Arial" w:eastAsia="Arial" w:hAnsi="Arial"/>
          <w:sz w:val="16"/>
          <w:szCs w:val="16"/>
          <w:color w:val="auto"/>
        </w:rPr>
        <w:t>With respect to each of the January 2021 and January 2022 annual equity awards, the board of directors (upon the recommendation of the Corporate Governance and Compliance Committee) determined that the targeted aggregate grant date fair value of such equity awards would be set at $600,000 per non-employee director and consist of stock options with a grant date fair value of $480,000 (or 80% thereof) and RSUs with a grant date fair value of $120,000 (or 20% thereof). The January 2021 annual equity awards to our non-employee directors are shown in the table below. On January 3, 2022, each of the then-serving nine non-employee directors received an equity award comprised of stock options representing 2,707 shares of common stock (with a grant date fair value of $480,539) and 191 RSUs (with a grant date fair value of $119,490). The aggregate grant date fair value of the January 2022 equity awards was $600,029 per non-employee director.</w:t>
      </w:r>
    </w:p>
    <w:p>
      <w:pPr>
        <w:spacing w:after="0" w:line="164" w:lineRule="exact"/>
        <w:rPr>
          <w:sz w:val="20"/>
          <w:szCs w:val="20"/>
          <w:color w:val="auto"/>
        </w:rPr>
      </w:pPr>
    </w:p>
    <w:p>
      <w:pPr>
        <w:ind w:left="640" w:right="680"/>
        <w:spacing w:after="0" w:line="232" w:lineRule="auto"/>
        <w:rPr>
          <w:sz w:val="20"/>
          <w:szCs w:val="20"/>
          <w:color w:val="auto"/>
        </w:rPr>
      </w:pPr>
      <w:r>
        <w:rPr>
          <w:rFonts w:ascii="Arial" w:cs="Arial" w:eastAsia="Arial" w:hAnsi="Arial"/>
          <w:sz w:val="16"/>
          <w:szCs w:val="16"/>
          <w:color w:val="auto"/>
        </w:rPr>
        <w:t>Similar to the process undertaken in respect of the January 2021 annual equity awards, the Corporate Governance and Compliance Committee recommended the approval of, and the board of directors approved, the terms of the January 2022 annual equity awards after consideration of the review, analysis, and recommendations of its independent compensation consultant. Such analysis focused on, among other matters, the market practices of companies in our Peer Group, other relevant industry and market data points, Regeneron’s non-employee director compensation philosophy (including its emphasis on long-term incentives), and the terms of the Settlement.</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215BA8"/>
        </w:rPr>
        <w:t>Terms of Equity Awards</w:t>
      </w:r>
    </w:p>
    <w:p>
      <w:pPr>
        <w:spacing w:after="0" w:line="201" w:lineRule="exact"/>
        <w:rPr>
          <w:sz w:val="20"/>
          <w:szCs w:val="20"/>
          <w:color w:val="auto"/>
        </w:rPr>
      </w:pPr>
    </w:p>
    <w:p>
      <w:pPr>
        <w:ind w:left="640" w:right="560"/>
        <w:spacing w:after="0" w:line="232" w:lineRule="auto"/>
        <w:rPr>
          <w:sz w:val="20"/>
          <w:szCs w:val="20"/>
          <w:color w:val="auto"/>
        </w:rPr>
      </w:pPr>
      <w:r>
        <w:rPr>
          <w:rFonts w:ascii="Arial" w:cs="Arial" w:eastAsia="Arial" w:hAnsi="Arial"/>
          <w:sz w:val="16"/>
          <w:szCs w:val="16"/>
          <w:color w:val="auto"/>
        </w:rPr>
        <w:t>The exercise price of a non-employee director stock option is equal to the fair market value of a share of the Company’s common stock on the date of grant (determined as the average of the high and low sales price per share of the Company’s common stock on the Nasdaq Global Select Market on the date of grant or, if such date is not a trading day, on the last preceding date on which there was a sale of the Company’s common stock on the Nasdaq Global Select Market).</w:t>
      </w:r>
    </w:p>
    <w:p>
      <w:pPr>
        <w:spacing w:after="0" w:line="166" w:lineRule="exact"/>
        <w:rPr>
          <w:sz w:val="20"/>
          <w:szCs w:val="20"/>
          <w:color w:val="auto"/>
        </w:rPr>
      </w:pPr>
    </w:p>
    <w:p>
      <w:pPr>
        <w:ind w:left="640" w:right="680"/>
        <w:spacing w:after="0" w:line="249" w:lineRule="auto"/>
        <w:rPr>
          <w:sz w:val="20"/>
          <w:szCs w:val="20"/>
          <w:color w:val="auto"/>
        </w:rPr>
      </w:pPr>
      <w:r>
        <w:rPr>
          <w:rFonts w:ascii="Arial" w:cs="Arial" w:eastAsia="Arial" w:hAnsi="Arial"/>
          <w:sz w:val="15"/>
          <w:szCs w:val="15"/>
          <w:color w:val="auto"/>
        </w:rPr>
        <w:t>Under the Current Compensation Program, a pro-rata portion of each equity award (i.e., each stock option and RSU award) equal to the portion of one year that has passed from its date of grant vests on the date of the Company’s first annual shareholder meeting following the date of grant, and the remaining portion vests on the first anniversary of the date of grant. The RSU awards contain mandatory deferral provisions, according to which the shares underlying the RSUs will generally not be delivered to the non-employee director until the earliest of (i) the termination of the non-employee director’s service as a member of the board, (ii) the seventh anniversary of the RSU grant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95885</wp:posOffset>
            </wp:positionV>
            <wp:extent cx="63861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217" w:lineRule="exact"/>
        <w:rPr>
          <w:sz w:val="20"/>
          <w:szCs w:val="20"/>
          <w:color w:val="auto"/>
        </w:rPr>
      </w:pPr>
    </w:p>
    <w:p>
      <w:pPr>
        <w:ind w:left="960" w:hanging="322"/>
        <w:spacing w:after="0"/>
        <w:tabs>
          <w:tab w:leader="none" w:pos="960" w:val="left"/>
        </w:tabs>
        <w:numPr>
          <w:ilvl w:val="0"/>
          <w:numId w:val="51"/>
        </w:numPr>
        <w:rPr>
          <w:rFonts w:ascii="Arial" w:cs="Arial" w:eastAsia="Arial" w:hAnsi="Arial"/>
          <w:sz w:val="14"/>
          <w:szCs w:val="14"/>
          <w:color w:val="215BA8"/>
        </w:rPr>
      </w:pPr>
      <w:r>
        <w:rPr>
          <w:rFonts w:ascii="Arial" w:cs="Arial" w:eastAsia="Arial" w:hAnsi="Arial"/>
          <w:sz w:val="14"/>
          <w:szCs w:val="14"/>
          <w:color w:val="1A1A1A"/>
        </w:rPr>
        <w:t>Based on information reported by our Peer Group companies in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29</w:t>
            </w:r>
          </w:p>
        </w:tc>
      </w:tr>
      <w:tr>
        <w:trPr>
          <w:trHeight w:val="235"/>
        </w:trPr>
        <w:tc>
          <w:tcPr>
            <w:tcW w:w="820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sectPr>
      </w:pPr>
    </w:p>
    <w:bookmarkStart w:id="44" w:name="page45"/>
    <w:bookmarkEnd w:id="44"/>
    <w:p>
      <w:pPr>
        <w:ind w:left="54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620" w:firstLine="8"/>
        <w:spacing w:after="0" w:line="232" w:lineRule="auto"/>
        <w:tabs>
          <w:tab w:leader="none" w:pos="79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date of a change in control (as defined in the Second Amended and Restated Regeneron Pharmaceuticals, Inc. 2014 Long-Term Incentive Plan (or its predecessor)). A non-employee director may, subject to compliance with applicable tax rules, elect in writing a maximum deferral period longer than the seventh anniversary of the grant date. Other than as discussed below, the vesting of equity awards is generally subject to continued service on the board, and stock option awards generally expire ten years following the date of grant.</w:t>
      </w:r>
    </w:p>
    <w:p>
      <w:pPr>
        <w:spacing w:after="0" w:line="166" w:lineRule="exact"/>
        <w:rPr>
          <w:sz w:val="20"/>
          <w:szCs w:val="20"/>
          <w:color w:val="auto"/>
        </w:rPr>
      </w:pPr>
    </w:p>
    <w:p>
      <w:pPr>
        <w:jc w:val="both"/>
        <w:ind w:left="540" w:right="600"/>
        <w:spacing w:after="0" w:line="232" w:lineRule="auto"/>
        <w:rPr>
          <w:sz w:val="20"/>
          <w:szCs w:val="20"/>
          <w:color w:val="auto"/>
        </w:rPr>
      </w:pPr>
      <w:r>
        <w:rPr>
          <w:rFonts w:ascii="Arial" w:cs="Arial" w:eastAsia="Arial" w:hAnsi="Arial"/>
          <w:sz w:val="16"/>
          <w:szCs w:val="16"/>
          <w:color w:val="auto"/>
        </w:rPr>
        <w:t>To the extent they remain unvested and outstanding, equity awards granted to a non-employee director continue to vest following the retirement of that director provided applicable conditions relating to the length of the director’s service and the director’s age have been met. If a non-employee director’s service as a member of the board is terminated as a result of his or her death, all of the director’s equity awards will immediately vest in full.</w:t>
      </w:r>
    </w:p>
    <w:p>
      <w:pPr>
        <w:spacing w:after="0" w:line="166" w:lineRule="exact"/>
        <w:rPr>
          <w:sz w:val="20"/>
          <w:szCs w:val="20"/>
          <w:color w:val="auto"/>
        </w:rPr>
      </w:pPr>
    </w:p>
    <w:p>
      <w:pPr>
        <w:ind w:left="540" w:right="720"/>
        <w:spacing w:after="0" w:line="234" w:lineRule="auto"/>
        <w:rPr>
          <w:sz w:val="20"/>
          <w:szCs w:val="20"/>
          <w:color w:val="auto"/>
        </w:rPr>
      </w:pPr>
      <w:r>
        <w:rPr>
          <w:rFonts w:ascii="Arial" w:cs="Arial" w:eastAsia="Arial" w:hAnsi="Arial"/>
          <w:sz w:val="16"/>
          <w:szCs w:val="16"/>
          <w:color w:val="auto"/>
        </w:rPr>
        <w:t>To the extent they remain unvested and outstanding, equity awards granted to non-employee directors become fully vested automatically upon a change in control of the Company. Each non-employee director has the right to nullify this acceleration of vesting, in whole or in part, if it would cause the director to pay excise taxes under the requirements of the Internal Revenue Code.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EQUITY AWARDS TO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59" w:lineRule="exact"/>
        <w:rPr>
          <w:sz w:val="20"/>
          <w:szCs w:val="20"/>
          <w:color w:val="auto"/>
        </w:rPr>
      </w:pPr>
    </w:p>
    <w:p>
      <w:pPr>
        <w:ind w:left="540" w:right="660"/>
        <w:spacing w:after="0" w:line="251" w:lineRule="auto"/>
        <w:rPr>
          <w:sz w:val="20"/>
          <w:szCs w:val="20"/>
          <w:color w:val="auto"/>
        </w:rPr>
      </w:pPr>
      <w:r>
        <w:rPr>
          <w:rFonts w:ascii="Arial" w:cs="Arial" w:eastAsia="Arial" w:hAnsi="Arial"/>
          <w:sz w:val="15"/>
          <w:szCs w:val="15"/>
          <w:color w:val="auto"/>
        </w:rPr>
        <w:t>Under the Current Compensation Program, any newly elected non-employee director will receive an initial equity award with an aggregate grant date fair value equal to 5/3rds of the aggregate grant date fair value of the most recent annual equity award to a non-employee director; and, with respect to the annual equity award to a non-employee director in respect of the first year of his or her service, the aggregate grant date fair value of such annual award will be prorated based on the date as of which the non-employee director first becomes a member of the board of directors.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COMPENSATION ARRANGEMENTS OF THE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52705</wp:posOffset>
            </wp:positionV>
            <wp:extent cx="64465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59" w:lineRule="exact"/>
        <w:rPr>
          <w:sz w:val="20"/>
          <w:szCs w:val="20"/>
          <w:color w:val="auto"/>
        </w:rPr>
      </w:pPr>
    </w:p>
    <w:p>
      <w:pPr>
        <w:ind w:left="540" w:right="660"/>
        <w:spacing w:after="0" w:line="236" w:lineRule="auto"/>
        <w:rPr>
          <w:sz w:val="20"/>
          <w:szCs w:val="20"/>
          <w:color w:val="auto"/>
        </w:rPr>
      </w:pPr>
      <w:r>
        <w:rPr>
          <w:rFonts w:ascii="Arial" w:cs="Arial" w:eastAsia="Arial" w:hAnsi="Arial"/>
          <w:sz w:val="16"/>
          <w:szCs w:val="16"/>
          <w:color w:val="auto"/>
        </w:rPr>
        <w:t>On December 31, 1998, we entered into an employment agreement with the Chair of the board of directors, Dr. Vagelos. Pursuant to the terms of his employment agreement, Dr. Vagelos receives an annual salary of $100,000 as a non-officer employee.</w:t>
      </w:r>
    </w:p>
    <w:p>
      <w:pPr>
        <w:spacing w:after="0" w:line="165"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Under the Current Compensation Program, Dr. Vagelos receives an annual equity award with an aggregate grant date fair value equal to 10 times the aggregate grant date fair value of the corresponding non-employee director annual award. In December 2021, the Compensation Committee determined that stock options and RSUs would comprise 80% and 20% of the 2021 annual equity award to Dr. Vagelos, respectively, and set the targeted aggregate grant date fair value of such award at (but no more than) ten times the aggregate grant date fair value of the corresponding annual equity award for our non-employee directors. As in prior years, Dr. Vagelos’s 2021 annual equity award reflects, among other things, the key contributions that Dr. Vagelos makes as the Company continues to gain momentum as a fully integrated biotech company with multiple class-leading products, as well as Dr. Vagelos’s crucial role as a trusted advisor to the CEO, other senior managers, and the non-employee directors (as described further in the subsection “Board Governance—Board Leadership Structure—Separate Chair and CEO with Presiding Director” above). It is also designed to incentivize further contributions.</w:t>
      </w:r>
    </w:p>
    <w:p>
      <w:pPr>
        <w:spacing w:after="0" w:line="168" w:lineRule="exact"/>
        <w:rPr>
          <w:sz w:val="20"/>
          <w:szCs w:val="20"/>
          <w:color w:val="auto"/>
        </w:rPr>
      </w:pPr>
    </w:p>
    <w:p>
      <w:pPr>
        <w:ind w:left="540" w:right="680"/>
        <w:spacing w:after="0" w:line="231" w:lineRule="auto"/>
        <w:rPr>
          <w:sz w:val="20"/>
          <w:szCs w:val="20"/>
          <w:color w:val="auto"/>
        </w:rPr>
      </w:pPr>
      <w:r>
        <w:rPr>
          <w:rFonts w:ascii="Arial" w:cs="Arial" w:eastAsia="Arial" w:hAnsi="Arial"/>
          <w:sz w:val="16"/>
          <w:szCs w:val="16"/>
          <w:color w:val="auto"/>
        </w:rPr>
        <w:t>The 2021 stock option award granted to Dr. Vagelos vests ratably over four years subject to his continued service and contains change-of-control provisions consistent with those described above for equity grants to non-employee directors. The 2021 RSU award granted to Dr. Vagelos vests 50% on the second anniversary of the date of grant and 50% of the fourth anniversary of the date of grant and contains change-of-control provisions consistent with those described above for equity grants to non-employee directors. In addition, the award agreements relating to Dr. Vagelos’s equity awards granted in 2018-2021 provide that each such award will continue to vest in accordance with the terms of the applicable award agreement following his qualified retirement (as defined in the applicable Company policy; Dr. Vagelos currently meets the policy requirement).</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30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45" w:name="page46"/>
    <w:bookmarkEnd w:id="45"/>
    <w:p>
      <w:pPr>
        <w:ind w:left="6560"/>
        <w:spacing w:after="0"/>
        <w:rPr>
          <w:sz w:val="20"/>
          <w:szCs w:val="20"/>
          <w:color w:val="auto"/>
        </w:rPr>
      </w:pPr>
      <w:r>
        <w:rPr>
          <w:rFonts w:ascii="Arial" w:cs="Arial" w:eastAsia="Arial" w:hAnsi="Arial"/>
          <w:sz w:val="14"/>
          <w:szCs w:val="14"/>
          <w:b w:val="1"/>
          <w:bCs w:val="1"/>
          <w:color w:val="215BA8"/>
        </w:rPr>
        <w:t xml:space="preserve">BOARD OF DIRECTORS / </w:t>
      </w:r>
      <w:r>
        <w:rPr>
          <w:rFonts w:ascii="Arial" w:cs="Arial" w:eastAsia="Arial" w:hAnsi="Arial"/>
          <w:sz w:val="14"/>
          <w:szCs w:val="14"/>
          <w:b w:val="1"/>
          <w:bCs w:val="1"/>
          <w:color w:val="D60058"/>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40" w:right="920"/>
        <w:spacing w:after="0" w:line="236" w:lineRule="auto"/>
        <w:rPr>
          <w:sz w:val="20"/>
          <w:szCs w:val="20"/>
          <w:color w:val="auto"/>
        </w:rPr>
      </w:pPr>
      <w:r>
        <w:rPr>
          <w:rFonts w:ascii="Arial" w:cs="Arial" w:eastAsia="Arial" w:hAnsi="Arial"/>
          <w:sz w:val="16"/>
          <w:szCs w:val="16"/>
          <w:color w:val="auto"/>
        </w:rPr>
        <w:t>The following table and explanatory footnotes provide information with respect to compensation paid to Dr. Vagelos and each non-employee director for their service in 2021 in accordance with the policies, plans, and employment agreement described above:</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D60058"/>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71755</wp:posOffset>
            </wp:positionV>
            <wp:extent cx="63861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135" w:lineRule="exact"/>
        <w:rPr>
          <w:sz w:val="20"/>
          <w:szCs w:val="20"/>
          <w:color w:val="auto"/>
        </w:rPr>
      </w:pPr>
    </w:p>
    <w:tbl>
      <w:tblPr>
        <w:tblLayout w:type="fixed"/>
        <w:tblInd w:w="640" w:type="dxa"/>
        <w:tblCellMar>
          <w:top w:w="0" w:type="dxa"/>
          <w:left w:w="0" w:type="dxa"/>
          <w:bottom w:w="0" w:type="dxa"/>
          <w:right w:w="0" w:type="dxa"/>
        </w:tblCellMar>
      </w:tblPr>
      <w:tr>
        <w:trPr>
          <w:trHeight w:val="157"/>
        </w:trPr>
        <w:tc>
          <w:tcPr>
            <w:tcW w:w="1900" w:type="dxa"/>
            <w:vAlign w:val="bottom"/>
            <w:tcBorders>
              <w:bottom w:val="single" w:sz="8" w:color="215AA8"/>
            </w:tcBorders>
          </w:tcPr>
          <w:p>
            <w:pPr>
              <w:ind w:left="860"/>
              <w:spacing w:after="0"/>
              <w:rPr>
                <w:sz w:val="20"/>
                <w:szCs w:val="20"/>
                <w:color w:val="auto"/>
              </w:rPr>
            </w:pPr>
            <w:r>
              <w:rPr>
                <w:rFonts w:ascii="Arial" w:cs="Arial" w:eastAsia="Arial" w:hAnsi="Arial"/>
                <w:sz w:val="12"/>
                <w:szCs w:val="12"/>
                <w:b w:val="1"/>
                <w:bCs w:val="1"/>
                <w:color w:val="215BA8"/>
              </w:rPr>
              <w:t>A</w:t>
            </w:r>
          </w:p>
        </w:tc>
        <w:tc>
          <w:tcPr>
            <w:tcW w:w="1160" w:type="dxa"/>
            <w:vAlign w:val="bottom"/>
            <w:tcBorders>
              <w:bottom w:val="single" w:sz="8" w:color="215AA8"/>
            </w:tcBorders>
          </w:tcPr>
          <w:p>
            <w:pPr>
              <w:jc w:val="center"/>
              <w:ind w:right="17"/>
              <w:spacing w:after="0"/>
              <w:rPr>
                <w:sz w:val="20"/>
                <w:szCs w:val="20"/>
                <w:color w:val="auto"/>
              </w:rPr>
            </w:pPr>
            <w:r>
              <w:rPr>
                <w:rFonts w:ascii="Arial" w:cs="Arial" w:eastAsia="Arial" w:hAnsi="Arial"/>
                <w:sz w:val="12"/>
                <w:szCs w:val="12"/>
                <w:b w:val="1"/>
                <w:bCs w:val="1"/>
                <w:color w:val="215BA8"/>
                <w:w w:val="91"/>
              </w:rPr>
              <w:t>B</w:t>
            </w:r>
          </w:p>
        </w:tc>
        <w:tc>
          <w:tcPr>
            <w:tcW w:w="1280" w:type="dxa"/>
            <w:vAlign w:val="bottom"/>
            <w:tcBorders>
              <w:bottom w:val="single" w:sz="8" w:color="215AA8"/>
            </w:tcBorders>
          </w:tcPr>
          <w:p>
            <w:pPr>
              <w:jc w:val="center"/>
              <w:spacing w:after="0"/>
              <w:rPr>
                <w:sz w:val="20"/>
                <w:szCs w:val="20"/>
                <w:color w:val="auto"/>
              </w:rPr>
            </w:pPr>
            <w:r>
              <w:rPr>
                <w:rFonts w:ascii="Arial" w:cs="Arial" w:eastAsia="Arial" w:hAnsi="Arial"/>
                <w:sz w:val="12"/>
                <w:szCs w:val="12"/>
                <w:b w:val="1"/>
                <w:bCs w:val="1"/>
                <w:color w:val="215BA8"/>
              </w:rPr>
              <w:t>C</w:t>
            </w:r>
          </w:p>
        </w:tc>
        <w:tc>
          <w:tcPr>
            <w:tcW w:w="980" w:type="dxa"/>
            <w:vAlign w:val="bottom"/>
            <w:tcBorders>
              <w:bottom w:val="single" w:sz="8" w:color="215AA8"/>
            </w:tcBorders>
          </w:tcPr>
          <w:p>
            <w:pPr>
              <w:jc w:val="center"/>
              <w:ind w:left="37"/>
              <w:spacing w:after="0"/>
              <w:rPr>
                <w:sz w:val="20"/>
                <w:szCs w:val="20"/>
                <w:color w:val="auto"/>
              </w:rPr>
            </w:pPr>
            <w:r>
              <w:rPr>
                <w:rFonts w:ascii="Arial" w:cs="Arial" w:eastAsia="Arial" w:hAnsi="Arial"/>
                <w:sz w:val="12"/>
                <w:szCs w:val="12"/>
                <w:b w:val="1"/>
                <w:bCs w:val="1"/>
                <w:color w:val="215BA8"/>
                <w:w w:val="91"/>
              </w:rPr>
              <w:t>D</w:t>
            </w:r>
          </w:p>
        </w:tc>
        <w:tc>
          <w:tcPr>
            <w:tcW w:w="1060" w:type="dxa"/>
            <w:vAlign w:val="bottom"/>
            <w:tcBorders>
              <w:bottom w:val="single" w:sz="8" w:color="215AA8"/>
            </w:tcBorders>
          </w:tcPr>
          <w:p>
            <w:pPr>
              <w:jc w:val="center"/>
              <w:spacing w:after="0"/>
              <w:rPr>
                <w:sz w:val="20"/>
                <w:szCs w:val="20"/>
                <w:color w:val="auto"/>
              </w:rPr>
            </w:pPr>
            <w:r>
              <w:rPr>
                <w:rFonts w:ascii="Arial" w:cs="Arial" w:eastAsia="Arial" w:hAnsi="Arial"/>
                <w:sz w:val="12"/>
                <w:szCs w:val="12"/>
                <w:b w:val="1"/>
                <w:bCs w:val="1"/>
                <w:color w:val="215BA8"/>
                <w:w w:val="99"/>
              </w:rPr>
              <w:t>E</w:t>
            </w:r>
          </w:p>
        </w:tc>
        <w:tc>
          <w:tcPr>
            <w:tcW w:w="1560" w:type="dxa"/>
            <w:vAlign w:val="bottom"/>
            <w:tcBorders>
              <w:bottom w:val="single" w:sz="8" w:color="215AA8"/>
            </w:tcBorders>
          </w:tcPr>
          <w:p>
            <w:pPr>
              <w:jc w:val="center"/>
              <w:ind w:right="17"/>
              <w:spacing w:after="0"/>
              <w:rPr>
                <w:sz w:val="20"/>
                <w:szCs w:val="20"/>
                <w:color w:val="auto"/>
              </w:rPr>
            </w:pPr>
            <w:r>
              <w:rPr>
                <w:rFonts w:ascii="Arial" w:cs="Arial" w:eastAsia="Arial" w:hAnsi="Arial"/>
                <w:sz w:val="12"/>
                <w:szCs w:val="12"/>
                <w:b w:val="1"/>
                <w:bCs w:val="1"/>
                <w:color w:val="215BA8"/>
              </w:rPr>
              <w:t>F</w:t>
            </w:r>
          </w:p>
        </w:tc>
        <w:tc>
          <w:tcPr>
            <w:tcW w:w="1200" w:type="dxa"/>
            <w:vAlign w:val="bottom"/>
            <w:tcBorders>
              <w:bottom w:val="single" w:sz="8" w:color="215AA8"/>
            </w:tcBorders>
          </w:tcPr>
          <w:p>
            <w:pPr>
              <w:jc w:val="center"/>
              <w:spacing w:after="0"/>
              <w:rPr>
                <w:sz w:val="20"/>
                <w:szCs w:val="20"/>
                <w:color w:val="auto"/>
              </w:rPr>
            </w:pPr>
            <w:r>
              <w:rPr>
                <w:rFonts w:ascii="Arial" w:cs="Arial" w:eastAsia="Arial" w:hAnsi="Arial"/>
                <w:sz w:val="12"/>
                <w:szCs w:val="12"/>
                <w:b w:val="1"/>
                <w:bCs w:val="1"/>
                <w:color w:val="215BA8"/>
                <w:w w:val="85"/>
              </w:rPr>
              <w:t>G</w:t>
            </w:r>
          </w:p>
        </w:tc>
        <w:tc>
          <w:tcPr>
            <w:tcW w:w="920" w:type="dxa"/>
            <w:vAlign w:val="bottom"/>
            <w:tcBorders>
              <w:bottom w:val="single" w:sz="8" w:color="215AA8"/>
            </w:tcBorders>
          </w:tcPr>
          <w:p>
            <w:pPr>
              <w:jc w:val="center"/>
              <w:ind w:left="16"/>
              <w:spacing w:after="0"/>
              <w:rPr>
                <w:sz w:val="20"/>
                <w:szCs w:val="20"/>
                <w:color w:val="auto"/>
              </w:rPr>
            </w:pPr>
            <w:r>
              <w:rPr>
                <w:rFonts w:ascii="Arial" w:cs="Arial" w:eastAsia="Arial" w:hAnsi="Arial"/>
                <w:sz w:val="12"/>
                <w:szCs w:val="12"/>
                <w:b w:val="1"/>
                <w:bCs w:val="1"/>
                <w:color w:val="215BA8"/>
                <w:w w:val="91"/>
              </w:rPr>
              <w:t>H</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vMerge w:val="restart"/>
          </w:tcPr>
          <w:p>
            <w:pPr>
              <w:jc w:val="center"/>
              <w:ind w:left="37"/>
              <w:spacing w:after="0"/>
              <w:rPr>
                <w:sz w:val="20"/>
                <w:szCs w:val="20"/>
                <w:color w:val="auto"/>
              </w:rPr>
            </w:pPr>
            <w:r>
              <w:rPr>
                <w:rFonts w:ascii="Arial" w:cs="Arial" w:eastAsia="Arial" w:hAnsi="Arial"/>
                <w:sz w:val="12"/>
                <w:szCs w:val="12"/>
                <w:b w:val="1"/>
                <w:bCs w:val="1"/>
                <w:color w:val="215BA8"/>
                <w:w w:val="92"/>
              </w:rPr>
              <w:t>Option</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215BA8"/>
                <w:w w:val="95"/>
              </w:rPr>
              <w:t>Non-equity</w:t>
            </w:r>
          </w:p>
        </w:tc>
        <w:tc>
          <w:tcPr>
            <w:tcW w:w="1560" w:type="dxa"/>
            <w:vAlign w:val="bottom"/>
          </w:tcPr>
          <w:p>
            <w:pPr>
              <w:jc w:val="center"/>
              <w:ind w:right="17"/>
              <w:spacing w:after="0"/>
              <w:rPr>
                <w:sz w:val="20"/>
                <w:szCs w:val="20"/>
                <w:color w:val="auto"/>
              </w:rPr>
            </w:pPr>
            <w:r>
              <w:rPr>
                <w:rFonts w:ascii="Arial" w:cs="Arial" w:eastAsia="Arial" w:hAnsi="Arial"/>
                <w:sz w:val="12"/>
                <w:szCs w:val="12"/>
                <w:b w:val="1"/>
                <w:bCs w:val="1"/>
                <w:color w:val="215BA8"/>
                <w:w w:val="96"/>
              </w:rPr>
              <w:t>Change in pension</w:t>
            </w:r>
          </w:p>
        </w:tc>
        <w:tc>
          <w:tcPr>
            <w:tcW w:w="1200" w:type="dxa"/>
            <w:vAlign w:val="bottom"/>
            <w:vMerge w:val="restart"/>
          </w:tcPr>
          <w:p>
            <w:pPr>
              <w:jc w:val="center"/>
              <w:spacing w:after="0"/>
              <w:rPr>
                <w:sz w:val="20"/>
                <w:szCs w:val="20"/>
                <w:color w:val="auto"/>
              </w:rPr>
            </w:pPr>
            <w:r>
              <w:rPr>
                <w:rFonts w:ascii="Arial" w:cs="Arial" w:eastAsia="Arial" w:hAnsi="Arial"/>
                <w:sz w:val="12"/>
                <w:szCs w:val="12"/>
                <w:b w:val="1"/>
                <w:bCs w:val="1"/>
                <w:color w:val="215BA8"/>
                <w:w w:val="98"/>
              </w:rPr>
              <w:t>All other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900" w:type="dxa"/>
            <w:vAlign w:val="bottom"/>
          </w:tcPr>
          <w:p>
            <w:pPr>
              <w:spacing w:after="0"/>
              <w:rPr>
                <w:sz w:val="8"/>
                <w:szCs w:val="8"/>
                <w:color w:val="auto"/>
              </w:rPr>
            </w:pPr>
          </w:p>
        </w:tc>
        <w:tc>
          <w:tcPr>
            <w:tcW w:w="1160" w:type="dxa"/>
            <w:vAlign w:val="bottom"/>
            <w:vMerge w:val="restart"/>
          </w:tcPr>
          <w:p>
            <w:pPr>
              <w:jc w:val="center"/>
              <w:ind w:right="17"/>
              <w:spacing w:after="0" w:line="135" w:lineRule="exact"/>
              <w:rPr>
                <w:sz w:val="20"/>
                <w:szCs w:val="20"/>
                <w:color w:val="auto"/>
              </w:rPr>
            </w:pPr>
            <w:r>
              <w:rPr>
                <w:rFonts w:ascii="Arial" w:cs="Arial" w:eastAsia="Arial" w:hAnsi="Arial"/>
                <w:sz w:val="12"/>
                <w:szCs w:val="12"/>
                <w:b w:val="1"/>
                <w:bCs w:val="1"/>
                <w:color w:val="215BA8"/>
                <w:w w:val="97"/>
              </w:rPr>
              <w:t>Fees earned</w:t>
            </w:r>
          </w:p>
        </w:tc>
        <w:tc>
          <w:tcPr>
            <w:tcW w:w="12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15BA8"/>
                <w:w w:val="97"/>
              </w:rPr>
              <w:t>incentive plan</w:t>
            </w:r>
          </w:p>
        </w:tc>
        <w:tc>
          <w:tcPr>
            <w:tcW w:w="15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15BA8"/>
                <w:w w:val="96"/>
              </w:rPr>
              <w:t>value and non-qualified</w:t>
            </w:r>
          </w:p>
        </w:tc>
        <w:tc>
          <w:tcPr>
            <w:tcW w:w="12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128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15BA8"/>
                <w:w w:val="97"/>
              </w:rPr>
              <w:t>Stock awards</w:t>
            </w:r>
            <w:r>
              <w:rPr>
                <w:rFonts w:ascii="Arial" w:cs="Arial" w:eastAsia="Arial" w:hAnsi="Arial"/>
                <w:sz w:val="19"/>
                <w:szCs w:val="19"/>
                <w:b w:val="1"/>
                <w:bCs w:val="1"/>
                <w:color w:val="215BA8"/>
                <w:w w:val="97"/>
                <w:vertAlign w:val="superscript"/>
              </w:rPr>
              <w:t>1</w:t>
            </w:r>
          </w:p>
        </w:tc>
        <w:tc>
          <w:tcPr>
            <w:tcW w:w="980" w:type="dxa"/>
            <w:vAlign w:val="bottom"/>
            <w:vMerge w:val="restart"/>
          </w:tcPr>
          <w:p>
            <w:pPr>
              <w:jc w:val="center"/>
              <w:ind w:left="17"/>
              <w:spacing w:after="0" w:line="170" w:lineRule="exact"/>
              <w:rPr>
                <w:sz w:val="20"/>
                <w:szCs w:val="20"/>
                <w:color w:val="auto"/>
              </w:rPr>
            </w:pPr>
            <w:r>
              <w:rPr>
                <w:rFonts w:ascii="Arial" w:cs="Arial" w:eastAsia="Arial" w:hAnsi="Arial"/>
                <w:sz w:val="12"/>
                <w:szCs w:val="12"/>
                <w:b w:val="1"/>
                <w:bCs w:val="1"/>
                <w:color w:val="215BA8"/>
                <w:w w:val="91"/>
              </w:rPr>
              <w:t>awards</w:t>
            </w:r>
            <w:r>
              <w:rPr>
                <w:rFonts w:ascii="Arial" w:cs="Arial" w:eastAsia="Arial" w:hAnsi="Arial"/>
                <w:sz w:val="19"/>
                <w:szCs w:val="19"/>
                <w:b w:val="1"/>
                <w:bCs w:val="1"/>
                <w:color w:val="215BA8"/>
                <w:w w:val="91"/>
                <w:vertAlign w:val="superscript"/>
              </w:rPr>
              <w:t>1,2</w:t>
            </w:r>
          </w:p>
        </w:tc>
        <w:tc>
          <w:tcPr>
            <w:tcW w:w="1060" w:type="dxa"/>
            <w:vAlign w:val="bottom"/>
            <w:vMerge w:val="continue"/>
          </w:tcPr>
          <w:p>
            <w:pPr>
              <w:spacing w:after="0"/>
              <w:rPr>
                <w:sz w:val="2"/>
                <w:szCs w:val="2"/>
                <w:color w:val="auto"/>
              </w:rPr>
            </w:pPr>
          </w:p>
        </w:tc>
        <w:tc>
          <w:tcPr>
            <w:tcW w:w="1560" w:type="dxa"/>
            <w:vAlign w:val="bottom"/>
            <w:vMerge w:val="continue"/>
          </w:tcPr>
          <w:p>
            <w:pPr>
              <w:spacing w:after="0"/>
              <w:rPr>
                <w:sz w:val="2"/>
                <w:szCs w:val="2"/>
                <w:color w:val="auto"/>
              </w:rPr>
            </w:pPr>
          </w:p>
        </w:tc>
        <w:tc>
          <w:tcPr>
            <w:tcW w:w="1200" w:type="dxa"/>
            <w:vAlign w:val="bottom"/>
            <w:vMerge w:val="restart"/>
          </w:tcPr>
          <w:p>
            <w:pPr>
              <w:jc w:val="center"/>
              <w:spacing w:after="0" w:line="170" w:lineRule="exact"/>
              <w:rPr>
                <w:sz w:val="20"/>
                <w:szCs w:val="20"/>
                <w:color w:val="auto"/>
              </w:rPr>
            </w:pPr>
            <w:r>
              <w:rPr>
                <w:rFonts w:ascii="Arial" w:cs="Arial" w:eastAsia="Arial" w:hAnsi="Arial"/>
                <w:sz w:val="12"/>
                <w:szCs w:val="12"/>
                <w:b w:val="1"/>
                <w:bCs w:val="1"/>
                <w:color w:val="215BA8"/>
                <w:w w:val="94"/>
              </w:rPr>
              <w:t>compensation</w:t>
            </w:r>
            <w:r>
              <w:rPr>
                <w:rFonts w:ascii="Arial" w:cs="Arial" w:eastAsia="Arial" w:hAnsi="Arial"/>
                <w:sz w:val="19"/>
                <w:szCs w:val="19"/>
                <w:b w:val="1"/>
                <w:bCs w:val="1"/>
                <w:color w:val="215BA8"/>
                <w:w w:val="94"/>
                <w:vertAlign w:val="superscript"/>
              </w:rPr>
              <w:t>3</w:t>
            </w: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90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15BA8"/>
                <w:w w:val="96"/>
              </w:rPr>
              <w:t>or paid in cash</w:t>
            </w:r>
          </w:p>
        </w:tc>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8"/>
              </w:rPr>
              <w:t>compensation</w:t>
            </w:r>
          </w:p>
        </w:tc>
        <w:tc>
          <w:tcPr>
            <w:tcW w:w="1560" w:type="dxa"/>
            <w:vAlign w:val="bottom"/>
          </w:tcPr>
          <w:p>
            <w:pPr>
              <w:jc w:val="center"/>
              <w:spacing w:after="0" w:line="135" w:lineRule="exact"/>
              <w:rPr>
                <w:sz w:val="20"/>
                <w:szCs w:val="20"/>
                <w:color w:val="auto"/>
              </w:rPr>
            </w:pPr>
            <w:r>
              <w:rPr>
                <w:rFonts w:ascii="Arial" w:cs="Arial" w:eastAsia="Arial" w:hAnsi="Arial"/>
                <w:sz w:val="12"/>
                <w:szCs w:val="12"/>
                <w:b w:val="1"/>
                <w:bCs w:val="1"/>
                <w:color w:val="215BA8"/>
                <w:w w:val="97"/>
              </w:rPr>
              <w:t>deferred compensation</w:t>
            </w:r>
          </w:p>
        </w:tc>
        <w:tc>
          <w:tcPr>
            <w:tcW w:w="1200" w:type="dxa"/>
            <w:vAlign w:val="bottom"/>
            <w:vMerge w:val="continue"/>
          </w:tcPr>
          <w:p>
            <w:pPr>
              <w:spacing w:after="0"/>
              <w:rPr>
                <w:sz w:val="11"/>
                <w:szCs w:val="11"/>
                <w:color w:val="auto"/>
              </w:rPr>
            </w:pPr>
          </w:p>
        </w:tc>
        <w:tc>
          <w:tcPr>
            <w:tcW w:w="920" w:type="dxa"/>
            <w:vAlign w:val="bottom"/>
          </w:tcPr>
          <w:p>
            <w:pPr>
              <w:jc w:val="center"/>
              <w:ind w:left="16"/>
              <w:spacing w:after="0" w:line="135" w:lineRule="exact"/>
              <w:rPr>
                <w:sz w:val="20"/>
                <w:szCs w:val="20"/>
                <w:color w:val="auto"/>
              </w:rPr>
            </w:pPr>
            <w:r>
              <w:rPr>
                <w:rFonts w:ascii="Arial" w:cs="Arial" w:eastAsia="Arial" w:hAnsi="Arial"/>
                <w:sz w:val="12"/>
                <w:szCs w:val="12"/>
                <w:b w:val="1"/>
                <w:bCs w:val="1"/>
                <w:color w:val="215BA8"/>
                <w:w w:val="97"/>
              </w:rPr>
              <w:t>Total</w:t>
            </w:r>
          </w:p>
        </w:tc>
        <w:tc>
          <w:tcPr>
            <w:tcW w:w="0" w:type="dxa"/>
            <w:vAlign w:val="bottom"/>
          </w:tcPr>
          <w:p>
            <w:pPr>
              <w:spacing w:after="0"/>
              <w:rPr>
                <w:sz w:val="1"/>
                <w:szCs w:val="1"/>
                <w:color w:val="auto"/>
              </w:rPr>
            </w:pPr>
          </w:p>
        </w:tc>
      </w:tr>
      <w:tr>
        <w:trPr>
          <w:trHeight w:val="154"/>
        </w:trPr>
        <w:tc>
          <w:tcPr>
            <w:tcW w:w="1900" w:type="dxa"/>
            <w:vAlign w:val="bottom"/>
          </w:tcPr>
          <w:p>
            <w:pPr>
              <w:ind w:left="40"/>
              <w:spacing w:after="0"/>
              <w:rPr>
                <w:sz w:val="20"/>
                <w:szCs w:val="20"/>
                <w:color w:val="auto"/>
              </w:rPr>
            </w:pPr>
            <w:r>
              <w:rPr>
                <w:rFonts w:ascii="Arial" w:cs="Arial" w:eastAsia="Arial" w:hAnsi="Arial"/>
                <w:sz w:val="12"/>
                <w:szCs w:val="12"/>
                <w:b w:val="1"/>
                <w:bCs w:val="1"/>
                <w:color w:val="215BA8"/>
              </w:rPr>
              <w:t>Name</w:t>
            </w:r>
          </w:p>
        </w:tc>
        <w:tc>
          <w:tcPr>
            <w:tcW w:w="1160" w:type="dxa"/>
            <w:vAlign w:val="bottom"/>
          </w:tcPr>
          <w:p>
            <w:pPr>
              <w:jc w:val="center"/>
              <w:ind w:right="37"/>
              <w:spacing w:after="0"/>
              <w:rPr>
                <w:sz w:val="20"/>
                <w:szCs w:val="20"/>
                <w:color w:val="auto"/>
              </w:rPr>
            </w:pPr>
            <w:r>
              <w:rPr>
                <w:rFonts w:ascii="Arial" w:cs="Arial" w:eastAsia="Arial" w:hAnsi="Arial"/>
                <w:sz w:val="12"/>
                <w:szCs w:val="12"/>
                <w:b w:val="1"/>
                <w:bCs w:val="1"/>
                <w:color w:val="215BA8"/>
                <w:w w:val="95"/>
              </w:rPr>
              <w:t>($)</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215BA8"/>
                <w:w w:val="95"/>
              </w:rPr>
              <w:t>($)</w:t>
            </w:r>
          </w:p>
        </w:tc>
        <w:tc>
          <w:tcPr>
            <w:tcW w:w="980" w:type="dxa"/>
            <w:vAlign w:val="bottom"/>
          </w:tcPr>
          <w:p>
            <w:pPr>
              <w:jc w:val="center"/>
              <w:ind w:left="17"/>
              <w:spacing w:after="0"/>
              <w:rPr>
                <w:sz w:val="20"/>
                <w:szCs w:val="20"/>
                <w:color w:val="auto"/>
              </w:rPr>
            </w:pPr>
            <w:r>
              <w:rPr>
                <w:rFonts w:ascii="Arial" w:cs="Arial" w:eastAsia="Arial" w:hAnsi="Arial"/>
                <w:sz w:val="12"/>
                <w:szCs w:val="12"/>
                <w:b w:val="1"/>
                <w:bCs w:val="1"/>
                <w:color w:val="215BA8"/>
                <w:w w:val="95"/>
              </w:rPr>
              <w:t>($)</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215BA8"/>
                <w:w w:val="95"/>
              </w:rPr>
              <w:t>($)</w:t>
            </w:r>
          </w:p>
        </w:tc>
        <w:tc>
          <w:tcPr>
            <w:tcW w:w="1560" w:type="dxa"/>
            <w:vAlign w:val="bottom"/>
          </w:tcPr>
          <w:p>
            <w:pPr>
              <w:jc w:val="center"/>
              <w:ind w:right="17"/>
              <w:spacing w:after="0"/>
              <w:rPr>
                <w:sz w:val="20"/>
                <w:szCs w:val="20"/>
                <w:color w:val="auto"/>
              </w:rPr>
            </w:pPr>
            <w:r>
              <w:rPr>
                <w:rFonts w:ascii="Arial" w:cs="Arial" w:eastAsia="Arial" w:hAnsi="Arial"/>
                <w:sz w:val="12"/>
                <w:szCs w:val="12"/>
                <w:b w:val="1"/>
                <w:bCs w:val="1"/>
                <w:color w:val="215BA8"/>
                <w:w w:val="95"/>
              </w:rPr>
              <w:t>earnings</w:t>
            </w:r>
          </w:p>
        </w:tc>
        <w:tc>
          <w:tcPr>
            <w:tcW w:w="1200" w:type="dxa"/>
            <w:vAlign w:val="bottom"/>
          </w:tcPr>
          <w:p>
            <w:pPr>
              <w:jc w:val="center"/>
              <w:spacing w:after="0"/>
              <w:rPr>
                <w:sz w:val="20"/>
                <w:szCs w:val="20"/>
                <w:color w:val="auto"/>
              </w:rPr>
            </w:pPr>
            <w:r>
              <w:rPr>
                <w:rFonts w:ascii="Arial" w:cs="Arial" w:eastAsia="Arial" w:hAnsi="Arial"/>
                <w:sz w:val="12"/>
                <w:szCs w:val="12"/>
                <w:b w:val="1"/>
                <w:bCs w:val="1"/>
                <w:color w:val="215BA8"/>
                <w:w w:val="95"/>
              </w:rPr>
              <w:t>($)</w:t>
            </w:r>
          </w:p>
        </w:tc>
        <w:tc>
          <w:tcPr>
            <w:tcW w:w="920" w:type="dxa"/>
            <w:vAlign w:val="bottom"/>
          </w:tcPr>
          <w:p>
            <w:pPr>
              <w:jc w:val="center"/>
              <w:spacing w:after="0"/>
              <w:rPr>
                <w:sz w:val="20"/>
                <w:szCs w:val="20"/>
                <w:color w:val="auto"/>
              </w:rPr>
            </w:pPr>
            <w:r>
              <w:rPr>
                <w:rFonts w:ascii="Arial" w:cs="Arial" w:eastAsia="Arial" w:hAnsi="Arial"/>
                <w:sz w:val="12"/>
                <w:szCs w:val="12"/>
                <w:b w:val="1"/>
                <w:bCs w:val="1"/>
                <w:color w:val="215BA8"/>
                <w:w w:val="95"/>
              </w:rPr>
              <w:t>($)</w:t>
            </w:r>
          </w:p>
        </w:tc>
        <w:tc>
          <w:tcPr>
            <w:tcW w:w="0" w:type="dxa"/>
            <w:vAlign w:val="bottom"/>
          </w:tcPr>
          <w:p>
            <w:pPr>
              <w:spacing w:after="0"/>
              <w:rPr>
                <w:sz w:val="1"/>
                <w:szCs w:val="1"/>
                <w:color w:val="auto"/>
              </w:rPr>
            </w:pPr>
          </w:p>
        </w:tc>
      </w:tr>
      <w:tr>
        <w:trPr>
          <w:trHeight w:val="27"/>
        </w:trPr>
        <w:tc>
          <w:tcPr>
            <w:tcW w:w="1900" w:type="dxa"/>
            <w:vAlign w:val="bottom"/>
            <w:tcBorders>
              <w:bottom w:val="single" w:sz="8" w:color="215AA8"/>
            </w:tcBorders>
          </w:tcPr>
          <w:p>
            <w:pPr>
              <w:spacing w:after="0"/>
              <w:rPr>
                <w:sz w:val="2"/>
                <w:szCs w:val="2"/>
                <w:color w:val="auto"/>
              </w:rPr>
            </w:pPr>
          </w:p>
        </w:tc>
        <w:tc>
          <w:tcPr>
            <w:tcW w:w="1160" w:type="dxa"/>
            <w:vAlign w:val="bottom"/>
            <w:tcBorders>
              <w:bottom w:val="single" w:sz="8" w:color="215AA8"/>
            </w:tcBorders>
          </w:tcPr>
          <w:p>
            <w:pPr>
              <w:spacing w:after="0"/>
              <w:rPr>
                <w:sz w:val="2"/>
                <w:szCs w:val="2"/>
                <w:color w:val="auto"/>
              </w:rPr>
            </w:pPr>
          </w:p>
        </w:tc>
        <w:tc>
          <w:tcPr>
            <w:tcW w:w="1280" w:type="dxa"/>
            <w:vAlign w:val="bottom"/>
            <w:tcBorders>
              <w:bottom w:val="single" w:sz="8" w:color="215AA8"/>
            </w:tcBorders>
          </w:tcPr>
          <w:p>
            <w:pPr>
              <w:spacing w:after="0"/>
              <w:rPr>
                <w:sz w:val="2"/>
                <w:szCs w:val="2"/>
                <w:color w:val="auto"/>
              </w:rPr>
            </w:pPr>
          </w:p>
        </w:tc>
        <w:tc>
          <w:tcPr>
            <w:tcW w:w="980" w:type="dxa"/>
            <w:vAlign w:val="bottom"/>
            <w:tcBorders>
              <w:bottom w:val="single" w:sz="8" w:color="215AA8"/>
            </w:tcBorders>
          </w:tcPr>
          <w:p>
            <w:pPr>
              <w:spacing w:after="0"/>
              <w:rPr>
                <w:sz w:val="2"/>
                <w:szCs w:val="2"/>
                <w:color w:val="auto"/>
              </w:rPr>
            </w:pPr>
          </w:p>
        </w:tc>
        <w:tc>
          <w:tcPr>
            <w:tcW w:w="1060" w:type="dxa"/>
            <w:vAlign w:val="bottom"/>
            <w:tcBorders>
              <w:bottom w:val="single" w:sz="8" w:color="215AA8"/>
            </w:tcBorders>
          </w:tcPr>
          <w:p>
            <w:pPr>
              <w:spacing w:after="0"/>
              <w:rPr>
                <w:sz w:val="2"/>
                <w:szCs w:val="2"/>
                <w:color w:val="auto"/>
              </w:rPr>
            </w:pPr>
          </w:p>
        </w:tc>
        <w:tc>
          <w:tcPr>
            <w:tcW w:w="1560" w:type="dxa"/>
            <w:vAlign w:val="bottom"/>
            <w:tcBorders>
              <w:bottom w:val="single" w:sz="8" w:color="215AA8"/>
            </w:tcBorders>
          </w:tcPr>
          <w:p>
            <w:pPr>
              <w:spacing w:after="0"/>
              <w:rPr>
                <w:sz w:val="2"/>
                <w:szCs w:val="2"/>
                <w:color w:val="auto"/>
              </w:rPr>
            </w:pPr>
          </w:p>
        </w:tc>
        <w:tc>
          <w:tcPr>
            <w:tcW w:w="1200" w:type="dxa"/>
            <w:vAlign w:val="bottom"/>
            <w:tcBorders>
              <w:bottom w:val="single" w:sz="8" w:color="215AA8"/>
            </w:tcBorders>
          </w:tcPr>
          <w:p>
            <w:pPr>
              <w:spacing w:after="0"/>
              <w:rPr>
                <w:sz w:val="2"/>
                <w:szCs w:val="2"/>
                <w:color w:val="auto"/>
              </w:rPr>
            </w:pPr>
          </w:p>
        </w:tc>
        <w:tc>
          <w:tcPr>
            <w:tcW w:w="920" w:type="dxa"/>
            <w:vAlign w:val="bottom"/>
            <w:tcBorders>
              <w:bottom w:val="single" w:sz="8" w:color="215AA8"/>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D60058"/>
              </w:rPr>
              <w:t>Bonnie L. Bassler, Ph.D.</w:t>
            </w: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110,000</w:t>
            </w: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710,094</w:t>
            </w:r>
          </w:p>
        </w:tc>
        <w:tc>
          <w:tcPr>
            <w:tcW w:w="0" w:type="dxa"/>
            <w:vAlign w:val="bottom"/>
          </w:tcPr>
          <w:p>
            <w:pPr>
              <w:spacing w:after="0"/>
              <w:rPr>
                <w:sz w:val="1"/>
                <w:szCs w:val="1"/>
                <w:color w:val="auto"/>
              </w:rPr>
            </w:pPr>
          </w:p>
        </w:tc>
      </w:tr>
      <w:tr>
        <w:trPr>
          <w:trHeight w:val="211"/>
        </w:trPr>
        <w:tc>
          <w:tcPr>
            <w:tcW w:w="1900" w:type="dxa"/>
            <w:vAlign w:val="bottom"/>
            <w:tcBorders>
              <w:bottom w:val="single" w:sz="8" w:color="auto"/>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Michael S. Brown, M.D.</w:t>
            </w:r>
          </w:p>
        </w:tc>
        <w:tc>
          <w:tcPr>
            <w:tcW w:w="1160" w:type="dxa"/>
            <w:vAlign w:val="bottom"/>
            <w:tcBorders>
              <w:bottom w:val="single" w:sz="8" w:color="auto"/>
            </w:tcBorders>
            <w:shd w:val="clear" w:color="auto" w:fill="EEEEEF"/>
          </w:tcPr>
          <w:p>
            <w:pPr>
              <w:jc w:val="right"/>
              <w:ind w:right="317"/>
              <w:spacing w:after="0"/>
              <w:rPr>
                <w:sz w:val="20"/>
                <w:szCs w:val="20"/>
                <w:color w:val="auto"/>
              </w:rPr>
            </w:pPr>
            <w:r>
              <w:rPr>
                <w:rFonts w:ascii="Arial" w:cs="Arial" w:eastAsia="Arial" w:hAnsi="Arial"/>
                <w:sz w:val="13"/>
                <w:szCs w:val="13"/>
                <w:color w:val="auto"/>
              </w:rPr>
              <w:t>120,000</w:t>
            </w:r>
          </w:p>
        </w:tc>
        <w:tc>
          <w:tcPr>
            <w:tcW w:w="1280" w:type="dxa"/>
            <w:vAlign w:val="bottom"/>
            <w:tcBorders>
              <w:bottom w:val="single" w:sz="8" w:color="auto"/>
            </w:tcBorders>
            <w:shd w:val="clear" w:color="auto" w:fill="EEEEEF"/>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shd w:val="clear" w:color="auto" w:fill="EEEEEF"/>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shd w:val="clear" w:color="auto" w:fill="EEEEEF"/>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shd w:val="clear" w:color="auto" w:fill="EEEEEF"/>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shd w:val="clear" w:color="auto" w:fill="EEEEEF"/>
          </w:tcPr>
          <w:p>
            <w:pPr>
              <w:jc w:val="right"/>
              <w:ind w:right="297"/>
              <w:spacing w:after="0" w:line="211" w:lineRule="exact"/>
              <w:rPr>
                <w:sz w:val="20"/>
                <w:szCs w:val="20"/>
                <w:color w:val="auto"/>
              </w:rPr>
            </w:pPr>
            <w:r>
              <w:rPr>
                <w:rFonts w:ascii="Arial" w:cs="Arial" w:eastAsia="Arial" w:hAnsi="Arial"/>
                <w:sz w:val="13"/>
                <w:szCs w:val="13"/>
                <w:color w:val="auto"/>
              </w:rPr>
              <w:t>5,000</w:t>
            </w:r>
            <w:r>
              <w:rPr>
                <w:rFonts w:ascii="Arial" w:cs="Arial" w:eastAsia="Arial" w:hAnsi="Arial"/>
                <w:sz w:val="21"/>
                <w:szCs w:val="21"/>
                <w:color w:val="auto"/>
                <w:vertAlign w:val="superscript"/>
              </w:rPr>
              <w:t>4</w:t>
            </w:r>
          </w:p>
        </w:tc>
        <w:tc>
          <w:tcPr>
            <w:tcW w:w="920" w:type="dxa"/>
            <w:vAlign w:val="bottom"/>
            <w:tcBorders>
              <w:bottom w:val="single" w:sz="8" w:color="auto"/>
            </w:tcBorders>
            <w:shd w:val="clear" w:color="auto" w:fill="EEEEEF"/>
          </w:tcPr>
          <w:p>
            <w:pPr>
              <w:jc w:val="right"/>
              <w:ind w:right="76"/>
              <w:spacing w:after="0"/>
              <w:rPr>
                <w:sz w:val="20"/>
                <w:szCs w:val="20"/>
                <w:color w:val="auto"/>
              </w:rPr>
            </w:pPr>
            <w:r>
              <w:rPr>
                <w:rFonts w:ascii="Arial" w:cs="Arial" w:eastAsia="Arial" w:hAnsi="Arial"/>
                <w:sz w:val="13"/>
                <w:szCs w:val="13"/>
                <w:color w:val="auto"/>
              </w:rPr>
              <w:t>725,094</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D60058"/>
              </w:rPr>
              <w:t>N. Anthony Coles, M. D.</w:t>
            </w: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100,000</w:t>
            </w: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tcPr>
          <w:p>
            <w:pPr>
              <w:jc w:val="right"/>
              <w:ind w:right="297"/>
              <w:spacing w:after="0" w:line="210" w:lineRule="exact"/>
              <w:rPr>
                <w:sz w:val="20"/>
                <w:szCs w:val="20"/>
                <w:color w:val="auto"/>
              </w:rPr>
            </w:pPr>
            <w:r>
              <w:rPr>
                <w:rFonts w:ascii="Arial" w:cs="Arial" w:eastAsia="Arial" w:hAnsi="Arial"/>
                <w:sz w:val="13"/>
                <w:szCs w:val="13"/>
                <w:color w:val="auto"/>
              </w:rPr>
              <w:t>5,000</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705,094</w:t>
            </w:r>
          </w:p>
        </w:tc>
        <w:tc>
          <w:tcPr>
            <w:tcW w:w="0" w:type="dxa"/>
            <w:vAlign w:val="bottom"/>
          </w:tcPr>
          <w:p>
            <w:pPr>
              <w:spacing w:after="0"/>
              <w:rPr>
                <w:sz w:val="1"/>
                <w:szCs w:val="1"/>
                <w:color w:val="auto"/>
              </w:rPr>
            </w:pPr>
          </w:p>
        </w:tc>
      </w:tr>
      <w:tr>
        <w:trPr>
          <w:trHeight w:val="181"/>
        </w:trPr>
        <w:tc>
          <w:tcPr>
            <w:tcW w:w="1900" w:type="dxa"/>
            <w:vAlign w:val="bottom"/>
            <w:tcBorders>
              <w:bottom w:val="single" w:sz="8" w:color="auto"/>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Joseph L. Goldstein, M.D.</w:t>
            </w:r>
          </w:p>
        </w:tc>
        <w:tc>
          <w:tcPr>
            <w:tcW w:w="1160" w:type="dxa"/>
            <w:vAlign w:val="bottom"/>
            <w:tcBorders>
              <w:bottom w:val="single" w:sz="8" w:color="auto"/>
            </w:tcBorders>
            <w:shd w:val="clear" w:color="auto" w:fill="EEEEEF"/>
          </w:tcPr>
          <w:p>
            <w:pPr>
              <w:jc w:val="right"/>
              <w:ind w:right="317"/>
              <w:spacing w:after="0"/>
              <w:rPr>
                <w:sz w:val="20"/>
                <w:szCs w:val="20"/>
                <w:color w:val="auto"/>
              </w:rPr>
            </w:pPr>
            <w:r>
              <w:rPr>
                <w:rFonts w:ascii="Arial" w:cs="Arial" w:eastAsia="Arial" w:hAnsi="Arial"/>
                <w:sz w:val="13"/>
                <w:szCs w:val="13"/>
                <w:color w:val="auto"/>
              </w:rPr>
              <w:t>110,000</w:t>
            </w:r>
          </w:p>
        </w:tc>
        <w:tc>
          <w:tcPr>
            <w:tcW w:w="1280" w:type="dxa"/>
            <w:vAlign w:val="bottom"/>
            <w:tcBorders>
              <w:bottom w:val="single" w:sz="8" w:color="auto"/>
            </w:tcBorders>
            <w:shd w:val="clear" w:color="auto" w:fill="EEEEEF"/>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shd w:val="clear" w:color="auto" w:fill="EEEEEF"/>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shd w:val="clear" w:color="auto" w:fill="EEEEEF"/>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shd w:val="clear" w:color="auto" w:fill="EEEEEF"/>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shd w:val="clear" w:color="auto" w:fill="EEEEEF"/>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EEEEEF"/>
          </w:tcPr>
          <w:p>
            <w:pPr>
              <w:jc w:val="right"/>
              <w:ind w:right="76"/>
              <w:spacing w:after="0"/>
              <w:rPr>
                <w:sz w:val="20"/>
                <w:szCs w:val="20"/>
                <w:color w:val="auto"/>
              </w:rPr>
            </w:pPr>
            <w:r>
              <w:rPr>
                <w:rFonts w:ascii="Arial" w:cs="Arial" w:eastAsia="Arial" w:hAnsi="Arial"/>
                <w:sz w:val="13"/>
                <w:szCs w:val="13"/>
                <w:color w:val="auto"/>
              </w:rPr>
              <w:t>710,094</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D60058"/>
              </w:rPr>
              <w:t>Christine A. Poon</w:t>
            </w: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120,000</w:t>
            </w: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720,094</w:t>
            </w:r>
          </w:p>
        </w:tc>
        <w:tc>
          <w:tcPr>
            <w:tcW w:w="0" w:type="dxa"/>
            <w:vAlign w:val="bottom"/>
          </w:tcPr>
          <w:p>
            <w:pPr>
              <w:spacing w:after="0"/>
              <w:rPr>
                <w:sz w:val="1"/>
                <w:szCs w:val="1"/>
                <w:color w:val="auto"/>
              </w:rPr>
            </w:pPr>
          </w:p>
        </w:tc>
      </w:tr>
      <w:tr>
        <w:trPr>
          <w:trHeight w:val="211"/>
        </w:trPr>
        <w:tc>
          <w:tcPr>
            <w:tcW w:w="1900" w:type="dxa"/>
            <w:vAlign w:val="bottom"/>
            <w:tcBorders>
              <w:bottom w:val="single" w:sz="8" w:color="auto"/>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Arthur F. Ryan</w:t>
            </w:r>
          </w:p>
        </w:tc>
        <w:tc>
          <w:tcPr>
            <w:tcW w:w="1160" w:type="dxa"/>
            <w:vAlign w:val="bottom"/>
            <w:tcBorders>
              <w:bottom w:val="single" w:sz="8" w:color="auto"/>
            </w:tcBorders>
            <w:shd w:val="clear" w:color="auto" w:fill="EEEEEF"/>
          </w:tcPr>
          <w:p>
            <w:pPr>
              <w:jc w:val="right"/>
              <w:ind w:right="317"/>
              <w:spacing w:after="0"/>
              <w:rPr>
                <w:sz w:val="20"/>
                <w:szCs w:val="20"/>
                <w:color w:val="auto"/>
              </w:rPr>
            </w:pPr>
            <w:r>
              <w:rPr>
                <w:rFonts w:ascii="Arial" w:cs="Arial" w:eastAsia="Arial" w:hAnsi="Arial"/>
                <w:sz w:val="13"/>
                <w:szCs w:val="13"/>
                <w:color w:val="auto"/>
              </w:rPr>
              <w:t>120,000</w:t>
            </w:r>
          </w:p>
        </w:tc>
        <w:tc>
          <w:tcPr>
            <w:tcW w:w="1280" w:type="dxa"/>
            <w:vAlign w:val="bottom"/>
            <w:tcBorders>
              <w:bottom w:val="single" w:sz="8" w:color="auto"/>
            </w:tcBorders>
            <w:shd w:val="clear" w:color="auto" w:fill="EEEEEF"/>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shd w:val="clear" w:color="auto" w:fill="EEEEEF"/>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shd w:val="clear" w:color="auto" w:fill="EEEEEF"/>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shd w:val="clear" w:color="auto" w:fill="EEEEEF"/>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shd w:val="clear" w:color="auto" w:fill="EEEEEF"/>
          </w:tcPr>
          <w:p>
            <w:pPr>
              <w:jc w:val="right"/>
              <w:ind w:right="297"/>
              <w:spacing w:after="0" w:line="211" w:lineRule="exact"/>
              <w:rPr>
                <w:sz w:val="20"/>
                <w:szCs w:val="20"/>
                <w:color w:val="auto"/>
              </w:rPr>
            </w:pPr>
            <w:r>
              <w:rPr>
                <w:rFonts w:ascii="Arial" w:cs="Arial" w:eastAsia="Arial" w:hAnsi="Arial"/>
                <w:sz w:val="13"/>
                <w:szCs w:val="13"/>
                <w:color w:val="auto"/>
              </w:rPr>
              <w:t>5,000</w:t>
            </w:r>
            <w:r>
              <w:rPr>
                <w:rFonts w:ascii="Arial" w:cs="Arial" w:eastAsia="Arial" w:hAnsi="Arial"/>
                <w:sz w:val="21"/>
                <w:szCs w:val="21"/>
                <w:color w:val="auto"/>
                <w:vertAlign w:val="superscript"/>
              </w:rPr>
              <w:t>4</w:t>
            </w:r>
          </w:p>
        </w:tc>
        <w:tc>
          <w:tcPr>
            <w:tcW w:w="920" w:type="dxa"/>
            <w:vAlign w:val="bottom"/>
            <w:tcBorders>
              <w:bottom w:val="single" w:sz="8" w:color="auto"/>
            </w:tcBorders>
            <w:shd w:val="clear" w:color="auto" w:fill="EEEEEF"/>
          </w:tcPr>
          <w:p>
            <w:pPr>
              <w:jc w:val="right"/>
              <w:ind w:right="76"/>
              <w:spacing w:after="0"/>
              <w:rPr>
                <w:sz w:val="20"/>
                <w:szCs w:val="20"/>
                <w:color w:val="auto"/>
              </w:rPr>
            </w:pPr>
            <w:r>
              <w:rPr>
                <w:rFonts w:ascii="Arial" w:cs="Arial" w:eastAsia="Arial" w:hAnsi="Arial"/>
                <w:sz w:val="13"/>
                <w:szCs w:val="13"/>
                <w:color w:val="auto"/>
              </w:rPr>
              <w:t>725,094</w:t>
            </w:r>
          </w:p>
        </w:tc>
        <w:tc>
          <w:tcPr>
            <w:tcW w:w="0" w:type="dxa"/>
            <w:vAlign w:val="bottom"/>
          </w:tcPr>
          <w:p>
            <w:pPr>
              <w:spacing w:after="0"/>
              <w:rPr>
                <w:sz w:val="1"/>
                <w:szCs w:val="1"/>
                <w:color w:val="auto"/>
              </w:rPr>
            </w:pPr>
          </w:p>
        </w:tc>
      </w:tr>
      <w:tr>
        <w:trPr>
          <w:trHeight w:val="210"/>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D60058"/>
              </w:rPr>
              <w:t>George L. Sing</w:t>
            </w: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120,000</w:t>
            </w: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tcPr>
          <w:p>
            <w:pPr>
              <w:jc w:val="right"/>
              <w:ind w:right="297"/>
              <w:spacing w:after="0" w:line="210" w:lineRule="exact"/>
              <w:rPr>
                <w:sz w:val="20"/>
                <w:szCs w:val="20"/>
                <w:color w:val="auto"/>
              </w:rPr>
            </w:pPr>
            <w:r>
              <w:rPr>
                <w:rFonts w:ascii="Arial" w:cs="Arial" w:eastAsia="Arial" w:hAnsi="Arial"/>
                <w:sz w:val="13"/>
                <w:szCs w:val="13"/>
                <w:color w:val="auto"/>
              </w:rPr>
              <w:t>3,500</w:t>
            </w:r>
            <w:r>
              <w:rPr>
                <w:rFonts w:ascii="Arial" w:cs="Arial" w:eastAsia="Arial" w:hAnsi="Arial"/>
                <w:sz w:val="21"/>
                <w:szCs w:val="21"/>
                <w:color w:val="auto"/>
                <w:vertAlign w:val="superscript"/>
              </w:rPr>
              <w:t>4</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723,594</w:t>
            </w:r>
          </w:p>
        </w:tc>
        <w:tc>
          <w:tcPr>
            <w:tcW w:w="0" w:type="dxa"/>
            <w:vAlign w:val="bottom"/>
          </w:tcPr>
          <w:p>
            <w:pPr>
              <w:spacing w:after="0"/>
              <w:rPr>
                <w:sz w:val="1"/>
                <w:szCs w:val="1"/>
                <w:color w:val="auto"/>
              </w:rPr>
            </w:pPr>
          </w:p>
        </w:tc>
      </w:tr>
      <w:tr>
        <w:trPr>
          <w:trHeight w:val="181"/>
        </w:trPr>
        <w:tc>
          <w:tcPr>
            <w:tcW w:w="1900" w:type="dxa"/>
            <w:vAlign w:val="bottom"/>
            <w:tcBorders>
              <w:bottom w:val="single" w:sz="8" w:color="auto"/>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Marc Tessier-Lavigne, Ph.D.</w:t>
            </w:r>
          </w:p>
        </w:tc>
        <w:tc>
          <w:tcPr>
            <w:tcW w:w="1160" w:type="dxa"/>
            <w:vAlign w:val="bottom"/>
            <w:tcBorders>
              <w:bottom w:val="single" w:sz="8" w:color="auto"/>
            </w:tcBorders>
            <w:shd w:val="clear" w:color="auto" w:fill="EEEEEF"/>
          </w:tcPr>
          <w:p>
            <w:pPr>
              <w:jc w:val="right"/>
              <w:ind w:right="317"/>
              <w:spacing w:after="0"/>
              <w:rPr>
                <w:sz w:val="20"/>
                <w:szCs w:val="20"/>
                <w:color w:val="auto"/>
              </w:rPr>
            </w:pPr>
            <w:r>
              <w:rPr>
                <w:rFonts w:ascii="Arial" w:cs="Arial" w:eastAsia="Arial" w:hAnsi="Arial"/>
                <w:sz w:val="13"/>
                <w:szCs w:val="13"/>
                <w:color w:val="auto"/>
              </w:rPr>
              <w:t>100,000</w:t>
            </w:r>
          </w:p>
        </w:tc>
        <w:tc>
          <w:tcPr>
            <w:tcW w:w="1280" w:type="dxa"/>
            <w:vAlign w:val="bottom"/>
            <w:tcBorders>
              <w:bottom w:val="single" w:sz="8" w:color="auto"/>
            </w:tcBorders>
            <w:shd w:val="clear" w:color="auto" w:fill="EEEEEF"/>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auto"/>
            </w:tcBorders>
            <w:shd w:val="clear" w:color="auto" w:fill="EEEEEF"/>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auto"/>
            </w:tcBorders>
            <w:shd w:val="clear" w:color="auto" w:fill="EEEEEF"/>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shd w:val="clear" w:color="auto" w:fill="EEEEEF"/>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shd w:val="clear" w:color="auto" w:fill="EEEEEF"/>
          </w:tcPr>
          <w:p>
            <w:pPr>
              <w:jc w:val="right"/>
              <w:ind w:right="2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EEEEEF"/>
          </w:tcPr>
          <w:p>
            <w:pPr>
              <w:jc w:val="right"/>
              <w:ind w:right="76"/>
              <w:spacing w:after="0"/>
              <w:rPr>
                <w:sz w:val="20"/>
                <w:szCs w:val="20"/>
                <w:color w:val="auto"/>
              </w:rPr>
            </w:pPr>
            <w:r>
              <w:rPr>
                <w:rFonts w:ascii="Arial" w:cs="Arial" w:eastAsia="Arial" w:hAnsi="Arial"/>
                <w:sz w:val="13"/>
                <w:szCs w:val="13"/>
                <w:color w:val="auto"/>
              </w:rPr>
              <w:t>700,094</w:t>
            </w:r>
          </w:p>
        </w:tc>
        <w:tc>
          <w:tcPr>
            <w:tcW w:w="0" w:type="dxa"/>
            <w:vAlign w:val="bottom"/>
          </w:tcPr>
          <w:p>
            <w:pPr>
              <w:spacing w:after="0"/>
              <w:rPr>
                <w:sz w:val="1"/>
                <w:szCs w:val="1"/>
                <w:color w:val="auto"/>
              </w:rPr>
            </w:pPr>
          </w:p>
        </w:tc>
      </w:tr>
      <w:tr>
        <w:trPr>
          <w:trHeight w:val="211"/>
        </w:trPr>
        <w:tc>
          <w:tcPr>
            <w:tcW w:w="19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D60058"/>
              </w:rPr>
              <w:t>P. Roy Vagelos, M.D.</w:t>
            </w: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rPr>
              <w:t>1,199,489</w:t>
            </w: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4,799,880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auto"/>
            </w:tcBorders>
          </w:tcPr>
          <w:p>
            <w:pPr>
              <w:jc w:val="right"/>
              <w:ind w:right="297"/>
              <w:spacing w:after="0" w:line="211" w:lineRule="exact"/>
              <w:rPr>
                <w:sz w:val="20"/>
                <w:szCs w:val="20"/>
                <w:color w:val="auto"/>
              </w:rPr>
            </w:pPr>
            <w:r>
              <w:rPr>
                <w:rFonts w:ascii="Arial" w:cs="Arial" w:eastAsia="Arial" w:hAnsi="Arial"/>
                <w:sz w:val="13"/>
                <w:szCs w:val="13"/>
                <w:color w:val="auto"/>
              </w:rPr>
              <w:t>105,000</w:t>
            </w:r>
            <w:r>
              <w:rPr>
                <w:rFonts w:ascii="Arial" w:cs="Arial" w:eastAsia="Arial" w:hAnsi="Arial"/>
                <w:sz w:val="21"/>
                <w:szCs w:val="21"/>
                <w:color w:val="auto"/>
                <w:vertAlign w:val="superscript"/>
              </w:rPr>
              <w:t>5</w:t>
            </w:r>
          </w:p>
        </w:tc>
        <w:tc>
          <w:tcPr>
            <w:tcW w:w="9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6,104,369</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215AA8"/>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Huda Y. Zoghbi, M.D.</w:t>
            </w:r>
          </w:p>
        </w:tc>
        <w:tc>
          <w:tcPr>
            <w:tcW w:w="1160" w:type="dxa"/>
            <w:vAlign w:val="bottom"/>
            <w:tcBorders>
              <w:bottom w:val="single" w:sz="8" w:color="215AA8"/>
            </w:tcBorders>
            <w:shd w:val="clear" w:color="auto" w:fill="EEEEEF"/>
          </w:tcPr>
          <w:p>
            <w:pPr>
              <w:jc w:val="right"/>
              <w:ind w:right="317"/>
              <w:spacing w:after="0"/>
              <w:rPr>
                <w:sz w:val="20"/>
                <w:szCs w:val="20"/>
                <w:color w:val="auto"/>
              </w:rPr>
            </w:pPr>
            <w:r>
              <w:rPr>
                <w:rFonts w:ascii="Arial" w:cs="Arial" w:eastAsia="Arial" w:hAnsi="Arial"/>
                <w:sz w:val="13"/>
                <w:szCs w:val="13"/>
                <w:color w:val="auto"/>
              </w:rPr>
              <w:t>110,000</w:t>
            </w:r>
          </w:p>
        </w:tc>
        <w:tc>
          <w:tcPr>
            <w:tcW w:w="1280" w:type="dxa"/>
            <w:vAlign w:val="bottom"/>
            <w:tcBorders>
              <w:bottom w:val="single" w:sz="8" w:color="215AA8"/>
            </w:tcBorders>
            <w:shd w:val="clear" w:color="auto" w:fill="EEEEEF"/>
          </w:tcPr>
          <w:p>
            <w:pPr>
              <w:jc w:val="right"/>
              <w:ind w:right="356"/>
              <w:spacing w:after="0"/>
              <w:rPr>
                <w:sz w:val="20"/>
                <w:szCs w:val="20"/>
                <w:color w:val="auto"/>
              </w:rPr>
            </w:pPr>
            <w:r>
              <w:rPr>
                <w:rFonts w:ascii="Arial" w:cs="Arial" w:eastAsia="Arial" w:hAnsi="Arial"/>
                <w:sz w:val="13"/>
                <w:szCs w:val="13"/>
                <w:color w:val="auto"/>
              </w:rPr>
              <w:t>119,705</w:t>
            </w:r>
          </w:p>
        </w:tc>
        <w:tc>
          <w:tcPr>
            <w:tcW w:w="980" w:type="dxa"/>
            <w:vAlign w:val="bottom"/>
            <w:tcBorders>
              <w:bottom w:val="single" w:sz="8" w:color="215AA8"/>
            </w:tcBorders>
            <w:shd w:val="clear" w:color="auto" w:fill="EEEEEF"/>
          </w:tcPr>
          <w:p>
            <w:pPr>
              <w:jc w:val="right"/>
              <w:ind w:right="97"/>
              <w:spacing w:after="0"/>
              <w:rPr>
                <w:sz w:val="20"/>
                <w:szCs w:val="20"/>
                <w:color w:val="auto"/>
              </w:rPr>
            </w:pPr>
            <w:r>
              <w:rPr>
                <w:rFonts w:ascii="Arial" w:cs="Arial" w:eastAsia="Arial" w:hAnsi="Arial"/>
                <w:sz w:val="13"/>
                <w:szCs w:val="13"/>
                <w:color w:val="auto"/>
              </w:rPr>
              <w:t>480,389</w:t>
            </w:r>
          </w:p>
        </w:tc>
        <w:tc>
          <w:tcPr>
            <w:tcW w:w="1060" w:type="dxa"/>
            <w:vAlign w:val="bottom"/>
            <w:tcBorders>
              <w:bottom w:val="single" w:sz="8" w:color="215AA8"/>
            </w:tcBorders>
            <w:shd w:val="clear" w:color="auto" w:fill="EEEEEF"/>
          </w:tcPr>
          <w:p>
            <w:pPr>
              <w:jc w:val="center"/>
              <w:spacing w:after="0"/>
              <w:rPr>
                <w:sz w:val="20"/>
                <w:szCs w:val="20"/>
                <w:color w:val="auto"/>
              </w:rPr>
            </w:pPr>
            <w:r>
              <w:rPr>
                <w:rFonts w:ascii="Arial" w:cs="Arial" w:eastAsia="Arial" w:hAnsi="Arial"/>
                <w:sz w:val="13"/>
                <w:szCs w:val="13"/>
                <w:color w:val="auto"/>
                <w:w w:val="91"/>
              </w:rPr>
              <w:t>—</w:t>
            </w:r>
          </w:p>
        </w:tc>
        <w:tc>
          <w:tcPr>
            <w:tcW w:w="1560" w:type="dxa"/>
            <w:vAlign w:val="bottom"/>
            <w:tcBorders>
              <w:bottom w:val="single" w:sz="8" w:color="215AA8"/>
            </w:tcBorders>
            <w:shd w:val="clear" w:color="auto" w:fill="EEEEEF"/>
          </w:tcPr>
          <w:p>
            <w:pPr>
              <w:jc w:val="center"/>
              <w:ind w:right="17"/>
              <w:spacing w:after="0"/>
              <w:rPr>
                <w:sz w:val="20"/>
                <w:szCs w:val="20"/>
                <w:color w:val="auto"/>
              </w:rPr>
            </w:pPr>
            <w:r>
              <w:rPr>
                <w:rFonts w:ascii="Arial" w:cs="Arial" w:eastAsia="Arial" w:hAnsi="Arial"/>
                <w:sz w:val="13"/>
                <w:szCs w:val="13"/>
                <w:color w:val="auto"/>
                <w:w w:val="91"/>
              </w:rPr>
              <w:t>—</w:t>
            </w:r>
          </w:p>
        </w:tc>
        <w:tc>
          <w:tcPr>
            <w:tcW w:w="1200" w:type="dxa"/>
            <w:vAlign w:val="bottom"/>
            <w:tcBorders>
              <w:bottom w:val="single" w:sz="8" w:color="215AA8"/>
            </w:tcBorders>
            <w:shd w:val="clear" w:color="auto" w:fill="EEEEEF"/>
          </w:tcPr>
          <w:p>
            <w:pPr>
              <w:jc w:val="right"/>
              <w:ind w:right="297"/>
              <w:spacing w:after="0" w:line="210" w:lineRule="exact"/>
              <w:rPr>
                <w:sz w:val="20"/>
                <w:szCs w:val="20"/>
                <w:color w:val="auto"/>
              </w:rPr>
            </w:pPr>
            <w:r>
              <w:rPr>
                <w:rFonts w:ascii="Arial" w:cs="Arial" w:eastAsia="Arial" w:hAnsi="Arial"/>
                <w:sz w:val="13"/>
                <w:szCs w:val="13"/>
                <w:color w:val="auto"/>
              </w:rPr>
              <w:t>5,000</w:t>
            </w:r>
            <w:r>
              <w:rPr>
                <w:rFonts w:ascii="Arial" w:cs="Arial" w:eastAsia="Arial" w:hAnsi="Arial"/>
                <w:sz w:val="21"/>
                <w:szCs w:val="21"/>
                <w:color w:val="auto"/>
                <w:vertAlign w:val="superscript"/>
              </w:rPr>
              <w:t>4</w:t>
            </w:r>
          </w:p>
        </w:tc>
        <w:tc>
          <w:tcPr>
            <w:tcW w:w="920" w:type="dxa"/>
            <w:vAlign w:val="bottom"/>
            <w:tcBorders>
              <w:bottom w:val="single" w:sz="8" w:color="215AA8"/>
            </w:tcBorders>
            <w:shd w:val="clear" w:color="auto" w:fill="EEEEEF"/>
          </w:tcPr>
          <w:p>
            <w:pPr>
              <w:jc w:val="right"/>
              <w:ind w:right="76"/>
              <w:spacing w:after="0"/>
              <w:rPr>
                <w:sz w:val="20"/>
                <w:szCs w:val="20"/>
                <w:color w:val="auto"/>
              </w:rPr>
            </w:pPr>
            <w:r>
              <w:rPr>
                <w:rFonts w:ascii="Arial" w:cs="Arial" w:eastAsia="Arial" w:hAnsi="Arial"/>
                <w:sz w:val="13"/>
                <w:szCs w:val="13"/>
                <w:color w:val="auto"/>
              </w:rPr>
              <w:t>715,094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840" w:right="560" w:hanging="189"/>
        <w:spacing w:after="0" w:line="245" w:lineRule="auto"/>
        <w:tabs>
          <w:tab w:leader="none" w:pos="840" w:val="left"/>
        </w:tabs>
        <w:numPr>
          <w:ilvl w:val="0"/>
          <w:numId w:val="53"/>
        </w:numPr>
        <w:rPr>
          <w:rFonts w:ascii="Arial" w:cs="Arial" w:eastAsia="Arial" w:hAnsi="Arial"/>
          <w:sz w:val="14"/>
          <w:szCs w:val="14"/>
          <w:color w:val="215BA8"/>
        </w:rPr>
      </w:pPr>
      <w:r>
        <w:rPr>
          <w:rFonts w:ascii="Arial" w:cs="Arial" w:eastAsia="Arial" w:hAnsi="Arial"/>
          <w:sz w:val="14"/>
          <w:szCs w:val="14"/>
          <w:color w:val="1A1A1A"/>
        </w:rPr>
        <w:t>The amounts in columns (c) and (d) reflect the respective aggregate grant date fair values of RSUs and options awarded during the year ended December 31, 2021 pursuant to the Second Amended and Restated Regeneron Pharmaceuticals, Inc. 2014 Long-Term Incentive Plan. Valuation assumptions and methodologies used in the calculation of these amounts do not take into account expected forfeitures and are otherwise described in Note 12 to the Company’s audited financial statements for the fiscal year ended December 31, 2021 included in our Annual Report on Form 10-K for the fiscal year ended December 31, 2021 filed with the U.S. Securities and Exchange Commission (the “SEC”) on February 7, 2022 (the “2021 Annual Report”).</w:t>
      </w:r>
    </w:p>
    <w:p>
      <w:pPr>
        <w:spacing w:after="0" w:line="42" w:lineRule="exact"/>
        <w:rPr>
          <w:sz w:val="20"/>
          <w:szCs w:val="20"/>
          <w:color w:val="auto"/>
        </w:rPr>
      </w:pPr>
    </w:p>
    <w:p>
      <w:pPr>
        <w:ind w:left="840" w:hanging="189"/>
        <w:spacing w:after="0"/>
        <w:tabs>
          <w:tab w:leader="none" w:pos="840" w:val="left"/>
        </w:tabs>
        <w:numPr>
          <w:ilvl w:val="0"/>
          <w:numId w:val="54"/>
        </w:numPr>
        <w:rPr>
          <w:rFonts w:ascii="Arial" w:cs="Arial" w:eastAsia="Arial" w:hAnsi="Arial"/>
          <w:sz w:val="14"/>
          <w:szCs w:val="14"/>
          <w:color w:val="215BA8"/>
        </w:rPr>
      </w:pPr>
      <w:r>
        <w:rPr>
          <w:rFonts w:ascii="Arial" w:cs="Arial" w:eastAsia="Arial" w:hAnsi="Arial"/>
          <w:sz w:val="14"/>
          <w:szCs w:val="14"/>
          <w:color w:val="1A1A1A"/>
        </w:rPr>
        <w:t>At December 31, 2021, the non-employee directors and Dr. Vagelos had the following aggregate number of stock option awards outstanding: Dr. Bassler:</w:t>
      </w:r>
    </w:p>
    <w:p>
      <w:pPr>
        <w:spacing w:after="0" w:line="1" w:lineRule="exact"/>
        <w:rPr>
          <w:rFonts w:ascii="Arial" w:cs="Arial" w:eastAsia="Arial" w:hAnsi="Arial"/>
          <w:sz w:val="14"/>
          <w:szCs w:val="14"/>
          <w:color w:val="215BA8"/>
        </w:rPr>
      </w:pPr>
    </w:p>
    <w:p>
      <w:pPr>
        <w:ind w:left="840"/>
        <w:spacing w:after="0"/>
        <w:rPr>
          <w:rFonts w:ascii="Arial" w:cs="Arial" w:eastAsia="Arial" w:hAnsi="Arial"/>
          <w:sz w:val="14"/>
          <w:szCs w:val="14"/>
          <w:color w:val="215BA8"/>
        </w:rPr>
      </w:pPr>
      <w:r>
        <w:rPr>
          <w:rFonts w:ascii="Arial" w:cs="Arial" w:eastAsia="Arial" w:hAnsi="Arial"/>
          <w:sz w:val="14"/>
          <w:szCs w:val="14"/>
          <w:color w:val="1A1A1A"/>
        </w:rPr>
        <w:t>25,534; Dr. Brown: 17,186; Dr. Coles: 11,758; Dr. Goldstein: 6,044; Ms. Poon: 74,357; Mr. Ryan: 10,453; Mr. Sing: 47,077; Dr. Tessier-Lavigne: 43,293; Dr.</w:t>
      </w:r>
    </w:p>
    <w:p>
      <w:pPr>
        <w:spacing w:after="0" w:line="1" w:lineRule="exact"/>
        <w:rPr>
          <w:rFonts w:ascii="Arial" w:cs="Arial" w:eastAsia="Arial" w:hAnsi="Arial"/>
          <w:sz w:val="14"/>
          <w:szCs w:val="14"/>
          <w:color w:val="215BA8"/>
        </w:rPr>
      </w:pPr>
    </w:p>
    <w:p>
      <w:pPr>
        <w:ind w:left="840"/>
        <w:spacing w:after="0"/>
        <w:rPr>
          <w:rFonts w:ascii="Arial" w:cs="Arial" w:eastAsia="Arial" w:hAnsi="Arial"/>
          <w:sz w:val="14"/>
          <w:szCs w:val="14"/>
          <w:color w:val="215BA8"/>
        </w:rPr>
      </w:pPr>
      <w:r>
        <w:rPr>
          <w:rFonts w:ascii="Arial" w:cs="Arial" w:eastAsia="Arial" w:hAnsi="Arial"/>
          <w:sz w:val="14"/>
          <w:szCs w:val="14"/>
          <w:color w:val="1A1A1A"/>
        </w:rPr>
        <w:t>Vagelos: 670,023; and Dr. Zoghbi: 25,752.</w:t>
      </w:r>
    </w:p>
    <w:p>
      <w:pPr>
        <w:spacing w:after="0" w:line="55" w:lineRule="exact"/>
        <w:rPr>
          <w:sz w:val="20"/>
          <w:szCs w:val="20"/>
          <w:color w:val="auto"/>
        </w:rPr>
      </w:pPr>
    </w:p>
    <w:p>
      <w:pPr>
        <w:ind w:left="840" w:right="1040" w:hanging="189"/>
        <w:spacing w:after="0" w:line="258" w:lineRule="auto"/>
        <w:tabs>
          <w:tab w:leader="none" w:pos="840" w:val="left"/>
        </w:tabs>
        <w:numPr>
          <w:ilvl w:val="0"/>
          <w:numId w:val="55"/>
        </w:numPr>
        <w:rPr>
          <w:rFonts w:ascii="Arial" w:cs="Arial" w:eastAsia="Arial" w:hAnsi="Arial"/>
          <w:sz w:val="14"/>
          <w:szCs w:val="14"/>
          <w:color w:val="215BA8"/>
        </w:rPr>
      </w:pPr>
      <w:r>
        <w:rPr>
          <w:rFonts w:ascii="Arial" w:cs="Arial" w:eastAsia="Arial" w:hAnsi="Arial"/>
          <w:sz w:val="14"/>
          <w:szCs w:val="14"/>
          <w:color w:val="1A1A1A"/>
        </w:rPr>
        <w:t>See the subsection “Compensation-Related Matters—Compensation Dashboard—Additional Compensation Information—Perquisites and Personal Benefits” for information regarding director air transportation in accordance with guidelines approved by our board of directors.</w:t>
      </w:r>
    </w:p>
    <w:p>
      <w:pPr>
        <w:spacing w:after="0" w:line="32" w:lineRule="exact"/>
        <w:rPr>
          <w:sz w:val="20"/>
          <w:szCs w:val="20"/>
          <w:color w:val="auto"/>
        </w:rPr>
      </w:pPr>
    </w:p>
    <w:p>
      <w:pPr>
        <w:ind w:left="840" w:right="700" w:hanging="189"/>
        <w:spacing w:after="0" w:line="258" w:lineRule="auto"/>
        <w:tabs>
          <w:tab w:leader="none" w:pos="840" w:val="left"/>
        </w:tabs>
        <w:numPr>
          <w:ilvl w:val="0"/>
          <w:numId w:val="56"/>
        </w:numPr>
        <w:rPr>
          <w:rFonts w:ascii="Arial" w:cs="Arial" w:eastAsia="Arial" w:hAnsi="Arial"/>
          <w:sz w:val="14"/>
          <w:szCs w:val="14"/>
          <w:color w:val="215BA8"/>
        </w:rPr>
      </w:pPr>
      <w:r>
        <w:rPr>
          <w:rFonts w:ascii="Arial" w:cs="Arial" w:eastAsia="Arial" w:hAnsi="Arial"/>
          <w:sz w:val="14"/>
          <w:szCs w:val="14"/>
          <w:color w:val="1A1A1A"/>
        </w:rPr>
        <w:t>Consists of a Company contribution paid or payable on or before April 12, 2022 under the Regeneron Matching Gift Program in respect of charitable gifts made in 2021.</w:t>
      </w:r>
    </w:p>
    <w:p>
      <w:pPr>
        <w:spacing w:after="0" w:line="32" w:lineRule="exact"/>
        <w:rPr>
          <w:sz w:val="20"/>
          <w:szCs w:val="20"/>
          <w:color w:val="auto"/>
        </w:rPr>
      </w:pPr>
    </w:p>
    <w:p>
      <w:pPr>
        <w:ind w:left="840" w:right="780" w:hanging="189"/>
        <w:spacing w:after="0" w:line="258" w:lineRule="auto"/>
        <w:tabs>
          <w:tab w:leader="none" w:pos="840" w:val="left"/>
        </w:tabs>
        <w:numPr>
          <w:ilvl w:val="0"/>
          <w:numId w:val="57"/>
        </w:numPr>
        <w:rPr>
          <w:rFonts w:ascii="Arial" w:cs="Arial" w:eastAsia="Arial" w:hAnsi="Arial"/>
          <w:sz w:val="14"/>
          <w:szCs w:val="14"/>
          <w:color w:val="215BA8"/>
        </w:rPr>
      </w:pPr>
      <w:r>
        <w:rPr>
          <w:rFonts w:ascii="Arial" w:cs="Arial" w:eastAsia="Arial" w:hAnsi="Arial"/>
          <w:sz w:val="14"/>
          <w:szCs w:val="14"/>
          <w:color w:val="1A1A1A"/>
        </w:rPr>
        <w:t>Consists of (i) $100,000 for the salary paid pursuant to the terms of our employment agreement with Dr. Vagelos and (ii) $5,000 for 401(k) Savings Plan matching contributions in respect of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31</w:t>
            </w:r>
          </w:p>
        </w:tc>
      </w:tr>
      <w:tr>
        <w:trPr>
          <w:trHeight w:val="235"/>
        </w:trPr>
        <w:tc>
          <w:tcPr>
            <w:tcW w:w="8200" w:type="dxa"/>
            <w:vAlign w:val="bottom"/>
            <w:tcBorders>
              <w:bottom w:val="single" w:sz="8" w:color="C0C0C0"/>
            </w:tcBorders>
          </w:tcPr>
          <w:p>
            <w:pPr>
              <w:spacing w:after="0"/>
              <w:rPr>
                <w:sz w:val="20"/>
                <w:szCs w:val="20"/>
                <w:color w:val="auto"/>
              </w:rPr>
            </w:pPr>
          </w:p>
        </w:tc>
        <w:tc>
          <w:tcPr>
            <w:tcW w:w="3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269240</wp:posOffset>
            </wp:positionV>
            <wp:extent cx="6686550" cy="8795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6686550" cy="879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080"/>
        <w:spacing w:after="0"/>
        <w:rPr>
          <w:sz w:val="20"/>
          <w:szCs w:val="20"/>
          <w:color w:val="auto"/>
        </w:rPr>
      </w:pPr>
      <w:r>
        <w:rPr>
          <w:rFonts w:ascii="Arial" w:cs="Arial" w:eastAsia="Arial" w:hAnsi="Arial"/>
          <w:sz w:val="45"/>
          <w:szCs w:val="45"/>
          <w:b w:val="1"/>
          <w:bCs w:val="1"/>
          <w:color w:val="00ADEE"/>
        </w:rPr>
        <w:t>PROPOSAL 1</w:t>
      </w:r>
    </w:p>
    <w:p>
      <w:pPr>
        <w:spacing w:after="0" w:line="80" w:lineRule="exact"/>
        <w:rPr>
          <w:sz w:val="20"/>
          <w:szCs w:val="20"/>
          <w:color w:val="auto"/>
        </w:rPr>
      </w:pPr>
    </w:p>
    <w:p>
      <w:pPr>
        <w:ind w:left="1080"/>
        <w:spacing w:after="0"/>
        <w:rPr>
          <w:sz w:val="20"/>
          <w:szCs w:val="20"/>
          <w:color w:val="auto"/>
        </w:rPr>
      </w:pPr>
      <w:r>
        <w:rPr>
          <w:rFonts w:ascii="Arial" w:cs="Arial" w:eastAsia="Arial" w:hAnsi="Arial"/>
          <w:sz w:val="63"/>
          <w:szCs w:val="63"/>
          <w:b w:val="1"/>
          <w:bCs w:val="1"/>
          <w:color w:val="FFFFFF"/>
        </w:rPr>
        <w:t>ELECTION OF</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63"/>
          <w:szCs w:val="63"/>
          <w:b w:val="1"/>
          <w:bCs w:val="1"/>
          <w:color w:val="FFFFFF"/>
        </w:rPr>
        <w:t>DIRECTORS</w:t>
      </w:r>
    </w:p>
    <w:p>
      <w:pPr>
        <w:spacing w:after="0" w:line="58" w:lineRule="exact"/>
        <w:rPr>
          <w:sz w:val="20"/>
          <w:szCs w:val="20"/>
          <w:color w:val="auto"/>
        </w:rPr>
      </w:pPr>
    </w:p>
    <w:p>
      <w:pPr>
        <w:ind w:left="1080" w:right="2140"/>
        <w:spacing w:after="0" w:line="229" w:lineRule="auto"/>
        <w:rPr>
          <w:sz w:val="20"/>
          <w:szCs w:val="20"/>
          <w:color w:val="auto"/>
        </w:rPr>
      </w:pPr>
      <w:r>
        <w:rPr>
          <w:rFonts w:ascii="Arial" w:cs="Arial" w:eastAsia="Arial" w:hAnsi="Arial"/>
          <w:sz w:val="20"/>
          <w:szCs w:val="20"/>
          <w:color w:val="FFFFFF"/>
        </w:rPr>
        <w:t>The board of directors, upon the recommendation of the Corporate Governance and Compliance Committee, has nominated for election at the 2022 Annual Meeting Bonnie L. Bassler, Ph.D., Michael S. Brown, M.D., Leonard S. Schleifer, M.D., Ph.D., and George D. Yancopoulos, M.D., Ph.D., as Class I Directors for a three-year term expiring at 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80" w:right="1700"/>
        <w:spacing w:after="0" w:line="257" w:lineRule="auto"/>
        <w:rPr>
          <w:sz w:val="20"/>
          <w:szCs w:val="20"/>
          <w:color w:val="auto"/>
        </w:rPr>
      </w:pPr>
      <w:r>
        <w:rPr>
          <w:rFonts w:ascii="Arial" w:cs="Arial" w:eastAsia="Arial" w:hAnsi="Arial"/>
          <w:sz w:val="20"/>
          <w:szCs w:val="20"/>
          <w:color w:val="AAE1FA"/>
        </w:rPr>
        <w:t xml:space="preserve">The board of directors unanimously recommends a vote </w:t>
      </w:r>
      <w:r>
        <w:rPr>
          <w:rFonts w:ascii="Arial" w:cs="Arial" w:eastAsia="Arial" w:hAnsi="Arial"/>
          <w:sz w:val="20"/>
          <w:szCs w:val="20"/>
          <w:b w:val="1"/>
          <w:bCs w:val="1"/>
          <w:color w:val="AAE1FA"/>
        </w:rPr>
        <w:t>FOR</w:t>
      </w:r>
      <w:r>
        <w:rPr>
          <w:rFonts w:ascii="Arial" w:cs="Arial" w:eastAsia="Arial" w:hAnsi="Arial"/>
          <w:sz w:val="20"/>
          <w:szCs w:val="20"/>
          <w:color w:val="AAE1FA"/>
        </w:rPr>
        <w:t xml:space="preserve"> the election of each of these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 xml:space="preserve">32 / </w:t>
      </w:r>
      <w:r>
        <w:rPr>
          <w:sz w:val="1"/>
          <w:szCs w:val="1"/>
          <w:color w:val="auto"/>
        </w:rPr>
        <w:drawing>
          <wp:inline distT="0" distB="0" distL="0" distR="0">
            <wp:extent cx="771525" cy="14541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145415"/>
                    </a:xfrm>
                    <a:prstGeom prst="rect">
                      <a:avLst/>
                    </a:prstGeom>
                    <a:noFill/>
                    <a:ln>
                      <a:noFill/>
                    </a:ln>
                  </pic:spPr>
                </pic:pic>
              </a:graphicData>
            </a:graphic>
          </wp:inline>
        </w:drawing>
      </w:r>
      <w:r>
        <w:rPr>
          <w:rFonts w:ascii="Arial" w:cs="Arial" w:eastAsia="Arial" w:hAnsi="Arial"/>
          <w:sz w:val="14"/>
          <w:szCs w:val="14"/>
          <w:b w:val="1"/>
          <w:bCs w:val="1"/>
          <w:color w:val="FFFFFF"/>
        </w:rPr>
        <w:t xml:space="preserve">                              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281940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440"/>
          </w:cols>
          <w:pgMar w:left="1220" w:top="1440" w:right="1239" w:bottom="1440" w:gutter="0" w:footer="0" w:header="0"/>
        </w:sectPr>
      </w:pPr>
    </w:p>
    <w:bookmarkStart w:id="47" w:name="page48"/>
    <w:bookmarkEnd w:id="47"/>
    <w:p>
      <w:pPr>
        <w:ind w:left="1400"/>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912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EXECUTIVE OFFICERS OF THE COMPANY</w:t>
      </w:r>
    </w:p>
    <w:p>
      <w:pPr>
        <w:spacing w:after="0" w:line="225" w:lineRule="exact"/>
        <w:rPr>
          <w:sz w:val="20"/>
          <w:szCs w:val="20"/>
          <w:color w:val="auto"/>
        </w:rPr>
      </w:pPr>
    </w:p>
    <w:p>
      <w:pPr>
        <w:ind w:left="540" w:right="580"/>
        <w:spacing w:after="0" w:line="232" w:lineRule="auto"/>
        <w:rPr>
          <w:sz w:val="20"/>
          <w:szCs w:val="20"/>
          <w:color w:val="auto"/>
        </w:rPr>
      </w:pPr>
      <w:r>
        <w:rPr>
          <w:rFonts w:ascii="Arial" w:cs="Arial" w:eastAsia="Arial" w:hAnsi="Arial"/>
          <w:sz w:val="16"/>
          <w:szCs w:val="16"/>
          <w:color w:val="auto"/>
        </w:rPr>
        <w:t>Our leadership team possesses deep and diverse industry knowledge, a passion for science, and a shared commitment to help transform lives. All officers of the Company are appointed annually and serve at the pleasure of the board of directors. The names, positions, ages, and background of the Company’s executive officers as of April 12, 2022 are set forth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99695</wp:posOffset>
            </wp:positionV>
            <wp:extent cx="64465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4" w:lineRule="exact"/>
        <w:rPr>
          <w:sz w:val="20"/>
          <w:szCs w:val="20"/>
          <w:color w:val="auto"/>
        </w:rPr>
      </w:pPr>
    </w:p>
    <w:p>
      <w:pPr>
        <w:ind w:left="2060" w:right="660"/>
        <w:spacing w:after="0" w:line="234" w:lineRule="auto"/>
        <w:rPr>
          <w:sz w:val="20"/>
          <w:szCs w:val="20"/>
          <w:color w:val="auto"/>
        </w:rPr>
      </w:pPr>
      <w:r>
        <w:rPr>
          <w:rFonts w:ascii="Arial" w:cs="Arial" w:eastAsia="Arial" w:hAnsi="Arial"/>
          <w:sz w:val="15"/>
          <w:szCs w:val="15"/>
          <w:b w:val="1"/>
          <w:bCs w:val="1"/>
          <w:color w:val="D60058"/>
        </w:rPr>
        <w:t xml:space="preserve">Leonard S. Schleifer, M.D., Ph.D., </w:t>
      </w:r>
      <w:r>
        <w:rPr>
          <w:rFonts w:ascii="Arial" w:cs="Arial" w:eastAsia="Arial" w:hAnsi="Arial"/>
          <w:sz w:val="15"/>
          <w:szCs w:val="15"/>
          <w:color w:val="000000"/>
        </w:rPr>
        <w:t>69, founded the Company in 1988, has been a director and its President and Chief Executive</w:t>
      </w:r>
      <w:r>
        <w:rPr>
          <w:rFonts w:ascii="Arial" w:cs="Arial" w:eastAsia="Arial" w:hAnsi="Arial"/>
          <w:sz w:val="15"/>
          <w:szCs w:val="15"/>
          <w:b w:val="1"/>
          <w:bCs w:val="1"/>
          <w:color w:val="D60058"/>
        </w:rPr>
        <w:t xml:space="preserve"> </w:t>
      </w:r>
      <w:r>
        <w:rPr>
          <w:rFonts w:ascii="Arial" w:cs="Arial" w:eastAsia="Arial" w:hAnsi="Arial"/>
          <w:sz w:val="15"/>
          <w:szCs w:val="15"/>
          <w:color w:val="000000"/>
        </w:rPr>
        <w:t>Officer since its inception, and served as Chair of the Board from 1990 through 1994. Dr. Schleifer, together with Regeneron’s founding scientist, Dr. Yancopoulos, built and has managed the Company over the past 34 years. Dr. Schleifer received his M.D. and Ph.D. in Pharmacology from the University of Virginia. Dr. Schleifer is a licensed physician and is certified in Neurology by the American Board of Psychiatry and 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-521970</wp:posOffset>
            </wp:positionV>
            <wp:extent cx="6446520" cy="917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4652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60" w:right="680"/>
        <w:spacing w:after="0" w:line="244" w:lineRule="auto"/>
        <w:rPr>
          <w:sz w:val="20"/>
          <w:szCs w:val="20"/>
          <w:color w:val="auto"/>
        </w:rPr>
      </w:pPr>
      <w:r>
        <w:rPr>
          <w:rFonts w:ascii="Arial" w:cs="Arial" w:eastAsia="Arial" w:hAnsi="Arial"/>
          <w:sz w:val="14"/>
          <w:szCs w:val="14"/>
          <w:b w:val="1"/>
          <w:bCs w:val="1"/>
          <w:color w:val="D60058"/>
        </w:rPr>
        <w:t xml:space="preserve">George D. Yancopoulos, M.D., Ph.D., 62, </w:t>
      </w:r>
      <w:r>
        <w:rPr>
          <w:rFonts w:ascii="Arial" w:cs="Arial" w:eastAsia="Arial" w:hAnsi="Arial"/>
          <w:sz w:val="14"/>
          <w:szCs w:val="14"/>
          <w:color w:val="000000"/>
        </w:rPr>
        <w:t>joined Dr. Schleifer in 1989 as founding scientist of the Company, and together they</w:t>
      </w:r>
      <w:r>
        <w:rPr>
          <w:rFonts w:ascii="Arial" w:cs="Arial" w:eastAsia="Arial" w:hAnsi="Arial"/>
          <w:sz w:val="14"/>
          <w:szCs w:val="14"/>
          <w:b w:val="1"/>
          <w:bCs w:val="1"/>
          <w:color w:val="D60058"/>
        </w:rPr>
        <w:t xml:space="preserve"> </w:t>
      </w:r>
      <w:r>
        <w:rPr>
          <w:rFonts w:ascii="Arial" w:cs="Arial" w:eastAsia="Arial" w:hAnsi="Arial"/>
          <w:sz w:val="14"/>
          <w:szCs w:val="14"/>
          <w:color w:val="000000"/>
        </w:rPr>
        <w:t>built and have managed the Company since then. Dr. Yancopoulos is currently President and Chief Scientific Officer, and has served on the board since 2001. He received his M.D. and Ph.D. from Columbia University. Dr. Yancopoulos was the 11th most highly cited scientist in the world in the 1990s, and in 2004 he was elected to be a member of the National Academy of Sciences. Dr. Yancopoulos, together with key members of his team, is a principal inventor and/or developer of the nine FDA-approved drugs the Company has developed, EYLEA, Praluent, Dupixent, Kevzara, Libtayo, Evkeeza, Inmazeb, ZALTRAP, and ARCALYST,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-612140</wp:posOffset>
            </wp:positionV>
            <wp:extent cx="857250" cy="8572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5"/>
          <w:szCs w:val="15"/>
          <w:color w:val="auto"/>
        </w:rPr>
        <w:t xml:space="preserve">well as of its foundation technologies, including the TRAP technology, </w:t>
      </w:r>
      <w:r>
        <w:rPr>
          <w:rFonts w:ascii="Arial" w:cs="Arial" w:eastAsia="Arial" w:hAnsi="Arial"/>
          <w:sz w:val="15"/>
          <w:szCs w:val="15"/>
          <w:i w:val="1"/>
          <w:iCs w:val="1"/>
          <w:color w:val="auto"/>
        </w:rPr>
        <w:t>VelociGene</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VelocImmune</w:t>
      </w:r>
      <w:r>
        <w:rPr>
          <w:rFonts w:ascii="Arial" w:cs="Arial" w:eastAsia="Arial" w:hAnsi="Arial"/>
          <w:sz w:val="24"/>
          <w:szCs w:val="24"/>
          <w:color w:val="auto"/>
          <w:vertAlign w:val="superscript"/>
        </w:rPr>
        <w: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118745</wp:posOffset>
            </wp:positionV>
            <wp:extent cx="64465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44" w:lineRule="exact"/>
        <w:rPr>
          <w:sz w:val="20"/>
          <w:szCs w:val="20"/>
          <w:color w:val="auto"/>
        </w:rPr>
      </w:pPr>
    </w:p>
    <w:p>
      <w:pPr>
        <w:ind w:left="2060" w:right="760"/>
        <w:spacing w:after="0" w:line="250" w:lineRule="auto"/>
        <w:rPr>
          <w:sz w:val="20"/>
          <w:szCs w:val="20"/>
          <w:color w:val="auto"/>
        </w:rPr>
      </w:pPr>
      <w:r>
        <w:rPr>
          <w:rFonts w:ascii="Arial" w:cs="Arial" w:eastAsia="Arial" w:hAnsi="Arial"/>
          <w:sz w:val="14"/>
          <w:szCs w:val="14"/>
          <w:b w:val="1"/>
          <w:bCs w:val="1"/>
          <w:color w:val="D60058"/>
        </w:rPr>
        <w:t xml:space="preserve">Christopher Fenimore, </w:t>
      </w:r>
      <w:r>
        <w:rPr>
          <w:rFonts w:ascii="Arial" w:cs="Arial" w:eastAsia="Arial" w:hAnsi="Arial"/>
          <w:sz w:val="14"/>
          <w:szCs w:val="14"/>
          <w:color w:val="000000"/>
        </w:rPr>
        <w:t>51, has been Senior Vice President, Controller since January 2021. He previously served as Vice</w:t>
      </w:r>
      <w:r>
        <w:rPr>
          <w:rFonts w:ascii="Arial" w:cs="Arial" w:eastAsia="Arial" w:hAnsi="Arial"/>
          <w:sz w:val="14"/>
          <w:szCs w:val="14"/>
          <w:b w:val="1"/>
          <w:bCs w:val="1"/>
          <w:color w:val="D60058"/>
        </w:rPr>
        <w:t xml:space="preserve"> </w:t>
      </w:r>
      <w:r>
        <w:rPr>
          <w:rFonts w:ascii="Arial" w:cs="Arial" w:eastAsia="Arial" w:hAnsi="Arial"/>
          <w:sz w:val="14"/>
          <w:szCs w:val="14"/>
          <w:color w:val="000000"/>
        </w:rPr>
        <w:t>President, Controller from March 2017 to December 2020, as Vice President, Deputy Controller from January 2017 to March 2017, and as Vice President, Financial Planning from January 2012 to December 2016. Prior to joining the Company in 2003, he was Vice President, Finance at Mojave Therapeutics, Inc. Mr. Fenimore’s prior experience includes working as a supervising senior accountant at KPMG, as well as healthcare industry-focused venture capital and investment banking roles. Mr. Fenimore holds an M.A. in Biotechnology from Columbia University, an M.B.A. in Professional Accounting from Rutgers Business School, and a B.A. in Economics from Rutgers University. Mr. Fenimore is a Certified Public Accountant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-734060</wp:posOffset>
            </wp:positionV>
            <wp:extent cx="6446520" cy="917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46520" cy="917575"/>
                    </a:xfrm>
                    <a:prstGeom prst="rect">
                      <a:avLst/>
                    </a:prstGeom>
                    <a:noFill/>
                  </pic:spPr>
                </pic:pic>
              </a:graphicData>
            </a:graphic>
          </wp:anchor>
        </w:drawing>
      </w:r>
    </w:p>
    <w:p>
      <w:pPr>
        <w:spacing w:after="0" w:line="332" w:lineRule="exact"/>
        <w:rPr>
          <w:sz w:val="20"/>
          <w:szCs w:val="20"/>
          <w:color w:val="auto"/>
        </w:rPr>
      </w:pPr>
    </w:p>
    <w:p>
      <w:pPr>
        <w:ind w:left="2060" w:right="680"/>
        <w:spacing w:after="0" w:line="231" w:lineRule="auto"/>
        <w:rPr>
          <w:sz w:val="20"/>
          <w:szCs w:val="20"/>
          <w:color w:val="auto"/>
        </w:rPr>
      </w:pPr>
      <w:r>
        <w:rPr>
          <w:rFonts w:ascii="Arial" w:cs="Arial" w:eastAsia="Arial" w:hAnsi="Arial"/>
          <w:sz w:val="15"/>
          <w:szCs w:val="15"/>
          <w:b w:val="1"/>
          <w:bCs w:val="1"/>
          <w:color w:val="D60058"/>
        </w:rPr>
        <w:t xml:space="preserve">Robert E. Landry, </w:t>
      </w:r>
      <w:r>
        <w:rPr>
          <w:rFonts w:ascii="Arial" w:cs="Arial" w:eastAsia="Arial" w:hAnsi="Arial"/>
          <w:sz w:val="15"/>
          <w:szCs w:val="15"/>
          <w:color w:val="000000"/>
        </w:rPr>
        <w:t>58, has been Executive Vice President, Finance since January 2019 and Chief Financial Officer since October</w:t>
      </w:r>
      <w:r>
        <w:rPr>
          <w:rFonts w:ascii="Arial" w:cs="Arial" w:eastAsia="Arial" w:hAnsi="Arial"/>
          <w:sz w:val="15"/>
          <w:szCs w:val="15"/>
          <w:b w:val="1"/>
          <w:bCs w:val="1"/>
          <w:color w:val="D60058"/>
        </w:rPr>
        <w:t xml:space="preserve"> </w:t>
      </w:r>
      <w:r>
        <w:rPr>
          <w:rFonts w:ascii="Arial" w:cs="Arial" w:eastAsia="Arial" w:hAnsi="Arial"/>
          <w:sz w:val="15"/>
          <w:szCs w:val="15"/>
          <w:color w:val="000000"/>
        </w:rPr>
        <w:t>2013. From September 2013 to December 2018, he served as Senior Vice President, Finance. Previously, Mr. Landry served as Senior Vice President, Treasurer, at Pfizer Inc. from October 2012 to August 2013 and Senior Vice President – Finance, Pfizer’s Diversified Business, from October 2009 to October 2012. Prior to those roles, Mr. Landry held a number of positions at 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 Mr. Landry holds a B.B.A. in Accounting from the University of Notre Dame.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-831850</wp:posOffset>
            </wp:positionV>
            <wp:extent cx="6446520" cy="9175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46520" cy="917575"/>
                    </a:xfrm>
                    <a:prstGeom prst="rect">
                      <a:avLst/>
                    </a:prstGeom>
                    <a:noFill/>
                  </pic:spPr>
                </pic:pic>
              </a:graphicData>
            </a:graphic>
          </wp:anchor>
        </w:drawing>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33</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28" w:right="339" w:bottom="1440" w:gutter="0" w:footer="0" w:header="0"/>
        </w:sectPr>
      </w:pPr>
    </w:p>
    <w:bookmarkStart w:id="48" w:name="page49"/>
    <w:bookmarkEnd w:id="48"/>
    <w:p>
      <w:pPr>
        <w:ind w:lef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4465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60" w:right="760"/>
        <w:spacing w:after="0" w:line="233" w:lineRule="auto"/>
        <w:rPr>
          <w:sz w:val="20"/>
          <w:szCs w:val="20"/>
          <w:color w:val="auto"/>
        </w:rPr>
      </w:pPr>
      <w:r>
        <w:rPr>
          <w:rFonts w:ascii="Arial" w:cs="Arial" w:eastAsia="Arial" w:hAnsi="Arial"/>
          <w:sz w:val="15"/>
          <w:szCs w:val="15"/>
          <w:b w:val="1"/>
          <w:bCs w:val="1"/>
          <w:color w:val="D60058"/>
        </w:rPr>
        <w:t xml:space="preserve">Joseph J. LaRosa, </w:t>
      </w:r>
      <w:r>
        <w:rPr>
          <w:rFonts w:ascii="Arial" w:cs="Arial" w:eastAsia="Arial" w:hAnsi="Arial"/>
          <w:sz w:val="15"/>
          <w:szCs w:val="15"/>
          <w:color w:val="000000"/>
        </w:rPr>
        <w:t>63, has been Executive Vice President, General Counsel and Secretary since January 2019. From</w:t>
      </w:r>
      <w:r>
        <w:rPr>
          <w:rFonts w:ascii="Arial" w:cs="Arial" w:eastAsia="Arial" w:hAnsi="Arial"/>
          <w:sz w:val="15"/>
          <w:szCs w:val="15"/>
          <w:b w:val="1"/>
          <w:bCs w:val="1"/>
          <w:color w:val="D60058"/>
        </w:rPr>
        <w:t xml:space="preserve"> </w:t>
      </w:r>
      <w:r>
        <w:rPr>
          <w:rFonts w:ascii="Arial" w:cs="Arial" w:eastAsia="Arial" w:hAnsi="Arial"/>
          <w:sz w:val="15"/>
          <w:szCs w:val="15"/>
          <w:color w:val="000000"/>
        </w:rPr>
        <w:t>September 2011 to December 2018, he served as Senior Vice President, General Counsel and Secretary. Before joining Regeneron, Mr. LaRosa was Senior Vice President, General Counsel, and Secretary at Nycomed US Inc. Mr. LaRosa’s prior experience includes working in a number of senior legal positions at Schering-Plough Corporation from 1993 to 2009, where he was a corporate officer and served most recently as Vice President, Legal Affairs, and a member of the Operations Management Team. Mr. LaRosa received his J.D. from New York University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-626110</wp:posOffset>
            </wp:positionV>
            <wp:extent cx="6446520" cy="917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46520" cy="91757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060" w:right="640"/>
        <w:spacing w:after="0" w:line="229" w:lineRule="auto"/>
        <w:rPr>
          <w:sz w:val="20"/>
          <w:szCs w:val="20"/>
          <w:color w:val="auto"/>
        </w:rPr>
      </w:pPr>
      <w:r>
        <w:rPr>
          <w:rFonts w:ascii="Arial" w:cs="Arial" w:eastAsia="Arial" w:hAnsi="Arial"/>
          <w:sz w:val="15"/>
          <w:szCs w:val="15"/>
          <w:b w:val="1"/>
          <w:bCs w:val="1"/>
          <w:color w:val="D60058"/>
        </w:rPr>
        <w:t xml:space="preserve">Marion McCourt, </w:t>
      </w:r>
      <w:r>
        <w:rPr>
          <w:rFonts w:ascii="Arial" w:cs="Arial" w:eastAsia="Arial" w:hAnsi="Arial"/>
          <w:sz w:val="15"/>
          <w:szCs w:val="15"/>
          <w:color w:val="000000"/>
        </w:rPr>
        <w:t>62, has been Executive Vice President, Commercial since January 2021. She previously served as Senior Vice</w:t>
      </w:r>
      <w:r>
        <w:rPr>
          <w:rFonts w:ascii="Arial" w:cs="Arial" w:eastAsia="Arial" w:hAnsi="Arial"/>
          <w:sz w:val="15"/>
          <w:szCs w:val="15"/>
          <w:b w:val="1"/>
          <w:bCs w:val="1"/>
          <w:color w:val="D60058"/>
        </w:rPr>
        <w:t xml:space="preserve"> </w:t>
      </w:r>
      <w:r>
        <w:rPr>
          <w:rFonts w:ascii="Arial" w:cs="Arial" w:eastAsia="Arial" w:hAnsi="Arial"/>
          <w:sz w:val="15"/>
          <w:szCs w:val="15"/>
          <w:color w:val="000000"/>
        </w:rPr>
        <w:t>President, Commercial from February 2018 to December 2020. From April 2017 until joining the Company, Ms. McCourt served as the Principal Operating Officer and the Chief Operating Officer and President of Axovant Sciences, Inc. Ms. McCourt previously served as chief operating officer of Medivation, Inc. from February 2016 until its acquisition by Pfizer Inc. in September 2016. Previously, Ms. McCourt worked at Amgen Inc., where she most recently served as a Vice President in U.S. Commercial Operations from February 2014 to January 2016. From May 2013 to January 2014, Ms. McCourt served as Vice President and General Manager at Amgen where she was responsible for the bone health and primary care business unit. From 2012 to 2013, she was Chief Operating Officer for AstraZeneca U.S., a division of AstraZeneca plc. Her responsibilities included oversight and leadership of all U.S. commercial functions, including medical affairs, business development, finance, human resources, legal, operations, and corporate affairs. During her 12-year tenure at AstraZeneca, Ms. McCourt was President and Chief Executive Officer of AstraZeneca Canada Inc. from 2011 to 2012 and also held various other roles at AstraZeneca Pharmaceuticals LP, a subsidiary of AstraZeneca plc. Ms. McCourt received her B.S. in Biology from Lafayette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42545</wp:posOffset>
            </wp:positionV>
            <wp:extent cx="64465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-1242695</wp:posOffset>
            </wp:positionV>
            <wp:extent cx="857250" cy="8743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0" cy="874395"/>
                    </a:xfrm>
                    <a:prstGeom prst="rect">
                      <a:avLst/>
                    </a:prstGeom>
                    <a:noFill/>
                  </pic:spPr>
                </pic:pic>
              </a:graphicData>
            </a:graphic>
          </wp:anchor>
        </w:drawing>
      </w:r>
    </w:p>
    <w:p>
      <w:pPr>
        <w:spacing w:after="0" w:line="125" w:lineRule="exact"/>
        <w:rPr>
          <w:sz w:val="20"/>
          <w:szCs w:val="20"/>
          <w:color w:val="auto"/>
        </w:rPr>
      </w:pPr>
    </w:p>
    <w:p>
      <w:pPr>
        <w:ind w:left="2060" w:right="640"/>
        <w:spacing w:after="0" w:line="246" w:lineRule="auto"/>
        <w:rPr>
          <w:sz w:val="20"/>
          <w:szCs w:val="20"/>
          <w:color w:val="auto"/>
        </w:rPr>
      </w:pPr>
      <w:r>
        <w:rPr>
          <w:rFonts w:ascii="Arial" w:cs="Arial" w:eastAsia="Arial" w:hAnsi="Arial"/>
          <w:sz w:val="14"/>
          <w:szCs w:val="14"/>
          <w:b w:val="1"/>
          <w:bCs w:val="1"/>
          <w:color w:val="D60058"/>
        </w:rPr>
        <w:t xml:space="preserve">Andrew J. Murphy, Ph.D., </w:t>
      </w:r>
      <w:r>
        <w:rPr>
          <w:rFonts w:ascii="Arial" w:cs="Arial" w:eastAsia="Arial" w:hAnsi="Arial"/>
          <w:sz w:val="14"/>
          <w:szCs w:val="14"/>
          <w:color w:val="000000"/>
        </w:rPr>
        <w:t>64, has been Executive Vice President, Research since January 2019. He previously served as Senior</w:t>
      </w:r>
      <w:r>
        <w:rPr>
          <w:rFonts w:ascii="Arial" w:cs="Arial" w:eastAsia="Arial" w:hAnsi="Arial"/>
          <w:sz w:val="14"/>
          <w:szCs w:val="14"/>
          <w:b w:val="1"/>
          <w:bCs w:val="1"/>
          <w:color w:val="D60058"/>
        </w:rPr>
        <w:t xml:space="preserve"> </w:t>
      </w:r>
      <w:r>
        <w:rPr>
          <w:rFonts w:ascii="Arial" w:cs="Arial" w:eastAsia="Arial" w:hAnsi="Arial"/>
          <w:sz w:val="14"/>
          <w:szCs w:val="14"/>
          <w:color w:val="000000"/>
        </w:rPr>
        <w:t>Vice President, Research, Regeneron Laboratories from January 2013 to December 2018, as Vice President, Target Discovery from May 2005 to December 2012, as Vice President, Gene Discovery and Bioinformatics from January 2001 to May 2005, and Director of Genomics and Bioinformatics from May 1999 to December 2000. Dr. Murphy is a co-inventor of several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-407670</wp:posOffset>
            </wp:positionV>
            <wp:extent cx="857250" cy="8655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0" cy="865505"/>
                    </a:xfrm>
                    <a:prstGeom prst="rect">
                      <a:avLst/>
                    </a:prstGeom>
                    <a:noFill/>
                  </pic:spPr>
                </pic:pic>
              </a:graphicData>
            </a:graphic>
          </wp:anchor>
        </w:drawing>
      </w:r>
    </w:p>
    <w:p>
      <w:pPr>
        <w:ind w:left="2060" w:right="820"/>
        <w:spacing w:after="0" w:line="206" w:lineRule="auto"/>
        <w:rPr>
          <w:sz w:val="20"/>
          <w:szCs w:val="20"/>
          <w:color w:val="auto"/>
        </w:rPr>
      </w:pPr>
      <w:r>
        <w:rPr>
          <w:rFonts w:ascii="Arial" w:cs="Arial" w:eastAsia="Arial" w:hAnsi="Arial"/>
          <w:sz w:val="15"/>
          <w:szCs w:val="15"/>
          <w:color w:val="auto"/>
        </w:rPr>
        <w:t xml:space="preserve">Company’s key technologies, including </w:t>
      </w:r>
      <w:r>
        <w:rPr>
          <w:rFonts w:ascii="Arial" w:cs="Arial" w:eastAsia="Arial" w:hAnsi="Arial"/>
          <w:sz w:val="15"/>
          <w:szCs w:val="15"/>
          <w:i w:val="1"/>
          <w:iCs w:val="1"/>
          <w:color w:val="auto"/>
        </w:rPr>
        <w:t>VelociGene</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w:t>
      </w:r>
      <w:r>
        <w:rPr>
          <w:rFonts w:ascii="Arial" w:cs="Arial" w:eastAsia="Arial" w:hAnsi="Arial"/>
          <w:sz w:val="15"/>
          <w:szCs w:val="15"/>
          <w:i w:val="1"/>
          <w:iCs w:val="1"/>
          <w:color w:val="auto"/>
        </w:rPr>
        <w:t>VelocImmune</w:t>
      </w:r>
      <w:r>
        <w:rPr>
          <w:rFonts w:ascii="Arial" w:cs="Arial" w:eastAsia="Arial" w:hAnsi="Arial"/>
          <w:sz w:val="24"/>
          <w:szCs w:val="24"/>
          <w:color w:val="auto"/>
          <w:vertAlign w:val="superscript"/>
        </w:rPr>
        <w:t>®</w:t>
      </w:r>
      <w:r>
        <w:rPr>
          <w:rFonts w:ascii="Arial" w:cs="Arial" w:eastAsia="Arial" w:hAnsi="Arial"/>
          <w:sz w:val="15"/>
          <w:szCs w:val="15"/>
          <w:color w:val="auto"/>
        </w:rPr>
        <w:t>, and continues to lead several technology centers and therapeutic focus areas. He received his B.S. in Molecular Biology at the University of Wisconsin, and his Ph.D. in Human Genetics from Columbia University, College of Physicians and Surgeons.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169545</wp:posOffset>
            </wp:positionV>
            <wp:extent cx="64465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25" w:lineRule="exact"/>
        <w:rPr>
          <w:sz w:val="20"/>
          <w:szCs w:val="20"/>
          <w:color w:val="auto"/>
        </w:rPr>
      </w:pPr>
    </w:p>
    <w:p>
      <w:pPr>
        <w:ind w:left="2060" w:right="700"/>
        <w:spacing w:after="0" w:line="233" w:lineRule="auto"/>
        <w:rPr>
          <w:sz w:val="20"/>
          <w:szCs w:val="20"/>
          <w:color w:val="auto"/>
        </w:rPr>
      </w:pPr>
      <w:r>
        <w:rPr>
          <w:rFonts w:ascii="Arial" w:cs="Arial" w:eastAsia="Arial" w:hAnsi="Arial"/>
          <w:sz w:val="15"/>
          <w:szCs w:val="15"/>
          <w:b w:val="1"/>
          <w:bCs w:val="1"/>
          <w:color w:val="D60058"/>
        </w:rPr>
        <w:t xml:space="preserve">Neil Stahl, Ph.D., </w:t>
      </w:r>
      <w:r>
        <w:rPr>
          <w:rFonts w:ascii="Arial" w:cs="Arial" w:eastAsia="Arial" w:hAnsi="Arial"/>
          <w:sz w:val="15"/>
          <w:szCs w:val="15"/>
          <w:color w:val="000000"/>
        </w:rPr>
        <w:t>65, has been Executive Vice President, Research and Development since January 2015. He previously served</w:t>
      </w:r>
      <w:r>
        <w:rPr>
          <w:rFonts w:ascii="Arial" w:cs="Arial" w:eastAsia="Arial" w:hAnsi="Arial"/>
          <w:sz w:val="15"/>
          <w:szCs w:val="15"/>
          <w:b w:val="1"/>
          <w:bCs w:val="1"/>
          <w:color w:val="D60058"/>
        </w:rPr>
        <w:t xml:space="preserve"> </w:t>
      </w:r>
      <w:r>
        <w:rPr>
          <w:rFonts w:ascii="Arial" w:cs="Arial" w:eastAsia="Arial" w:hAnsi="Arial"/>
          <w:sz w:val="15"/>
          <w:szCs w:val="15"/>
          <w:color w:val="000000"/>
        </w:rPr>
        <w:t>as Senior Vice President, Research and Development Sciences from January 2007 to December 2014, as Senior Vice President, Preclinical Development and Biomolecular Sciences from December 2000 to December 2007, and as Vice President, Preclinical Development and Biomolecular Sciences from January 2000 to December 2000. He joined the Company in 1991. Before becoming Vice President, Biomolecular Sciences in 1997, Dr. Stahl was Director, Cytokines and Signal Transduction. Dr. Stahl received his Ph.D. in Biochemistry from Brandeis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-626110</wp:posOffset>
            </wp:positionV>
            <wp:extent cx="6446520" cy="9086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46520" cy="9086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60" w:right="640"/>
        <w:spacing w:after="0" w:line="230" w:lineRule="auto"/>
        <w:rPr>
          <w:sz w:val="20"/>
          <w:szCs w:val="20"/>
          <w:color w:val="auto"/>
        </w:rPr>
      </w:pPr>
      <w:r>
        <w:rPr>
          <w:rFonts w:ascii="Arial" w:cs="Arial" w:eastAsia="Arial" w:hAnsi="Arial"/>
          <w:sz w:val="15"/>
          <w:szCs w:val="15"/>
          <w:b w:val="1"/>
          <w:bCs w:val="1"/>
          <w:color w:val="D60058"/>
        </w:rPr>
        <w:t xml:space="preserve">Daniel P. Van Plew, </w:t>
      </w:r>
      <w:r>
        <w:rPr>
          <w:rFonts w:ascii="Arial" w:cs="Arial" w:eastAsia="Arial" w:hAnsi="Arial"/>
          <w:sz w:val="15"/>
          <w:szCs w:val="15"/>
          <w:color w:val="000000"/>
        </w:rPr>
        <w:t>49, has been Executive Vice President and General Manager, Industrial Operations and Product Supply</w:t>
      </w:r>
      <w:r>
        <w:rPr>
          <w:rFonts w:ascii="Arial" w:cs="Arial" w:eastAsia="Arial" w:hAnsi="Arial"/>
          <w:sz w:val="15"/>
          <w:szCs w:val="15"/>
          <w:b w:val="1"/>
          <w:bCs w:val="1"/>
          <w:color w:val="D60058"/>
        </w:rPr>
        <w:t xml:space="preserve"> </w:t>
      </w:r>
      <w:r>
        <w:rPr>
          <w:rFonts w:ascii="Arial" w:cs="Arial" w:eastAsia="Arial" w:hAnsi="Arial"/>
          <w:sz w:val="15"/>
          <w:szCs w:val="15"/>
          <w:color w:val="000000"/>
        </w:rPr>
        <w:t>since January 2016. From April 2008 to December 2015, Mr. Van Plew served as Senior Vice President and General Manager, Industrial Operations and Product Supply.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 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 Mr. Van Plew received his M.S. in Chemistry from The Pennsylvania State University and his M.B.A. from Michigan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43815</wp:posOffset>
            </wp:positionV>
            <wp:extent cx="64465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-932815</wp:posOffset>
            </wp:positionV>
            <wp:extent cx="857250" cy="8572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0" cy="857250"/>
                    </a:xfrm>
                    <a:prstGeom prst="rect">
                      <a:avLst/>
                    </a:prstGeom>
                    <a:noFill/>
                  </pic:spPr>
                </pic:pic>
              </a:graphicData>
            </a:graphic>
          </wp:anchor>
        </w:drawing>
      </w:r>
    </w:p>
    <w:p>
      <w:pPr>
        <w:spacing w:after="0" w:line="25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34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49" w:name="page50"/>
    <w:bookmarkEnd w:id="49"/>
    <w:p>
      <w:pPr>
        <w:ind w:left="1400"/>
        <w:spacing w:after="0"/>
        <w:rPr>
          <w:sz w:val="20"/>
          <w:szCs w:val="20"/>
          <w:color w:val="auto"/>
        </w:rPr>
      </w:pPr>
      <w:r>
        <w:rPr>
          <w:rFonts w:ascii="Arial" w:cs="Arial" w:eastAsia="Arial" w:hAnsi="Arial"/>
          <w:sz w:val="50"/>
          <w:szCs w:val="50"/>
          <w:b w:val="1"/>
          <w:bCs w:val="1"/>
          <w:color w:val="215AA8"/>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912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780"/>
        <w:spacing w:after="0" w:line="234" w:lineRule="auto"/>
        <w:rPr>
          <w:sz w:val="20"/>
          <w:szCs w:val="20"/>
          <w:color w:val="auto"/>
        </w:rPr>
      </w:pPr>
      <w:r>
        <w:rPr>
          <w:rFonts w:ascii="Arial" w:cs="Arial" w:eastAsia="Arial" w:hAnsi="Arial"/>
          <w:sz w:val="16"/>
          <w:szCs w:val="16"/>
          <w:color w:val="auto"/>
        </w:rPr>
        <w:t>Regeneron is committed to good corporate governance, which we believe promotes the long-term interests of shareholders, strengthens the accountability of the board of directors and management, and helps build trust in the Company. The following chart summarizes key information regarding our corporate governance.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7160" w:type="dxa"/>
            <w:vAlign w:val="bottom"/>
          </w:tcPr>
          <w:p>
            <w:pPr>
              <w:ind w:left="60"/>
              <w:spacing w:after="0"/>
              <w:rPr>
                <w:sz w:val="20"/>
                <w:szCs w:val="20"/>
                <w:color w:val="auto"/>
              </w:rPr>
            </w:pPr>
            <w:r>
              <w:rPr>
                <w:rFonts w:ascii="Arial" w:cs="Arial" w:eastAsia="Arial" w:hAnsi="Arial"/>
                <w:sz w:val="12"/>
                <w:szCs w:val="12"/>
                <w:b w:val="1"/>
                <w:bCs w:val="1"/>
                <w:color w:val="215BA8"/>
              </w:rPr>
              <w:t>Board and Other Governance Information</w:t>
            </w:r>
          </w:p>
        </w:tc>
        <w:tc>
          <w:tcPr>
            <w:tcW w:w="3000" w:type="dxa"/>
            <w:vAlign w:val="bottom"/>
          </w:tcPr>
          <w:p>
            <w:pPr>
              <w:jc w:val="center"/>
              <w:ind w:left="1910"/>
              <w:spacing w:after="0"/>
              <w:rPr>
                <w:sz w:val="20"/>
                <w:szCs w:val="20"/>
                <w:color w:val="auto"/>
              </w:rPr>
            </w:pPr>
            <w:r>
              <w:rPr>
                <w:rFonts w:ascii="Arial" w:cs="Arial" w:eastAsia="Arial" w:hAnsi="Arial"/>
                <w:sz w:val="12"/>
                <w:szCs w:val="12"/>
                <w:b w:val="1"/>
                <w:bCs w:val="1"/>
                <w:color w:val="215BA8"/>
                <w:w w:val="95"/>
              </w:rPr>
              <w:t>2022*</w:t>
            </w:r>
          </w:p>
        </w:tc>
      </w:tr>
      <w:tr>
        <w:trPr>
          <w:trHeight w:val="27"/>
        </w:trPr>
        <w:tc>
          <w:tcPr>
            <w:tcW w:w="7160" w:type="dxa"/>
            <w:vAlign w:val="bottom"/>
            <w:tcBorders>
              <w:bottom w:val="single" w:sz="8" w:color="215BA8"/>
            </w:tcBorders>
          </w:tcPr>
          <w:p>
            <w:pPr>
              <w:spacing w:after="0"/>
              <w:rPr>
                <w:sz w:val="2"/>
                <w:szCs w:val="2"/>
                <w:color w:val="auto"/>
              </w:rPr>
            </w:pPr>
          </w:p>
        </w:tc>
        <w:tc>
          <w:tcPr>
            <w:tcW w:w="3000" w:type="dxa"/>
            <w:vAlign w:val="bottom"/>
            <w:tcBorders>
              <w:bottom w:val="single" w:sz="8" w:color="215BA8"/>
            </w:tcBorders>
          </w:tcPr>
          <w:p>
            <w:pPr>
              <w:spacing w:after="0"/>
              <w:rPr>
                <w:sz w:val="2"/>
                <w:szCs w:val="2"/>
                <w:color w:val="auto"/>
              </w:rPr>
            </w:pPr>
          </w:p>
        </w:tc>
      </w:tr>
      <w:tr>
        <w:trPr>
          <w:trHeight w:val="210"/>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Size of Board</w:t>
            </w:r>
          </w:p>
        </w:tc>
        <w:tc>
          <w:tcPr>
            <w:tcW w:w="3000" w:type="dxa"/>
            <w:vAlign w:val="bottom"/>
            <w:tcBorders>
              <w:bottom w:val="single" w:sz="8" w:color="auto"/>
            </w:tcBorders>
          </w:tcPr>
          <w:p>
            <w:pPr>
              <w:jc w:val="center"/>
              <w:ind w:left="1930"/>
              <w:spacing w:after="0"/>
              <w:rPr>
                <w:sz w:val="20"/>
                <w:szCs w:val="20"/>
                <w:color w:val="auto"/>
              </w:rPr>
            </w:pPr>
            <w:r>
              <w:rPr>
                <w:rFonts w:ascii="Arial" w:cs="Arial" w:eastAsia="Arial" w:hAnsi="Arial"/>
                <w:sz w:val="14"/>
                <w:szCs w:val="14"/>
                <w:color w:val="auto"/>
              </w:rPr>
              <w:t>12</w:t>
            </w:r>
          </w:p>
        </w:tc>
      </w:tr>
      <w:tr>
        <w:trPr>
          <w:trHeight w:val="210"/>
        </w:trPr>
        <w:tc>
          <w:tcPr>
            <w:tcW w:w="716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4"/>
                <w:szCs w:val="14"/>
                <w:color w:val="auto"/>
              </w:rPr>
              <w:t>Number of Independent Directors</w:t>
            </w:r>
          </w:p>
        </w:tc>
        <w:tc>
          <w:tcPr>
            <w:tcW w:w="3000" w:type="dxa"/>
            <w:vAlign w:val="bottom"/>
            <w:tcBorders>
              <w:bottom w:val="single" w:sz="8" w:color="auto"/>
            </w:tcBorders>
            <w:shd w:val="clear" w:color="auto" w:fill="EEEEEF"/>
          </w:tcPr>
          <w:p>
            <w:pPr>
              <w:jc w:val="center"/>
              <w:ind w:left="1930"/>
              <w:spacing w:after="0"/>
              <w:rPr>
                <w:sz w:val="20"/>
                <w:szCs w:val="20"/>
                <w:color w:val="auto"/>
              </w:rPr>
            </w:pPr>
            <w:r>
              <w:rPr>
                <w:rFonts w:ascii="Arial" w:cs="Arial" w:eastAsia="Arial" w:hAnsi="Arial"/>
                <w:sz w:val="14"/>
                <w:szCs w:val="14"/>
                <w:color w:val="auto"/>
              </w:rPr>
              <w:t>9</w:t>
            </w:r>
          </w:p>
        </w:tc>
      </w:tr>
      <w:tr>
        <w:trPr>
          <w:trHeight w:val="209"/>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Number of Female Directors</w:t>
            </w:r>
          </w:p>
        </w:tc>
        <w:tc>
          <w:tcPr>
            <w:tcW w:w="3000" w:type="dxa"/>
            <w:vAlign w:val="bottom"/>
            <w:tcBorders>
              <w:bottom w:val="single" w:sz="8" w:color="auto"/>
            </w:tcBorders>
          </w:tcPr>
          <w:p>
            <w:pPr>
              <w:jc w:val="center"/>
              <w:ind w:left="1930"/>
              <w:spacing w:after="0"/>
              <w:rPr>
                <w:sz w:val="20"/>
                <w:szCs w:val="20"/>
                <w:color w:val="auto"/>
              </w:rPr>
            </w:pPr>
            <w:r>
              <w:rPr>
                <w:rFonts w:ascii="Arial" w:cs="Arial" w:eastAsia="Arial" w:hAnsi="Arial"/>
                <w:sz w:val="14"/>
                <w:szCs w:val="14"/>
                <w:color w:val="auto"/>
              </w:rPr>
              <w:t>3</w:t>
            </w:r>
          </w:p>
        </w:tc>
      </w:tr>
      <w:tr>
        <w:trPr>
          <w:trHeight w:val="209"/>
        </w:trPr>
        <w:tc>
          <w:tcPr>
            <w:tcW w:w="716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4"/>
                <w:szCs w:val="14"/>
                <w:color w:val="auto"/>
              </w:rPr>
              <w:t>Number of Directors Diverse by Race or Ethnicity</w:t>
            </w:r>
          </w:p>
        </w:tc>
        <w:tc>
          <w:tcPr>
            <w:tcW w:w="3000" w:type="dxa"/>
            <w:vAlign w:val="bottom"/>
            <w:tcBorders>
              <w:bottom w:val="single" w:sz="8" w:color="auto"/>
            </w:tcBorders>
            <w:shd w:val="clear" w:color="auto" w:fill="EEEEEF"/>
          </w:tcPr>
          <w:p>
            <w:pPr>
              <w:jc w:val="center"/>
              <w:ind w:left="1930"/>
              <w:spacing w:after="0"/>
              <w:rPr>
                <w:sz w:val="20"/>
                <w:szCs w:val="20"/>
                <w:color w:val="auto"/>
              </w:rPr>
            </w:pPr>
            <w:r>
              <w:rPr>
                <w:rFonts w:ascii="Arial" w:cs="Arial" w:eastAsia="Arial" w:hAnsi="Arial"/>
                <w:sz w:val="14"/>
                <w:szCs w:val="14"/>
                <w:color w:val="auto"/>
              </w:rPr>
              <w:t>4</w:t>
            </w:r>
          </w:p>
        </w:tc>
      </w:tr>
      <w:tr>
        <w:trPr>
          <w:trHeight w:val="209"/>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Separate Chair and Chief Executive Officer</w:t>
            </w:r>
          </w:p>
        </w:tc>
        <w:tc>
          <w:tcPr>
            <w:tcW w:w="3000" w:type="dxa"/>
            <w:vAlign w:val="bottom"/>
            <w:tcBorders>
              <w:bottom w:val="single" w:sz="8" w:color="auto"/>
            </w:tcBorders>
          </w:tcPr>
          <w:p>
            <w:pPr>
              <w:spacing w:after="0"/>
              <w:rPr>
                <w:sz w:val="18"/>
                <w:szCs w:val="18"/>
                <w:color w:val="auto"/>
              </w:rPr>
            </w:pPr>
          </w:p>
        </w:tc>
      </w:tr>
      <w:tr>
        <w:trPr>
          <w:trHeight w:val="237"/>
        </w:trPr>
        <w:tc>
          <w:tcPr>
            <w:tcW w:w="716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4"/>
                <w:szCs w:val="14"/>
                <w:color w:val="auto"/>
              </w:rPr>
              <w:t>Majority Voting in the Election of Directors</w:t>
            </w:r>
          </w:p>
        </w:tc>
        <w:tc>
          <w:tcPr>
            <w:tcW w:w="3000" w:type="dxa"/>
            <w:vAlign w:val="bottom"/>
            <w:tcBorders>
              <w:bottom w:val="single" w:sz="8" w:color="auto"/>
            </w:tcBorders>
            <w:shd w:val="clear" w:color="auto" w:fill="EEEEEF"/>
          </w:tcPr>
          <w:p>
            <w:pPr>
              <w:spacing w:after="0"/>
              <w:rPr>
                <w:sz w:val="20"/>
                <w:szCs w:val="20"/>
                <w:color w:val="auto"/>
              </w:rPr>
            </w:pPr>
          </w:p>
        </w:tc>
      </w:tr>
      <w:tr>
        <w:trPr>
          <w:trHeight w:val="209"/>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Director Resignation Policy</w:t>
            </w:r>
          </w:p>
        </w:tc>
        <w:tc>
          <w:tcPr>
            <w:tcW w:w="3000" w:type="dxa"/>
            <w:vAlign w:val="bottom"/>
            <w:tcBorders>
              <w:bottom w:val="single" w:sz="8" w:color="auto"/>
            </w:tcBorders>
          </w:tcPr>
          <w:p>
            <w:pPr>
              <w:spacing w:after="0"/>
              <w:rPr>
                <w:sz w:val="18"/>
                <w:szCs w:val="18"/>
                <w:color w:val="auto"/>
              </w:rPr>
            </w:pPr>
          </w:p>
        </w:tc>
      </w:tr>
      <w:tr>
        <w:trPr>
          <w:trHeight w:val="209"/>
        </w:trPr>
        <w:tc>
          <w:tcPr>
            <w:tcW w:w="716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4"/>
                <w:szCs w:val="14"/>
                <w:color w:val="auto"/>
              </w:rPr>
              <w:t>Number of Meetings of the Board of Directors Held in 2021</w:t>
            </w:r>
          </w:p>
        </w:tc>
        <w:tc>
          <w:tcPr>
            <w:tcW w:w="3000" w:type="dxa"/>
            <w:vAlign w:val="bottom"/>
            <w:tcBorders>
              <w:bottom w:val="single" w:sz="8" w:color="auto"/>
            </w:tcBorders>
            <w:shd w:val="clear" w:color="auto" w:fill="EEEEEF"/>
          </w:tcPr>
          <w:p>
            <w:pPr>
              <w:jc w:val="center"/>
              <w:ind w:left="1930"/>
              <w:spacing w:after="0"/>
              <w:rPr>
                <w:sz w:val="20"/>
                <w:szCs w:val="20"/>
                <w:color w:val="auto"/>
              </w:rPr>
            </w:pPr>
            <w:r>
              <w:rPr>
                <w:rFonts w:ascii="Arial" w:cs="Arial" w:eastAsia="Arial" w:hAnsi="Arial"/>
                <w:sz w:val="14"/>
                <w:szCs w:val="14"/>
                <w:color w:val="auto"/>
              </w:rPr>
              <w:t>9</w:t>
            </w:r>
          </w:p>
        </w:tc>
      </w:tr>
      <w:tr>
        <w:trPr>
          <w:trHeight w:val="209"/>
        </w:trPr>
        <w:tc>
          <w:tcPr>
            <w:tcW w:w="7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Executive Sessions of Independent Directors without Management Present</w:t>
            </w:r>
          </w:p>
        </w:tc>
        <w:tc>
          <w:tcPr>
            <w:tcW w:w="30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-728345</wp:posOffset>
            </wp:positionV>
            <wp:extent cx="120015" cy="1028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10287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-582295</wp:posOffset>
            </wp:positionV>
            <wp:extent cx="120015"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-419735</wp:posOffset>
            </wp:positionV>
            <wp:extent cx="120015"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10287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-128270</wp:posOffset>
            </wp:positionV>
            <wp:extent cx="6446520" cy="283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46520" cy="283210"/>
                    </a:xfrm>
                    <a:prstGeom prst="rect">
                      <a:avLst/>
                    </a:prstGeom>
                    <a:noFill/>
                  </pic:spPr>
                </pic:pic>
              </a:graphicData>
            </a:graphic>
          </wp:anchor>
        </w:drawing>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Independent Presiding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40640</wp:posOffset>
            </wp:positionV>
            <wp:extent cx="120015"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Code of Business Conduct and Ethics Applicable to All Employees,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46520" cy="16256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Annual Board and Committee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4652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40640</wp:posOffset>
            </wp:positionV>
            <wp:extent cx="120015"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Stock Ownership Guidelines for Directors and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46520" cy="163195"/>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Annual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40640</wp:posOffset>
            </wp:positionV>
            <wp:extent cx="120015" cy="1028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102870"/>
                    </a:xfrm>
                    <a:prstGeom prst="rect">
                      <a:avLst/>
                    </a:prstGeom>
                    <a:noFill/>
                  </pic:spPr>
                </pic:pic>
              </a:graphicData>
            </a:graphic>
          </wp:anchor>
        </w:drawing>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Active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46520" cy="163195"/>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Shareholder Right to Call Special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64465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As of April 12, 2022.</w:t>
      </w:r>
    </w:p>
    <w:p>
      <w:pPr>
        <w:spacing w:after="0" w:line="167" w:lineRule="exact"/>
        <w:rPr>
          <w:sz w:val="20"/>
          <w:szCs w:val="20"/>
          <w:color w:val="auto"/>
        </w:rPr>
      </w:pPr>
    </w:p>
    <w:p>
      <w:pPr>
        <w:jc w:val="both"/>
        <w:ind w:left="540" w:right="740"/>
        <w:spacing w:after="0" w:line="234" w:lineRule="auto"/>
        <w:rPr>
          <w:sz w:val="20"/>
          <w:szCs w:val="20"/>
          <w:color w:val="auto"/>
        </w:rPr>
      </w:pPr>
      <w:r>
        <w:rPr>
          <w:rFonts w:ascii="Arial" w:cs="Arial" w:eastAsia="Arial" w:hAnsi="Arial"/>
          <w:sz w:val="16"/>
          <w:szCs w:val="16"/>
          <w:color w:val="auto"/>
        </w:rPr>
        <w:t>While the Company has dual-class stock, no new shares of Class A stock, par value $0.001 per share (“Class A stock”), have been issued since our initial public offering in 1991, and the number of shares of Class A stock outstanding has been steadily decreasing since that time, from 10.9 million to 1.8 million as of the record date for the 2022 Annual Meeting.</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19" w:lineRule="exact"/>
        <w:rPr>
          <w:sz w:val="20"/>
          <w:szCs w:val="20"/>
          <w:color w:val="auto"/>
        </w:rPr>
      </w:pPr>
    </w:p>
    <w:p>
      <w:pPr>
        <w:ind w:left="540" w:right="580"/>
        <w:spacing w:after="0" w:line="232" w:lineRule="auto"/>
        <w:rPr>
          <w:sz w:val="20"/>
          <w:szCs w:val="20"/>
          <w:color w:val="auto"/>
        </w:rPr>
      </w:pPr>
      <w:r>
        <w:rPr>
          <w:rFonts w:ascii="Arial" w:cs="Arial" w:eastAsia="Arial" w:hAnsi="Arial"/>
          <w:sz w:val="16"/>
          <w:szCs w:val="16"/>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6"/>
          <w:szCs w:val="16"/>
          <w:b w:val="1"/>
          <w:bCs w:val="1"/>
          <w:color w:val="auto"/>
        </w:rPr>
        <w:t>www.regeneron.com</w:t>
      </w:r>
      <w:r>
        <w:rPr>
          <w:rFonts w:ascii="Arial" w:cs="Arial" w:eastAsia="Arial" w:hAnsi="Arial"/>
          <w:sz w:val="16"/>
          <w:szCs w:val="16"/>
          <w:color w:val="auto"/>
        </w:rPr>
        <w:t xml:space="preserve"> under the “Corporate Governance” heading on the “Investors &amp; Media”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35</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28" w:right="339" w:bottom="1440" w:gutter="0" w:footer="0" w:header="0"/>
        </w:sectPr>
      </w:pPr>
    </w:p>
    <w:bookmarkStart w:id="50" w:name="page51"/>
    <w:bookmarkEnd w:id="50"/>
    <w:p>
      <w:pPr>
        <w:ind w:lef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SUCCESSION PLANNING AND TALENT DEVELOPMENT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Under our Corporate Governance Guidelines, the board of directors is required to periodically review with our CEO Regeneron’s plan for succession to the offices of the CEO and other senior executive positions. In 2017, the Corporate Governance and Compliance Committee, at the request of the board of directors, commenced a multi-year formal succession planning and talent review, which includes succession planning for the CEO and other senior management positions and incorporates diversity, equity, and inclusion (“DEI”) considerations as a strategic priority. From 2018 through 2021, the applicable committees of the board of directors advanced this formal review by focusing on certain assigned functions and roles within the Company. As part of this process, the Audit Committee reviewed functions and roles within the Company’s finance, information technology, and real estate &amp; facilities management organizations, while the Compensation Committee and the Technology Committee reviewed functions and roles within the Company’s commercial and certain other general and administrative organizations and the Company’s research &amp; development and global development organizations, respectively. Implementation of the succession planning and talent review plan has continued in 2022.</w:t>
      </w:r>
    </w:p>
    <w:p>
      <w:pPr>
        <w:spacing w:after="0" w:line="167" w:lineRule="exact"/>
        <w:rPr>
          <w:sz w:val="20"/>
          <w:szCs w:val="20"/>
          <w:color w:val="auto"/>
        </w:rPr>
      </w:pPr>
    </w:p>
    <w:p>
      <w:pPr>
        <w:ind w:left="540" w:right="860"/>
        <w:spacing w:after="0" w:line="236" w:lineRule="auto"/>
        <w:rPr>
          <w:sz w:val="20"/>
          <w:szCs w:val="20"/>
          <w:color w:val="auto"/>
        </w:rPr>
      </w:pPr>
      <w:r>
        <w:rPr>
          <w:rFonts w:ascii="Arial" w:cs="Arial" w:eastAsia="Arial" w:hAnsi="Arial"/>
          <w:sz w:val="16"/>
          <w:szCs w:val="16"/>
          <w:color w:val="auto"/>
        </w:rPr>
        <w:t>In addition to formal succession planning, directors also have exposure to Regeneron leaders through board and committee presentations and discussions and informal events and interactions with key talent throughout the year, both in small-group and one-on-one settings.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580"/>
        <w:spacing w:after="0" w:line="232" w:lineRule="auto"/>
        <w:rPr>
          <w:sz w:val="20"/>
          <w:szCs w:val="20"/>
          <w:color w:val="auto"/>
        </w:rPr>
      </w:pPr>
      <w:r>
        <w:rPr>
          <w:rFonts w:ascii="Arial" w:cs="Arial" w:eastAsia="Arial" w:hAnsi="Arial"/>
          <w:sz w:val="16"/>
          <w:szCs w:val="16"/>
          <w:color w:val="auto"/>
        </w:rPr>
        <w:t>Regeneron’s mission is to use the power of science to repeatedly bring new medicines to patients. We are committed to operating responsibly, communicating transparently about our impacts, and engaging all stakeholders in our mission. We strive to “Do Well by Doing Good,” which is central to our approach to corporate responsibility. We disclose detailed information about significant corporate responsibility matters in our annual responsibility reports and Task Force for Climate-related Financial Disclosures (“TCFD”) reports.</w:t>
      </w:r>
    </w:p>
    <w:p>
      <w:pPr>
        <w:spacing w:after="0" w:line="166" w:lineRule="exact"/>
        <w:rPr>
          <w:sz w:val="20"/>
          <w:szCs w:val="20"/>
          <w:color w:val="auto"/>
        </w:rPr>
      </w:pPr>
    </w:p>
    <w:p>
      <w:pPr>
        <w:ind w:left="540" w:right="580"/>
        <w:spacing w:after="0" w:line="230" w:lineRule="auto"/>
        <w:rPr>
          <w:sz w:val="20"/>
          <w:szCs w:val="20"/>
          <w:color w:val="auto"/>
        </w:rPr>
      </w:pPr>
      <w:r>
        <w:rPr>
          <w:rFonts w:ascii="Arial" w:cs="Arial" w:eastAsia="Arial" w:hAnsi="Arial"/>
          <w:sz w:val="16"/>
          <w:szCs w:val="16"/>
          <w:color w:val="auto"/>
        </w:rPr>
        <w:t>Our board of directors and management team focus closely on corporate responsibility matters. The Company’s policy is to take into consideration the long-term interests of the Company, its shareholders, and other stakeholders, including patients, employees, the healthcare community, regulators, partners, suppliers, and local communities. The charter of the board’s Corporate Governance and Compliance Committee expressly delegates board oversight of corporate responsibility to the Committee. Under our Corporate Governance Guidelines, the Corporate Governance and Compliance Committee is also responsible for overseeing the Company’s key corporate responsibility initiatives, including those expected to have a significant impact on the Company’s ability to deliver sustained growth. The Committee also conducts an annual review of ESG matters. Management, who has the responsibility for formulating and implementing such initiatives and matters, has established for these purposes a Responsibility Committee comprised of cross-functional business leaders.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responsibility strategy centers on three focus areas:</w:t>
      </w:r>
    </w:p>
    <w:p>
      <w:pPr>
        <w:spacing w:after="0" w:line="167" w:lineRule="exact"/>
        <w:rPr>
          <w:sz w:val="20"/>
          <w:szCs w:val="20"/>
          <w:color w:val="auto"/>
        </w:rPr>
      </w:pPr>
    </w:p>
    <w:p>
      <w:pPr>
        <w:ind w:left="720" w:hanging="172"/>
        <w:spacing w:after="0"/>
        <w:tabs>
          <w:tab w:leader="none" w:pos="720" w:val="left"/>
        </w:tabs>
        <w:numPr>
          <w:ilvl w:val="0"/>
          <w:numId w:val="58"/>
        </w:numPr>
        <w:rPr>
          <w:rFonts w:ascii="Arial" w:cs="Arial" w:eastAsia="Arial" w:hAnsi="Arial"/>
          <w:sz w:val="16"/>
          <w:szCs w:val="16"/>
          <w:color w:val="215BA8"/>
        </w:rPr>
      </w:pPr>
      <w:r>
        <w:rPr>
          <w:rFonts w:ascii="Arial" w:cs="Arial" w:eastAsia="Arial" w:hAnsi="Arial"/>
          <w:sz w:val="16"/>
          <w:szCs w:val="16"/>
          <w:color w:val="auto"/>
        </w:rPr>
        <w:t>Improve the lives of people with serious diseases</w:t>
      </w:r>
    </w:p>
    <w:p>
      <w:pPr>
        <w:spacing w:after="0" w:line="167" w:lineRule="exact"/>
        <w:rPr>
          <w:rFonts w:ascii="Arial" w:cs="Arial" w:eastAsia="Arial" w:hAnsi="Arial"/>
          <w:sz w:val="16"/>
          <w:szCs w:val="16"/>
          <w:color w:val="215BA8"/>
        </w:rPr>
      </w:pPr>
    </w:p>
    <w:p>
      <w:pPr>
        <w:ind w:left="720" w:hanging="172"/>
        <w:spacing w:after="0"/>
        <w:tabs>
          <w:tab w:leader="none" w:pos="720" w:val="left"/>
        </w:tabs>
        <w:numPr>
          <w:ilvl w:val="0"/>
          <w:numId w:val="58"/>
        </w:numPr>
        <w:rPr>
          <w:rFonts w:ascii="Arial" w:cs="Arial" w:eastAsia="Arial" w:hAnsi="Arial"/>
          <w:sz w:val="16"/>
          <w:szCs w:val="16"/>
          <w:color w:val="215BA8"/>
        </w:rPr>
      </w:pPr>
      <w:r>
        <w:rPr>
          <w:rFonts w:ascii="Arial" w:cs="Arial" w:eastAsia="Arial" w:hAnsi="Arial"/>
          <w:sz w:val="16"/>
          <w:szCs w:val="16"/>
          <w:color w:val="auto"/>
        </w:rPr>
        <w:t>Foster a culture of integrity and excellence</w:t>
      </w:r>
    </w:p>
    <w:p>
      <w:pPr>
        <w:spacing w:after="0" w:line="167" w:lineRule="exact"/>
        <w:rPr>
          <w:rFonts w:ascii="Arial" w:cs="Arial" w:eastAsia="Arial" w:hAnsi="Arial"/>
          <w:sz w:val="16"/>
          <w:szCs w:val="16"/>
          <w:color w:val="215BA8"/>
        </w:rPr>
      </w:pPr>
    </w:p>
    <w:p>
      <w:pPr>
        <w:ind w:left="720" w:hanging="172"/>
        <w:spacing w:after="0"/>
        <w:tabs>
          <w:tab w:leader="none" w:pos="720" w:val="left"/>
        </w:tabs>
        <w:numPr>
          <w:ilvl w:val="0"/>
          <w:numId w:val="58"/>
        </w:numPr>
        <w:rPr>
          <w:rFonts w:ascii="Arial" w:cs="Arial" w:eastAsia="Arial" w:hAnsi="Arial"/>
          <w:sz w:val="16"/>
          <w:szCs w:val="16"/>
          <w:color w:val="215BA8"/>
        </w:rPr>
      </w:pPr>
      <w:r>
        <w:rPr>
          <w:rFonts w:ascii="Arial" w:cs="Arial" w:eastAsia="Arial" w:hAnsi="Arial"/>
          <w:sz w:val="16"/>
          <w:szCs w:val="16"/>
          <w:color w:val="auto"/>
        </w:rPr>
        <w:t>Build sustainable communities</w:t>
      </w:r>
    </w:p>
    <w:p>
      <w:pPr>
        <w:spacing w:after="0" w:line="167" w:lineRule="exact"/>
        <w:rPr>
          <w:sz w:val="20"/>
          <w:szCs w:val="20"/>
          <w:color w:val="auto"/>
        </w:rPr>
      </w:pPr>
    </w:p>
    <w:p>
      <w:pPr>
        <w:ind w:left="540" w:right="1020"/>
        <w:spacing w:after="0" w:line="236" w:lineRule="auto"/>
        <w:rPr>
          <w:sz w:val="20"/>
          <w:szCs w:val="20"/>
          <w:color w:val="auto"/>
        </w:rPr>
      </w:pPr>
      <w:r>
        <w:rPr>
          <w:rFonts w:ascii="Arial" w:cs="Arial" w:eastAsia="Arial" w:hAnsi="Arial"/>
          <w:sz w:val="16"/>
          <w:szCs w:val="16"/>
          <w:color w:val="auto"/>
        </w:rPr>
        <w:t>As shown below, our global 2025 responsibility goals (announced in 2020 in our 2019 Responsibility Report) span across these three areas, focusing on the environmental and social issues that we believe are most significant to our business and stakeholders.</w:t>
      </w:r>
    </w:p>
    <w:p>
      <w:pPr>
        <w:spacing w:after="0" w:line="158"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36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51" w:name="page52"/>
    <w:bookmarkEnd w:id="51"/>
    <w:p>
      <w:pPr>
        <w:jc w:val="right"/>
        <w:ind w:righ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2025 GLOBAL RESPONSIBILITY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43802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4652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4"/>
          <w:szCs w:val="14"/>
          <w:color w:val="1A1A1A"/>
        </w:rPr>
        <w:t>* Our accompanying set of environmental targets are outlined in detail in our 2021 Responsibility Report.</w:t>
      </w:r>
    </w:p>
    <w:p>
      <w:pPr>
        <w:spacing w:after="0" w:line="179" w:lineRule="exact"/>
        <w:rPr>
          <w:sz w:val="20"/>
          <w:szCs w:val="20"/>
          <w:color w:val="auto"/>
        </w:rPr>
      </w:pPr>
    </w:p>
    <w:p>
      <w:pPr>
        <w:ind w:left="540" w:right="1340"/>
        <w:spacing w:after="0" w:line="236" w:lineRule="auto"/>
        <w:rPr>
          <w:sz w:val="20"/>
          <w:szCs w:val="20"/>
          <w:color w:val="auto"/>
        </w:rPr>
      </w:pPr>
      <w:r>
        <w:rPr>
          <w:rFonts w:ascii="Arial" w:cs="Arial" w:eastAsia="Arial" w:hAnsi="Arial"/>
          <w:sz w:val="16"/>
          <w:szCs w:val="16"/>
          <w:color w:val="auto"/>
        </w:rPr>
        <w:t>In 2021, we made significant progress toward achieving many of these responsibility goals. Select highlights within each focus area are summarized below, and a detailed discussion of our progress in 2021 is included in our 2021 Responsibility Report.</w:t>
      </w:r>
    </w:p>
    <w:p>
      <w:pPr>
        <w:spacing w:after="0" w:line="165" w:lineRule="exact"/>
        <w:rPr>
          <w:sz w:val="20"/>
          <w:szCs w:val="20"/>
          <w:color w:val="auto"/>
        </w:rPr>
      </w:pPr>
    </w:p>
    <w:p>
      <w:pPr>
        <w:jc w:val="both"/>
        <w:ind w:left="540" w:right="820"/>
        <w:spacing w:after="0" w:line="234" w:lineRule="auto"/>
        <w:rPr>
          <w:sz w:val="20"/>
          <w:szCs w:val="20"/>
          <w:color w:val="auto"/>
        </w:rPr>
      </w:pPr>
      <w:r>
        <w:rPr>
          <w:rFonts w:ascii="Arial" w:cs="Arial" w:eastAsia="Arial" w:hAnsi="Arial"/>
          <w:sz w:val="16"/>
          <w:szCs w:val="16"/>
          <w:color w:val="auto"/>
        </w:rPr>
        <w:t>Our responsibility efforts and results across these focus areas have garnered recognitions. For example, in 2021, we were included in the Dow Jones Sustainability World Index for the third year in a row and the Dow Jones Sustainability North America Index for the second year in a row. These global and regional indices are comprised of corporate leaders in ESG practices.</w:t>
      </w:r>
    </w:p>
    <w:p>
      <w:pPr>
        <w:spacing w:after="0" w:line="164" w:lineRule="exact"/>
        <w:rPr>
          <w:sz w:val="20"/>
          <w:szCs w:val="20"/>
          <w:color w:val="auto"/>
        </w:rPr>
      </w:pPr>
    </w:p>
    <w:p>
      <w:pPr>
        <w:ind w:left="540" w:right="880"/>
        <w:spacing w:after="0" w:line="232" w:lineRule="auto"/>
        <w:rPr>
          <w:sz w:val="20"/>
          <w:szCs w:val="20"/>
          <w:color w:val="auto"/>
        </w:rPr>
      </w:pPr>
      <w:r>
        <w:rPr>
          <w:rFonts w:ascii="Arial" w:cs="Arial" w:eastAsia="Arial" w:hAnsi="Arial"/>
          <w:sz w:val="16"/>
          <w:szCs w:val="16"/>
          <w:color w:val="auto"/>
        </w:rPr>
        <w:t>We have also continued to enhance our responsibility reporting. Our 2021 Responsibility Report continues to align with the Sustainability Accounting Standards Board (“SASB”) framework and for the first time was prepared in accordance with the Global Reporting Initiative (“GRI”) Standards Core option. In 2022, we also published on our website our second annual TCFD report on Regeneron’s climate-related risks and opportunities.</w:t>
      </w:r>
    </w:p>
    <w:p>
      <w:pPr>
        <w:spacing w:after="0" w:line="146" w:lineRule="exact"/>
        <w:rPr>
          <w:sz w:val="20"/>
          <w:szCs w:val="20"/>
          <w:color w:val="auto"/>
        </w:rPr>
      </w:pPr>
    </w:p>
    <w:p>
      <w:pPr>
        <w:ind w:left="540" w:right="560"/>
        <w:spacing w:after="0" w:line="233" w:lineRule="auto"/>
        <w:rPr>
          <w:sz w:val="20"/>
          <w:szCs w:val="20"/>
          <w:color w:val="auto"/>
        </w:rPr>
      </w:pPr>
      <w:r>
        <w:rPr>
          <w:rFonts w:ascii="Arial" w:cs="Arial" w:eastAsia="Arial" w:hAnsi="Arial"/>
          <w:sz w:val="16"/>
          <w:szCs w:val="16"/>
          <w:b w:val="1"/>
          <w:bCs w:val="1"/>
          <w:color w:val="auto"/>
        </w:rPr>
        <w:t xml:space="preserve">Improve the lives of people with serious diseases. </w:t>
      </w:r>
      <w:r>
        <w:rPr>
          <w:rFonts w:ascii="Arial" w:cs="Arial" w:eastAsia="Arial" w:hAnsi="Arial"/>
          <w:sz w:val="16"/>
          <w:szCs w:val="16"/>
          <w:color w:val="auto"/>
        </w:rPr>
        <w:t>As a science-focused company, we operate Regeneron with the long-term outlook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turn rigorous scientific research into important new medicines. All nine of our approved medicines and almost all of the product candidates in our clinical pipeline are homegrown – discovered in Regeneron’s labs using our industry-leading, proprietary technologies. Our support for patients extends beyond the labs to disease education and awareness efforts, product support services, and our commitment to drug access and responsible pricing. We strive to make thoughtful and well-informed pricing decisions with fairness and affordability in mind and are guided in this endeavor by our board of directors, which is closely involved in and provides oversight of all key pricing determinations. We believe we have the appropriate governance mechanisms and internal processes in place to ensure that pricing decisions are thoroughly and appropriately vetted prior to implementation and are made in line with our values and commitments. This includes routine presentations to our board of directors on drug pricing strategies, practices, and trends.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37</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52" w:name="page53"/>
    <w:bookmarkEnd w:id="52"/>
    <w:p>
      <w:pPr>
        <w:ind w:lef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540" w:right="660"/>
        <w:spacing w:after="0" w:line="232" w:lineRule="auto"/>
        <w:rPr>
          <w:sz w:val="20"/>
          <w:szCs w:val="20"/>
          <w:color w:val="auto"/>
        </w:rPr>
      </w:pPr>
      <w:r>
        <w:rPr>
          <w:rFonts w:ascii="Arial" w:cs="Arial" w:eastAsia="Arial" w:hAnsi="Arial"/>
          <w:sz w:val="16"/>
          <w:szCs w:val="16"/>
          <w:color w:val="auto"/>
        </w:rPr>
        <w:t>In 2021, our commitment to improving lives was highlighted by delivering millions of doses of REGEN-COV to help in the fight against COVID-19; securing regulatory approvals for Evkeeza, a first-in-class medicine for the treatment of an ultra-rare, inherited form of high cholesterol, as well as several new indications for existing products; and making significant progress in our product pipeline of more than 30 product candidates. We are proud of these scientific accomplishments and the potentially life-changing benefits they can deliver to patients.</w:t>
      </w:r>
    </w:p>
    <w:p>
      <w:pPr>
        <w:spacing w:after="0" w:line="166" w:lineRule="exact"/>
        <w:rPr>
          <w:sz w:val="20"/>
          <w:szCs w:val="20"/>
          <w:color w:val="auto"/>
        </w:rPr>
      </w:pPr>
    </w:p>
    <w:p>
      <w:pPr>
        <w:ind w:left="540" w:right="680"/>
        <w:spacing w:after="0" w:line="230" w:lineRule="auto"/>
        <w:rPr>
          <w:sz w:val="20"/>
          <w:szCs w:val="20"/>
          <w:color w:val="auto"/>
        </w:rPr>
      </w:pPr>
      <w:r>
        <w:rPr>
          <w:rFonts w:ascii="Arial" w:cs="Arial" w:eastAsia="Arial" w:hAnsi="Arial"/>
          <w:sz w:val="16"/>
          <w:szCs w:val="16"/>
          <w:color w:val="auto"/>
        </w:rPr>
        <w:t>We are dedicated to making sure our medicines are available to everyone who needs them, including those in low- and middle-income countries (“LMICs”). For example, since 2018, we have worked with the World Health Organization, U.S. Food and Drug Administration (“FDA”), and other global organizations to offer Inmazeb under a compassionate use protocol in response to Ebola outbreaks in affected African countries. We have an executive-sponsored Inmazeb access working group and we proactively engage public health agencies, non-governmental agencies, and others in our industry to ensure continued access to Inmazeb in LMICs. Similarly, we are collaborating with Roche to increase global supply of REGEN-COV and together we continue to engage with the U.S. Biomedical Advanced Research Development Authority, public health organizations, and non-governmental agencies to facilitate access in LMICs in the event of future variants for which REGEN-COV might have utility.</w:t>
      </w:r>
    </w:p>
    <w:p>
      <w:pPr>
        <w:spacing w:after="0" w:line="149" w:lineRule="exact"/>
        <w:rPr>
          <w:sz w:val="20"/>
          <w:szCs w:val="20"/>
          <w:color w:val="auto"/>
        </w:rPr>
      </w:pPr>
    </w:p>
    <w:p>
      <w:pPr>
        <w:jc w:val="both"/>
        <w:ind w:left="540" w:right="660"/>
        <w:spacing w:after="0" w:line="244" w:lineRule="auto"/>
        <w:rPr>
          <w:sz w:val="20"/>
          <w:szCs w:val="20"/>
          <w:color w:val="auto"/>
        </w:rPr>
      </w:pPr>
      <w:r>
        <w:rPr>
          <w:rFonts w:ascii="Arial" w:cs="Arial" w:eastAsia="Arial" w:hAnsi="Arial"/>
          <w:sz w:val="16"/>
          <w:szCs w:val="16"/>
          <w:b w:val="1"/>
          <w:bCs w:val="1"/>
          <w:color w:val="auto"/>
        </w:rPr>
        <w:t xml:space="preserve">Foster a culture of integrity and excellence. </w:t>
      </w:r>
      <w:r>
        <w:rPr>
          <w:rFonts w:ascii="Arial" w:cs="Arial" w:eastAsia="Arial" w:hAnsi="Arial"/>
          <w:sz w:val="16"/>
          <w:szCs w:val="16"/>
          <w:color w:val="auto"/>
        </w:rPr>
        <w:t>Regeneron’s unique culture makes us who we are. Our culture includes our science-led mindset,</w:t>
      </w:r>
      <w:r>
        <w:rPr>
          <w:rFonts w:ascii="Arial" w:cs="Arial" w:eastAsia="Arial" w:hAnsi="Arial"/>
          <w:sz w:val="16"/>
          <w:szCs w:val="16"/>
          <w:b w:val="1"/>
          <w:bCs w:val="1"/>
          <w:color w:val="auto"/>
        </w:rPr>
        <w:t xml:space="preserve"> </w:t>
      </w:r>
      <w:r>
        <w:rPr>
          <w:rFonts w:ascii="Arial" w:cs="Arial" w:eastAsia="Arial" w:hAnsi="Arial"/>
          <w:sz w:val="16"/>
          <w:szCs w:val="16"/>
          <w:color w:val="auto"/>
        </w:rPr>
        <w:t>our high ethical standards, and our unwavering focus on solving big, complex problems. As we continue to grow, we remain committed to making significant investments to attract and retain top talent and promote DEI within our workforce and our communities.</w:t>
      </w:r>
    </w:p>
    <w:p>
      <w:pPr>
        <w:spacing w:after="0" w:line="161" w:lineRule="exact"/>
        <w:rPr>
          <w:sz w:val="20"/>
          <w:szCs w:val="20"/>
          <w:color w:val="auto"/>
        </w:rPr>
      </w:pPr>
    </w:p>
    <w:p>
      <w:pPr>
        <w:ind w:left="540" w:right="660"/>
        <w:spacing w:after="0" w:line="231" w:lineRule="auto"/>
        <w:rPr>
          <w:sz w:val="20"/>
          <w:szCs w:val="20"/>
          <w:color w:val="auto"/>
        </w:rPr>
      </w:pPr>
      <w:r>
        <w:rPr>
          <w:rFonts w:ascii="Arial" w:cs="Arial" w:eastAsia="Arial" w:hAnsi="Arial"/>
          <w:sz w:val="16"/>
          <w:szCs w:val="16"/>
          <w:color w:val="auto"/>
        </w:rPr>
        <w:t>The well-being of our employees is a primary focus. In response to the COVID-19 pandemic, we implemented changes in our business beginning in March 2020 to protect our employees and support appropriate health and safety protocols, such as work-from-home policies for a significant portion of our employees, increased physical distancing in workspaces, and regular testing. As the dynamics of the pandemic continue to evolve, we have adjusted our approach based on public health guidance and local community case rates. We have also established a workforce reintegration plan to facilitate our large-scale return to office, which is underway. The reintegration plan includes safety measures and procedures in compliance with local, state, and federal/national mandates.</w:t>
      </w:r>
    </w:p>
    <w:p>
      <w:pPr>
        <w:spacing w:after="0" w:line="166"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We also continue to advance our commitment to DEI. In 2021, we hired our Chief DEI Officer; launched a DEI strategy focused on creating a better workplace, better science, and better world; and implemented a new governance model that includes both an executive DEI council and a DEI leadership council. We seek to embed DEI across our business. For example, we have an executive-sponsored, DEI clinical trial taskforce to help ensure that our clinical trials represent the people who are most likely to benefit from the drug under investigation if it is approved. In addition, to increase access to clinical trials, we utilize DEI principles in making clinical trial decisions, such as the design and selection of sites. Our board of directors received a detailed update on our DEI efforts in 2021 and continues to monitor our progress. We continue to share our DEI progress and metrics in our 2021 Responsibility Report and publish consolidated EEO-1 data (data from annual reports submitted to the U.S. Equal Employment Opportunity Commission) on our website.</w:t>
      </w:r>
    </w:p>
    <w:p>
      <w:pPr>
        <w:spacing w:after="0" w:line="169" w:lineRule="exact"/>
        <w:rPr>
          <w:sz w:val="20"/>
          <w:szCs w:val="20"/>
          <w:color w:val="auto"/>
        </w:rPr>
      </w:pPr>
    </w:p>
    <w:p>
      <w:pPr>
        <w:ind w:left="540" w:right="620"/>
        <w:spacing w:after="0" w:line="234" w:lineRule="auto"/>
        <w:rPr>
          <w:sz w:val="20"/>
          <w:szCs w:val="20"/>
          <w:color w:val="auto"/>
        </w:rPr>
      </w:pPr>
      <w:r>
        <w:rPr>
          <w:rFonts w:ascii="Arial" w:cs="Arial" w:eastAsia="Arial" w:hAnsi="Arial"/>
          <w:sz w:val="16"/>
          <w:szCs w:val="16"/>
          <w:color w:val="auto"/>
        </w:rPr>
        <w:t>We are equally committed to conducting our business responsibly and ethically. This is demonstrated through the range of policies, practices, and initiatives we have implemented, encompassing areas such as compliance, responsible sales and marketing, ethical clinical trials, responsible supply chain, and product quality and safety.</w:t>
      </w:r>
    </w:p>
    <w:p>
      <w:pPr>
        <w:spacing w:after="0" w:line="117" w:lineRule="exact"/>
        <w:rPr>
          <w:sz w:val="20"/>
          <w:szCs w:val="20"/>
          <w:color w:val="auto"/>
        </w:rPr>
      </w:pPr>
    </w:p>
    <w:p>
      <w:pPr>
        <w:ind w:left="540" w:right="860"/>
        <w:spacing w:after="0" w:line="239" w:lineRule="auto"/>
        <w:rPr>
          <w:sz w:val="20"/>
          <w:szCs w:val="20"/>
          <w:color w:val="auto"/>
        </w:rPr>
      </w:pPr>
      <w:r>
        <w:rPr>
          <w:rFonts w:ascii="Arial" w:cs="Arial" w:eastAsia="Arial" w:hAnsi="Arial"/>
          <w:sz w:val="16"/>
          <w:szCs w:val="16"/>
          <w:b w:val="1"/>
          <w:bCs w:val="1"/>
          <w:color w:val="auto"/>
        </w:rPr>
        <w:t xml:space="preserve">Build sustainable communities. </w:t>
      </w:r>
      <w:r>
        <w:rPr>
          <w:rFonts w:ascii="Arial" w:cs="Arial" w:eastAsia="Arial" w:hAnsi="Arial"/>
          <w:sz w:val="16"/>
          <w:szCs w:val="16"/>
          <w:color w:val="auto"/>
        </w:rPr>
        <w:t>We believe that our role in creating a healthier world extends beyond creating life-transforming medicines to</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 healthy living environment. In 2019, in connection with the selection of our 2025 responsibility goals, we set ambitious medium- and longer-term environmental sustainability targets. We report on our continued progress toward these goals and targets in our Responsibility Reports.</w:t>
      </w:r>
    </w:p>
    <w:p>
      <w:pPr>
        <w:spacing w:after="0" w:line="165" w:lineRule="exact"/>
        <w:rPr>
          <w:sz w:val="20"/>
          <w:szCs w:val="20"/>
          <w:color w:val="auto"/>
        </w:rPr>
      </w:pPr>
    </w:p>
    <w:p>
      <w:pPr>
        <w:ind w:left="540" w:right="600"/>
        <w:spacing w:after="0" w:line="231" w:lineRule="auto"/>
        <w:rPr>
          <w:sz w:val="20"/>
          <w:szCs w:val="20"/>
          <w:color w:val="auto"/>
        </w:rPr>
      </w:pPr>
      <w:r>
        <w:rPr>
          <w:rFonts w:ascii="Arial" w:cs="Arial" w:eastAsia="Arial" w:hAnsi="Arial"/>
          <w:sz w:val="16"/>
          <w:szCs w:val="16"/>
          <w:color w:val="auto"/>
        </w:rPr>
        <w:t>We also strengthen our communities through strategic philanthropic investments, product donations, and the power of our employees’ talents and time. We are a long-standing supporter of science, technology, engineering and math (“STEM”) education, and make major philanthropic investments to inspire and celebrate future scientific innovators, including our ten-year, $100-million commitment to the Regeneron Science Talent Search, the nation’s most prestigious pre-college science and mathematics competition; and our five-year, $24-million commitment to the Regeneron International Science and Engineering Fair, the world’s largest pre-college science and engineering competition, which commenced in 2020. Over the past two years, we have provided STEM experiences to roughly 1.2 million students, putting us on track to achieve our goal of reaching 2.5 million STEM students by 2025.</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38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53" w:name="page54"/>
    <w:bookmarkEnd w:id="53"/>
    <w:p>
      <w:pPr>
        <w:jc w:val="right"/>
        <w:ind w:righ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900"/>
        <w:spacing w:after="0" w:line="234" w:lineRule="auto"/>
        <w:rPr>
          <w:sz w:val="20"/>
          <w:szCs w:val="20"/>
          <w:color w:val="auto"/>
        </w:rPr>
      </w:pPr>
      <w:r>
        <w:rPr>
          <w:rFonts w:ascii="Arial" w:cs="Arial" w:eastAsia="Arial" w:hAnsi="Arial"/>
          <w:sz w:val="16"/>
          <w:szCs w:val="16"/>
          <w:color w:val="auto"/>
        </w:rPr>
        <w:t xml:space="preserve">In 2021, despite the continued personal challenges of the COVID-19 pandemic, our employees mobilized to give back to our communities. Approximately 42% of Regeneron worldwide employees volunteered a total of more than 19,000 hours to non-profit organizations through our volunteer programs, including our fifth annual </w:t>
      </w:r>
      <w:r>
        <w:rPr>
          <w:rFonts w:ascii="Arial" w:cs="Arial" w:eastAsia="Arial" w:hAnsi="Arial"/>
          <w:sz w:val="16"/>
          <w:szCs w:val="16"/>
          <w:i w:val="1"/>
          <w:iCs w:val="1"/>
          <w:color w:val="auto"/>
        </w:rPr>
        <w:t>Day for Doing Good</w:t>
      </w:r>
      <w:r>
        <w:rPr>
          <w:rFonts w:ascii="Arial" w:cs="Arial" w:eastAsia="Arial" w:hAnsi="Arial"/>
          <w:sz w:val="16"/>
          <w:szCs w:val="16"/>
          <w:color w:val="auto"/>
        </w:rPr>
        <w:t>.</w:t>
      </w:r>
    </w:p>
    <w:p>
      <w:pPr>
        <w:spacing w:after="0" w:line="164" w:lineRule="exact"/>
        <w:rPr>
          <w:sz w:val="20"/>
          <w:szCs w:val="20"/>
          <w:color w:val="auto"/>
        </w:rPr>
      </w:pPr>
    </w:p>
    <w:p>
      <w:pPr>
        <w:ind w:left="540" w:right="680"/>
        <w:spacing w:after="0" w:line="236" w:lineRule="auto"/>
        <w:rPr>
          <w:sz w:val="20"/>
          <w:szCs w:val="20"/>
          <w:color w:val="auto"/>
        </w:rPr>
      </w:pPr>
      <w:r>
        <w:rPr>
          <w:rFonts w:ascii="Arial" w:cs="Arial" w:eastAsia="Arial" w:hAnsi="Arial"/>
          <w:sz w:val="16"/>
          <w:szCs w:val="16"/>
          <w:color w:val="auto"/>
        </w:rPr>
        <w:t>We are proud to have been named to the Civic 50 for the fifth consecutive year. The Civic 50 recognizes the most community-minded companies in the United States.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more information about our responsibility efforts and results, please refer to the 2021 Responsibility Report available on our website.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PUBLIC POLICY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680"/>
        <w:spacing w:after="0" w:line="232" w:lineRule="auto"/>
        <w:rPr>
          <w:sz w:val="20"/>
          <w:szCs w:val="20"/>
          <w:color w:val="auto"/>
        </w:rPr>
      </w:pPr>
      <w:r>
        <w:rPr>
          <w:rFonts w:ascii="Arial" w:cs="Arial" w:eastAsia="Arial" w:hAnsi="Arial"/>
          <w:sz w:val="16"/>
          <w:szCs w:val="16"/>
          <w:color w:val="auto"/>
        </w:rPr>
        <w:t xml:space="preserve">We are committed to adhering to the highest ethical standards when engaging in any political activities. Reflecting this commitment, the board of directors (upon the recommendation of the Corporate Governance and Compliance Committee) has adopted the Company’s Corporate Political Contributions Policy, a formal written policy that, together with our code of business conduct and ethics, sets forth our policies and procedures on political contributions and political activity. The policy is available on our website at </w:t>
      </w:r>
      <w:r>
        <w:rPr>
          <w:rFonts w:ascii="Arial" w:cs="Arial" w:eastAsia="Arial" w:hAnsi="Arial"/>
          <w:sz w:val="16"/>
          <w:szCs w:val="16"/>
          <w:b w:val="1"/>
          <w:bCs w:val="1"/>
          <w:color w:val="auto"/>
        </w:rPr>
        <w:t>www.regeneron.com</w:t>
      </w:r>
      <w:r>
        <w:rPr>
          <w:rFonts w:ascii="Arial" w:cs="Arial" w:eastAsia="Arial" w:hAnsi="Arial"/>
          <w:sz w:val="16"/>
          <w:szCs w:val="16"/>
          <w:color w:val="auto"/>
        </w:rPr>
        <w:t xml:space="preserve"> under the “Transparency &amp; Policies” heading on the “Responsibility” page.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maintain robust stock ownership guidelines for our directors, executive officers, and other senior executives,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101600</wp:posOffset>
            </wp:positionV>
            <wp:extent cx="64465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6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b w:val="1"/>
                <w:bCs w:val="1"/>
                <w:color w:val="215BA8"/>
              </w:rPr>
              <w:t>Non-Employee</w:t>
            </w:r>
          </w:p>
        </w:tc>
        <w:tc>
          <w:tcPr>
            <w:tcW w:w="3580" w:type="dxa"/>
            <w:vAlign w:val="bottom"/>
          </w:tcPr>
          <w:p>
            <w:pPr>
              <w:ind w:left="640"/>
              <w:spacing w:after="0"/>
              <w:rPr>
                <w:sz w:val="20"/>
                <w:szCs w:val="20"/>
                <w:color w:val="auto"/>
              </w:rPr>
            </w:pPr>
            <w:r>
              <w:rPr>
                <w:rFonts w:ascii="Arial" w:cs="Arial" w:eastAsia="Arial" w:hAnsi="Arial"/>
                <w:sz w:val="18"/>
                <w:szCs w:val="18"/>
                <w:b w:val="1"/>
                <w:bCs w:val="1"/>
                <w:color w:val="215BA8"/>
              </w:rPr>
              <w:t>CEO, CSO, and Chair of the</w:t>
            </w:r>
          </w:p>
        </w:tc>
        <w:tc>
          <w:tcPr>
            <w:tcW w:w="3060" w:type="dxa"/>
            <w:vAlign w:val="bottom"/>
          </w:tcPr>
          <w:p>
            <w:pPr>
              <w:ind w:left="600"/>
              <w:spacing w:after="0"/>
              <w:rPr>
                <w:sz w:val="20"/>
                <w:szCs w:val="20"/>
                <w:color w:val="auto"/>
              </w:rPr>
            </w:pPr>
            <w:r>
              <w:rPr>
                <w:rFonts w:ascii="Arial" w:cs="Arial" w:eastAsia="Arial" w:hAnsi="Arial"/>
                <w:sz w:val="18"/>
                <w:szCs w:val="18"/>
                <w:b w:val="1"/>
                <w:bCs w:val="1"/>
                <w:color w:val="215BA8"/>
              </w:rPr>
              <w:t>Other Executive Officers</w:t>
            </w: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b w:val="1"/>
                <w:bCs w:val="1"/>
                <w:color w:val="215BA8"/>
              </w:rPr>
              <w:t>Directors Stock Ownership</w:t>
            </w:r>
          </w:p>
        </w:tc>
        <w:tc>
          <w:tcPr>
            <w:tcW w:w="3580" w:type="dxa"/>
            <w:vAlign w:val="bottom"/>
          </w:tcPr>
          <w:p>
            <w:pPr>
              <w:ind w:left="640"/>
              <w:spacing w:after="0" w:line="202" w:lineRule="exact"/>
              <w:rPr>
                <w:sz w:val="20"/>
                <w:szCs w:val="20"/>
                <w:color w:val="auto"/>
              </w:rPr>
            </w:pPr>
            <w:r>
              <w:rPr>
                <w:rFonts w:ascii="Arial" w:cs="Arial" w:eastAsia="Arial" w:hAnsi="Arial"/>
                <w:sz w:val="18"/>
                <w:szCs w:val="18"/>
                <w:b w:val="1"/>
                <w:bCs w:val="1"/>
                <w:color w:val="215BA8"/>
              </w:rPr>
              <w:t>Board Stock Ownership</w:t>
            </w:r>
          </w:p>
        </w:tc>
        <w:tc>
          <w:tcPr>
            <w:tcW w:w="3060" w:type="dxa"/>
            <w:vAlign w:val="bottom"/>
          </w:tcPr>
          <w:p>
            <w:pPr>
              <w:ind w:left="600"/>
              <w:spacing w:after="0" w:line="202" w:lineRule="exact"/>
              <w:rPr>
                <w:sz w:val="20"/>
                <w:szCs w:val="20"/>
                <w:color w:val="auto"/>
              </w:rPr>
            </w:pPr>
            <w:r>
              <w:rPr>
                <w:rFonts w:ascii="Arial" w:cs="Arial" w:eastAsia="Arial" w:hAnsi="Arial"/>
                <w:sz w:val="18"/>
                <w:szCs w:val="18"/>
                <w:b w:val="1"/>
                <w:bCs w:val="1"/>
                <w:color w:val="215BA8"/>
                <w:w w:val="99"/>
              </w:rPr>
              <w:t>and Senior Executives Stock</w:t>
            </w:r>
          </w:p>
        </w:tc>
      </w:tr>
      <w:tr>
        <w:trPr>
          <w:trHeight w:val="239"/>
        </w:trPr>
        <w:tc>
          <w:tcPr>
            <w:tcW w:w="2940" w:type="dxa"/>
            <w:vAlign w:val="bottom"/>
          </w:tcPr>
          <w:p>
            <w:pPr>
              <w:spacing w:after="0"/>
              <w:rPr>
                <w:sz w:val="20"/>
                <w:szCs w:val="20"/>
                <w:color w:val="auto"/>
              </w:rPr>
            </w:pPr>
            <w:r>
              <w:rPr>
                <w:rFonts w:ascii="Arial" w:cs="Arial" w:eastAsia="Arial" w:hAnsi="Arial"/>
                <w:sz w:val="18"/>
                <w:szCs w:val="18"/>
                <w:b w:val="1"/>
                <w:bCs w:val="1"/>
                <w:color w:val="215BA8"/>
              </w:rPr>
              <w:t>Requirements</w:t>
            </w:r>
          </w:p>
        </w:tc>
        <w:tc>
          <w:tcPr>
            <w:tcW w:w="3580" w:type="dxa"/>
            <w:vAlign w:val="bottom"/>
          </w:tcPr>
          <w:p>
            <w:pPr>
              <w:ind w:left="640"/>
              <w:spacing w:after="0"/>
              <w:rPr>
                <w:sz w:val="20"/>
                <w:szCs w:val="20"/>
                <w:color w:val="auto"/>
              </w:rPr>
            </w:pPr>
            <w:r>
              <w:rPr>
                <w:rFonts w:ascii="Arial" w:cs="Arial" w:eastAsia="Arial" w:hAnsi="Arial"/>
                <w:sz w:val="18"/>
                <w:szCs w:val="18"/>
                <w:b w:val="1"/>
                <w:bCs w:val="1"/>
                <w:color w:val="215BA8"/>
              </w:rPr>
              <w:t>Requirements</w:t>
            </w:r>
          </w:p>
        </w:tc>
        <w:tc>
          <w:tcPr>
            <w:tcW w:w="3060" w:type="dxa"/>
            <w:vAlign w:val="bottom"/>
          </w:tcPr>
          <w:p>
            <w:pPr>
              <w:ind w:left="600"/>
              <w:spacing w:after="0"/>
              <w:rPr>
                <w:sz w:val="20"/>
                <w:szCs w:val="20"/>
                <w:color w:val="auto"/>
              </w:rPr>
            </w:pPr>
            <w:r>
              <w:rPr>
                <w:rFonts w:ascii="Arial" w:cs="Arial" w:eastAsia="Arial" w:hAnsi="Arial"/>
                <w:sz w:val="18"/>
                <w:szCs w:val="18"/>
                <w:b w:val="1"/>
                <w:bCs w:val="1"/>
                <w:color w:val="215BA8"/>
              </w:rPr>
              <w:t>Ownership Requirements</w:t>
            </w:r>
          </w:p>
        </w:tc>
      </w:tr>
    </w:tbl>
    <w:p>
      <w:pPr>
        <w:spacing w:after="0" w:line="108" w:lineRule="exact"/>
        <w:rPr>
          <w:sz w:val="20"/>
          <w:szCs w:val="20"/>
          <w:color w:val="auto"/>
        </w:rPr>
      </w:pPr>
    </w:p>
    <w:p>
      <w:pPr>
        <w:sectPr>
          <w:pgSz w:w="11900" w:h="16838" w:orient="portrait"/>
          <w:cols w:equalWidth="0" w:num="1">
            <w:col w:w="11240"/>
          </w:cols>
          <w:pgMar w:left="320" w:top="410" w:right="339" w:bottom="1440" w:gutter="0" w:footer="0" w:header="0"/>
        </w:sectPr>
      </w:pPr>
    </w:p>
    <w:p>
      <w:pPr>
        <w:ind w:left="540" w:right="40"/>
        <w:spacing w:after="0" w:line="259" w:lineRule="auto"/>
        <w:rPr>
          <w:sz w:val="20"/>
          <w:szCs w:val="20"/>
          <w:color w:val="auto"/>
        </w:rPr>
      </w:pPr>
      <w:r>
        <w:rPr>
          <w:rFonts w:ascii="Arial" w:cs="Arial" w:eastAsia="Arial" w:hAnsi="Arial"/>
          <w:sz w:val="16"/>
          <w:szCs w:val="16"/>
          <w:color w:val="auto"/>
        </w:rPr>
        <w:t xml:space="preserve">Must own shares with a value at least </w:t>
      </w:r>
      <w:r>
        <w:rPr>
          <w:rFonts w:ascii="Arial" w:cs="Arial" w:eastAsia="Arial" w:hAnsi="Arial"/>
          <w:sz w:val="16"/>
          <w:szCs w:val="16"/>
          <w:b w:val="1"/>
          <w:bCs w:val="1"/>
          <w:color w:val="D60058"/>
        </w:rPr>
        <w:t>3x</w:t>
      </w:r>
      <w:r>
        <w:rPr>
          <w:rFonts w:ascii="Arial" w:cs="Arial" w:eastAsia="Arial" w:hAnsi="Arial"/>
          <w:sz w:val="16"/>
          <w:szCs w:val="16"/>
          <w:color w:val="auto"/>
        </w:rPr>
        <w:t xml:space="preserve"> their annual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64770</wp:posOffset>
            </wp:positionV>
            <wp:extent cx="19373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6"/>
          <w:szCs w:val="16"/>
          <w:color w:val="auto"/>
        </w:rPr>
        <w:t xml:space="preserve">Must own shares with a value at least </w:t>
      </w:r>
      <w:r>
        <w:rPr>
          <w:rFonts w:ascii="Arial" w:cs="Arial" w:eastAsia="Arial" w:hAnsi="Arial"/>
          <w:sz w:val="16"/>
          <w:szCs w:val="16"/>
          <w:b w:val="1"/>
          <w:bCs w:val="1"/>
          <w:color w:val="D60058"/>
        </w:rPr>
        <w:t>6x</w:t>
      </w:r>
      <w:r>
        <w:rPr>
          <w:rFonts w:ascii="Arial" w:cs="Arial" w:eastAsia="Arial" w:hAnsi="Arial"/>
          <w:sz w:val="16"/>
          <w:szCs w:val="16"/>
          <w:color w:val="auto"/>
        </w:rPr>
        <w:t xml:space="preserve"> their respective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19373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760"/>
        <w:spacing w:after="0" w:line="259" w:lineRule="auto"/>
        <w:rPr>
          <w:sz w:val="20"/>
          <w:szCs w:val="20"/>
          <w:color w:val="auto"/>
        </w:rPr>
      </w:pPr>
      <w:r>
        <w:rPr>
          <w:rFonts w:ascii="Arial" w:cs="Arial" w:eastAsia="Arial" w:hAnsi="Arial"/>
          <w:sz w:val="16"/>
          <w:szCs w:val="16"/>
          <w:color w:val="auto"/>
        </w:rPr>
        <w:t xml:space="preserve">Must own shares with a value at least </w:t>
      </w:r>
      <w:r>
        <w:rPr>
          <w:rFonts w:ascii="Arial" w:cs="Arial" w:eastAsia="Arial" w:hAnsi="Arial"/>
          <w:sz w:val="16"/>
          <w:szCs w:val="16"/>
          <w:b w:val="1"/>
          <w:bCs w:val="1"/>
          <w:color w:val="D60058"/>
        </w:rPr>
        <w:t>2x</w:t>
      </w:r>
      <w:r>
        <w:rPr>
          <w:rFonts w:ascii="Arial" w:cs="Arial" w:eastAsia="Arial" w:hAnsi="Arial"/>
          <w:sz w:val="16"/>
          <w:szCs w:val="16"/>
          <w:color w:val="auto"/>
        </w:rPr>
        <w:t xml:space="preserve"> their respective 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19284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400" w:space="720"/>
            <w:col w:w="2820" w:space="720"/>
            <w:col w:w="3580"/>
          </w:cols>
          <w:pgMar w:left="320" w:top="410" w:right="339" w:bottom="1440" w:gutter="0" w:footer="0" w:header="0"/>
          <w:type w:val="continuous"/>
        </w:sectPr>
      </w:pP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39</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54" w:name="page55"/>
    <w:bookmarkEnd w:id="54"/>
    <w:p>
      <w:pPr>
        <w:ind w:left="1400"/>
        <w:spacing w:after="0"/>
        <w:rPr>
          <w:sz w:val="20"/>
          <w:szCs w:val="20"/>
          <w:color w:val="auto"/>
        </w:rPr>
      </w:pPr>
      <w:r>
        <w:rPr>
          <w:rFonts w:ascii="Arial" w:cs="Arial" w:eastAsia="Arial" w:hAnsi="Arial"/>
          <w:sz w:val="50"/>
          <w:szCs w:val="50"/>
          <w:b w:val="1"/>
          <w:bCs w:val="1"/>
          <w:color w:val="215AA8"/>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912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DELINQUENT SECTION 16(a)</w:t>
      </w:r>
    </w:p>
    <w:p>
      <w:pPr>
        <w:spacing w:after="0" w:line="70" w:lineRule="exact"/>
        <w:rPr>
          <w:sz w:val="20"/>
          <w:szCs w:val="20"/>
          <w:color w:val="auto"/>
        </w:rPr>
      </w:pPr>
    </w:p>
    <w:p>
      <w:pPr>
        <w:ind w:left="1400"/>
        <w:spacing w:after="0"/>
        <w:rPr>
          <w:sz w:val="20"/>
          <w:szCs w:val="20"/>
          <w:color w:val="auto"/>
        </w:rPr>
      </w:pPr>
      <w:r>
        <w:rPr>
          <w:rFonts w:ascii="Arial" w:cs="Arial" w:eastAsia="Arial" w:hAnsi="Arial"/>
          <w:sz w:val="50"/>
          <w:szCs w:val="50"/>
          <w:b w:val="1"/>
          <w:bCs w:val="1"/>
          <w:color w:val="215AA8"/>
        </w:rPr>
        <w:t>REPORTS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right="700"/>
        <w:spacing w:after="0" w:line="232" w:lineRule="auto"/>
        <w:rPr>
          <w:sz w:val="20"/>
          <w:szCs w:val="20"/>
          <w:color w:val="auto"/>
        </w:rPr>
      </w:pPr>
      <w:r>
        <w:rPr>
          <w:rFonts w:ascii="Arial" w:cs="Arial" w:eastAsia="Arial" w:hAnsi="Arial"/>
          <w:sz w:val="16"/>
          <w:szCs w:val="16"/>
          <w:color w:val="auto"/>
        </w:rPr>
        <w:t>Based solely upon a review of reports filed pursuant to Section 16(a) of the Exchange Act furnished to the Company during or in respect of the fiscal year ended December 31, 2021 and written representations from reporting persons, the Company is not aware of any director, executive officer, or beneficial owner of more than 10% of our common stock who has not filed on a timely basis any report required by such Section 16(a), other than as noted below.</w:t>
      </w:r>
    </w:p>
    <w:p>
      <w:pPr>
        <w:spacing w:after="0" w:line="166" w:lineRule="exact"/>
        <w:rPr>
          <w:sz w:val="20"/>
          <w:szCs w:val="20"/>
          <w:color w:val="auto"/>
        </w:rPr>
      </w:pPr>
    </w:p>
    <w:p>
      <w:pPr>
        <w:ind w:left="540" w:right="720"/>
        <w:spacing w:after="0" w:line="234" w:lineRule="auto"/>
        <w:rPr>
          <w:sz w:val="20"/>
          <w:szCs w:val="20"/>
          <w:color w:val="auto"/>
        </w:rPr>
      </w:pPr>
      <w:r>
        <w:rPr>
          <w:rFonts w:ascii="Arial" w:cs="Arial" w:eastAsia="Arial" w:hAnsi="Arial"/>
          <w:sz w:val="16"/>
          <w:szCs w:val="16"/>
          <w:color w:val="auto"/>
        </w:rPr>
        <w:t>Due to administrative oversight, one transaction exempt from Section 16(b) of the Exchange Act pursuant to Rule 16b-3 thereof consisting of payment of exercise price and tax liability by delivering to, or withholding by, the Company securities incident to the exercise of a stock option for Mr. Fenimore was not reported timely, resulting in one Form 4 not having been filed for him on a timely basis.</w:t>
      </w:r>
    </w:p>
    <w:p>
      <w:pPr>
        <w:spacing w:after="0" w:line="18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40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55" w:name="page56"/>
    <w:bookmarkEnd w:id="55"/>
    <w:p>
      <w:pPr>
        <w:ind w:left="1400" w:right="2120"/>
        <w:spacing w:after="0" w:line="282" w:lineRule="auto"/>
        <w:rPr>
          <w:sz w:val="20"/>
          <w:szCs w:val="20"/>
          <w:color w:val="auto"/>
        </w:rPr>
      </w:pPr>
      <w:r>
        <w:rPr>
          <w:rFonts w:ascii="Arial" w:cs="Arial" w:eastAsia="Arial" w:hAnsi="Arial"/>
          <w:sz w:val="50"/>
          <w:szCs w:val="50"/>
          <w:b w:val="1"/>
          <w:bCs w:val="1"/>
          <w:color w:val="215BA8"/>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172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17295"/>
                    </a:xfrm>
                    <a:prstGeom prst="rect">
                      <a:avLst/>
                    </a:prstGeom>
                    <a:noFill/>
                  </pic:spPr>
                </pic:pic>
              </a:graphicData>
            </a:graphic>
          </wp:anchor>
        </w:drawing>
        <w:t>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REVIEW, APPROVAL, OR RATIFICATION OF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620"/>
        <w:spacing w:after="0" w:line="230" w:lineRule="auto"/>
        <w:rPr>
          <w:sz w:val="20"/>
          <w:szCs w:val="20"/>
          <w:color w:val="auto"/>
        </w:rPr>
      </w:pPr>
      <w:r>
        <w:rPr>
          <w:rFonts w:ascii="Arial" w:cs="Arial" w:eastAsia="Arial" w:hAnsi="Arial"/>
          <w:sz w:val="16"/>
          <w:szCs w:val="16"/>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in any calendar year, and a director, officer, more than 5% holder of our voting securities, any immediate family member of any of the foregoing, or any related entity of any of the foregoing has a direct or indirect material interest to constitute related person transactions. The policy provides for a standing pre-approval of transactions with any passive institutional shareholder who holds more than 5% of our voting securities and transactions where all shareholders receive proportional benefits. With respect to any new transaction that is deemed pre-approved, the Audit Committee receives a summary of each such transaction and retains the ability to require that one or more of such transactions be subject to the standard approval procedures. The policy also requires that the arrangements relating to a permanent, full-time employment of an immediate family member of a director or executive officer hired by the Company be approved in accordance with the policy. In addition, in the event a person is or becomes a director or executive officer of the Company and an immediate family member of such person is a permanent, full-time employee of the Company, no material, outside-of-the-ordinary-course-of-business change in the terms of employment, including compensation, are permitted to be made without the prior approval of the Audit Committee (except, if the immediate family member is himself or herself an executive officer of the Company, any proposed change in the terms of employment are reviewed and approved in the same manner as compensatory arrangements of other executive officers).</w:t>
      </w:r>
    </w:p>
    <w:p>
      <w:pPr>
        <w:spacing w:after="0" w:line="164" w:lineRule="exact"/>
        <w:rPr>
          <w:sz w:val="20"/>
          <w:szCs w:val="20"/>
          <w:color w:val="auto"/>
        </w:rPr>
      </w:pPr>
    </w:p>
    <w:p>
      <w:pPr>
        <w:ind w:left="540" w:right="680"/>
        <w:spacing w:after="0" w:line="232" w:lineRule="auto"/>
        <w:rPr>
          <w:sz w:val="20"/>
          <w:szCs w:val="20"/>
          <w:color w:val="auto"/>
        </w:rPr>
      </w:pPr>
      <w:r>
        <w:rPr>
          <w:rFonts w:ascii="Arial" w:cs="Arial" w:eastAsia="Arial" w:hAnsi="Arial"/>
          <w:sz w:val="16"/>
          <w:szCs w:val="16"/>
          <w:color w:val="auto"/>
        </w:rPr>
        <w:t>The board of directors has determined that the members of the Audit Committee are best suited to review and approve related person transactions. Accordingly, each related person transaction (other than a transaction that is deemed pre-approved as described above) must be reviewed and approved or ratified by the members of the Audit Committee, other than any member of the Audit Committee that has an interest in the transaction. Under the policy, the Chair of the Audit Committee is delegated the authority to approve certain related person transactions that require urgent review and approval.</w:t>
      </w:r>
    </w:p>
    <w:p>
      <w:pPr>
        <w:spacing w:after="0" w:line="164" w:lineRule="exact"/>
        <w:rPr>
          <w:sz w:val="20"/>
          <w:szCs w:val="20"/>
          <w:color w:val="auto"/>
        </w:rPr>
      </w:pPr>
    </w:p>
    <w:p>
      <w:pPr>
        <w:ind w:left="540" w:right="540"/>
        <w:spacing w:after="0" w:line="232" w:lineRule="auto"/>
        <w:rPr>
          <w:sz w:val="20"/>
          <w:szCs w:val="20"/>
          <w:color w:val="auto"/>
        </w:rPr>
      </w:pPr>
      <w:r>
        <w:rPr>
          <w:rFonts w:ascii="Arial" w:cs="Arial" w:eastAsia="Arial" w:hAnsi="Arial"/>
          <w:sz w:val="16"/>
          <w:szCs w:val="16"/>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 employees in general, if applicable. Related person transactions are approved only if the Audit Committee (or the Chair of the Audit Committee pursuant to delegated authority in the circumstances noted above) determines that they are in, or are not inconsistent with, the best interests of the Company and our shareholders.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Stanford University</w:t>
      </w:r>
    </w:p>
    <w:p>
      <w:pPr>
        <w:spacing w:after="0" w:line="201" w:lineRule="exact"/>
        <w:rPr>
          <w:sz w:val="20"/>
          <w:szCs w:val="20"/>
          <w:color w:val="auto"/>
        </w:rPr>
      </w:pPr>
    </w:p>
    <w:p>
      <w:pPr>
        <w:ind w:left="540" w:right="600"/>
        <w:spacing w:after="0" w:line="232" w:lineRule="auto"/>
        <w:rPr>
          <w:sz w:val="20"/>
          <w:szCs w:val="20"/>
          <w:color w:val="auto"/>
        </w:rPr>
      </w:pPr>
      <w:r>
        <w:rPr>
          <w:rFonts w:ascii="Arial" w:cs="Arial" w:eastAsia="Arial" w:hAnsi="Arial"/>
          <w:sz w:val="16"/>
          <w:szCs w:val="16"/>
          <w:color w:val="auto"/>
        </w:rPr>
        <w:t>Effective September 1, 2016, Dr. Tessier-Lavigne became the President of Stanford University. In 2021, we made payments to Stanford University of approximately $141,000 in the aggregate relating primarily to (i) a medical education fellowship grant and (ii) services provided in connection with a clinical trial entered into in the ordinary course of business. In 2022 through the end of the first quarter, we made a payment to Stanford of $5,000 consisting of a contractual royalty payment.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41</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753" w:right="339" w:bottom="1440" w:gutter="0" w:footer="0" w:header="0"/>
        </w:sectPr>
      </w:pPr>
    </w:p>
    <w:bookmarkStart w:id="56" w:name="page57"/>
    <w:bookmarkEnd w:id="56"/>
    <w:p>
      <w:pPr>
        <w:ind w:lef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Indemnification of Directors and Officers</w:t>
      </w:r>
    </w:p>
    <w:p>
      <w:pPr>
        <w:spacing w:after="0" w:line="201" w:lineRule="exact"/>
        <w:rPr>
          <w:sz w:val="20"/>
          <w:szCs w:val="20"/>
          <w:color w:val="auto"/>
        </w:rPr>
      </w:pPr>
    </w:p>
    <w:p>
      <w:pPr>
        <w:ind w:left="540" w:right="540"/>
        <w:spacing w:after="0" w:line="230" w:lineRule="auto"/>
        <w:rPr>
          <w:sz w:val="20"/>
          <w:szCs w:val="20"/>
          <w:color w:val="auto"/>
        </w:rPr>
      </w:pPr>
      <w:r>
        <w:rPr>
          <w:rFonts w:ascii="Arial" w:cs="Arial" w:eastAsia="Arial" w:hAnsi="Arial"/>
          <w:sz w:val="16"/>
          <w:szCs w:val="16"/>
          <w:color w:val="auto"/>
        </w:rPr>
        <w:t>Our Certificate of Incorporation provides that, to the fullest extent permitted under the New York Business Corporation Law, no director or officer of our Company shall be personally liable to the Company or its shareholders for monetary damages for any breach of fiduciary duty in such capacity. In addition, our Amended and Restated By-Laws provide that we shall indemnify our directors and certain of our other personnel against expenses (including attorneys’ fees) and certain other liabilities, including judgments, fines, and amounts paid in settlement, arising out of or incurred as a result of legal actions brought or threatened against them by reason of their position in our Company, subject to certain qualifications and provided that each such person acted in good faith, in a manner that they reasonably believed was in the Company’s best interest, and, where applicable, not unlawful. Subject to the provisions of our Certificate of Incorporation, our Amended and Restated By-Laws, and the New York Business Corporation Law, we may also advance expenses of the individuals entitled to indemnification.</w:t>
      </w:r>
    </w:p>
    <w:p>
      <w:pPr>
        <w:spacing w:after="0" w:line="189"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42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57" w:name="page58"/>
    <w:bookmarkEnd w:id="5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084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084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47"/>
          <w:szCs w:val="47"/>
          <w:b w:val="1"/>
          <w:bCs w:val="1"/>
          <w:color w:val="215AA8"/>
        </w:rPr>
        <w:t>AUDIT MATTERS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540" w:right="580"/>
        <w:spacing w:after="0" w:line="230" w:lineRule="auto"/>
        <w:rPr>
          <w:sz w:val="20"/>
          <w:szCs w:val="20"/>
          <w:color w:val="auto"/>
        </w:rPr>
      </w:pPr>
      <w:r>
        <w:rPr>
          <w:rFonts w:ascii="Arial" w:cs="Arial" w:eastAsia="Arial" w:hAnsi="Arial"/>
          <w:sz w:val="16"/>
          <w:szCs w:val="16"/>
          <w:color w:val="auto"/>
        </w:rPr>
        <w:t>The Audit Committee has appointed PricewaterhouseCoopers LLP as the Company’s independent registered public accounting firm for the fiscal year ending December 31, 2022. PricewaterhouseCoopers LLP (or its predecessor) has audited the Company’s financial statements for the past 33 years. The Audit Committee believes that the continued engagement of one independent registered public accounting firm contributes to higher quality audit work and greater operational efficiencies by leveraging PricewaterhouseCoopers LLP’s deep institutional knowledge of our operations and business, accounting policies and practices, and internal controls. SEC rules and PricewaterhouseCoopers LLP policies require the lead audit partner to be rotated at least every five years. The Audit Committee and its Chair are involved in the selection of PricewaterhouseCoopers LLP’s lead audit partner pursuant to this rotation. A new lead audit partner has been selected beginning with the fiscal year 2022 audit. Additionally, in order to ensure continuing auditor independence, the Audit Committee periodically considers whether there should be a regular rotation of the Company’s independent registered public accounting firm.</w:t>
      </w:r>
    </w:p>
    <w:p>
      <w:pPr>
        <w:spacing w:after="0" w:line="155" w:lineRule="exact"/>
        <w:rPr>
          <w:sz w:val="20"/>
          <w:szCs w:val="20"/>
          <w:color w:val="auto"/>
        </w:rPr>
      </w:pPr>
    </w:p>
    <w:p>
      <w:pPr>
        <w:ind w:left="540" w:right="720"/>
        <w:spacing w:after="0" w:line="236" w:lineRule="auto"/>
        <w:rPr>
          <w:sz w:val="20"/>
          <w:szCs w:val="20"/>
          <w:color w:val="auto"/>
        </w:rPr>
      </w:pPr>
      <w:r>
        <w:rPr>
          <w:rFonts w:ascii="Arial" w:cs="Arial" w:eastAsia="Arial" w:hAnsi="Arial"/>
          <w:sz w:val="16"/>
          <w:szCs w:val="16"/>
          <w:color w:val="auto"/>
        </w:rPr>
        <w:t>The Audit Committee and the board of directors believe that the continued retention of PricewaterhouseCoopers LLP to serve as the Company’s independent registered public accounting firm is in the best interests of the Company and its shareholders.</w:t>
      </w:r>
    </w:p>
    <w:p>
      <w:pPr>
        <w:spacing w:after="0" w:line="151" w:lineRule="exact"/>
        <w:rPr>
          <w:sz w:val="20"/>
          <w:szCs w:val="20"/>
          <w:color w:val="auto"/>
        </w:rPr>
      </w:pPr>
    </w:p>
    <w:p>
      <w:pPr>
        <w:ind w:left="540" w:right="640"/>
        <w:spacing w:after="0" w:line="230"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2022 be submitted for ratification by the shareholders at the 2022 Annual Meeting. Shareholder ratification of the appointment of PricewaterhouseCoopers LLP as the Company’s independent registered public accounting firm for fiscal year 2022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2022, the board of directors will consider the matter at its next meeting. Even if the selection is ratified, the Audit Committee may in its discretion select a different independent registered public accounting firm at any time during the year if it determines that such a change would be in the best interests of the Company and its shareholders.</w:t>
      </w:r>
    </w:p>
    <w:p>
      <w:pPr>
        <w:spacing w:after="0" w:line="155" w:lineRule="exact"/>
        <w:rPr>
          <w:sz w:val="20"/>
          <w:szCs w:val="20"/>
          <w:color w:val="auto"/>
        </w:rPr>
      </w:pPr>
    </w:p>
    <w:p>
      <w:pPr>
        <w:jc w:val="both"/>
        <w:ind w:left="540" w:right="780"/>
        <w:spacing w:after="0" w:line="234" w:lineRule="auto"/>
        <w:rPr>
          <w:sz w:val="20"/>
          <w:szCs w:val="20"/>
          <w:color w:val="auto"/>
        </w:rPr>
      </w:pPr>
      <w:r>
        <w:rPr>
          <w:rFonts w:ascii="Arial" w:cs="Arial" w:eastAsia="Arial" w:hAnsi="Arial"/>
          <w:sz w:val="16"/>
          <w:szCs w:val="16"/>
          <w:color w:val="auto"/>
        </w:rPr>
        <w:t>PricewaterhouseCoopers LLP has advised the Company that it will have in attendance at the 2022 Annual Meeting a representative who will be afforded an opportunity to make a statement, if such representative desires to do so, and will respond to appropriate questions presented at the 2022 Annual Meeting.</w:t>
      </w:r>
    </w:p>
    <w:p>
      <w:pPr>
        <w:spacing w:after="0" w:line="120" w:lineRule="exact"/>
        <w:rPr>
          <w:sz w:val="20"/>
          <w:szCs w:val="20"/>
          <w:color w:val="auto"/>
        </w:rPr>
      </w:pPr>
    </w:p>
    <w:p>
      <w:pPr>
        <w:ind w:left="540" w:right="580"/>
        <w:spacing w:after="0" w:line="298" w:lineRule="auto"/>
        <w:rPr>
          <w:sz w:val="20"/>
          <w:szCs w:val="20"/>
          <w:color w:val="auto"/>
        </w:rPr>
      </w:pPr>
      <w:r>
        <w:rPr>
          <w:rFonts w:ascii="Arial" w:cs="Arial" w:eastAsia="Arial" w:hAnsi="Arial"/>
          <w:sz w:val="23"/>
          <w:szCs w:val="23"/>
          <w:b w:val="1"/>
          <w:bCs w:val="1"/>
          <w:color w:val="D60058"/>
        </w:rPr>
        <w:t>INFORMATION ABOUT FEES PAID TO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-41275</wp:posOffset>
            </wp:positionV>
            <wp:extent cx="64465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96" w:lineRule="exact"/>
        <w:rPr>
          <w:sz w:val="20"/>
          <w:szCs w:val="20"/>
          <w:color w:val="auto"/>
        </w:rPr>
      </w:pPr>
    </w:p>
    <w:p>
      <w:pPr>
        <w:ind w:left="540" w:right="780"/>
        <w:spacing w:after="0" w:line="236" w:lineRule="auto"/>
        <w:rPr>
          <w:sz w:val="20"/>
          <w:szCs w:val="20"/>
          <w:color w:val="auto"/>
        </w:rPr>
      </w:pPr>
      <w:r>
        <w:rPr>
          <w:rFonts w:ascii="Arial" w:cs="Arial" w:eastAsia="Arial" w:hAnsi="Arial"/>
          <w:sz w:val="16"/>
          <w:szCs w:val="16"/>
          <w:color w:val="auto"/>
        </w:rPr>
        <w:t>Aggregate fees incurred related to services provided to the Company by PricewaterhouseCoopers LLP for the years ended December 31, 2021 and 2020 were: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4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2600" w:type="dxa"/>
            <w:vAlign w:val="bottom"/>
          </w:tcPr>
          <w:p>
            <w:pPr>
              <w:jc w:val="right"/>
              <w:ind w:right="590"/>
              <w:spacing w:after="0"/>
              <w:rPr>
                <w:sz w:val="20"/>
                <w:szCs w:val="20"/>
                <w:color w:val="auto"/>
              </w:rPr>
            </w:pPr>
            <w:r>
              <w:rPr>
                <w:rFonts w:ascii="Arial" w:cs="Arial" w:eastAsia="Arial" w:hAnsi="Arial"/>
                <w:sz w:val="12"/>
                <w:szCs w:val="12"/>
                <w:b w:val="1"/>
                <w:bCs w:val="1"/>
                <w:color w:val="215BA8"/>
              </w:rPr>
              <w:t>2021 ($)</w:t>
            </w:r>
          </w:p>
        </w:tc>
        <w:tc>
          <w:tcPr>
            <w:tcW w:w="1360" w:type="dxa"/>
            <w:vAlign w:val="bottom"/>
          </w:tcPr>
          <w:p>
            <w:pPr>
              <w:jc w:val="right"/>
              <w:spacing w:after="0"/>
              <w:rPr>
                <w:sz w:val="20"/>
                <w:szCs w:val="20"/>
                <w:color w:val="auto"/>
              </w:rPr>
            </w:pPr>
            <w:r>
              <w:rPr>
                <w:rFonts w:ascii="Arial" w:cs="Arial" w:eastAsia="Arial" w:hAnsi="Arial"/>
                <w:sz w:val="12"/>
                <w:szCs w:val="12"/>
                <w:b w:val="1"/>
                <w:bCs w:val="1"/>
                <w:color w:val="215BA8"/>
              </w:rPr>
              <w:t>2020 ($)</w:t>
            </w:r>
          </w:p>
        </w:tc>
        <w:tc>
          <w:tcPr>
            <w:tcW w:w="540" w:type="dxa"/>
            <w:vAlign w:val="bottom"/>
          </w:tcPr>
          <w:p>
            <w:pPr>
              <w:spacing w:after="0"/>
              <w:rPr>
                <w:sz w:val="13"/>
                <w:szCs w:val="13"/>
                <w:color w:val="auto"/>
              </w:rPr>
            </w:pPr>
          </w:p>
        </w:tc>
      </w:tr>
      <w:tr>
        <w:trPr>
          <w:trHeight w:val="27"/>
        </w:trPr>
        <w:tc>
          <w:tcPr>
            <w:tcW w:w="540" w:type="dxa"/>
            <w:vAlign w:val="bottom"/>
          </w:tcPr>
          <w:p>
            <w:pPr>
              <w:spacing w:after="0"/>
              <w:rPr>
                <w:sz w:val="2"/>
                <w:szCs w:val="2"/>
                <w:color w:val="auto"/>
              </w:rPr>
            </w:pPr>
          </w:p>
        </w:tc>
        <w:tc>
          <w:tcPr>
            <w:tcW w:w="6200" w:type="dxa"/>
            <w:vAlign w:val="bottom"/>
            <w:tcBorders>
              <w:bottom w:val="single" w:sz="8" w:color="215AA8"/>
            </w:tcBorders>
          </w:tcPr>
          <w:p>
            <w:pPr>
              <w:spacing w:after="0"/>
              <w:rPr>
                <w:sz w:val="2"/>
                <w:szCs w:val="2"/>
                <w:color w:val="auto"/>
              </w:rPr>
            </w:pPr>
          </w:p>
        </w:tc>
        <w:tc>
          <w:tcPr>
            <w:tcW w:w="2600" w:type="dxa"/>
            <w:vAlign w:val="bottom"/>
            <w:tcBorders>
              <w:bottom w:val="single" w:sz="8" w:color="215AA8"/>
            </w:tcBorders>
          </w:tcPr>
          <w:p>
            <w:pPr>
              <w:spacing w:after="0"/>
              <w:rPr>
                <w:sz w:val="2"/>
                <w:szCs w:val="2"/>
                <w:color w:val="auto"/>
              </w:rPr>
            </w:pPr>
          </w:p>
        </w:tc>
        <w:tc>
          <w:tcPr>
            <w:tcW w:w="1360" w:type="dxa"/>
            <w:vAlign w:val="bottom"/>
            <w:tcBorders>
              <w:bottom w:val="single" w:sz="8" w:color="215AA8"/>
            </w:tcBorders>
          </w:tcPr>
          <w:p>
            <w:pPr>
              <w:spacing w:after="0"/>
              <w:rPr>
                <w:sz w:val="2"/>
                <w:szCs w:val="2"/>
                <w:color w:val="auto"/>
              </w:rPr>
            </w:pPr>
          </w:p>
        </w:tc>
        <w:tc>
          <w:tcPr>
            <w:tcW w:w="540" w:type="dxa"/>
            <w:vAlign w:val="bottom"/>
          </w:tcPr>
          <w:p>
            <w:pPr>
              <w:spacing w:after="0"/>
              <w:rPr>
                <w:sz w:val="2"/>
                <w:szCs w:val="2"/>
                <w:color w:val="auto"/>
              </w:rPr>
            </w:pPr>
          </w:p>
        </w:tc>
      </w:tr>
      <w:tr>
        <w:trPr>
          <w:trHeight w:val="210"/>
        </w:trPr>
        <w:tc>
          <w:tcPr>
            <w:tcW w:w="540" w:type="dxa"/>
            <w:vAlign w:val="bottom"/>
          </w:tcPr>
          <w:p>
            <w:pPr>
              <w:spacing w:after="0"/>
              <w:rPr>
                <w:sz w:val="18"/>
                <w:szCs w:val="18"/>
                <w:color w:val="auto"/>
              </w:rPr>
            </w:pPr>
          </w:p>
        </w:tc>
        <w:tc>
          <w:tcPr>
            <w:tcW w:w="6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Audit Fees</w:t>
            </w:r>
          </w:p>
        </w:tc>
        <w:tc>
          <w:tcPr>
            <w:tcW w:w="26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2,586,740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2,793,153</w:t>
            </w:r>
          </w:p>
        </w:tc>
        <w:tc>
          <w:tcPr>
            <w:tcW w:w="54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620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4"/>
                <w:szCs w:val="14"/>
                <w:color w:val="auto"/>
              </w:rPr>
              <w:t>Audit-Related Fees</w:t>
            </w:r>
          </w:p>
        </w:tc>
        <w:tc>
          <w:tcPr>
            <w:tcW w:w="2600" w:type="dxa"/>
            <w:vAlign w:val="bottom"/>
            <w:tcBorders>
              <w:bottom w:val="single" w:sz="8" w:color="auto"/>
            </w:tcBorders>
            <w:shd w:val="clear" w:color="auto" w:fill="EEEEEF"/>
          </w:tcPr>
          <w:p>
            <w:pPr>
              <w:jc w:val="right"/>
              <w:ind w:right="590"/>
              <w:spacing w:after="0"/>
              <w:rPr>
                <w:sz w:val="20"/>
                <w:szCs w:val="20"/>
                <w:color w:val="auto"/>
              </w:rPr>
            </w:pPr>
            <w:r>
              <w:rPr>
                <w:rFonts w:ascii="Arial" w:cs="Arial" w:eastAsia="Arial" w:hAnsi="Arial"/>
                <w:sz w:val="14"/>
                <w:szCs w:val="14"/>
                <w:color w:val="auto"/>
              </w:rPr>
              <w:t>64,500</w:t>
            </w:r>
          </w:p>
        </w:tc>
        <w:tc>
          <w:tcPr>
            <w:tcW w:w="1360" w:type="dxa"/>
            <w:vAlign w:val="bottom"/>
            <w:tcBorders>
              <w:bottom w:val="single" w:sz="8" w:color="auto"/>
            </w:tcBorders>
            <w:shd w:val="clear" w:color="auto" w:fill="EEEEEF"/>
          </w:tcPr>
          <w:p>
            <w:pPr>
              <w:jc w:val="right"/>
              <w:spacing w:after="0"/>
              <w:rPr>
                <w:sz w:val="20"/>
                <w:szCs w:val="20"/>
                <w:color w:val="auto"/>
              </w:rPr>
            </w:pPr>
            <w:r>
              <w:rPr>
                <w:rFonts w:ascii="Arial" w:cs="Arial" w:eastAsia="Arial" w:hAnsi="Arial"/>
                <w:sz w:val="14"/>
                <w:szCs w:val="14"/>
                <w:color w:val="auto"/>
              </w:rPr>
              <w:t>254,500</w:t>
            </w:r>
          </w:p>
        </w:tc>
        <w:tc>
          <w:tcPr>
            <w:tcW w:w="540" w:type="dxa"/>
            <w:vAlign w:val="bottom"/>
          </w:tcPr>
          <w:p>
            <w:pPr>
              <w:spacing w:after="0"/>
              <w:rPr>
                <w:sz w:val="18"/>
                <w:szCs w:val="18"/>
                <w:color w:val="auto"/>
              </w:rPr>
            </w:pPr>
          </w:p>
        </w:tc>
      </w:tr>
      <w:tr>
        <w:trPr>
          <w:trHeight w:val="210"/>
        </w:trPr>
        <w:tc>
          <w:tcPr>
            <w:tcW w:w="540" w:type="dxa"/>
            <w:vAlign w:val="bottom"/>
          </w:tcPr>
          <w:p>
            <w:pPr>
              <w:spacing w:after="0"/>
              <w:rPr>
                <w:sz w:val="18"/>
                <w:szCs w:val="18"/>
                <w:color w:val="auto"/>
              </w:rPr>
            </w:pPr>
          </w:p>
        </w:tc>
        <w:tc>
          <w:tcPr>
            <w:tcW w:w="6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Tax Fees</w:t>
            </w:r>
          </w:p>
        </w:tc>
        <w:tc>
          <w:tcPr>
            <w:tcW w:w="26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303,101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72,000</w:t>
            </w:r>
          </w:p>
        </w:tc>
        <w:tc>
          <w:tcPr>
            <w:tcW w:w="540" w:type="dxa"/>
            <w:vAlign w:val="bottom"/>
          </w:tcPr>
          <w:p>
            <w:pPr>
              <w:spacing w:after="0"/>
              <w:rPr>
                <w:sz w:val="18"/>
                <w:szCs w:val="18"/>
                <w:color w:val="auto"/>
              </w:rPr>
            </w:pPr>
          </w:p>
        </w:tc>
      </w:tr>
      <w:tr>
        <w:trPr>
          <w:trHeight w:val="210"/>
        </w:trPr>
        <w:tc>
          <w:tcPr>
            <w:tcW w:w="540" w:type="dxa"/>
            <w:vAlign w:val="bottom"/>
          </w:tcPr>
          <w:p>
            <w:pPr>
              <w:spacing w:after="0"/>
              <w:rPr>
                <w:sz w:val="18"/>
                <w:szCs w:val="18"/>
                <w:color w:val="auto"/>
              </w:rPr>
            </w:pPr>
          </w:p>
        </w:tc>
        <w:tc>
          <w:tcPr>
            <w:tcW w:w="620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4"/>
                <w:szCs w:val="14"/>
                <w:color w:val="auto"/>
              </w:rPr>
              <w:t>All Other Fees</w:t>
            </w:r>
          </w:p>
        </w:tc>
        <w:tc>
          <w:tcPr>
            <w:tcW w:w="2600" w:type="dxa"/>
            <w:vAlign w:val="bottom"/>
            <w:tcBorders>
              <w:bottom w:val="single" w:sz="8" w:color="auto"/>
            </w:tcBorders>
            <w:shd w:val="clear" w:color="auto" w:fill="EEEEEF"/>
          </w:tcPr>
          <w:p>
            <w:pPr>
              <w:jc w:val="right"/>
              <w:ind w:right="590"/>
              <w:spacing w:after="0"/>
              <w:rPr>
                <w:sz w:val="20"/>
                <w:szCs w:val="20"/>
                <w:color w:val="auto"/>
              </w:rPr>
            </w:pPr>
            <w:r>
              <w:rPr>
                <w:rFonts w:ascii="Arial" w:cs="Arial" w:eastAsia="Arial" w:hAnsi="Arial"/>
                <w:sz w:val="14"/>
                <w:szCs w:val="14"/>
                <w:color w:val="auto"/>
              </w:rPr>
              <w:t>4,194</w:t>
            </w:r>
          </w:p>
        </w:tc>
        <w:tc>
          <w:tcPr>
            <w:tcW w:w="1360" w:type="dxa"/>
            <w:vAlign w:val="bottom"/>
            <w:tcBorders>
              <w:bottom w:val="single" w:sz="8" w:color="auto"/>
            </w:tcBorders>
            <w:shd w:val="clear" w:color="auto" w:fill="EEEEEF"/>
          </w:tcPr>
          <w:p>
            <w:pPr>
              <w:jc w:val="right"/>
              <w:spacing w:after="0"/>
              <w:rPr>
                <w:sz w:val="20"/>
                <w:szCs w:val="20"/>
                <w:color w:val="auto"/>
              </w:rPr>
            </w:pPr>
            <w:r>
              <w:rPr>
                <w:rFonts w:ascii="Arial" w:cs="Arial" w:eastAsia="Arial" w:hAnsi="Arial"/>
                <w:sz w:val="14"/>
                <w:szCs w:val="14"/>
                <w:color w:val="auto"/>
              </w:rPr>
              <w:t>6,145</w:t>
            </w:r>
          </w:p>
        </w:tc>
        <w:tc>
          <w:tcPr>
            <w:tcW w:w="540" w:type="dxa"/>
            <w:vAlign w:val="bottom"/>
          </w:tcPr>
          <w:p>
            <w:pPr>
              <w:spacing w:after="0"/>
              <w:rPr>
                <w:sz w:val="18"/>
                <w:szCs w:val="18"/>
                <w:color w:val="auto"/>
              </w:rPr>
            </w:pPr>
          </w:p>
        </w:tc>
      </w:tr>
      <w:tr>
        <w:trPr>
          <w:trHeight w:val="209"/>
        </w:trPr>
        <w:tc>
          <w:tcPr>
            <w:tcW w:w="540" w:type="dxa"/>
            <w:vAlign w:val="bottom"/>
          </w:tcPr>
          <w:p>
            <w:pPr>
              <w:spacing w:after="0"/>
              <w:rPr>
                <w:sz w:val="18"/>
                <w:szCs w:val="18"/>
                <w:color w:val="auto"/>
              </w:rPr>
            </w:pPr>
          </w:p>
        </w:tc>
        <w:tc>
          <w:tcPr>
            <w:tcW w:w="6200" w:type="dxa"/>
            <w:vAlign w:val="bottom"/>
            <w:tcBorders>
              <w:bottom w:val="single" w:sz="8" w:color="215AA8"/>
            </w:tcBorders>
          </w:tcPr>
          <w:p>
            <w:pPr>
              <w:ind w:left="60"/>
              <w:spacing w:after="0"/>
              <w:rPr>
                <w:sz w:val="20"/>
                <w:szCs w:val="20"/>
                <w:color w:val="auto"/>
              </w:rPr>
            </w:pPr>
            <w:r>
              <w:rPr>
                <w:rFonts w:ascii="Arial" w:cs="Arial" w:eastAsia="Arial" w:hAnsi="Arial"/>
                <w:sz w:val="14"/>
                <w:szCs w:val="14"/>
                <w:b w:val="1"/>
                <w:bCs w:val="1"/>
                <w:color w:val="auto"/>
              </w:rPr>
              <w:t>Total Fees</w:t>
            </w:r>
          </w:p>
        </w:tc>
        <w:tc>
          <w:tcPr>
            <w:tcW w:w="2600" w:type="dxa"/>
            <w:vAlign w:val="bottom"/>
            <w:tcBorders>
              <w:bottom w:val="single" w:sz="8" w:color="215AA8"/>
            </w:tcBorders>
          </w:tcPr>
          <w:p>
            <w:pPr>
              <w:jc w:val="right"/>
              <w:ind w:right="590"/>
              <w:spacing w:after="0"/>
              <w:rPr>
                <w:sz w:val="20"/>
                <w:szCs w:val="20"/>
                <w:color w:val="auto"/>
              </w:rPr>
            </w:pPr>
            <w:r>
              <w:rPr>
                <w:rFonts w:ascii="Arial" w:cs="Arial" w:eastAsia="Arial" w:hAnsi="Arial"/>
                <w:sz w:val="14"/>
                <w:szCs w:val="14"/>
                <w:color w:val="auto"/>
              </w:rPr>
              <w:t>2,958,535</w:t>
            </w:r>
          </w:p>
        </w:tc>
        <w:tc>
          <w:tcPr>
            <w:tcW w:w="1360" w:type="dxa"/>
            <w:vAlign w:val="bottom"/>
            <w:tcBorders>
              <w:bottom w:val="single" w:sz="8" w:color="215AA8"/>
            </w:tcBorders>
          </w:tcPr>
          <w:p>
            <w:pPr>
              <w:jc w:val="right"/>
              <w:spacing w:after="0"/>
              <w:rPr>
                <w:sz w:val="20"/>
                <w:szCs w:val="20"/>
                <w:color w:val="auto"/>
              </w:rPr>
            </w:pPr>
            <w:r>
              <w:rPr>
                <w:rFonts w:ascii="Arial" w:cs="Arial" w:eastAsia="Arial" w:hAnsi="Arial"/>
                <w:sz w:val="14"/>
                <w:szCs w:val="14"/>
                <w:color w:val="auto"/>
              </w:rPr>
              <w:t>3,125,798</w:t>
            </w:r>
          </w:p>
        </w:tc>
        <w:tc>
          <w:tcPr>
            <w:tcW w:w="540" w:type="dxa"/>
            <w:vAlign w:val="bottom"/>
          </w:tcPr>
          <w:p>
            <w:pPr>
              <w:spacing w:after="0"/>
              <w:rPr>
                <w:sz w:val="18"/>
                <w:szCs w:val="18"/>
                <w:color w:val="auto"/>
              </w:rPr>
            </w:pPr>
          </w:p>
        </w:tc>
      </w:tr>
      <w:tr>
        <w:trPr>
          <w:trHeight w:val="366"/>
        </w:trPr>
        <w:tc>
          <w:tcPr>
            <w:tcW w:w="6740" w:type="dxa"/>
            <w:vAlign w:val="bottom"/>
            <w:gridSpan w:val="2"/>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260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43</w:t>
            </w:r>
          </w:p>
        </w:tc>
      </w:tr>
      <w:tr>
        <w:trPr>
          <w:trHeight w:val="262"/>
        </w:trPr>
        <w:tc>
          <w:tcPr>
            <w:tcW w:w="540" w:type="dxa"/>
            <w:vAlign w:val="bottom"/>
            <w:tcBorders>
              <w:bottom w:val="single" w:sz="8" w:color="C0C0C0"/>
            </w:tcBorders>
          </w:tcPr>
          <w:p>
            <w:pPr>
              <w:spacing w:after="0"/>
              <w:rPr>
                <w:sz w:val="22"/>
                <w:szCs w:val="22"/>
                <w:color w:val="auto"/>
              </w:rPr>
            </w:pPr>
          </w:p>
        </w:tc>
        <w:tc>
          <w:tcPr>
            <w:tcW w:w="6200" w:type="dxa"/>
            <w:vAlign w:val="bottom"/>
            <w:tcBorders>
              <w:bottom w:val="single" w:sz="8" w:color="C0C0C0"/>
            </w:tcBorders>
          </w:tcPr>
          <w:p>
            <w:pPr>
              <w:spacing w:after="0"/>
              <w:rPr>
                <w:sz w:val="22"/>
                <w:szCs w:val="22"/>
                <w:color w:val="auto"/>
              </w:rPr>
            </w:pPr>
          </w:p>
        </w:tc>
        <w:tc>
          <w:tcPr>
            <w:tcW w:w="2600" w:type="dxa"/>
            <w:vAlign w:val="bottom"/>
            <w:tcBorders>
              <w:bottom w:val="single" w:sz="8" w:color="C0C0C0"/>
            </w:tcBorders>
          </w:tcPr>
          <w:p>
            <w:pPr>
              <w:spacing w:after="0"/>
              <w:rPr>
                <w:sz w:val="22"/>
                <w:szCs w:val="22"/>
                <w:color w:val="auto"/>
              </w:rPr>
            </w:pPr>
          </w:p>
        </w:tc>
        <w:tc>
          <w:tcPr>
            <w:tcW w:w="136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58" w:name="page59"/>
    <w:bookmarkEnd w:id="58"/>
    <w:p>
      <w:pPr>
        <w:ind w:left="540"/>
        <w:spacing w:after="0"/>
        <w:rPr>
          <w:sz w:val="20"/>
          <w:szCs w:val="20"/>
          <w:color w:val="auto"/>
        </w:rPr>
      </w:pPr>
      <w:r>
        <w:rPr>
          <w:rFonts w:ascii="Arial" w:cs="Arial" w:eastAsia="Arial" w:hAnsi="Arial"/>
          <w:sz w:val="14"/>
          <w:szCs w:val="14"/>
          <w:b w:val="1"/>
          <w:bCs w:val="1"/>
          <w:color w:val="215BA8"/>
        </w:rPr>
        <w:t xml:space="preserve">THE COMPANY / </w:t>
      </w:r>
      <w:r>
        <w:rPr>
          <w:rFonts w:ascii="Arial" w:cs="Arial" w:eastAsia="Arial" w:hAnsi="Arial"/>
          <w:sz w:val="14"/>
          <w:szCs w:val="14"/>
          <w:b w:val="1"/>
          <w:bCs w:val="1"/>
          <w:color w:val="D60058"/>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right="660"/>
        <w:spacing w:after="0" w:line="244"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Audit fees in 2021 and 2020 were primarily for professional services rendered for the audit of the Company’s financial statements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127" w:lineRule="exact"/>
        <w:rPr>
          <w:sz w:val="20"/>
          <w:szCs w:val="20"/>
          <w:color w:val="auto"/>
        </w:rPr>
      </w:pPr>
    </w:p>
    <w:p>
      <w:pPr>
        <w:ind w:left="540" w:right="700"/>
        <w:spacing w:after="0" w:line="239" w:lineRule="auto"/>
        <w:rPr>
          <w:sz w:val="20"/>
          <w:szCs w:val="20"/>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Audit-related fees in 2021 were for professional services in connection with the planned liquidation of certain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subsidiaries and the filing of a registration statement on Form S-3. Audit-related fees in 2020 were for professional services rendered in connection with a secondary offering of our common stock by Sanofi, the issuance and sale of senior notes, and the filing of a registration statement on Form S-8.</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Tax fees in 2021 and 2020 were for tax planning and advisory services.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in 2021 and 2020 were for annual subscriptions to accounting resources.</w:t>
      </w:r>
    </w:p>
    <w:p>
      <w:pPr>
        <w:spacing w:after="0" w:line="174" w:lineRule="exact"/>
        <w:rPr>
          <w:sz w:val="20"/>
          <w:szCs w:val="20"/>
          <w:color w:val="auto"/>
        </w:rPr>
      </w:pPr>
    </w:p>
    <w:p>
      <w:pPr>
        <w:ind w:left="540" w:right="540"/>
        <w:spacing w:after="0" w:line="247" w:lineRule="auto"/>
        <w:rPr>
          <w:sz w:val="20"/>
          <w:szCs w:val="20"/>
          <w:color w:val="auto"/>
        </w:rPr>
      </w:pPr>
      <w:r>
        <w:rPr>
          <w:rFonts w:ascii="Arial" w:cs="Arial" w:eastAsia="Arial" w:hAnsi="Arial"/>
          <w:sz w:val="15"/>
          <w:szCs w:val="15"/>
          <w:color w:val="auto"/>
        </w:rPr>
        <w:t xml:space="preserve">The Audit Committee has adopted a policy regarding the pre-approval of audit and permitted non-audit services to be performed by the Company’s independent registered public accounting firm, PricewaterhouseCoopers LLP. The Audit Committee will, on an annual basis, consider and, if appropriate, approve the provision of audit and non-audit services by PricewaterhouseCoopers LLP. The Audit Committee has approved a general provision of $75,000 for accounting advisory and other permissible consulting engagements.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 Audit Committee did not utilize the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exception to the pre-approval requirements to approve any services provided by PricewaterhouseCoopers LLP during fiscal 2021 or 2020.</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We have reviewed the audited financial statements of the Company for the year ended December 31, 2021, which are included in the Company’s Annual Report on Form 10-K for the fiscal year ended December 31, 2021,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the applicable requirements of the Public Company Accounting Oversight Board (the “PCAOB”) and the Securities and Exchange Commission. The Audit Committee also discussed with the independent registered public accounting firm their independence relative to the Company and received and reviewed the written disclosures and the letter from the independent registered public accounting firm required by the PCAOB.</w:t>
      </w:r>
    </w:p>
    <w:p>
      <w:pPr>
        <w:spacing w:after="0" w:line="151" w:lineRule="exact"/>
        <w:rPr>
          <w:sz w:val="20"/>
          <w:szCs w:val="20"/>
          <w:color w:val="auto"/>
        </w:rPr>
      </w:pPr>
    </w:p>
    <w:p>
      <w:pPr>
        <w:ind w:left="540" w:right="640"/>
        <w:spacing w:after="0" w:line="234" w:lineRule="auto"/>
        <w:rPr>
          <w:sz w:val="20"/>
          <w:szCs w:val="20"/>
          <w:color w:val="auto"/>
        </w:rPr>
      </w:pPr>
      <w:r>
        <w:rPr>
          <w:rFonts w:ascii="Arial" w:cs="Arial" w:eastAsia="Arial" w:hAnsi="Arial"/>
          <w:sz w:val="16"/>
          <w:szCs w:val="16"/>
          <w:color w:val="auto"/>
        </w:rPr>
        <w:t>Based on the foregoing discussions and review, the Audit Committee recommended to the board of directors that the audited financial statements of the Company for the year ended December 31, 2021 be included in the Company’s Annual Report on Form 10-K for the fiscal year ended December 31, 2021 for filing with the Securities and Exchange Commission.</w:t>
      </w:r>
    </w:p>
    <w:p>
      <w:pPr>
        <w:spacing w:after="0" w:line="150" w:lineRule="exact"/>
        <w:rPr>
          <w:sz w:val="20"/>
          <w:szCs w:val="20"/>
          <w:color w:val="auto"/>
        </w:rPr>
      </w:pPr>
    </w:p>
    <w:p>
      <w:pPr>
        <w:ind w:left="540" w:right="860"/>
        <w:spacing w:after="0" w:line="234" w:lineRule="auto"/>
        <w:rPr>
          <w:sz w:val="20"/>
          <w:szCs w:val="20"/>
          <w:color w:val="auto"/>
        </w:rPr>
      </w:pPr>
      <w:r>
        <w:rPr>
          <w:rFonts w:ascii="Arial" w:cs="Arial" w:eastAsia="Arial" w:hAnsi="Arial"/>
          <w:sz w:val="16"/>
          <w:szCs w:val="16"/>
          <w:color w:val="auto"/>
        </w:rPr>
        <w:t>We have appointed PricewaterhouseCoopers LLP as the Company’s independent registered public accounting firm for the fiscal year ending December 31, 2022. This appointment was based on a variety of factors, including PricewaterhouseCoopers LLP’s competence in the fields of accounting and auditing.</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15BA8"/>
        </w:rPr>
        <w:t>The Audit Committee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George L. Sing, Chair</w:t>
      </w:r>
    </w:p>
    <w:p>
      <w:pPr>
        <w:ind w:left="540"/>
        <w:spacing w:after="0" w:line="228" w:lineRule="auto"/>
        <w:rPr>
          <w:sz w:val="20"/>
          <w:szCs w:val="20"/>
          <w:color w:val="auto"/>
        </w:rPr>
      </w:pPr>
      <w:r>
        <w:rPr>
          <w:rFonts w:ascii="Arial" w:cs="Arial" w:eastAsia="Arial" w:hAnsi="Arial"/>
          <w:sz w:val="16"/>
          <w:szCs w:val="16"/>
          <w:b w:val="1"/>
          <w:bCs w:val="1"/>
          <w:color w:val="auto"/>
        </w:rPr>
        <w:t>N. Anthony Coles, M.D.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Arthur F. Ryan</w:t>
      </w:r>
    </w:p>
    <w:p>
      <w:pPr>
        <w:spacing w:after="0" w:line="160"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44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88468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4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20"/>
        <w:spacing w:after="0"/>
        <w:rPr>
          <w:sz w:val="20"/>
          <w:szCs w:val="20"/>
          <w:color w:val="auto"/>
        </w:rPr>
      </w:pPr>
      <w:r>
        <w:rPr>
          <w:rFonts w:ascii="Arial" w:cs="Arial" w:eastAsia="Arial" w:hAnsi="Arial"/>
          <w:sz w:val="45"/>
          <w:szCs w:val="45"/>
          <w:b w:val="1"/>
          <w:bCs w:val="1"/>
          <w:color w:val="00AEEF"/>
        </w:rPr>
        <w:t>PROPOSAL 2</w:t>
      </w:r>
    </w:p>
    <w:p>
      <w:pPr>
        <w:spacing w:after="0" w:line="159" w:lineRule="exact"/>
        <w:rPr>
          <w:sz w:val="20"/>
          <w:szCs w:val="20"/>
          <w:color w:val="auto"/>
        </w:rPr>
      </w:pPr>
    </w:p>
    <w:p>
      <w:pPr>
        <w:ind w:left="2020" w:right="3540"/>
        <w:spacing w:after="0" w:line="244" w:lineRule="auto"/>
        <w:rPr>
          <w:sz w:val="20"/>
          <w:szCs w:val="20"/>
          <w:color w:val="auto"/>
        </w:rPr>
      </w:pPr>
      <w:r>
        <w:rPr>
          <w:rFonts w:ascii="Arial" w:cs="Arial" w:eastAsia="Arial" w:hAnsi="Arial"/>
          <w:sz w:val="54"/>
          <w:szCs w:val="54"/>
          <w:b w:val="1"/>
          <w:bCs w:val="1"/>
          <w:color w:val="FFFFFF"/>
        </w:rPr>
        <w:t>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20"/>
        <w:spacing w:after="0"/>
        <w:rPr>
          <w:sz w:val="20"/>
          <w:szCs w:val="20"/>
          <w:color w:val="auto"/>
        </w:rPr>
      </w:pPr>
      <w:r>
        <w:rPr>
          <w:rFonts w:ascii="Arial" w:cs="Arial" w:eastAsia="Arial" w:hAnsi="Arial"/>
          <w:sz w:val="20"/>
          <w:szCs w:val="20"/>
          <w:color w:val="C7D8F8"/>
        </w:rPr>
        <w:t xml:space="preserve">The board of directors unanimously recommends a vote </w:t>
      </w:r>
      <w:r>
        <w:rPr>
          <w:rFonts w:ascii="Arial" w:cs="Arial" w:eastAsia="Arial" w:hAnsi="Arial"/>
          <w:sz w:val="20"/>
          <w:szCs w:val="20"/>
          <w:b w:val="1"/>
          <w:bCs w:val="1"/>
          <w:color w:val="C7D8F8"/>
        </w:rPr>
        <w:t>FOR</w:t>
      </w:r>
    </w:p>
    <w:p>
      <w:pPr>
        <w:ind w:left="2020"/>
        <w:spacing w:after="0" w:line="235" w:lineRule="auto"/>
        <w:rPr>
          <w:sz w:val="20"/>
          <w:szCs w:val="20"/>
          <w:color w:val="auto"/>
        </w:rPr>
      </w:pPr>
      <w:r>
        <w:rPr>
          <w:rFonts w:ascii="Arial" w:cs="Arial" w:eastAsia="Arial" w:hAnsi="Arial"/>
          <w:sz w:val="20"/>
          <w:szCs w:val="20"/>
          <w:color w:val="C7D8F8"/>
        </w:rPr>
        <w:t>ratification of the appointment of PricewaterhouseCoopers LLP</w:t>
      </w:r>
    </w:p>
    <w:p>
      <w:pPr>
        <w:spacing w:after="0" w:line="1" w:lineRule="exact"/>
        <w:rPr>
          <w:sz w:val="20"/>
          <w:szCs w:val="20"/>
          <w:color w:val="auto"/>
        </w:rPr>
      </w:pPr>
    </w:p>
    <w:p>
      <w:pPr>
        <w:ind w:left="2020" w:right="3300"/>
        <w:spacing w:after="0" w:line="236" w:lineRule="auto"/>
        <w:rPr>
          <w:sz w:val="20"/>
          <w:szCs w:val="20"/>
          <w:color w:val="auto"/>
        </w:rPr>
      </w:pPr>
      <w:r>
        <w:rPr>
          <w:rFonts w:ascii="Arial" w:cs="Arial" w:eastAsia="Arial" w:hAnsi="Arial"/>
          <w:sz w:val="20"/>
          <w:szCs w:val="20"/>
          <w:color w:val="C7D8F8"/>
        </w:rPr>
        <w:t>as the Company’s independent registered public accounting firm for the fiscal year ending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ind w:left="1300"/>
              <w:spacing w:after="0"/>
              <w:rPr>
                <w:sz w:val="20"/>
                <w:szCs w:val="20"/>
                <w:color w:val="auto"/>
              </w:rPr>
            </w:pPr>
            <w:r>
              <w:rPr>
                <w:rFonts w:ascii="Arial" w:cs="Arial" w:eastAsia="Arial" w:hAnsi="Arial"/>
                <w:sz w:val="14"/>
                <w:szCs w:val="14"/>
                <w:b w:val="1"/>
                <w:bCs w:val="1"/>
                <w:color w:val="FFFFFF"/>
              </w:rPr>
              <w:t>2022 PROXY STATEMENT AND NOTICE OF ANNUAL SHAREHOLDER MEETING</w:t>
            </w:r>
          </w:p>
        </w:tc>
        <w:tc>
          <w:tcPr>
            <w:tcW w:w="3040" w:type="dxa"/>
            <w:vAlign w:val="bottom"/>
          </w:tcPr>
          <w:p>
            <w:pPr>
              <w:jc w:val="right"/>
              <w:ind w:right="1228"/>
              <w:spacing w:after="0"/>
              <w:rPr>
                <w:sz w:val="20"/>
                <w:szCs w:val="20"/>
                <w:color w:val="auto"/>
              </w:rPr>
            </w:pPr>
            <w:r>
              <w:rPr>
                <w:rFonts w:ascii="Arial" w:cs="Arial" w:eastAsia="Arial" w:hAnsi="Arial"/>
                <w:sz w:val="14"/>
                <w:szCs w:val="14"/>
                <w:b w:val="1"/>
                <w:bCs w:val="1"/>
                <w:color w:val="FFFFFF"/>
              </w:rPr>
              <w:t>/ 45</w:t>
            </w:r>
          </w:p>
        </w:tc>
      </w:tr>
      <w:tr>
        <w:trPr>
          <w:trHeight w:val="721"/>
        </w:trPr>
        <w:tc>
          <w:tcPr>
            <w:tcW w:w="8200" w:type="dxa"/>
            <w:vAlign w:val="bottom"/>
            <w:tcBorders>
              <w:bottom w:val="single" w:sz="8" w:color="C0C0C0"/>
            </w:tcBorders>
          </w:tcPr>
          <w:p>
            <w:pPr>
              <w:spacing w:after="0"/>
              <w:rPr>
                <w:sz w:val="24"/>
                <w:szCs w:val="24"/>
                <w:color w:val="auto"/>
              </w:rPr>
            </w:pPr>
          </w:p>
        </w:tc>
        <w:tc>
          <w:tcPr>
            <w:tcW w:w="304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60" w:name="page61"/>
    <w:bookmarkEnd w:id="60"/>
    <w:p>
      <w:pPr>
        <w:ind w:left="1400"/>
        <w:spacing w:after="0"/>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83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83005"/>
                    </a:xfrm>
                    <a:prstGeom prst="rect">
                      <a:avLst/>
                    </a:prstGeom>
                    <a:noFill/>
                  </pic:spPr>
                </pic:pic>
              </a:graphicData>
            </a:graphic>
          </wp:anchor>
        </w:drawing>
        <w:t>SHAREHOLDERS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The following table sets forth, as of April 12, 2022, the number of shares of the Company’s Class A stock and common stock beneficially owned by each of the Company’s directors, each of the NEOs referred to below under “Compensation-Related Matters—Compensation Discussion and Analysis,” all directors and executive officers as a group, and each other person or group of persons known by the Company to beneficially own more than 5% of the outstanding shares of Class A stock or common stock, based upon (unless indicated otherwise) information obtained from such persons, and the percentage that such shares represent of the number of outstanding shares of Class A stock and common stock, respectively.</w:t>
      </w:r>
    </w:p>
    <w:p>
      <w:pPr>
        <w:spacing w:after="0" w:line="152" w:lineRule="exact"/>
        <w:rPr>
          <w:sz w:val="20"/>
          <w:szCs w:val="20"/>
          <w:color w:val="auto"/>
        </w:rPr>
      </w:pPr>
    </w:p>
    <w:p>
      <w:pPr>
        <w:ind w:left="540" w:right="580"/>
        <w:spacing w:after="0" w:line="230" w:lineRule="auto"/>
        <w:rPr>
          <w:sz w:val="20"/>
          <w:szCs w:val="20"/>
          <w:color w:val="auto"/>
        </w:rPr>
      </w:pPr>
      <w:r>
        <w:rPr>
          <w:rFonts w:ascii="Arial" w:cs="Arial" w:eastAsia="Arial" w:hAnsi="Arial"/>
          <w:sz w:val="16"/>
          <w:szCs w:val="16"/>
          <w:color w:val="auto"/>
        </w:rPr>
        <w:t>The Class A stock is convertible on a share-for-share basis into common stock. The Class A stock is entitled to ten votes per share and the common stock is entitled to one vote per share. No new shares of Class A stock have been issued since our initial public offering in 1991. We have determined beneficial ownership in accordance with the rules of the SEC. Except as otherwise indicated in the footnotes below, we believe, based on the information furnished or 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1,818,146 shares of Class A stock and 108,028,048 shares of common stock outstanding as of April 12, 2022,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12, 2022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153" w:lineRule="exact"/>
        <w:rPr>
          <w:sz w:val="20"/>
          <w:szCs w:val="20"/>
          <w:color w:val="auto"/>
        </w:rPr>
      </w:pPr>
    </w:p>
    <w:p>
      <w:pPr>
        <w:ind w:left="540" w:right="620"/>
        <w:spacing w:after="0" w:line="231" w:lineRule="auto"/>
        <w:rPr>
          <w:sz w:val="20"/>
          <w:szCs w:val="20"/>
          <w:color w:val="auto"/>
        </w:rPr>
      </w:pPr>
      <w:r>
        <w:rPr>
          <w:rFonts w:ascii="Arial" w:cs="Arial" w:eastAsia="Arial" w:hAnsi="Arial"/>
          <w:sz w:val="16"/>
          <w:szCs w:val="16"/>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PSUs, RSUs, or other convertible securities (if any) held by that person (and by directors and executive officers as a group) that are exercisable or releasable as of April 12, 2022 or are exercisable or releasable within sixty days after April 12, 2022 are deemed to be outstanding. Such shares are not deemed to be outstanding, however, for the purpose of computing the percentage ownership of common stock of any other person.</w:t>
      </w:r>
    </w:p>
    <w:p>
      <w:pPr>
        <w:spacing w:after="0" w:line="159"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46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9"/>
        </w:trPr>
        <w:tc>
          <w:tcPr>
            <w:tcW w:w="540" w:type="dxa"/>
            <w:vAlign w:val="bottom"/>
            <w:tcBorders>
              <w:bottom w:val="single" w:sz="8" w:color="00AEEF"/>
            </w:tcBorders>
          </w:tcPr>
          <w:p>
            <w:pPr>
              <w:spacing w:after="0"/>
              <w:rPr>
                <w:sz w:val="18"/>
                <w:szCs w:val="18"/>
                <w:color w:val="auto"/>
              </w:rPr>
            </w:pPr>
          </w:p>
        </w:tc>
        <w:tc>
          <w:tcPr>
            <w:tcW w:w="4040" w:type="dxa"/>
            <w:vAlign w:val="bottom"/>
            <w:tcBorders>
              <w:bottom w:val="single" w:sz="8" w:color="00AEEF"/>
            </w:tcBorders>
          </w:tcPr>
          <w:p>
            <w:pPr>
              <w:spacing w:after="0"/>
              <w:rPr>
                <w:sz w:val="18"/>
                <w:szCs w:val="18"/>
                <w:color w:val="auto"/>
              </w:rPr>
            </w:pPr>
          </w:p>
        </w:tc>
        <w:tc>
          <w:tcPr>
            <w:tcW w:w="280" w:type="dxa"/>
            <w:vAlign w:val="bottom"/>
            <w:tcBorders>
              <w:bottom w:val="single" w:sz="8" w:color="00AEEF"/>
            </w:tcBorders>
          </w:tcPr>
          <w:p>
            <w:pPr>
              <w:spacing w:after="0"/>
              <w:rPr>
                <w:sz w:val="18"/>
                <w:szCs w:val="18"/>
                <w:color w:val="auto"/>
              </w:rPr>
            </w:pPr>
          </w:p>
        </w:tc>
        <w:tc>
          <w:tcPr>
            <w:tcW w:w="1300" w:type="dxa"/>
            <w:vAlign w:val="bottom"/>
            <w:tcBorders>
              <w:bottom w:val="single" w:sz="8" w:color="00AEEF"/>
            </w:tcBorders>
          </w:tcPr>
          <w:p>
            <w:pPr>
              <w:spacing w:after="0"/>
              <w:rPr>
                <w:sz w:val="18"/>
                <w:szCs w:val="18"/>
                <w:color w:val="auto"/>
              </w:rPr>
            </w:pPr>
          </w:p>
        </w:tc>
        <w:tc>
          <w:tcPr>
            <w:tcW w:w="1380" w:type="dxa"/>
            <w:vAlign w:val="bottom"/>
            <w:tcBorders>
              <w:bottom w:val="single" w:sz="8" w:color="00AEEF"/>
            </w:tcBorders>
          </w:tcPr>
          <w:p>
            <w:pPr>
              <w:spacing w:after="0"/>
              <w:rPr>
                <w:sz w:val="18"/>
                <w:szCs w:val="18"/>
                <w:color w:val="auto"/>
              </w:rPr>
            </w:pPr>
          </w:p>
        </w:tc>
        <w:tc>
          <w:tcPr>
            <w:tcW w:w="400" w:type="dxa"/>
            <w:vAlign w:val="bottom"/>
            <w:tcBorders>
              <w:bottom w:val="single" w:sz="8" w:color="00AEEF"/>
            </w:tcBorders>
          </w:tcPr>
          <w:p>
            <w:pPr>
              <w:spacing w:after="0"/>
              <w:rPr>
                <w:sz w:val="18"/>
                <w:szCs w:val="18"/>
                <w:color w:val="auto"/>
              </w:rPr>
            </w:pPr>
          </w:p>
        </w:tc>
        <w:tc>
          <w:tcPr>
            <w:tcW w:w="1280" w:type="dxa"/>
            <w:vAlign w:val="bottom"/>
            <w:tcBorders>
              <w:bottom w:val="single" w:sz="8" w:color="00AEEF"/>
            </w:tcBorders>
          </w:tcPr>
          <w:p>
            <w:pPr>
              <w:spacing w:after="0"/>
              <w:rPr>
                <w:sz w:val="18"/>
                <w:szCs w:val="18"/>
                <w:color w:val="auto"/>
              </w:rPr>
            </w:pPr>
          </w:p>
        </w:tc>
        <w:tc>
          <w:tcPr>
            <w:tcW w:w="2020" w:type="dxa"/>
            <w:vAlign w:val="bottom"/>
            <w:tcBorders>
              <w:bottom w:val="single" w:sz="8" w:color="00AEEF"/>
            </w:tcBorders>
            <w:gridSpan w:val="2"/>
          </w:tcPr>
          <w:p>
            <w:pPr>
              <w:ind w:left="280"/>
              <w:spacing w:after="0"/>
              <w:rPr>
                <w:sz w:val="20"/>
                <w:szCs w:val="20"/>
                <w:color w:val="auto"/>
              </w:rPr>
            </w:pPr>
            <w:r>
              <w:rPr>
                <w:rFonts w:ascii="Arial" w:cs="Arial" w:eastAsia="Arial" w:hAnsi="Arial"/>
                <w:sz w:val="14"/>
                <w:szCs w:val="14"/>
                <w:b w:val="1"/>
                <w:bCs w:val="1"/>
                <w:color w:val="215BA8"/>
              </w:rPr>
              <w:t>SHAREHOLDERS</w:t>
            </w:r>
          </w:p>
        </w:tc>
      </w:tr>
      <w:tr>
        <w:trPr>
          <w:trHeight w:val="548"/>
        </w:trPr>
        <w:tc>
          <w:tcPr>
            <w:tcW w:w="5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3"/>
          </w:tcPr>
          <w:p>
            <w:pPr>
              <w:jc w:val="right"/>
              <w:ind w:right="1060"/>
              <w:spacing w:after="0"/>
              <w:rPr>
                <w:sz w:val="20"/>
                <w:szCs w:val="20"/>
                <w:color w:val="auto"/>
              </w:rPr>
            </w:pPr>
            <w:r>
              <w:rPr>
                <w:rFonts w:ascii="Arial" w:cs="Arial" w:eastAsia="Arial" w:hAnsi="Arial"/>
                <w:sz w:val="12"/>
                <w:szCs w:val="12"/>
                <w:b w:val="1"/>
                <w:bCs w:val="1"/>
                <w:color w:val="215BA8"/>
              </w:rPr>
              <w:t>Shares of Class A Stock</w:t>
            </w:r>
          </w:p>
        </w:tc>
        <w:tc>
          <w:tcPr>
            <w:tcW w:w="3300" w:type="dxa"/>
            <w:vAlign w:val="bottom"/>
            <w:gridSpan w:val="3"/>
          </w:tcPr>
          <w:p>
            <w:pPr>
              <w:ind w:left="620"/>
              <w:spacing w:after="0"/>
              <w:rPr>
                <w:sz w:val="20"/>
                <w:szCs w:val="20"/>
                <w:color w:val="auto"/>
              </w:rPr>
            </w:pPr>
            <w:r>
              <w:rPr>
                <w:rFonts w:ascii="Arial" w:cs="Arial" w:eastAsia="Arial" w:hAnsi="Arial"/>
                <w:sz w:val="12"/>
                <w:szCs w:val="12"/>
                <w:b w:val="1"/>
                <w:bCs w:val="1"/>
                <w:color w:val="215BA8"/>
              </w:rPr>
              <w:t>Shares of Common Stock</w:t>
            </w:r>
          </w:p>
        </w:tc>
      </w:tr>
      <w:tr>
        <w:trPr>
          <w:trHeight w:val="181"/>
        </w:trPr>
        <w:tc>
          <w:tcPr>
            <w:tcW w:w="5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tcBorders>
              <w:bottom w:val="single" w:sz="8" w:color="215AA8"/>
            </w:tcBorders>
            <w:gridSpan w:val="2"/>
          </w:tcPr>
          <w:p>
            <w:pPr>
              <w:jc w:val="right"/>
              <w:ind w:right="715"/>
              <w:spacing w:after="0" w:line="182" w:lineRule="exact"/>
              <w:rPr>
                <w:sz w:val="20"/>
                <w:szCs w:val="20"/>
                <w:color w:val="auto"/>
              </w:rPr>
            </w:pPr>
            <w:r>
              <w:rPr>
                <w:rFonts w:ascii="Arial" w:cs="Arial" w:eastAsia="Arial" w:hAnsi="Arial"/>
                <w:sz w:val="12"/>
                <w:szCs w:val="12"/>
                <w:b w:val="1"/>
                <w:bCs w:val="1"/>
                <w:color w:val="215BA8"/>
              </w:rPr>
              <w:t>Beneficially Owned</w:t>
            </w:r>
            <w:r>
              <w:rPr>
                <w:rFonts w:ascii="Arial" w:cs="Arial" w:eastAsia="Arial" w:hAnsi="Arial"/>
                <w:sz w:val="19"/>
                <w:szCs w:val="19"/>
                <w:b w:val="1"/>
                <w:bCs w:val="1"/>
                <w:color w:val="215BA8"/>
                <w:vertAlign w:val="superscript"/>
              </w:rPr>
              <w:t>1</w:t>
            </w:r>
          </w:p>
        </w:tc>
        <w:tc>
          <w:tcPr>
            <w:tcW w:w="400" w:type="dxa"/>
            <w:vAlign w:val="bottom"/>
          </w:tcPr>
          <w:p>
            <w:pPr>
              <w:spacing w:after="0"/>
              <w:rPr>
                <w:sz w:val="15"/>
                <w:szCs w:val="15"/>
                <w:color w:val="auto"/>
              </w:rPr>
            </w:pPr>
          </w:p>
        </w:tc>
        <w:tc>
          <w:tcPr>
            <w:tcW w:w="2760" w:type="dxa"/>
            <w:vAlign w:val="bottom"/>
            <w:tcBorders>
              <w:bottom w:val="single" w:sz="8" w:color="215AA8"/>
            </w:tcBorders>
            <w:gridSpan w:val="2"/>
          </w:tcPr>
          <w:p>
            <w:pPr>
              <w:jc w:val="right"/>
              <w:ind w:right="801"/>
              <w:spacing w:after="0" w:line="182" w:lineRule="exact"/>
              <w:rPr>
                <w:sz w:val="20"/>
                <w:szCs w:val="20"/>
                <w:color w:val="auto"/>
              </w:rPr>
            </w:pPr>
            <w:r>
              <w:rPr>
                <w:rFonts w:ascii="Arial" w:cs="Arial" w:eastAsia="Arial" w:hAnsi="Arial"/>
                <w:sz w:val="12"/>
                <w:szCs w:val="12"/>
                <w:b w:val="1"/>
                <w:bCs w:val="1"/>
                <w:color w:val="215BA8"/>
              </w:rPr>
              <w:t>Beneficially Owned</w:t>
            </w:r>
            <w:r>
              <w:rPr>
                <w:rFonts w:ascii="Arial" w:cs="Arial" w:eastAsia="Arial" w:hAnsi="Arial"/>
                <w:sz w:val="19"/>
                <w:szCs w:val="19"/>
                <w:b w:val="1"/>
                <w:bCs w:val="1"/>
                <w:color w:val="215BA8"/>
                <w:vertAlign w:val="superscript"/>
              </w:rPr>
              <w:t>1</w:t>
            </w:r>
          </w:p>
        </w:tc>
        <w:tc>
          <w:tcPr>
            <w:tcW w:w="540" w:type="dxa"/>
            <w:vAlign w:val="bottom"/>
          </w:tcPr>
          <w:p>
            <w:pPr>
              <w:spacing w:after="0"/>
              <w:rPr>
                <w:sz w:val="15"/>
                <w:szCs w:val="15"/>
                <w:color w:val="auto"/>
              </w:rPr>
            </w:pPr>
          </w:p>
        </w:tc>
      </w:tr>
      <w:tr>
        <w:trPr>
          <w:trHeight w:val="176"/>
        </w:trPr>
        <w:tc>
          <w:tcPr>
            <w:tcW w:w="540" w:type="dxa"/>
            <w:vAlign w:val="bottom"/>
          </w:tcPr>
          <w:p>
            <w:pPr>
              <w:spacing w:after="0"/>
              <w:rPr>
                <w:sz w:val="15"/>
                <w:szCs w:val="15"/>
                <w:color w:val="auto"/>
              </w:rPr>
            </w:pPr>
          </w:p>
        </w:tc>
        <w:tc>
          <w:tcPr>
            <w:tcW w:w="4040" w:type="dxa"/>
            <w:vAlign w:val="bottom"/>
          </w:tcPr>
          <w:p>
            <w:pPr>
              <w:ind w:left="60"/>
              <w:spacing w:after="0"/>
              <w:rPr>
                <w:sz w:val="20"/>
                <w:szCs w:val="20"/>
                <w:color w:val="auto"/>
              </w:rPr>
            </w:pPr>
            <w:r>
              <w:rPr>
                <w:rFonts w:ascii="Arial" w:cs="Arial" w:eastAsia="Arial" w:hAnsi="Arial"/>
                <w:sz w:val="12"/>
                <w:szCs w:val="12"/>
                <w:b w:val="1"/>
                <w:bCs w:val="1"/>
                <w:color w:val="215BA8"/>
              </w:rPr>
              <w:t>Name and Address of Beneficial Owner</w:t>
            </w:r>
          </w:p>
        </w:tc>
        <w:tc>
          <w:tcPr>
            <w:tcW w:w="280" w:type="dxa"/>
            <w:vAlign w:val="bottom"/>
          </w:tcPr>
          <w:p>
            <w:pPr>
              <w:spacing w:after="0"/>
              <w:rPr>
                <w:sz w:val="15"/>
                <w:szCs w:val="15"/>
                <w:color w:val="auto"/>
              </w:rPr>
            </w:pPr>
          </w:p>
        </w:tc>
        <w:tc>
          <w:tcPr>
            <w:tcW w:w="1300" w:type="dxa"/>
            <w:vAlign w:val="bottom"/>
          </w:tcPr>
          <w:p>
            <w:pPr>
              <w:jc w:val="right"/>
              <w:ind w:right="556"/>
              <w:spacing w:after="0"/>
              <w:rPr>
                <w:sz w:val="20"/>
                <w:szCs w:val="20"/>
                <w:color w:val="auto"/>
              </w:rPr>
            </w:pPr>
            <w:r>
              <w:rPr>
                <w:rFonts w:ascii="Arial" w:cs="Arial" w:eastAsia="Arial" w:hAnsi="Arial"/>
                <w:sz w:val="12"/>
                <w:szCs w:val="12"/>
                <w:b w:val="1"/>
                <w:bCs w:val="1"/>
                <w:color w:val="215BA8"/>
              </w:rPr>
              <w:t>Number</w:t>
            </w:r>
          </w:p>
        </w:tc>
        <w:tc>
          <w:tcPr>
            <w:tcW w:w="178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215BA8"/>
              </w:rPr>
              <w:t>Percent of Class</w:t>
            </w:r>
          </w:p>
        </w:tc>
        <w:tc>
          <w:tcPr>
            <w:tcW w:w="1280" w:type="dxa"/>
            <w:vAlign w:val="bottom"/>
          </w:tcPr>
          <w:p>
            <w:pPr>
              <w:jc w:val="right"/>
              <w:ind w:right="516"/>
              <w:spacing w:after="0" w:line="169" w:lineRule="exact"/>
              <w:rPr>
                <w:sz w:val="20"/>
                <w:szCs w:val="20"/>
                <w:color w:val="auto"/>
              </w:rPr>
            </w:pPr>
            <w:r>
              <w:rPr>
                <w:rFonts w:ascii="Arial" w:cs="Arial" w:eastAsia="Arial" w:hAnsi="Arial"/>
                <w:sz w:val="12"/>
                <w:szCs w:val="12"/>
                <w:b w:val="1"/>
                <w:bCs w:val="1"/>
                <w:color w:val="215BA8"/>
              </w:rPr>
              <w:t>Number</w:t>
            </w:r>
            <w:r>
              <w:rPr>
                <w:rFonts w:ascii="Arial" w:cs="Arial" w:eastAsia="Arial" w:hAnsi="Arial"/>
                <w:sz w:val="19"/>
                <w:szCs w:val="19"/>
                <w:b w:val="1"/>
                <w:bCs w:val="1"/>
                <w:color w:val="215BA8"/>
                <w:vertAlign w:val="superscript"/>
              </w:rPr>
              <w:t>2</w:t>
            </w:r>
          </w:p>
        </w:tc>
        <w:tc>
          <w:tcPr>
            <w:tcW w:w="2020" w:type="dxa"/>
            <w:vAlign w:val="bottom"/>
            <w:gridSpan w:val="2"/>
          </w:tcPr>
          <w:p>
            <w:pPr>
              <w:ind w:left="280"/>
              <w:spacing w:after="0"/>
              <w:rPr>
                <w:sz w:val="20"/>
                <w:szCs w:val="20"/>
                <w:color w:val="auto"/>
              </w:rPr>
            </w:pPr>
            <w:r>
              <w:rPr>
                <w:rFonts w:ascii="Arial" w:cs="Arial" w:eastAsia="Arial" w:hAnsi="Arial"/>
                <w:sz w:val="12"/>
                <w:szCs w:val="12"/>
                <w:b w:val="1"/>
                <w:bCs w:val="1"/>
                <w:color w:val="215BA8"/>
              </w:rPr>
              <w:t>Percent of Class</w:t>
            </w:r>
          </w:p>
        </w:tc>
      </w:tr>
      <w:tr>
        <w:trPr>
          <w:trHeight w:val="163"/>
        </w:trPr>
        <w:tc>
          <w:tcPr>
            <w:tcW w:w="540" w:type="dxa"/>
            <w:vAlign w:val="bottom"/>
          </w:tcPr>
          <w:p>
            <w:pPr>
              <w:spacing w:after="0"/>
              <w:rPr>
                <w:sz w:val="14"/>
                <w:szCs w:val="14"/>
                <w:color w:val="auto"/>
              </w:rPr>
            </w:pPr>
          </w:p>
        </w:tc>
        <w:tc>
          <w:tcPr>
            <w:tcW w:w="4040" w:type="dxa"/>
            <w:vAlign w:val="bottom"/>
            <w:tcBorders>
              <w:top w:val="single" w:sz="8" w:color="215AA8"/>
            </w:tcBorders>
          </w:tcPr>
          <w:p>
            <w:pPr>
              <w:ind w:left="60"/>
              <w:spacing w:after="0"/>
              <w:rPr>
                <w:sz w:val="20"/>
                <w:szCs w:val="20"/>
                <w:color w:val="auto"/>
              </w:rPr>
            </w:pPr>
            <w:r>
              <w:rPr>
                <w:rFonts w:ascii="Arial" w:cs="Arial" w:eastAsia="Arial" w:hAnsi="Arial"/>
                <w:sz w:val="13"/>
                <w:szCs w:val="13"/>
                <w:b w:val="1"/>
                <w:bCs w:val="1"/>
                <w:color w:val="215BA8"/>
              </w:rPr>
              <w:t>Beneficial Owners of More than 5% of Class A Stock or</w:t>
            </w:r>
          </w:p>
        </w:tc>
        <w:tc>
          <w:tcPr>
            <w:tcW w:w="280" w:type="dxa"/>
            <w:vAlign w:val="bottom"/>
            <w:tcBorders>
              <w:top w:val="single" w:sz="8" w:color="215AA8"/>
            </w:tcBorders>
          </w:tcPr>
          <w:p>
            <w:pPr>
              <w:spacing w:after="0"/>
              <w:rPr>
                <w:sz w:val="14"/>
                <w:szCs w:val="14"/>
                <w:color w:val="auto"/>
              </w:rPr>
            </w:pPr>
          </w:p>
        </w:tc>
        <w:tc>
          <w:tcPr>
            <w:tcW w:w="1300" w:type="dxa"/>
            <w:vAlign w:val="bottom"/>
            <w:tcBorders>
              <w:top w:val="single" w:sz="8" w:color="215AA8"/>
            </w:tcBorders>
          </w:tcPr>
          <w:p>
            <w:pPr>
              <w:spacing w:after="0"/>
              <w:rPr>
                <w:sz w:val="14"/>
                <w:szCs w:val="14"/>
                <w:color w:val="auto"/>
              </w:rPr>
            </w:pPr>
          </w:p>
        </w:tc>
        <w:tc>
          <w:tcPr>
            <w:tcW w:w="1380" w:type="dxa"/>
            <w:vAlign w:val="bottom"/>
            <w:tcBorders>
              <w:top w:val="single" w:sz="8" w:color="215AA8"/>
            </w:tcBorders>
          </w:tcPr>
          <w:p>
            <w:pPr>
              <w:spacing w:after="0"/>
              <w:rPr>
                <w:sz w:val="14"/>
                <w:szCs w:val="14"/>
                <w:color w:val="auto"/>
              </w:rPr>
            </w:pPr>
          </w:p>
        </w:tc>
        <w:tc>
          <w:tcPr>
            <w:tcW w:w="400" w:type="dxa"/>
            <w:vAlign w:val="bottom"/>
            <w:tcBorders>
              <w:top w:val="single" w:sz="8" w:color="215AA8"/>
            </w:tcBorders>
          </w:tcPr>
          <w:p>
            <w:pPr>
              <w:spacing w:after="0"/>
              <w:rPr>
                <w:sz w:val="14"/>
                <w:szCs w:val="14"/>
                <w:color w:val="auto"/>
              </w:rPr>
            </w:pPr>
          </w:p>
        </w:tc>
        <w:tc>
          <w:tcPr>
            <w:tcW w:w="1280" w:type="dxa"/>
            <w:vAlign w:val="bottom"/>
            <w:tcBorders>
              <w:top w:val="single" w:sz="8" w:color="215AA8"/>
            </w:tcBorders>
          </w:tcPr>
          <w:p>
            <w:pPr>
              <w:spacing w:after="0"/>
              <w:rPr>
                <w:sz w:val="14"/>
                <w:szCs w:val="14"/>
                <w:color w:val="auto"/>
              </w:rPr>
            </w:pPr>
          </w:p>
        </w:tc>
        <w:tc>
          <w:tcPr>
            <w:tcW w:w="1480" w:type="dxa"/>
            <w:vAlign w:val="bottom"/>
            <w:tcBorders>
              <w:top w:val="single" w:sz="8" w:color="215AA8"/>
            </w:tcBorders>
          </w:tcPr>
          <w:p>
            <w:pPr>
              <w:spacing w:after="0"/>
              <w:rPr>
                <w:sz w:val="14"/>
                <w:szCs w:val="14"/>
                <w:color w:val="auto"/>
              </w:rPr>
            </w:pPr>
          </w:p>
        </w:tc>
        <w:tc>
          <w:tcPr>
            <w:tcW w:w="540" w:type="dxa"/>
            <w:vAlign w:val="bottom"/>
          </w:tcPr>
          <w:p>
            <w:pPr>
              <w:spacing w:after="0"/>
              <w:rPr>
                <w:sz w:val="14"/>
                <w:szCs w:val="14"/>
                <w:color w:val="auto"/>
              </w:rPr>
            </w:pPr>
          </w:p>
        </w:tc>
      </w:tr>
      <w:tr>
        <w:trPr>
          <w:trHeight w:val="195"/>
        </w:trPr>
        <w:tc>
          <w:tcPr>
            <w:tcW w:w="540" w:type="dxa"/>
            <w:vAlign w:val="bottom"/>
          </w:tcPr>
          <w:p>
            <w:pPr>
              <w:spacing w:after="0"/>
              <w:rPr>
                <w:sz w:val="16"/>
                <w:szCs w:val="16"/>
                <w:color w:val="auto"/>
              </w:rPr>
            </w:pPr>
          </w:p>
        </w:tc>
        <w:tc>
          <w:tcPr>
            <w:tcW w:w="4040" w:type="dxa"/>
            <w:vAlign w:val="bottom"/>
            <w:tcBorders>
              <w:bottom w:val="single" w:sz="8" w:color="215AA8"/>
            </w:tcBorders>
          </w:tcPr>
          <w:p>
            <w:pPr>
              <w:ind w:left="60"/>
              <w:spacing w:after="0"/>
              <w:rPr>
                <w:sz w:val="20"/>
                <w:szCs w:val="20"/>
                <w:color w:val="auto"/>
              </w:rPr>
            </w:pPr>
            <w:r>
              <w:rPr>
                <w:rFonts w:ascii="Arial" w:cs="Arial" w:eastAsia="Arial" w:hAnsi="Arial"/>
                <w:sz w:val="13"/>
                <w:szCs w:val="13"/>
                <w:b w:val="1"/>
                <w:bCs w:val="1"/>
                <w:color w:val="215BA8"/>
              </w:rPr>
              <w:t>Common Stock (Other than Directors and Executive Officers):</w:t>
            </w:r>
          </w:p>
        </w:tc>
        <w:tc>
          <w:tcPr>
            <w:tcW w:w="280" w:type="dxa"/>
            <w:vAlign w:val="bottom"/>
            <w:tcBorders>
              <w:bottom w:val="single" w:sz="8" w:color="215AA8"/>
            </w:tcBorders>
          </w:tcPr>
          <w:p>
            <w:pPr>
              <w:spacing w:after="0"/>
              <w:rPr>
                <w:sz w:val="16"/>
                <w:szCs w:val="16"/>
                <w:color w:val="auto"/>
              </w:rPr>
            </w:pPr>
          </w:p>
        </w:tc>
        <w:tc>
          <w:tcPr>
            <w:tcW w:w="1300" w:type="dxa"/>
            <w:vAlign w:val="bottom"/>
            <w:tcBorders>
              <w:bottom w:val="single" w:sz="8" w:color="215AA8"/>
            </w:tcBorders>
          </w:tcPr>
          <w:p>
            <w:pPr>
              <w:spacing w:after="0"/>
              <w:rPr>
                <w:sz w:val="16"/>
                <w:szCs w:val="16"/>
                <w:color w:val="auto"/>
              </w:rPr>
            </w:pPr>
          </w:p>
        </w:tc>
        <w:tc>
          <w:tcPr>
            <w:tcW w:w="1380" w:type="dxa"/>
            <w:vAlign w:val="bottom"/>
            <w:tcBorders>
              <w:bottom w:val="single" w:sz="8" w:color="215AA8"/>
            </w:tcBorders>
          </w:tcPr>
          <w:p>
            <w:pPr>
              <w:spacing w:after="0"/>
              <w:rPr>
                <w:sz w:val="16"/>
                <w:szCs w:val="16"/>
                <w:color w:val="auto"/>
              </w:rPr>
            </w:pPr>
          </w:p>
        </w:tc>
        <w:tc>
          <w:tcPr>
            <w:tcW w:w="400" w:type="dxa"/>
            <w:vAlign w:val="bottom"/>
            <w:tcBorders>
              <w:bottom w:val="single" w:sz="8" w:color="215AA8"/>
            </w:tcBorders>
          </w:tcPr>
          <w:p>
            <w:pPr>
              <w:spacing w:after="0"/>
              <w:rPr>
                <w:sz w:val="16"/>
                <w:szCs w:val="16"/>
                <w:color w:val="auto"/>
              </w:rPr>
            </w:pPr>
          </w:p>
        </w:tc>
        <w:tc>
          <w:tcPr>
            <w:tcW w:w="1280" w:type="dxa"/>
            <w:vAlign w:val="bottom"/>
            <w:tcBorders>
              <w:bottom w:val="single" w:sz="8" w:color="215AA8"/>
            </w:tcBorders>
          </w:tcPr>
          <w:p>
            <w:pPr>
              <w:spacing w:after="0"/>
              <w:rPr>
                <w:sz w:val="16"/>
                <w:szCs w:val="16"/>
                <w:color w:val="auto"/>
              </w:rPr>
            </w:pPr>
          </w:p>
        </w:tc>
        <w:tc>
          <w:tcPr>
            <w:tcW w:w="1480" w:type="dxa"/>
            <w:vAlign w:val="bottom"/>
            <w:tcBorders>
              <w:bottom w:val="single" w:sz="8" w:color="215AA8"/>
            </w:tcBorders>
          </w:tcPr>
          <w:p>
            <w:pPr>
              <w:spacing w:after="0"/>
              <w:rPr>
                <w:sz w:val="16"/>
                <w:szCs w:val="16"/>
                <w:color w:val="auto"/>
              </w:rPr>
            </w:pPr>
          </w:p>
        </w:tc>
        <w:tc>
          <w:tcPr>
            <w:tcW w:w="540" w:type="dxa"/>
            <w:vAlign w:val="bottom"/>
          </w:tcPr>
          <w:p>
            <w:pPr>
              <w:spacing w:after="0"/>
              <w:rPr>
                <w:sz w:val="16"/>
                <w:szCs w:val="16"/>
                <w:color w:val="auto"/>
              </w:rPr>
            </w:pPr>
          </w:p>
        </w:tc>
      </w:tr>
      <w:tr>
        <w:trPr>
          <w:trHeight w:val="260"/>
        </w:trPr>
        <w:tc>
          <w:tcPr>
            <w:tcW w:w="540" w:type="dxa"/>
            <w:vAlign w:val="bottom"/>
          </w:tcPr>
          <w:p>
            <w:pPr>
              <w:spacing w:after="0"/>
              <w:rPr>
                <w:sz w:val="22"/>
                <w:szCs w:val="22"/>
                <w:color w:val="auto"/>
              </w:rPr>
            </w:pPr>
          </w:p>
        </w:tc>
        <w:tc>
          <w:tcPr>
            <w:tcW w:w="4040" w:type="dxa"/>
            <w:vAlign w:val="bottom"/>
          </w:tcPr>
          <w:p>
            <w:pPr>
              <w:ind w:left="60"/>
              <w:spacing w:after="0"/>
              <w:rPr>
                <w:sz w:val="20"/>
                <w:szCs w:val="20"/>
                <w:color w:val="auto"/>
              </w:rPr>
            </w:pPr>
            <w:r>
              <w:rPr>
                <w:rFonts w:ascii="Arial" w:cs="Arial" w:eastAsia="Arial" w:hAnsi="Arial"/>
                <w:sz w:val="13"/>
                <w:szCs w:val="13"/>
                <w:b w:val="1"/>
                <w:bCs w:val="1"/>
                <w:color w:val="D60058"/>
              </w:rPr>
              <w:t>FMR LLC</w:t>
            </w:r>
            <w:r>
              <w:rPr>
                <w:rFonts w:ascii="Arial" w:cs="Arial" w:eastAsia="Arial" w:hAnsi="Arial"/>
                <w:sz w:val="21"/>
                <w:szCs w:val="21"/>
                <w:b w:val="1"/>
                <w:bCs w:val="1"/>
                <w:color w:val="D60058"/>
                <w:vertAlign w:val="superscript"/>
              </w:rPr>
              <w:t>3</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6"/>
        </w:trPr>
        <w:tc>
          <w:tcPr>
            <w:tcW w:w="540" w:type="dxa"/>
            <w:vAlign w:val="bottom"/>
          </w:tcPr>
          <w:p>
            <w:pPr>
              <w:spacing w:after="0"/>
              <w:rPr>
                <w:sz w:val="13"/>
                <w:szCs w:val="13"/>
                <w:color w:val="auto"/>
              </w:rPr>
            </w:pPr>
          </w:p>
        </w:tc>
        <w:tc>
          <w:tcPr>
            <w:tcW w:w="4040" w:type="dxa"/>
            <w:vAlign w:val="bottom"/>
          </w:tcPr>
          <w:p>
            <w:pPr>
              <w:ind w:left="60"/>
              <w:spacing w:after="0"/>
              <w:rPr>
                <w:sz w:val="20"/>
                <w:szCs w:val="20"/>
                <w:color w:val="auto"/>
              </w:rPr>
            </w:pPr>
            <w:r>
              <w:rPr>
                <w:rFonts w:ascii="Arial" w:cs="Arial" w:eastAsia="Arial" w:hAnsi="Arial"/>
                <w:sz w:val="13"/>
                <w:szCs w:val="13"/>
                <w:color w:val="auto"/>
              </w:rPr>
              <w:t>245 Summer Street</w:t>
            </w:r>
          </w:p>
        </w:tc>
        <w:tc>
          <w:tcPr>
            <w:tcW w:w="28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316"/>
              <w:spacing w:after="0"/>
              <w:rPr>
                <w:sz w:val="20"/>
                <w:szCs w:val="20"/>
                <w:color w:val="auto"/>
              </w:rPr>
            </w:pPr>
            <w:r>
              <w:rPr>
                <w:rFonts w:ascii="Arial" w:cs="Arial" w:eastAsia="Arial" w:hAnsi="Arial"/>
                <w:sz w:val="13"/>
                <w:szCs w:val="13"/>
                <w:color w:val="auto"/>
              </w:rPr>
              <w:t>10,062,965</w:t>
            </w:r>
          </w:p>
        </w:tc>
        <w:tc>
          <w:tcPr>
            <w:tcW w:w="1480" w:type="dxa"/>
            <w:vAlign w:val="bottom"/>
          </w:tcPr>
          <w:p>
            <w:pPr>
              <w:jc w:val="right"/>
              <w:ind w:right="41"/>
              <w:spacing w:after="0"/>
              <w:rPr>
                <w:sz w:val="20"/>
                <w:szCs w:val="20"/>
                <w:color w:val="auto"/>
              </w:rPr>
            </w:pPr>
            <w:r>
              <w:rPr>
                <w:rFonts w:ascii="Arial" w:cs="Arial" w:eastAsia="Arial" w:hAnsi="Arial"/>
                <w:sz w:val="13"/>
                <w:szCs w:val="13"/>
                <w:color w:val="auto"/>
              </w:rPr>
              <w:t>9.3%</w:t>
            </w:r>
          </w:p>
        </w:tc>
        <w:tc>
          <w:tcPr>
            <w:tcW w:w="540" w:type="dxa"/>
            <w:vAlign w:val="bottom"/>
          </w:tcPr>
          <w:p>
            <w:pPr>
              <w:spacing w:after="0"/>
              <w:rPr>
                <w:sz w:val="13"/>
                <w:szCs w:val="13"/>
                <w:color w:val="auto"/>
              </w:rPr>
            </w:pPr>
          </w:p>
        </w:tc>
      </w:tr>
      <w:tr>
        <w:trPr>
          <w:trHeight w:val="212"/>
        </w:trPr>
        <w:tc>
          <w:tcPr>
            <w:tcW w:w="540" w:type="dxa"/>
            <w:vAlign w:val="bottom"/>
          </w:tcPr>
          <w:p>
            <w:pPr>
              <w:spacing w:after="0"/>
              <w:rPr>
                <w:sz w:val="18"/>
                <w:szCs w:val="18"/>
                <w:color w:val="auto"/>
              </w:rPr>
            </w:pPr>
          </w:p>
        </w:tc>
        <w:tc>
          <w:tcPr>
            <w:tcW w:w="4040" w:type="dxa"/>
            <w:vAlign w:val="bottom"/>
            <w:tcBorders>
              <w:bottom w:val="single" w:sz="8" w:color="215AA8"/>
            </w:tcBorders>
          </w:tcPr>
          <w:p>
            <w:pPr>
              <w:ind w:left="60"/>
              <w:spacing w:after="0"/>
              <w:rPr>
                <w:sz w:val="20"/>
                <w:szCs w:val="20"/>
                <w:color w:val="auto"/>
              </w:rPr>
            </w:pPr>
            <w:r>
              <w:rPr>
                <w:rFonts w:ascii="Arial" w:cs="Arial" w:eastAsia="Arial" w:hAnsi="Arial"/>
                <w:sz w:val="13"/>
                <w:szCs w:val="13"/>
                <w:color w:val="auto"/>
              </w:rPr>
              <w:t>Boston, Massachusetts 02210</w:t>
            </w:r>
          </w:p>
        </w:tc>
        <w:tc>
          <w:tcPr>
            <w:tcW w:w="280" w:type="dxa"/>
            <w:vAlign w:val="bottom"/>
            <w:tcBorders>
              <w:bottom w:val="single" w:sz="8" w:color="215AA8"/>
            </w:tcBorders>
          </w:tcPr>
          <w:p>
            <w:pPr>
              <w:spacing w:after="0"/>
              <w:rPr>
                <w:sz w:val="18"/>
                <w:szCs w:val="18"/>
                <w:color w:val="auto"/>
              </w:rPr>
            </w:pPr>
          </w:p>
        </w:tc>
        <w:tc>
          <w:tcPr>
            <w:tcW w:w="1300" w:type="dxa"/>
            <w:vAlign w:val="bottom"/>
            <w:tcBorders>
              <w:bottom w:val="single" w:sz="8" w:color="215AA8"/>
            </w:tcBorders>
          </w:tcPr>
          <w:p>
            <w:pPr>
              <w:spacing w:after="0"/>
              <w:rPr>
                <w:sz w:val="18"/>
                <w:szCs w:val="18"/>
                <w:color w:val="auto"/>
              </w:rPr>
            </w:pPr>
          </w:p>
        </w:tc>
        <w:tc>
          <w:tcPr>
            <w:tcW w:w="1380" w:type="dxa"/>
            <w:vAlign w:val="bottom"/>
            <w:tcBorders>
              <w:bottom w:val="single" w:sz="8" w:color="215AA8"/>
            </w:tcBorders>
          </w:tcPr>
          <w:p>
            <w:pPr>
              <w:spacing w:after="0"/>
              <w:rPr>
                <w:sz w:val="18"/>
                <w:szCs w:val="18"/>
                <w:color w:val="auto"/>
              </w:rPr>
            </w:pPr>
          </w:p>
        </w:tc>
        <w:tc>
          <w:tcPr>
            <w:tcW w:w="400" w:type="dxa"/>
            <w:vAlign w:val="bottom"/>
            <w:tcBorders>
              <w:bottom w:val="single" w:sz="8" w:color="215AA8"/>
            </w:tcBorders>
          </w:tcPr>
          <w:p>
            <w:pPr>
              <w:spacing w:after="0"/>
              <w:rPr>
                <w:sz w:val="18"/>
                <w:szCs w:val="18"/>
                <w:color w:val="auto"/>
              </w:rPr>
            </w:pPr>
          </w:p>
        </w:tc>
        <w:tc>
          <w:tcPr>
            <w:tcW w:w="1280" w:type="dxa"/>
            <w:vAlign w:val="bottom"/>
            <w:tcBorders>
              <w:bottom w:val="single" w:sz="8" w:color="215AA8"/>
            </w:tcBorders>
          </w:tcPr>
          <w:p>
            <w:pPr>
              <w:spacing w:after="0"/>
              <w:rPr>
                <w:sz w:val="18"/>
                <w:szCs w:val="18"/>
                <w:color w:val="auto"/>
              </w:rPr>
            </w:pPr>
          </w:p>
        </w:tc>
        <w:tc>
          <w:tcPr>
            <w:tcW w:w="1480" w:type="dxa"/>
            <w:vAlign w:val="bottom"/>
            <w:tcBorders>
              <w:bottom w:val="single" w:sz="8" w:color="215AA8"/>
            </w:tcBorders>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540" w:type="dxa"/>
            <w:vAlign w:val="bottom"/>
          </w:tcPr>
          <w:p>
            <w:pPr>
              <w:spacing w:after="0"/>
              <w:rPr>
                <w:sz w:val="19"/>
                <w:szCs w:val="19"/>
                <w:color w:val="auto"/>
              </w:rPr>
            </w:pPr>
          </w:p>
        </w:tc>
        <w:tc>
          <w:tcPr>
            <w:tcW w:w="4040" w:type="dxa"/>
            <w:vAlign w:val="bottom"/>
            <w:shd w:val="clear" w:color="auto" w:fill="EEEEEF"/>
          </w:tcPr>
          <w:p>
            <w:pPr>
              <w:ind w:left="60"/>
              <w:spacing w:after="0" w:line="230" w:lineRule="exact"/>
              <w:rPr>
                <w:sz w:val="20"/>
                <w:szCs w:val="20"/>
                <w:color w:val="auto"/>
              </w:rPr>
            </w:pPr>
            <w:r>
              <w:rPr>
                <w:rFonts w:ascii="Arial" w:cs="Arial" w:eastAsia="Arial" w:hAnsi="Arial"/>
                <w:sz w:val="13"/>
                <w:szCs w:val="13"/>
                <w:b w:val="1"/>
                <w:bCs w:val="1"/>
                <w:color w:val="D60058"/>
              </w:rPr>
              <w:t>BlackRock, Inc.</w:t>
            </w:r>
            <w:r>
              <w:rPr>
                <w:rFonts w:ascii="Arial" w:cs="Arial" w:eastAsia="Arial" w:hAnsi="Arial"/>
                <w:sz w:val="21"/>
                <w:szCs w:val="21"/>
                <w:b w:val="1"/>
                <w:bCs w:val="1"/>
                <w:color w:val="D60058"/>
                <w:vertAlign w:val="superscript"/>
              </w:rPr>
              <w:t>4</w:t>
            </w:r>
          </w:p>
        </w:tc>
        <w:tc>
          <w:tcPr>
            <w:tcW w:w="280" w:type="dxa"/>
            <w:vAlign w:val="bottom"/>
            <w:shd w:val="clear" w:color="auto" w:fill="EEEEEF"/>
          </w:tcPr>
          <w:p>
            <w:pPr>
              <w:spacing w:after="0"/>
              <w:rPr>
                <w:sz w:val="19"/>
                <w:szCs w:val="19"/>
                <w:color w:val="auto"/>
              </w:rPr>
            </w:pPr>
          </w:p>
        </w:tc>
        <w:tc>
          <w:tcPr>
            <w:tcW w:w="1300" w:type="dxa"/>
            <w:vAlign w:val="bottom"/>
            <w:shd w:val="clear" w:color="auto" w:fill="EEEEEF"/>
          </w:tcPr>
          <w:p>
            <w:pPr>
              <w:spacing w:after="0"/>
              <w:rPr>
                <w:sz w:val="19"/>
                <w:szCs w:val="19"/>
                <w:color w:val="auto"/>
              </w:rPr>
            </w:pPr>
          </w:p>
        </w:tc>
        <w:tc>
          <w:tcPr>
            <w:tcW w:w="1380" w:type="dxa"/>
            <w:vAlign w:val="bottom"/>
            <w:shd w:val="clear" w:color="auto" w:fill="EEEEEF"/>
          </w:tcPr>
          <w:p>
            <w:pPr>
              <w:spacing w:after="0"/>
              <w:rPr>
                <w:sz w:val="19"/>
                <w:szCs w:val="19"/>
                <w:color w:val="auto"/>
              </w:rPr>
            </w:pPr>
          </w:p>
        </w:tc>
        <w:tc>
          <w:tcPr>
            <w:tcW w:w="400" w:type="dxa"/>
            <w:vAlign w:val="bottom"/>
            <w:shd w:val="clear" w:color="auto" w:fill="EEEEEF"/>
          </w:tcPr>
          <w:p>
            <w:pPr>
              <w:spacing w:after="0"/>
              <w:rPr>
                <w:sz w:val="19"/>
                <w:szCs w:val="19"/>
                <w:color w:val="auto"/>
              </w:rPr>
            </w:pPr>
          </w:p>
        </w:tc>
        <w:tc>
          <w:tcPr>
            <w:tcW w:w="1280" w:type="dxa"/>
            <w:vAlign w:val="bottom"/>
            <w:shd w:val="clear" w:color="auto" w:fill="EEEEEF"/>
          </w:tcPr>
          <w:p>
            <w:pPr>
              <w:spacing w:after="0"/>
              <w:rPr>
                <w:sz w:val="19"/>
                <w:szCs w:val="19"/>
                <w:color w:val="auto"/>
              </w:rPr>
            </w:pPr>
          </w:p>
        </w:tc>
        <w:tc>
          <w:tcPr>
            <w:tcW w:w="1480" w:type="dxa"/>
            <w:vAlign w:val="bottom"/>
            <w:shd w:val="clear" w:color="auto" w:fill="EEEEEF"/>
          </w:tcPr>
          <w:p>
            <w:pPr>
              <w:spacing w:after="0"/>
              <w:rPr>
                <w:sz w:val="19"/>
                <w:szCs w:val="19"/>
                <w:color w:val="auto"/>
              </w:rPr>
            </w:pPr>
          </w:p>
        </w:tc>
        <w:tc>
          <w:tcPr>
            <w:tcW w:w="540" w:type="dxa"/>
            <w:vAlign w:val="bottom"/>
          </w:tcPr>
          <w:p>
            <w:pPr>
              <w:spacing w:after="0"/>
              <w:rPr>
                <w:sz w:val="19"/>
                <w:szCs w:val="19"/>
                <w:color w:val="auto"/>
              </w:rPr>
            </w:pPr>
          </w:p>
        </w:tc>
      </w:tr>
      <w:tr>
        <w:trPr>
          <w:trHeight w:val="187"/>
        </w:trPr>
        <w:tc>
          <w:tcPr>
            <w:tcW w:w="540" w:type="dxa"/>
            <w:vAlign w:val="bottom"/>
          </w:tcPr>
          <w:p>
            <w:pPr>
              <w:spacing w:after="0"/>
              <w:rPr>
                <w:sz w:val="16"/>
                <w:szCs w:val="16"/>
                <w:color w:val="auto"/>
              </w:rPr>
            </w:pPr>
          </w:p>
        </w:tc>
        <w:tc>
          <w:tcPr>
            <w:tcW w:w="4040" w:type="dxa"/>
            <w:vAlign w:val="bottom"/>
            <w:shd w:val="clear" w:color="auto" w:fill="EEEEEF"/>
          </w:tcPr>
          <w:p>
            <w:pPr>
              <w:ind w:left="60"/>
              <w:spacing w:after="0"/>
              <w:rPr>
                <w:sz w:val="20"/>
                <w:szCs w:val="20"/>
                <w:color w:val="auto"/>
              </w:rPr>
            </w:pPr>
            <w:r>
              <w:rPr>
                <w:rFonts w:ascii="Arial" w:cs="Arial" w:eastAsia="Arial" w:hAnsi="Arial"/>
                <w:sz w:val="13"/>
                <w:szCs w:val="13"/>
                <w:color w:val="auto"/>
              </w:rPr>
              <w:t>55 East 52nd Street</w:t>
            </w:r>
          </w:p>
        </w:tc>
        <w:tc>
          <w:tcPr>
            <w:tcW w:w="280" w:type="dxa"/>
            <w:vAlign w:val="bottom"/>
            <w:shd w:val="clear" w:color="auto" w:fill="EEEEEF"/>
          </w:tcPr>
          <w:p>
            <w:pPr>
              <w:spacing w:after="0"/>
              <w:rPr>
                <w:sz w:val="16"/>
                <w:szCs w:val="16"/>
                <w:color w:val="auto"/>
              </w:rPr>
            </w:pPr>
          </w:p>
        </w:tc>
        <w:tc>
          <w:tcPr>
            <w:tcW w:w="1300" w:type="dxa"/>
            <w:vAlign w:val="bottom"/>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shd w:val="clear" w:color="auto" w:fill="EEEEEF"/>
          </w:tcPr>
          <w:p>
            <w:pPr>
              <w:ind w:left="320"/>
              <w:spacing w:after="0"/>
              <w:rPr>
                <w:sz w:val="20"/>
                <w:szCs w:val="20"/>
                <w:color w:val="auto"/>
              </w:rPr>
            </w:pPr>
            <w:r>
              <w:rPr>
                <w:rFonts w:ascii="Arial" w:cs="Arial" w:eastAsia="Arial" w:hAnsi="Arial"/>
                <w:sz w:val="13"/>
                <w:szCs w:val="13"/>
                <w:color w:val="auto"/>
              </w:rPr>
              <w:t>9,610,871</w:t>
            </w:r>
          </w:p>
        </w:tc>
        <w:tc>
          <w:tcPr>
            <w:tcW w:w="1480" w:type="dxa"/>
            <w:vAlign w:val="bottom"/>
            <w:shd w:val="clear" w:color="auto" w:fill="EEEEEF"/>
          </w:tcPr>
          <w:p>
            <w:pPr>
              <w:jc w:val="right"/>
              <w:ind w:right="41"/>
              <w:spacing w:after="0"/>
              <w:rPr>
                <w:sz w:val="20"/>
                <w:szCs w:val="20"/>
                <w:color w:val="auto"/>
              </w:rPr>
            </w:pPr>
            <w:r>
              <w:rPr>
                <w:rFonts w:ascii="Arial" w:cs="Arial" w:eastAsia="Arial" w:hAnsi="Arial"/>
                <w:sz w:val="13"/>
                <w:szCs w:val="13"/>
                <w:color w:val="auto"/>
              </w:rPr>
              <w:t>8.9%</w:t>
            </w:r>
          </w:p>
        </w:tc>
        <w:tc>
          <w:tcPr>
            <w:tcW w:w="540" w:type="dxa"/>
            <w:vAlign w:val="bottom"/>
          </w:tcPr>
          <w:p>
            <w:pPr>
              <w:spacing w:after="0"/>
              <w:rPr>
                <w:sz w:val="16"/>
                <w:szCs w:val="16"/>
                <w:color w:val="auto"/>
              </w:rPr>
            </w:pPr>
          </w:p>
        </w:tc>
      </w:tr>
      <w:tr>
        <w:trPr>
          <w:trHeight w:val="212"/>
        </w:trPr>
        <w:tc>
          <w:tcPr>
            <w:tcW w:w="540" w:type="dxa"/>
            <w:vAlign w:val="bottom"/>
          </w:tcPr>
          <w:p>
            <w:pPr>
              <w:spacing w:after="0"/>
              <w:rPr>
                <w:sz w:val="18"/>
                <w:szCs w:val="18"/>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color w:val="auto"/>
              </w:rPr>
              <w:t>New York, New York 10055</w:t>
            </w:r>
          </w:p>
        </w:tc>
        <w:tc>
          <w:tcPr>
            <w:tcW w:w="280" w:type="dxa"/>
            <w:vAlign w:val="bottom"/>
            <w:tcBorders>
              <w:bottom w:val="single" w:sz="8" w:color="auto"/>
            </w:tcBorders>
            <w:shd w:val="clear" w:color="auto" w:fill="EEEEEF"/>
          </w:tcPr>
          <w:p>
            <w:pPr>
              <w:spacing w:after="0"/>
              <w:rPr>
                <w:sz w:val="18"/>
                <w:szCs w:val="18"/>
                <w:color w:val="auto"/>
              </w:rPr>
            </w:pPr>
          </w:p>
        </w:tc>
        <w:tc>
          <w:tcPr>
            <w:tcW w:w="1300" w:type="dxa"/>
            <w:vAlign w:val="bottom"/>
            <w:tcBorders>
              <w:bottom w:val="single" w:sz="8" w:color="auto"/>
            </w:tcBorders>
            <w:shd w:val="clear" w:color="auto" w:fill="EEEEEF"/>
          </w:tcPr>
          <w:p>
            <w:pPr>
              <w:spacing w:after="0"/>
              <w:rPr>
                <w:sz w:val="18"/>
                <w:szCs w:val="18"/>
                <w:color w:val="auto"/>
              </w:rPr>
            </w:pPr>
          </w:p>
        </w:tc>
        <w:tc>
          <w:tcPr>
            <w:tcW w:w="1380" w:type="dxa"/>
            <w:vAlign w:val="bottom"/>
            <w:tcBorders>
              <w:bottom w:val="single" w:sz="8" w:color="auto"/>
            </w:tcBorders>
            <w:shd w:val="clear" w:color="auto" w:fill="EEEEEF"/>
          </w:tcPr>
          <w:p>
            <w:pPr>
              <w:spacing w:after="0"/>
              <w:rPr>
                <w:sz w:val="18"/>
                <w:szCs w:val="18"/>
                <w:color w:val="auto"/>
              </w:rPr>
            </w:pPr>
          </w:p>
        </w:tc>
        <w:tc>
          <w:tcPr>
            <w:tcW w:w="400" w:type="dxa"/>
            <w:vAlign w:val="bottom"/>
            <w:tcBorders>
              <w:bottom w:val="single" w:sz="8" w:color="auto"/>
            </w:tcBorders>
            <w:shd w:val="clear" w:color="auto" w:fill="EEEEEF"/>
          </w:tcPr>
          <w:p>
            <w:pPr>
              <w:spacing w:after="0"/>
              <w:rPr>
                <w:sz w:val="18"/>
                <w:szCs w:val="18"/>
                <w:color w:val="auto"/>
              </w:rPr>
            </w:pPr>
          </w:p>
        </w:tc>
        <w:tc>
          <w:tcPr>
            <w:tcW w:w="1280" w:type="dxa"/>
            <w:vAlign w:val="bottom"/>
            <w:tcBorders>
              <w:bottom w:val="single" w:sz="8" w:color="auto"/>
            </w:tcBorders>
            <w:shd w:val="clear" w:color="auto" w:fill="EEEEEF"/>
          </w:tcPr>
          <w:p>
            <w:pPr>
              <w:spacing w:after="0"/>
              <w:rPr>
                <w:sz w:val="18"/>
                <w:szCs w:val="18"/>
                <w:color w:val="auto"/>
              </w:rPr>
            </w:pPr>
          </w:p>
        </w:tc>
        <w:tc>
          <w:tcPr>
            <w:tcW w:w="1480" w:type="dxa"/>
            <w:vAlign w:val="bottom"/>
            <w:tcBorders>
              <w:bottom w:val="single" w:sz="8" w:color="auto"/>
            </w:tcBorders>
            <w:shd w:val="clear" w:color="auto" w:fill="EEEEEF"/>
          </w:tcPr>
          <w:p>
            <w:pPr>
              <w:spacing w:after="0"/>
              <w:rPr>
                <w:sz w:val="18"/>
                <w:szCs w:val="18"/>
                <w:color w:val="auto"/>
              </w:rPr>
            </w:pPr>
          </w:p>
        </w:tc>
        <w:tc>
          <w:tcPr>
            <w:tcW w:w="540" w:type="dxa"/>
            <w:vAlign w:val="bottom"/>
          </w:tcPr>
          <w:p>
            <w:pPr>
              <w:spacing w:after="0"/>
              <w:rPr>
                <w:sz w:val="18"/>
                <w:szCs w:val="18"/>
                <w:color w:val="auto"/>
              </w:rPr>
            </w:pPr>
          </w:p>
        </w:tc>
      </w:tr>
      <w:tr>
        <w:trPr>
          <w:trHeight w:val="260"/>
        </w:trPr>
        <w:tc>
          <w:tcPr>
            <w:tcW w:w="540" w:type="dxa"/>
            <w:vAlign w:val="bottom"/>
          </w:tcPr>
          <w:p>
            <w:pPr>
              <w:spacing w:after="0"/>
              <w:rPr>
                <w:sz w:val="22"/>
                <w:szCs w:val="22"/>
                <w:color w:val="auto"/>
              </w:rPr>
            </w:pPr>
          </w:p>
        </w:tc>
        <w:tc>
          <w:tcPr>
            <w:tcW w:w="4040" w:type="dxa"/>
            <w:vAlign w:val="bottom"/>
          </w:tcPr>
          <w:p>
            <w:pPr>
              <w:ind w:left="60"/>
              <w:spacing w:after="0"/>
              <w:rPr>
                <w:sz w:val="20"/>
                <w:szCs w:val="20"/>
                <w:color w:val="auto"/>
              </w:rPr>
            </w:pPr>
            <w:r>
              <w:rPr>
                <w:rFonts w:ascii="Arial" w:cs="Arial" w:eastAsia="Arial" w:hAnsi="Arial"/>
                <w:sz w:val="13"/>
                <w:szCs w:val="13"/>
                <w:b w:val="1"/>
                <w:bCs w:val="1"/>
                <w:color w:val="D60058"/>
              </w:rPr>
              <w:t>The Vanguard Group, Inc.</w:t>
            </w:r>
            <w:r>
              <w:rPr>
                <w:rFonts w:ascii="Arial" w:cs="Arial" w:eastAsia="Arial" w:hAnsi="Arial"/>
                <w:sz w:val="21"/>
                <w:szCs w:val="21"/>
                <w:b w:val="1"/>
                <w:bCs w:val="1"/>
                <w:color w:val="D60058"/>
                <w:vertAlign w:val="superscript"/>
              </w:rPr>
              <w:t>5</w:t>
            </w: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6"/>
        </w:trPr>
        <w:tc>
          <w:tcPr>
            <w:tcW w:w="540" w:type="dxa"/>
            <w:vAlign w:val="bottom"/>
          </w:tcPr>
          <w:p>
            <w:pPr>
              <w:spacing w:after="0"/>
              <w:rPr>
                <w:sz w:val="13"/>
                <w:szCs w:val="13"/>
                <w:color w:val="auto"/>
              </w:rPr>
            </w:pPr>
          </w:p>
        </w:tc>
        <w:tc>
          <w:tcPr>
            <w:tcW w:w="4040" w:type="dxa"/>
            <w:vAlign w:val="bottom"/>
          </w:tcPr>
          <w:p>
            <w:pPr>
              <w:ind w:left="60"/>
              <w:spacing w:after="0"/>
              <w:rPr>
                <w:sz w:val="20"/>
                <w:szCs w:val="20"/>
                <w:color w:val="auto"/>
              </w:rPr>
            </w:pPr>
            <w:r>
              <w:rPr>
                <w:rFonts w:ascii="Arial" w:cs="Arial" w:eastAsia="Arial" w:hAnsi="Arial"/>
                <w:sz w:val="13"/>
                <w:szCs w:val="13"/>
                <w:color w:val="auto"/>
              </w:rPr>
              <w:t>100 Vanguard Blvd.</w:t>
            </w:r>
          </w:p>
        </w:tc>
        <w:tc>
          <w:tcPr>
            <w:tcW w:w="28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Pr>
          <w:p>
            <w:pPr>
              <w:ind w:left="320"/>
              <w:spacing w:after="0"/>
              <w:rPr>
                <w:sz w:val="20"/>
                <w:szCs w:val="20"/>
                <w:color w:val="auto"/>
              </w:rPr>
            </w:pPr>
            <w:r>
              <w:rPr>
                <w:rFonts w:ascii="Arial" w:cs="Arial" w:eastAsia="Arial" w:hAnsi="Arial"/>
                <w:sz w:val="13"/>
                <w:szCs w:val="13"/>
                <w:color w:val="auto"/>
              </w:rPr>
              <w:t>8,158,515</w:t>
            </w:r>
          </w:p>
        </w:tc>
        <w:tc>
          <w:tcPr>
            <w:tcW w:w="1480" w:type="dxa"/>
            <w:vAlign w:val="bottom"/>
          </w:tcPr>
          <w:p>
            <w:pPr>
              <w:jc w:val="right"/>
              <w:ind w:right="41"/>
              <w:spacing w:after="0"/>
              <w:rPr>
                <w:sz w:val="20"/>
                <w:szCs w:val="20"/>
                <w:color w:val="auto"/>
              </w:rPr>
            </w:pPr>
            <w:r>
              <w:rPr>
                <w:rFonts w:ascii="Arial" w:cs="Arial" w:eastAsia="Arial" w:hAnsi="Arial"/>
                <w:sz w:val="13"/>
                <w:szCs w:val="13"/>
                <w:color w:val="auto"/>
              </w:rPr>
              <w:t>7.6%</w:t>
            </w:r>
          </w:p>
        </w:tc>
        <w:tc>
          <w:tcPr>
            <w:tcW w:w="540" w:type="dxa"/>
            <w:vAlign w:val="bottom"/>
          </w:tcPr>
          <w:p>
            <w:pPr>
              <w:spacing w:after="0"/>
              <w:rPr>
                <w:sz w:val="13"/>
                <w:szCs w:val="13"/>
                <w:color w:val="auto"/>
              </w:rPr>
            </w:pPr>
          </w:p>
        </w:tc>
      </w:tr>
      <w:tr>
        <w:trPr>
          <w:trHeight w:val="203"/>
        </w:trPr>
        <w:tc>
          <w:tcPr>
            <w:tcW w:w="540" w:type="dxa"/>
            <w:vAlign w:val="bottom"/>
          </w:tcPr>
          <w:p>
            <w:pPr>
              <w:spacing w:after="0"/>
              <w:rPr>
                <w:sz w:val="17"/>
                <w:szCs w:val="17"/>
                <w:color w:val="auto"/>
              </w:rPr>
            </w:pPr>
          </w:p>
        </w:tc>
        <w:tc>
          <w:tcPr>
            <w:tcW w:w="4040" w:type="dxa"/>
            <w:vAlign w:val="bottom"/>
          </w:tcPr>
          <w:p>
            <w:pPr>
              <w:ind w:left="60"/>
              <w:spacing w:after="0"/>
              <w:rPr>
                <w:sz w:val="20"/>
                <w:szCs w:val="20"/>
                <w:color w:val="auto"/>
              </w:rPr>
            </w:pPr>
            <w:r>
              <w:rPr>
                <w:rFonts w:ascii="Arial" w:cs="Arial" w:eastAsia="Arial" w:hAnsi="Arial"/>
                <w:sz w:val="13"/>
                <w:szCs w:val="13"/>
                <w:color w:val="auto"/>
              </w:rPr>
              <w:t>Malvern, PA 19355</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55"/>
        </w:trPr>
        <w:tc>
          <w:tcPr>
            <w:tcW w:w="540" w:type="dxa"/>
            <w:vAlign w:val="bottom"/>
          </w:tcPr>
          <w:p>
            <w:pPr>
              <w:spacing w:after="0"/>
              <w:rPr>
                <w:sz w:val="24"/>
                <w:szCs w:val="24"/>
                <w:color w:val="auto"/>
              </w:rPr>
            </w:pPr>
          </w:p>
        </w:tc>
        <w:tc>
          <w:tcPr>
            <w:tcW w:w="4040" w:type="dxa"/>
            <w:vAlign w:val="bottom"/>
            <w:tcBorders>
              <w:bottom w:val="single" w:sz="8" w:color="215AA8"/>
            </w:tcBorders>
          </w:tcPr>
          <w:p>
            <w:pPr>
              <w:ind w:left="60"/>
              <w:spacing w:after="0"/>
              <w:rPr>
                <w:sz w:val="20"/>
                <w:szCs w:val="20"/>
                <w:color w:val="auto"/>
              </w:rPr>
            </w:pPr>
            <w:r>
              <w:rPr>
                <w:rFonts w:ascii="Arial" w:cs="Arial" w:eastAsia="Arial" w:hAnsi="Arial"/>
                <w:sz w:val="12"/>
                <w:szCs w:val="12"/>
                <w:b w:val="1"/>
                <w:bCs w:val="1"/>
                <w:color w:val="215BA8"/>
              </w:rPr>
              <w:t>Directors and Executive Officers:</w:t>
            </w:r>
            <w:r>
              <w:rPr>
                <w:rFonts w:ascii="Arial" w:cs="Arial" w:eastAsia="Arial" w:hAnsi="Arial"/>
                <w:sz w:val="19"/>
                <w:szCs w:val="19"/>
                <w:b w:val="1"/>
                <w:bCs w:val="1"/>
                <w:color w:val="215BA8"/>
                <w:vertAlign w:val="superscript"/>
              </w:rPr>
              <w:t>6</w:t>
            </w:r>
          </w:p>
        </w:tc>
        <w:tc>
          <w:tcPr>
            <w:tcW w:w="280" w:type="dxa"/>
            <w:vAlign w:val="bottom"/>
            <w:tcBorders>
              <w:bottom w:val="single" w:sz="8" w:color="215AA8"/>
            </w:tcBorders>
          </w:tcPr>
          <w:p>
            <w:pPr>
              <w:spacing w:after="0"/>
              <w:rPr>
                <w:sz w:val="24"/>
                <w:szCs w:val="24"/>
                <w:color w:val="auto"/>
              </w:rPr>
            </w:pPr>
          </w:p>
        </w:tc>
        <w:tc>
          <w:tcPr>
            <w:tcW w:w="1300" w:type="dxa"/>
            <w:vAlign w:val="bottom"/>
            <w:tcBorders>
              <w:bottom w:val="single" w:sz="8" w:color="215AA8"/>
            </w:tcBorders>
          </w:tcPr>
          <w:p>
            <w:pPr>
              <w:spacing w:after="0"/>
              <w:rPr>
                <w:sz w:val="24"/>
                <w:szCs w:val="24"/>
                <w:color w:val="auto"/>
              </w:rPr>
            </w:pPr>
          </w:p>
        </w:tc>
        <w:tc>
          <w:tcPr>
            <w:tcW w:w="1380" w:type="dxa"/>
            <w:vAlign w:val="bottom"/>
            <w:tcBorders>
              <w:bottom w:val="single" w:sz="8" w:color="215AA8"/>
            </w:tcBorders>
          </w:tcPr>
          <w:p>
            <w:pPr>
              <w:spacing w:after="0"/>
              <w:rPr>
                <w:sz w:val="24"/>
                <w:szCs w:val="24"/>
                <w:color w:val="auto"/>
              </w:rPr>
            </w:pPr>
          </w:p>
        </w:tc>
        <w:tc>
          <w:tcPr>
            <w:tcW w:w="400" w:type="dxa"/>
            <w:vAlign w:val="bottom"/>
            <w:tcBorders>
              <w:bottom w:val="single" w:sz="8" w:color="215AA8"/>
            </w:tcBorders>
          </w:tcPr>
          <w:p>
            <w:pPr>
              <w:spacing w:after="0"/>
              <w:rPr>
                <w:sz w:val="24"/>
                <w:szCs w:val="24"/>
                <w:color w:val="auto"/>
              </w:rPr>
            </w:pPr>
          </w:p>
        </w:tc>
        <w:tc>
          <w:tcPr>
            <w:tcW w:w="1280" w:type="dxa"/>
            <w:vAlign w:val="bottom"/>
            <w:tcBorders>
              <w:bottom w:val="single" w:sz="8" w:color="215AA8"/>
            </w:tcBorders>
          </w:tcPr>
          <w:p>
            <w:pPr>
              <w:spacing w:after="0"/>
              <w:rPr>
                <w:sz w:val="24"/>
                <w:szCs w:val="24"/>
                <w:color w:val="auto"/>
              </w:rPr>
            </w:pPr>
          </w:p>
        </w:tc>
        <w:tc>
          <w:tcPr>
            <w:tcW w:w="1480" w:type="dxa"/>
            <w:vAlign w:val="bottom"/>
            <w:tcBorders>
              <w:bottom w:val="single" w:sz="8" w:color="215AA8"/>
            </w:tcBorders>
          </w:tcPr>
          <w:p>
            <w:pPr>
              <w:spacing w:after="0"/>
              <w:rPr>
                <w:sz w:val="24"/>
                <w:szCs w:val="24"/>
                <w:color w:val="auto"/>
              </w:rPr>
            </w:pPr>
          </w:p>
        </w:tc>
        <w:tc>
          <w:tcPr>
            <w:tcW w:w="540" w:type="dxa"/>
            <w:vAlign w:val="bottom"/>
          </w:tcPr>
          <w:p>
            <w:pPr>
              <w:spacing w:after="0"/>
              <w:rPr>
                <w:sz w:val="24"/>
                <w:szCs w:val="24"/>
                <w:color w:val="auto"/>
              </w:rPr>
            </w:pPr>
          </w:p>
        </w:tc>
      </w:tr>
      <w:tr>
        <w:trPr>
          <w:trHeight w:val="229"/>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Leonard S. Schleifer, M.D., Ph.D.</w:t>
            </w:r>
          </w:p>
        </w:tc>
        <w:tc>
          <w:tcPr>
            <w:tcW w:w="1580" w:type="dxa"/>
            <w:vAlign w:val="bottom"/>
            <w:tcBorders>
              <w:bottom w:val="single" w:sz="8" w:color="auto"/>
            </w:tcBorders>
            <w:gridSpan w:val="2"/>
            <w:shd w:val="clear" w:color="auto" w:fill="EEEEEF"/>
          </w:tcPr>
          <w:p>
            <w:pPr>
              <w:jc w:val="right"/>
              <w:ind w:right="256"/>
              <w:spacing w:after="0" w:line="230" w:lineRule="exact"/>
              <w:rPr>
                <w:sz w:val="20"/>
                <w:szCs w:val="20"/>
                <w:color w:val="auto"/>
              </w:rPr>
            </w:pPr>
            <w:r>
              <w:rPr>
                <w:rFonts w:ascii="Arial" w:cs="Arial" w:eastAsia="Arial" w:hAnsi="Arial"/>
                <w:sz w:val="13"/>
                <w:szCs w:val="13"/>
                <w:color w:val="auto"/>
              </w:rPr>
              <w:t>1,726,565</w:t>
            </w:r>
            <w:r>
              <w:rPr>
                <w:rFonts w:ascii="Arial" w:cs="Arial" w:eastAsia="Arial" w:hAnsi="Arial"/>
                <w:sz w:val="21"/>
                <w:szCs w:val="21"/>
                <w:color w:val="auto"/>
                <w:vertAlign w:val="superscript"/>
              </w:rPr>
              <w:t>7</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95.0%</w:t>
            </w:r>
          </w:p>
        </w:tc>
        <w:tc>
          <w:tcPr>
            <w:tcW w:w="1280" w:type="dxa"/>
            <w:vAlign w:val="bottom"/>
            <w:tcBorders>
              <w:bottom w:val="single" w:sz="8" w:color="auto"/>
            </w:tcBorders>
            <w:shd w:val="clear" w:color="auto" w:fill="EEEEEF"/>
          </w:tcPr>
          <w:p>
            <w:pPr>
              <w:ind w:left="320"/>
              <w:spacing w:after="0" w:line="230" w:lineRule="exact"/>
              <w:rPr>
                <w:sz w:val="20"/>
                <w:szCs w:val="20"/>
                <w:color w:val="auto"/>
              </w:rPr>
            </w:pPr>
            <w:r>
              <w:rPr>
                <w:rFonts w:ascii="Arial" w:cs="Arial" w:eastAsia="Arial" w:hAnsi="Arial"/>
                <w:sz w:val="13"/>
                <w:szCs w:val="13"/>
                <w:color w:val="auto"/>
              </w:rPr>
              <w:t>3,209,255</w:t>
            </w:r>
            <w:r>
              <w:rPr>
                <w:rFonts w:ascii="Arial" w:cs="Arial" w:eastAsia="Arial" w:hAnsi="Arial"/>
                <w:sz w:val="21"/>
                <w:szCs w:val="21"/>
                <w:color w:val="auto"/>
                <w:vertAlign w:val="superscript"/>
              </w:rPr>
              <w:t>8</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3"/>
                <w:szCs w:val="13"/>
                <w:color w:val="auto"/>
              </w:rPr>
              <w:t>2.9%</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P. Roy Vagelos, M.D.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ind w:left="320"/>
              <w:spacing w:after="0" w:line="223" w:lineRule="exact"/>
              <w:rPr>
                <w:sz w:val="20"/>
                <w:szCs w:val="20"/>
                <w:color w:val="auto"/>
              </w:rPr>
            </w:pPr>
            <w:r>
              <w:rPr>
                <w:rFonts w:ascii="Arial" w:cs="Arial" w:eastAsia="Arial" w:hAnsi="Arial"/>
                <w:sz w:val="13"/>
                <w:szCs w:val="13"/>
                <w:color w:val="auto"/>
              </w:rPr>
              <w:t>1,121,722</w:t>
            </w:r>
            <w:r>
              <w:rPr>
                <w:rFonts w:ascii="Arial" w:cs="Arial" w:eastAsia="Arial" w:hAnsi="Arial"/>
                <w:sz w:val="21"/>
                <w:szCs w:val="21"/>
                <w:color w:val="auto"/>
                <w:vertAlign w:val="superscript"/>
              </w:rPr>
              <w:t>9</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1.0%</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George D. Yancopoulos, M. D., Ph. D.</w:t>
            </w:r>
          </w:p>
        </w:tc>
        <w:tc>
          <w:tcPr>
            <w:tcW w:w="1580" w:type="dxa"/>
            <w:vAlign w:val="bottom"/>
            <w:tcBorders>
              <w:bottom w:val="single" w:sz="8" w:color="auto"/>
            </w:tcBorders>
            <w:gridSpan w:val="2"/>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42,750</w:t>
            </w:r>
            <w:r>
              <w:rPr>
                <w:rFonts w:ascii="Arial" w:cs="Arial" w:eastAsia="Arial" w:hAnsi="Arial"/>
                <w:sz w:val="21"/>
                <w:szCs w:val="21"/>
                <w:color w:val="auto"/>
                <w:vertAlign w:val="superscript"/>
              </w:rPr>
              <w:t>10</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2.4%</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2,025,171</w:t>
            </w:r>
            <w:r>
              <w:rPr>
                <w:rFonts w:ascii="Arial" w:cs="Arial" w:eastAsia="Arial" w:hAnsi="Arial"/>
                <w:sz w:val="21"/>
                <w:szCs w:val="21"/>
                <w:color w:val="auto"/>
                <w:vertAlign w:val="superscript"/>
              </w:rPr>
              <w:t>11</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3"/>
                <w:szCs w:val="13"/>
                <w:color w:val="auto"/>
              </w:rPr>
              <w:t>1.9%</w:t>
            </w:r>
          </w:p>
        </w:tc>
        <w:tc>
          <w:tcPr>
            <w:tcW w:w="540" w:type="dxa"/>
            <w:vAlign w:val="bottom"/>
          </w:tcPr>
          <w:p>
            <w:pPr>
              <w:spacing w:after="0"/>
              <w:rPr>
                <w:sz w:val="19"/>
                <w:szCs w:val="19"/>
                <w:color w:val="auto"/>
              </w:rPr>
            </w:pPr>
          </w:p>
        </w:tc>
      </w:tr>
      <w:tr>
        <w:trPr>
          <w:trHeight w:val="196"/>
        </w:trPr>
        <w:tc>
          <w:tcPr>
            <w:tcW w:w="540" w:type="dxa"/>
            <w:vAlign w:val="bottom"/>
          </w:tcPr>
          <w:p>
            <w:pPr>
              <w:spacing w:after="0"/>
              <w:rPr>
                <w:sz w:val="17"/>
                <w:szCs w:val="17"/>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Bonnie L. Bassler, Ph.D.</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6"/>
              <w:spacing w:after="0" w:line="196" w:lineRule="exact"/>
              <w:rPr>
                <w:sz w:val="20"/>
                <w:szCs w:val="20"/>
                <w:color w:val="auto"/>
              </w:rPr>
            </w:pPr>
            <w:r>
              <w:rPr>
                <w:rFonts w:ascii="Arial" w:cs="Arial" w:eastAsia="Arial" w:hAnsi="Arial"/>
                <w:sz w:val="13"/>
                <w:szCs w:val="13"/>
                <w:color w:val="auto"/>
              </w:rPr>
              <w:t>25,200</w:t>
            </w:r>
            <w:r>
              <w:rPr>
                <w:rFonts w:ascii="Arial" w:cs="Arial" w:eastAsia="Arial" w:hAnsi="Arial"/>
                <w:sz w:val="21"/>
                <w:szCs w:val="21"/>
                <w:color w:val="auto"/>
                <w:vertAlign w:val="superscript"/>
              </w:rPr>
              <w:t>12</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7"/>
                <w:szCs w:val="17"/>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Michael S. Brown, M.D.</w:t>
            </w:r>
          </w:p>
        </w:tc>
        <w:tc>
          <w:tcPr>
            <w:tcW w:w="280" w:type="dxa"/>
            <w:vAlign w:val="bottom"/>
            <w:tcBorders>
              <w:bottom w:val="single" w:sz="8" w:color="auto"/>
            </w:tcBorders>
            <w:shd w:val="clear" w:color="auto" w:fill="EEEEEF"/>
          </w:tcPr>
          <w:p>
            <w:pPr>
              <w:spacing w:after="0"/>
              <w:rPr>
                <w:sz w:val="19"/>
                <w:szCs w:val="19"/>
                <w:color w:val="auto"/>
              </w:rPr>
            </w:pPr>
          </w:p>
        </w:tc>
        <w:tc>
          <w:tcPr>
            <w:tcW w:w="1300" w:type="dxa"/>
            <w:vAlign w:val="bottom"/>
            <w:tcBorders>
              <w:bottom w:val="single" w:sz="8" w:color="auto"/>
            </w:tcBorders>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30,064</w:t>
            </w:r>
            <w:r>
              <w:rPr>
                <w:rFonts w:ascii="Arial" w:cs="Arial" w:eastAsia="Arial" w:hAnsi="Arial"/>
                <w:sz w:val="21"/>
                <w:szCs w:val="21"/>
                <w:color w:val="auto"/>
                <w:vertAlign w:val="superscript"/>
              </w:rPr>
              <w:t>13</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N. Anthony Coles, M. 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6"/>
              <w:spacing w:after="0" w:line="223" w:lineRule="exact"/>
              <w:rPr>
                <w:sz w:val="20"/>
                <w:szCs w:val="20"/>
                <w:color w:val="auto"/>
              </w:rPr>
            </w:pPr>
            <w:r>
              <w:rPr>
                <w:rFonts w:ascii="Arial" w:cs="Arial" w:eastAsia="Arial" w:hAnsi="Arial"/>
                <w:sz w:val="13"/>
                <w:szCs w:val="13"/>
                <w:color w:val="auto"/>
              </w:rPr>
              <w:t>13,915</w:t>
            </w:r>
            <w:r>
              <w:rPr>
                <w:rFonts w:ascii="Arial" w:cs="Arial" w:eastAsia="Arial" w:hAnsi="Arial"/>
                <w:sz w:val="21"/>
                <w:szCs w:val="21"/>
                <w:color w:val="auto"/>
                <w:vertAlign w:val="superscript"/>
              </w:rPr>
              <w:t>14</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Joseph L. Goldstein, M.D.</w:t>
            </w:r>
          </w:p>
        </w:tc>
        <w:tc>
          <w:tcPr>
            <w:tcW w:w="280" w:type="dxa"/>
            <w:vAlign w:val="bottom"/>
            <w:tcBorders>
              <w:bottom w:val="single" w:sz="8" w:color="auto"/>
            </w:tcBorders>
            <w:shd w:val="clear" w:color="auto" w:fill="EEEEEF"/>
          </w:tcPr>
          <w:p>
            <w:pPr>
              <w:spacing w:after="0"/>
              <w:rPr>
                <w:sz w:val="19"/>
                <w:szCs w:val="19"/>
                <w:color w:val="auto"/>
              </w:rPr>
            </w:pPr>
          </w:p>
        </w:tc>
        <w:tc>
          <w:tcPr>
            <w:tcW w:w="1300" w:type="dxa"/>
            <w:vAlign w:val="bottom"/>
            <w:tcBorders>
              <w:bottom w:val="single" w:sz="8" w:color="auto"/>
            </w:tcBorders>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10,759</w:t>
            </w:r>
            <w:r>
              <w:rPr>
                <w:rFonts w:ascii="Arial" w:cs="Arial" w:eastAsia="Arial" w:hAnsi="Arial"/>
                <w:sz w:val="21"/>
                <w:szCs w:val="21"/>
                <w:color w:val="auto"/>
                <w:vertAlign w:val="superscript"/>
              </w:rPr>
              <w:t>15</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Robert E. Landry</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6"/>
              <w:spacing w:after="0" w:line="223" w:lineRule="exact"/>
              <w:rPr>
                <w:sz w:val="20"/>
                <w:szCs w:val="20"/>
                <w:color w:val="auto"/>
              </w:rPr>
            </w:pPr>
            <w:r>
              <w:rPr>
                <w:rFonts w:ascii="Arial" w:cs="Arial" w:eastAsia="Arial" w:hAnsi="Arial"/>
                <w:sz w:val="13"/>
                <w:szCs w:val="13"/>
                <w:color w:val="auto"/>
              </w:rPr>
              <w:t>97,348</w:t>
            </w:r>
            <w:r>
              <w:rPr>
                <w:rFonts w:ascii="Arial" w:cs="Arial" w:eastAsia="Arial" w:hAnsi="Arial"/>
                <w:sz w:val="21"/>
                <w:szCs w:val="21"/>
                <w:color w:val="auto"/>
                <w:vertAlign w:val="superscript"/>
              </w:rPr>
              <w:t>16</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Joseph J. LaRosa</w:t>
            </w:r>
          </w:p>
        </w:tc>
        <w:tc>
          <w:tcPr>
            <w:tcW w:w="280" w:type="dxa"/>
            <w:vAlign w:val="bottom"/>
            <w:tcBorders>
              <w:bottom w:val="single" w:sz="8" w:color="auto"/>
            </w:tcBorders>
            <w:shd w:val="clear" w:color="auto" w:fill="EEEEEF"/>
          </w:tcPr>
          <w:p>
            <w:pPr>
              <w:spacing w:after="0"/>
              <w:rPr>
                <w:sz w:val="19"/>
                <w:szCs w:val="19"/>
                <w:color w:val="auto"/>
              </w:rPr>
            </w:pPr>
          </w:p>
        </w:tc>
        <w:tc>
          <w:tcPr>
            <w:tcW w:w="1300" w:type="dxa"/>
            <w:vAlign w:val="bottom"/>
            <w:tcBorders>
              <w:bottom w:val="single" w:sz="8" w:color="auto"/>
            </w:tcBorders>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202,363</w:t>
            </w:r>
            <w:r>
              <w:rPr>
                <w:rFonts w:ascii="Arial" w:cs="Arial" w:eastAsia="Arial" w:hAnsi="Arial"/>
                <w:sz w:val="21"/>
                <w:szCs w:val="21"/>
                <w:color w:val="auto"/>
                <w:vertAlign w:val="superscript"/>
              </w:rPr>
              <w:t>17</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Andrew J. Murphy, Ph.D.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6"/>
              <w:spacing w:after="0" w:line="223" w:lineRule="exact"/>
              <w:rPr>
                <w:sz w:val="20"/>
                <w:szCs w:val="20"/>
                <w:color w:val="auto"/>
              </w:rPr>
            </w:pPr>
            <w:r>
              <w:rPr>
                <w:rFonts w:ascii="Arial" w:cs="Arial" w:eastAsia="Arial" w:hAnsi="Arial"/>
                <w:sz w:val="13"/>
                <w:szCs w:val="13"/>
                <w:color w:val="auto"/>
              </w:rPr>
              <w:t>328,989</w:t>
            </w:r>
            <w:r>
              <w:rPr>
                <w:rFonts w:ascii="Arial" w:cs="Arial" w:eastAsia="Arial" w:hAnsi="Arial"/>
                <w:sz w:val="21"/>
                <w:szCs w:val="21"/>
                <w:color w:val="auto"/>
                <w:vertAlign w:val="superscript"/>
              </w:rPr>
              <w:t>18</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Christine A. Poon</w:t>
            </w:r>
          </w:p>
        </w:tc>
        <w:tc>
          <w:tcPr>
            <w:tcW w:w="280" w:type="dxa"/>
            <w:vAlign w:val="bottom"/>
            <w:tcBorders>
              <w:bottom w:val="single" w:sz="8" w:color="auto"/>
            </w:tcBorders>
            <w:shd w:val="clear" w:color="auto" w:fill="EEEEEF"/>
          </w:tcPr>
          <w:p>
            <w:pPr>
              <w:spacing w:after="0"/>
              <w:rPr>
                <w:sz w:val="19"/>
                <w:szCs w:val="19"/>
                <w:color w:val="auto"/>
              </w:rPr>
            </w:pPr>
          </w:p>
        </w:tc>
        <w:tc>
          <w:tcPr>
            <w:tcW w:w="1300" w:type="dxa"/>
            <w:vAlign w:val="bottom"/>
            <w:tcBorders>
              <w:bottom w:val="single" w:sz="8" w:color="auto"/>
            </w:tcBorders>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77,293</w:t>
            </w:r>
            <w:r>
              <w:rPr>
                <w:rFonts w:ascii="Arial" w:cs="Arial" w:eastAsia="Arial" w:hAnsi="Arial"/>
                <w:sz w:val="21"/>
                <w:szCs w:val="21"/>
                <w:color w:val="auto"/>
                <w:vertAlign w:val="superscript"/>
              </w:rPr>
              <w:t>19</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Arthur F. Ryan</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6"/>
              <w:spacing w:after="0" w:line="223" w:lineRule="exact"/>
              <w:rPr>
                <w:sz w:val="20"/>
                <w:szCs w:val="20"/>
                <w:color w:val="auto"/>
              </w:rPr>
            </w:pPr>
            <w:r>
              <w:rPr>
                <w:rFonts w:ascii="Arial" w:cs="Arial" w:eastAsia="Arial" w:hAnsi="Arial"/>
                <w:sz w:val="13"/>
                <w:szCs w:val="13"/>
                <w:color w:val="auto"/>
              </w:rPr>
              <w:t>33,799</w:t>
            </w:r>
            <w:r>
              <w:rPr>
                <w:rFonts w:ascii="Arial" w:cs="Arial" w:eastAsia="Arial" w:hAnsi="Arial"/>
                <w:sz w:val="21"/>
                <w:szCs w:val="21"/>
                <w:color w:val="auto"/>
                <w:vertAlign w:val="superscript"/>
              </w:rPr>
              <w:t>20</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George L. Sing</w:t>
            </w:r>
          </w:p>
        </w:tc>
        <w:tc>
          <w:tcPr>
            <w:tcW w:w="280" w:type="dxa"/>
            <w:vAlign w:val="bottom"/>
            <w:tcBorders>
              <w:bottom w:val="single" w:sz="8" w:color="auto"/>
            </w:tcBorders>
            <w:shd w:val="clear" w:color="auto" w:fill="EEEEEF"/>
          </w:tcPr>
          <w:p>
            <w:pPr>
              <w:spacing w:after="0"/>
              <w:rPr>
                <w:sz w:val="19"/>
                <w:szCs w:val="19"/>
                <w:color w:val="auto"/>
              </w:rPr>
            </w:pPr>
          </w:p>
        </w:tc>
        <w:tc>
          <w:tcPr>
            <w:tcW w:w="1300" w:type="dxa"/>
            <w:vAlign w:val="bottom"/>
            <w:tcBorders>
              <w:bottom w:val="single" w:sz="8" w:color="auto"/>
            </w:tcBorders>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76,340</w:t>
            </w:r>
            <w:r>
              <w:rPr>
                <w:rFonts w:ascii="Arial" w:cs="Arial" w:eastAsia="Arial" w:hAnsi="Arial"/>
                <w:sz w:val="21"/>
                <w:szCs w:val="21"/>
                <w:color w:val="auto"/>
                <w:vertAlign w:val="superscript"/>
              </w:rPr>
              <w:t>21</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Marc Tessier-Lavigne, Ph.D.</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ind w:right="196"/>
              <w:spacing w:after="0" w:line="223" w:lineRule="exact"/>
              <w:rPr>
                <w:sz w:val="20"/>
                <w:szCs w:val="20"/>
                <w:color w:val="auto"/>
              </w:rPr>
            </w:pPr>
            <w:r>
              <w:rPr>
                <w:rFonts w:ascii="Arial" w:cs="Arial" w:eastAsia="Arial" w:hAnsi="Arial"/>
                <w:sz w:val="13"/>
                <w:szCs w:val="13"/>
                <w:color w:val="auto"/>
              </w:rPr>
              <w:t>26,996</w:t>
            </w:r>
            <w:r>
              <w:rPr>
                <w:rFonts w:ascii="Arial" w:cs="Arial" w:eastAsia="Arial" w:hAnsi="Arial"/>
                <w:sz w:val="21"/>
                <w:szCs w:val="21"/>
                <w:color w:val="auto"/>
                <w:vertAlign w:val="superscript"/>
              </w:rPr>
              <w:t>22</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404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Daniel P. Van Plew</w:t>
            </w:r>
          </w:p>
        </w:tc>
        <w:tc>
          <w:tcPr>
            <w:tcW w:w="280" w:type="dxa"/>
            <w:vAlign w:val="bottom"/>
            <w:tcBorders>
              <w:bottom w:val="single" w:sz="8" w:color="auto"/>
            </w:tcBorders>
            <w:shd w:val="clear" w:color="auto" w:fill="EEEEEF"/>
          </w:tcPr>
          <w:p>
            <w:pPr>
              <w:spacing w:after="0"/>
              <w:rPr>
                <w:sz w:val="19"/>
                <w:szCs w:val="19"/>
                <w:color w:val="auto"/>
              </w:rPr>
            </w:pPr>
          </w:p>
        </w:tc>
        <w:tc>
          <w:tcPr>
            <w:tcW w:w="1300" w:type="dxa"/>
            <w:vAlign w:val="bottom"/>
            <w:tcBorders>
              <w:bottom w:val="single" w:sz="8" w:color="auto"/>
            </w:tcBorders>
            <w:shd w:val="clear" w:color="auto" w:fill="EEEEEF"/>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auto"/>
            </w:tcBorders>
            <w:gridSpan w:val="2"/>
            <w:shd w:val="clear" w:color="auto" w:fill="EEEEEF"/>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EEEEEF"/>
          </w:tcPr>
          <w:p>
            <w:pPr>
              <w:jc w:val="right"/>
              <w:ind w:right="196"/>
              <w:spacing w:after="0" w:line="223" w:lineRule="exact"/>
              <w:rPr>
                <w:sz w:val="20"/>
                <w:szCs w:val="20"/>
                <w:color w:val="auto"/>
              </w:rPr>
            </w:pPr>
            <w:r>
              <w:rPr>
                <w:rFonts w:ascii="Arial" w:cs="Arial" w:eastAsia="Arial" w:hAnsi="Arial"/>
                <w:sz w:val="13"/>
                <w:szCs w:val="13"/>
                <w:color w:val="auto"/>
              </w:rPr>
              <w:t>207,552</w:t>
            </w:r>
            <w:r>
              <w:rPr>
                <w:rFonts w:ascii="Arial" w:cs="Arial" w:eastAsia="Arial" w:hAnsi="Arial"/>
                <w:sz w:val="21"/>
                <w:szCs w:val="21"/>
                <w:color w:val="auto"/>
                <w:vertAlign w:val="superscript"/>
              </w:rPr>
              <w:t>23</w:t>
            </w:r>
          </w:p>
        </w:tc>
        <w:tc>
          <w:tcPr>
            <w:tcW w:w="1480" w:type="dxa"/>
            <w:vAlign w:val="bottom"/>
            <w:tcBorders>
              <w:bottom w:val="single" w:sz="8" w:color="auto"/>
            </w:tcBorders>
            <w:shd w:val="clear" w:color="auto" w:fill="EEEEEF"/>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4040" w:type="dxa"/>
            <w:vAlign w:val="bottom"/>
            <w:tcBorders>
              <w:bottom w:val="single" w:sz="8" w:color="215AA8"/>
            </w:tcBorders>
          </w:tcPr>
          <w:p>
            <w:pPr>
              <w:ind w:left="60"/>
              <w:spacing w:after="0"/>
              <w:rPr>
                <w:sz w:val="20"/>
                <w:szCs w:val="20"/>
                <w:color w:val="auto"/>
              </w:rPr>
            </w:pPr>
            <w:r>
              <w:rPr>
                <w:rFonts w:ascii="Arial" w:cs="Arial" w:eastAsia="Arial" w:hAnsi="Arial"/>
                <w:sz w:val="13"/>
                <w:szCs w:val="13"/>
                <w:b w:val="1"/>
                <w:bCs w:val="1"/>
                <w:color w:val="D60058"/>
              </w:rPr>
              <w:t>Huda Y. Zoghbi, M.D.</w:t>
            </w:r>
          </w:p>
        </w:tc>
        <w:tc>
          <w:tcPr>
            <w:tcW w:w="280" w:type="dxa"/>
            <w:vAlign w:val="bottom"/>
            <w:tcBorders>
              <w:bottom w:val="single" w:sz="8" w:color="215AA8"/>
            </w:tcBorders>
          </w:tcPr>
          <w:p>
            <w:pPr>
              <w:spacing w:after="0"/>
              <w:rPr>
                <w:sz w:val="20"/>
                <w:szCs w:val="20"/>
                <w:color w:val="auto"/>
              </w:rPr>
            </w:pPr>
          </w:p>
        </w:tc>
        <w:tc>
          <w:tcPr>
            <w:tcW w:w="1300" w:type="dxa"/>
            <w:vAlign w:val="bottom"/>
            <w:tcBorders>
              <w:bottom w:val="single" w:sz="8" w:color="215AA8"/>
            </w:tcBorders>
          </w:tcPr>
          <w:p>
            <w:pPr>
              <w:jc w:val="right"/>
              <w:ind w:right="316"/>
              <w:spacing w:after="0"/>
              <w:rPr>
                <w:sz w:val="20"/>
                <w:szCs w:val="20"/>
                <w:color w:val="auto"/>
              </w:rPr>
            </w:pPr>
            <w:r>
              <w:rPr>
                <w:rFonts w:ascii="Arial" w:cs="Arial" w:eastAsia="Arial" w:hAnsi="Arial"/>
                <w:sz w:val="13"/>
                <w:szCs w:val="13"/>
                <w:color w:val="auto"/>
              </w:rPr>
              <w:t>—</w:t>
            </w:r>
          </w:p>
        </w:tc>
        <w:tc>
          <w:tcPr>
            <w:tcW w:w="1780" w:type="dxa"/>
            <w:vAlign w:val="bottom"/>
            <w:tcBorders>
              <w:bottom w:val="single" w:sz="8" w:color="215AA8"/>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215AA8"/>
            </w:tcBorders>
          </w:tcPr>
          <w:p>
            <w:pPr>
              <w:jc w:val="right"/>
              <w:ind w:right="196"/>
              <w:spacing w:after="0" w:line="223" w:lineRule="exact"/>
              <w:rPr>
                <w:sz w:val="20"/>
                <w:szCs w:val="20"/>
                <w:color w:val="auto"/>
              </w:rPr>
            </w:pPr>
            <w:r>
              <w:rPr>
                <w:rFonts w:ascii="Arial" w:cs="Arial" w:eastAsia="Arial" w:hAnsi="Arial"/>
                <w:sz w:val="13"/>
                <w:szCs w:val="13"/>
                <w:color w:val="auto"/>
              </w:rPr>
              <w:t>25,898</w:t>
            </w:r>
            <w:r>
              <w:rPr>
                <w:rFonts w:ascii="Arial" w:cs="Arial" w:eastAsia="Arial" w:hAnsi="Arial"/>
                <w:sz w:val="21"/>
                <w:szCs w:val="21"/>
                <w:color w:val="auto"/>
                <w:vertAlign w:val="superscript"/>
              </w:rPr>
              <w:t>24</w:t>
            </w:r>
          </w:p>
        </w:tc>
        <w:tc>
          <w:tcPr>
            <w:tcW w:w="1480" w:type="dxa"/>
            <w:vAlign w:val="bottom"/>
            <w:tcBorders>
              <w:bottom w:val="single" w:sz="8" w:color="215AA8"/>
            </w:tcBorders>
          </w:tcPr>
          <w:p>
            <w:pPr>
              <w:jc w:val="right"/>
              <w:ind w:right="41"/>
              <w:spacing w:after="0"/>
              <w:rPr>
                <w:sz w:val="20"/>
                <w:szCs w:val="20"/>
                <w:color w:val="auto"/>
              </w:rPr>
            </w:pPr>
            <w:r>
              <w:rPr>
                <w:rFonts w:ascii="Arial" w:cs="Arial" w:eastAsia="Arial" w:hAnsi="Arial"/>
                <w:sz w:val="11"/>
                <w:szCs w:val="11"/>
                <w:color w:val="auto"/>
              </w:rPr>
              <w:t>26</w:t>
            </w:r>
          </w:p>
        </w:tc>
        <w:tc>
          <w:tcPr>
            <w:tcW w:w="540" w:type="dxa"/>
            <w:vAlign w:val="bottom"/>
          </w:tcPr>
          <w:p>
            <w:pPr>
              <w:spacing w:after="0"/>
              <w:rPr>
                <w:sz w:val="20"/>
                <w:szCs w:val="20"/>
                <w:color w:val="auto"/>
              </w:rPr>
            </w:pPr>
          </w:p>
        </w:tc>
      </w:tr>
      <w:tr>
        <w:trPr>
          <w:trHeight w:val="230"/>
        </w:trPr>
        <w:tc>
          <w:tcPr>
            <w:tcW w:w="540" w:type="dxa"/>
            <w:vAlign w:val="bottom"/>
          </w:tcPr>
          <w:p>
            <w:pPr>
              <w:spacing w:after="0"/>
              <w:rPr>
                <w:sz w:val="19"/>
                <w:szCs w:val="19"/>
                <w:color w:val="auto"/>
              </w:rPr>
            </w:pPr>
          </w:p>
        </w:tc>
        <w:tc>
          <w:tcPr>
            <w:tcW w:w="4040" w:type="dxa"/>
            <w:vAlign w:val="bottom"/>
            <w:tcBorders>
              <w:bottom w:val="single" w:sz="8" w:color="215AA8"/>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All Directors and Executive Officers as a Group (19 persons)</w:t>
            </w:r>
          </w:p>
        </w:tc>
        <w:tc>
          <w:tcPr>
            <w:tcW w:w="1580" w:type="dxa"/>
            <w:vAlign w:val="bottom"/>
            <w:tcBorders>
              <w:bottom w:val="single" w:sz="8" w:color="215AA8"/>
            </w:tcBorders>
            <w:gridSpan w:val="2"/>
            <w:shd w:val="clear" w:color="auto" w:fill="EEEEEF"/>
          </w:tcPr>
          <w:p>
            <w:pPr>
              <w:jc w:val="right"/>
              <w:ind w:right="316"/>
              <w:spacing w:after="0"/>
              <w:rPr>
                <w:sz w:val="20"/>
                <w:szCs w:val="20"/>
                <w:color w:val="auto"/>
              </w:rPr>
            </w:pPr>
            <w:r>
              <w:rPr>
                <w:rFonts w:ascii="Arial" w:cs="Arial" w:eastAsia="Arial" w:hAnsi="Arial"/>
                <w:sz w:val="13"/>
                <w:szCs w:val="13"/>
                <w:b w:val="1"/>
                <w:bCs w:val="1"/>
                <w:color w:val="auto"/>
              </w:rPr>
              <w:t>1,769,315</w:t>
            </w:r>
          </w:p>
        </w:tc>
        <w:tc>
          <w:tcPr>
            <w:tcW w:w="1780" w:type="dxa"/>
            <w:vAlign w:val="bottom"/>
            <w:tcBorders>
              <w:bottom w:val="single" w:sz="8" w:color="215AA8"/>
            </w:tcBorders>
            <w:gridSpan w:val="2"/>
            <w:shd w:val="clear" w:color="auto" w:fill="EEEEEF"/>
          </w:tcPr>
          <w:p>
            <w:pPr>
              <w:jc w:val="right"/>
              <w:ind w:right="400"/>
              <w:spacing w:after="0"/>
              <w:rPr>
                <w:sz w:val="20"/>
                <w:szCs w:val="20"/>
                <w:color w:val="auto"/>
              </w:rPr>
            </w:pPr>
            <w:r>
              <w:rPr>
                <w:rFonts w:ascii="Arial" w:cs="Arial" w:eastAsia="Arial" w:hAnsi="Arial"/>
                <w:sz w:val="13"/>
                <w:szCs w:val="13"/>
                <w:b w:val="1"/>
                <w:bCs w:val="1"/>
                <w:color w:val="auto"/>
              </w:rPr>
              <w:t>97.3%</w:t>
            </w:r>
          </w:p>
        </w:tc>
        <w:tc>
          <w:tcPr>
            <w:tcW w:w="1280" w:type="dxa"/>
            <w:vAlign w:val="bottom"/>
            <w:tcBorders>
              <w:bottom w:val="single" w:sz="8" w:color="215AA8"/>
            </w:tcBorders>
            <w:shd w:val="clear" w:color="auto" w:fill="EEEEEF"/>
          </w:tcPr>
          <w:p>
            <w:pPr>
              <w:jc w:val="right"/>
              <w:ind w:right="196"/>
              <w:spacing w:after="0" w:line="230" w:lineRule="exact"/>
              <w:rPr>
                <w:sz w:val="20"/>
                <w:szCs w:val="20"/>
                <w:color w:val="auto"/>
              </w:rPr>
            </w:pPr>
            <w:r>
              <w:rPr>
                <w:rFonts w:ascii="Arial" w:cs="Arial" w:eastAsia="Arial" w:hAnsi="Arial"/>
                <w:sz w:val="13"/>
                <w:szCs w:val="13"/>
                <w:b w:val="1"/>
                <w:bCs w:val="1"/>
                <w:color w:val="auto"/>
              </w:rPr>
              <w:t>8,110,388</w:t>
            </w:r>
            <w:r>
              <w:rPr>
                <w:rFonts w:ascii="Arial" w:cs="Arial" w:eastAsia="Arial" w:hAnsi="Arial"/>
                <w:sz w:val="21"/>
                <w:szCs w:val="21"/>
                <w:b w:val="1"/>
                <w:bCs w:val="1"/>
                <w:color w:val="auto"/>
                <w:vertAlign w:val="superscript"/>
              </w:rPr>
              <w:t>25</w:t>
            </w:r>
          </w:p>
        </w:tc>
        <w:tc>
          <w:tcPr>
            <w:tcW w:w="1480" w:type="dxa"/>
            <w:vAlign w:val="bottom"/>
            <w:tcBorders>
              <w:bottom w:val="single" w:sz="8" w:color="215AA8"/>
            </w:tcBorders>
            <w:shd w:val="clear" w:color="auto" w:fill="EEEEEF"/>
          </w:tcPr>
          <w:p>
            <w:pPr>
              <w:jc w:val="right"/>
              <w:ind w:right="41"/>
              <w:spacing w:after="0"/>
              <w:rPr>
                <w:sz w:val="20"/>
                <w:szCs w:val="20"/>
                <w:color w:val="auto"/>
              </w:rPr>
            </w:pPr>
            <w:r>
              <w:rPr>
                <w:rFonts w:ascii="Arial" w:cs="Arial" w:eastAsia="Arial" w:hAnsi="Arial"/>
                <w:sz w:val="13"/>
                <w:szCs w:val="13"/>
                <w:b w:val="1"/>
                <w:bCs w:val="1"/>
                <w:color w:val="auto"/>
              </w:rPr>
              <w:t>7.2%</w:t>
            </w:r>
          </w:p>
        </w:tc>
        <w:tc>
          <w:tcPr>
            <w:tcW w:w="540" w:type="dxa"/>
            <w:vAlign w:val="bottom"/>
          </w:tcPr>
          <w:p>
            <w:pPr>
              <w:spacing w:after="0"/>
              <w:rPr>
                <w:sz w:val="19"/>
                <w:szCs w:val="19"/>
                <w:color w:val="auto"/>
              </w:rPr>
            </w:pPr>
          </w:p>
        </w:tc>
      </w:tr>
    </w:tbl>
    <w:p>
      <w:pPr>
        <w:spacing w:after="0" w:line="153" w:lineRule="exact"/>
        <w:rPr>
          <w:sz w:val="20"/>
          <w:szCs w:val="20"/>
          <w:color w:val="auto"/>
        </w:rPr>
      </w:pPr>
    </w:p>
    <w:p>
      <w:pPr>
        <w:ind w:left="760" w:right="940" w:hanging="212"/>
        <w:spacing w:after="0" w:line="258" w:lineRule="auto"/>
        <w:tabs>
          <w:tab w:leader="none" w:pos="760" w:val="left"/>
        </w:tabs>
        <w:numPr>
          <w:ilvl w:val="0"/>
          <w:numId w:val="59"/>
        </w:numPr>
        <w:rPr>
          <w:rFonts w:ascii="Arial" w:cs="Arial" w:eastAsia="Arial" w:hAnsi="Arial"/>
          <w:sz w:val="14"/>
          <w:szCs w:val="14"/>
          <w:color w:val="215BA8"/>
        </w:rPr>
      </w:pPr>
      <w:r>
        <w:rPr>
          <w:rFonts w:ascii="Arial" w:cs="Arial" w:eastAsia="Arial" w:hAnsi="Arial"/>
          <w:sz w:val="14"/>
          <w:szCs w:val="14"/>
          <w:color w:val="1A1A1A"/>
        </w:rPr>
        <w:t>The inclusion in this table of any Class A stock or common stock, as the case may be, deemed beneficially owned does not constitute an admission of beneficial ownership of those shares.</w:t>
      </w:r>
    </w:p>
    <w:p>
      <w:pPr>
        <w:spacing w:after="0" w:line="45" w:lineRule="exact"/>
        <w:rPr>
          <w:sz w:val="20"/>
          <w:szCs w:val="20"/>
          <w:color w:val="auto"/>
        </w:rPr>
      </w:pPr>
    </w:p>
    <w:p>
      <w:pPr>
        <w:ind w:left="760" w:right="620" w:hanging="212"/>
        <w:spacing w:after="0" w:line="249" w:lineRule="auto"/>
        <w:tabs>
          <w:tab w:leader="none" w:pos="760" w:val="left"/>
        </w:tabs>
        <w:numPr>
          <w:ilvl w:val="0"/>
          <w:numId w:val="60"/>
        </w:numPr>
        <w:rPr>
          <w:rFonts w:ascii="Arial" w:cs="Arial" w:eastAsia="Arial" w:hAnsi="Arial"/>
          <w:sz w:val="14"/>
          <w:szCs w:val="14"/>
          <w:color w:val="215BA8"/>
        </w:rPr>
      </w:pPr>
      <w:r>
        <w:rPr>
          <w:rFonts w:ascii="Arial" w:cs="Arial" w:eastAsia="Arial" w:hAnsi="Arial"/>
          <w:sz w:val="14"/>
          <w:szCs w:val="14"/>
          <w:color w:val="1A1A1A"/>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52" w:lineRule="exact"/>
        <w:rPr>
          <w:sz w:val="20"/>
          <w:szCs w:val="20"/>
          <w:color w:val="auto"/>
        </w:rPr>
      </w:pPr>
    </w:p>
    <w:p>
      <w:pPr>
        <w:ind w:left="760" w:right="640" w:hanging="212"/>
        <w:spacing w:after="0" w:line="243" w:lineRule="auto"/>
        <w:tabs>
          <w:tab w:leader="none" w:pos="760" w:val="left"/>
        </w:tabs>
        <w:numPr>
          <w:ilvl w:val="0"/>
          <w:numId w:val="61"/>
        </w:numPr>
        <w:rPr>
          <w:rFonts w:ascii="Arial" w:cs="Arial" w:eastAsia="Arial" w:hAnsi="Arial"/>
          <w:sz w:val="14"/>
          <w:szCs w:val="14"/>
          <w:color w:val="215BA8"/>
        </w:rPr>
      </w:pPr>
      <w:r>
        <w:rPr>
          <w:rFonts w:ascii="Arial" w:cs="Arial" w:eastAsia="Arial" w:hAnsi="Arial"/>
          <w:sz w:val="14"/>
          <w:szCs w:val="14"/>
          <w:color w:val="1A1A1A"/>
        </w:rPr>
        <w:t>Based solely on an amendment to a Schedule 13G jointly filed by FMR LLC and Abigail P. Johnson on February 9, 2022. According to this amendment, FMR LLC has sole voting power as to 1,714,625 of the shares reported as beneficially owned and sole dispositive power as to all of the shares reported as beneficially owned.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as amended (the “Investment Company Act”),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47</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62" w:name="page63"/>
    <w:bookmarkEnd w:id="62"/>
    <w:p>
      <w:pPr>
        <w:ind w:left="540"/>
        <w:spacing w:after="0"/>
        <w:rPr>
          <w:sz w:val="20"/>
          <w:szCs w:val="20"/>
          <w:color w:val="auto"/>
        </w:rPr>
      </w:pPr>
      <w:r>
        <w:rPr>
          <w:rFonts w:ascii="Arial" w:cs="Arial" w:eastAsia="Arial" w:hAnsi="Arial"/>
          <w:sz w:val="14"/>
          <w:szCs w:val="14"/>
          <w:b w:val="1"/>
          <w:bCs w:val="1"/>
          <w:color w:val="21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60" w:right="620" w:hanging="212"/>
        <w:spacing w:after="0" w:line="258" w:lineRule="auto"/>
        <w:tabs>
          <w:tab w:leader="none" w:pos="760" w:val="left"/>
        </w:tabs>
        <w:numPr>
          <w:ilvl w:val="0"/>
          <w:numId w:val="62"/>
        </w:numPr>
        <w:rPr>
          <w:rFonts w:ascii="Arial" w:cs="Arial" w:eastAsia="Arial" w:hAnsi="Arial"/>
          <w:sz w:val="14"/>
          <w:szCs w:val="14"/>
          <w:color w:val="215BA8"/>
        </w:rPr>
      </w:pPr>
      <w:r>
        <w:rPr>
          <w:rFonts w:ascii="Arial" w:cs="Arial" w:eastAsia="Arial" w:hAnsi="Arial"/>
          <w:sz w:val="14"/>
          <w:szCs w:val="14"/>
          <w:color w:val="1A1A1A"/>
        </w:rPr>
        <w:t>Based solely on an amendment to a Schedule 13G filed by BlackRock, Inc. on February 1, 2022. According to this amendment, BlackRock, Inc. has sole voting power as to 8,609,292 of the shares reported as beneficially owned and sole dispositive power as to all of the shares reported as beneficially owned.</w:t>
      </w:r>
    </w:p>
    <w:p>
      <w:pPr>
        <w:spacing w:after="0" w:line="32" w:lineRule="exact"/>
        <w:rPr>
          <w:sz w:val="20"/>
          <w:szCs w:val="20"/>
          <w:color w:val="auto"/>
        </w:rPr>
      </w:pPr>
    </w:p>
    <w:p>
      <w:pPr>
        <w:ind w:left="760" w:right="700" w:hanging="212"/>
        <w:spacing w:after="0" w:line="249" w:lineRule="auto"/>
        <w:tabs>
          <w:tab w:leader="none" w:pos="760" w:val="left"/>
        </w:tabs>
        <w:numPr>
          <w:ilvl w:val="0"/>
          <w:numId w:val="63"/>
        </w:numPr>
        <w:rPr>
          <w:rFonts w:ascii="Arial" w:cs="Arial" w:eastAsia="Arial" w:hAnsi="Arial"/>
          <w:sz w:val="14"/>
          <w:szCs w:val="14"/>
          <w:color w:val="215BA8"/>
        </w:rPr>
      </w:pPr>
      <w:r>
        <w:rPr>
          <w:rFonts w:ascii="Arial" w:cs="Arial" w:eastAsia="Arial" w:hAnsi="Arial"/>
          <w:sz w:val="14"/>
          <w:szCs w:val="14"/>
          <w:color w:val="1A1A1A"/>
        </w:rPr>
        <w:t>Based solely on an amendment to a Schedule 13G filed by The Vanguard Group, Inc. on February 10, 2022. According to this amendment, The Vanguard Group, Inc. has shared voting power as to 169,043, sole dispositive power as to 7,734,475, and shared dispositive power as to 424,040 of the shares reported as beneficially owned.</w:t>
      </w:r>
    </w:p>
    <w:p>
      <w:pPr>
        <w:spacing w:after="0" w:line="39" w:lineRule="exact"/>
        <w:rPr>
          <w:sz w:val="20"/>
          <w:szCs w:val="20"/>
          <w:color w:val="auto"/>
        </w:rPr>
      </w:pPr>
    </w:p>
    <w:p>
      <w:pPr>
        <w:ind w:left="760" w:right="900" w:hanging="212"/>
        <w:spacing w:after="0" w:line="258" w:lineRule="auto"/>
        <w:tabs>
          <w:tab w:leader="none" w:pos="760" w:val="left"/>
        </w:tabs>
        <w:numPr>
          <w:ilvl w:val="0"/>
          <w:numId w:val="64"/>
        </w:numPr>
        <w:rPr>
          <w:rFonts w:ascii="Arial" w:cs="Arial" w:eastAsia="Arial" w:hAnsi="Arial"/>
          <w:sz w:val="14"/>
          <w:szCs w:val="14"/>
          <w:color w:val="215BA8"/>
        </w:rPr>
      </w:pPr>
      <w:r>
        <w:rPr>
          <w:rFonts w:ascii="Arial" w:cs="Arial" w:eastAsia="Arial" w:hAnsi="Arial"/>
          <w:sz w:val="14"/>
          <w:szCs w:val="14"/>
          <w:color w:val="1A1A1A"/>
        </w:rPr>
        <w:t>The address for each director and executive officer is c/o Regeneron Pharmaceuticals, Inc., 777 Old Saw Mill River Road, Tarrytown, New York 10591-6707.</w:t>
      </w:r>
    </w:p>
    <w:p>
      <w:pPr>
        <w:spacing w:after="0" w:line="32" w:lineRule="exact"/>
        <w:rPr>
          <w:sz w:val="20"/>
          <w:szCs w:val="20"/>
          <w:color w:val="auto"/>
        </w:rPr>
      </w:pPr>
    </w:p>
    <w:p>
      <w:pPr>
        <w:ind w:left="760" w:hanging="212"/>
        <w:spacing w:after="0"/>
        <w:tabs>
          <w:tab w:leader="none" w:pos="760" w:val="left"/>
        </w:tabs>
        <w:numPr>
          <w:ilvl w:val="0"/>
          <w:numId w:val="65"/>
        </w:numPr>
        <w:rPr>
          <w:rFonts w:ascii="Arial" w:cs="Arial" w:eastAsia="Arial" w:hAnsi="Arial"/>
          <w:sz w:val="14"/>
          <w:szCs w:val="14"/>
          <w:color w:val="215BA8"/>
        </w:rPr>
      </w:pPr>
      <w:r>
        <w:rPr>
          <w:rFonts w:ascii="Arial" w:cs="Arial" w:eastAsia="Arial" w:hAnsi="Arial"/>
          <w:sz w:val="14"/>
          <w:szCs w:val="14"/>
          <w:color w:val="1A1A1A"/>
        </w:rPr>
        <w:t>Includes 15,775 shares of Class A stock held in trust for the benefit of Dr. Schleifer’s son, of which Dr. Schleifer is a trustee.</w:t>
      </w:r>
    </w:p>
    <w:p>
      <w:pPr>
        <w:spacing w:after="0" w:line="55" w:lineRule="exact"/>
        <w:rPr>
          <w:sz w:val="20"/>
          <w:szCs w:val="20"/>
          <w:color w:val="auto"/>
        </w:rPr>
      </w:pPr>
    </w:p>
    <w:p>
      <w:pPr>
        <w:ind w:left="760" w:right="600" w:hanging="212"/>
        <w:spacing w:after="0" w:line="244" w:lineRule="auto"/>
        <w:tabs>
          <w:tab w:leader="none" w:pos="760" w:val="left"/>
        </w:tabs>
        <w:numPr>
          <w:ilvl w:val="0"/>
          <w:numId w:val="66"/>
        </w:numPr>
        <w:rPr>
          <w:rFonts w:ascii="Arial" w:cs="Arial" w:eastAsia="Arial" w:hAnsi="Arial"/>
          <w:sz w:val="14"/>
          <w:szCs w:val="14"/>
          <w:color w:val="215BA8"/>
        </w:rPr>
      </w:pPr>
      <w:r>
        <w:rPr>
          <w:rFonts w:ascii="Arial" w:cs="Arial" w:eastAsia="Arial" w:hAnsi="Arial"/>
          <w:sz w:val="14"/>
          <w:szCs w:val="14"/>
          <w:color w:val="1A1A1A"/>
        </w:rPr>
        <w:t>Includes (i) 799,616 shares of common stock purchasable upon the exercise of options granted pursuant to the Regeneron Pharmaceuticals, Inc. Second Amended and Restated 2000 Long-Term Incentive Plan, the Regeneron Pharmaceuticals, Inc. 2014 Long-Term Incentive Plan, the Amended and Restated Regeneron Pharmaceuticals, Inc. 2014 Long-Term Incentive Plan, or the Second Amended and Restated Regeneron Pharmaceuticals, Inc. 2014 Long-Term Incentive Plan (collectively, the “Long-Term Incentive Plans”) that are exercisable or become so within sixty days after April 12, 2022; (ii) 200,000 shares of common stock held in a grantor retained annuity trust of which Dr. Schleifer is the trustee; (iii) 11,178 shares of common stock held in a trust for the benefit of Dr. Schleifer’s family members, of which Dr. Schleifer’s spouse is a trustee; (iv) 100 shares of common stock held in a charitable foundation of which Dr. Schleifer is a director and officer; and (v) 5,874 shares of common stock held in an account under the Company’s 401(k) Savings Plan.</w:t>
      </w:r>
    </w:p>
    <w:p>
      <w:pPr>
        <w:spacing w:after="0" w:line="42" w:lineRule="exact"/>
        <w:rPr>
          <w:sz w:val="20"/>
          <w:szCs w:val="20"/>
          <w:color w:val="auto"/>
        </w:rPr>
      </w:pPr>
    </w:p>
    <w:p>
      <w:pPr>
        <w:ind w:left="760" w:right="540" w:hanging="212"/>
        <w:spacing w:after="0" w:line="244" w:lineRule="auto"/>
        <w:tabs>
          <w:tab w:leader="none" w:pos="760" w:val="left"/>
        </w:tabs>
        <w:numPr>
          <w:ilvl w:val="0"/>
          <w:numId w:val="67"/>
        </w:numPr>
        <w:rPr>
          <w:rFonts w:ascii="Arial" w:cs="Arial" w:eastAsia="Arial" w:hAnsi="Arial"/>
          <w:sz w:val="14"/>
          <w:szCs w:val="14"/>
          <w:color w:val="215BA8"/>
        </w:rPr>
      </w:pPr>
      <w:r>
        <w:rPr>
          <w:rFonts w:ascii="Arial" w:cs="Arial" w:eastAsia="Arial" w:hAnsi="Arial"/>
          <w:sz w:val="14"/>
          <w:szCs w:val="14"/>
          <w:color w:val="1A1A1A"/>
        </w:rPr>
        <w:t>Includes (i) 529,409 shares of common stock purchasable upon exercise of options granted pursuant to the Long-Term Incentive Plans that are exercisable or become so within sixty days after April 12, 2022; (ii) 2,096 shares of common stock held in an account under the Company’s 401(k) Savings Plan; (iii) 126,704 shares of common stock held in a charitable lead annuity trust, of which Dr. Vagelos is the trustee; (iv) 23,461 shares of common stock held in a trust for his grandchildren, of which Dr. Vagelos’s wife is the trustee; (v) 3,609 shares of common stock held in trusts for his grandchildren, of which Dr. Vagelos and/or his wife are trustees; and (vi) 54,146 shares of common stock and 41,031 shares of common stock held by the Marianthi Foundation and the Pindaros Foundation, respectively, both of which are charitable foundations of which Dr. Vagelos is a director and an officer. Dr. Vagelos disclaims beneficial ownership of the shares held by these charitable foundations.</w:t>
      </w:r>
    </w:p>
    <w:p>
      <w:pPr>
        <w:spacing w:after="0" w:line="42" w:lineRule="exact"/>
        <w:rPr>
          <w:sz w:val="20"/>
          <w:szCs w:val="20"/>
          <w:color w:val="auto"/>
        </w:rPr>
      </w:pPr>
    </w:p>
    <w:p>
      <w:pPr>
        <w:ind w:left="760" w:right="580" w:hanging="212"/>
        <w:spacing w:after="0" w:line="258"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Of these shares, 23,367 shares are held in trust for the benefit of Dr. Yancopoulos’s children and certain other family members; Dr. Yancopoulos is a trustee of the trust. The remaining 19,383 shares are held in trusts for the benefit of Dr. Yancopoulos’s children, of which Dr. Yancopoulos is the trustee.</w:t>
      </w:r>
    </w:p>
    <w:p>
      <w:pPr>
        <w:spacing w:after="0" w:line="31" w:lineRule="exact"/>
        <w:rPr>
          <w:rFonts w:ascii="Arial" w:cs="Arial" w:eastAsia="Arial" w:hAnsi="Arial"/>
          <w:sz w:val="14"/>
          <w:szCs w:val="14"/>
          <w:color w:val="215BA8"/>
        </w:rPr>
      </w:pPr>
    </w:p>
    <w:p>
      <w:pPr>
        <w:ind w:left="760" w:right="620" w:hanging="212"/>
        <w:spacing w:after="0" w:line="247"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743,227 shares of common stock purchasable upon exercise of options granted pursuant to the Long-Term Incentive Plans that are exercisable or become so within sixty days after April 12, 2022; (ii) 5,848 shares of common stock held in an account under the Company’s 401(k) Savings Plan; (iv) 1,019,653 shares of common stock held in trust for the benefit of Dr. Yancopoulos’s children and certain other family members, of which Dr. Yancopoulos is a trustee; and (v) 213,693 shares of common stock held in trusts for the benefit of Dr. Yancopoulos’s children.</w:t>
      </w:r>
    </w:p>
    <w:p>
      <w:pPr>
        <w:spacing w:after="0" w:line="39" w:lineRule="exact"/>
        <w:rPr>
          <w:rFonts w:ascii="Arial" w:cs="Arial" w:eastAsia="Arial" w:hAnsi="Arial"/>
          <w:sz w:val="14"/>
          <w:szCs w:val="14"/>
          <w:color w:val="215BA8"/>
        </w:rPr>
      </w:pPr>
    </w:p>
    <w:p>
      <w:pPr>
        <w:ind w:left="760" w:right="66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Consists of (i) 24,226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ind w:left="760" w:right="560" w:hanging="212"/>
        <w:spacing w:after="0" w:line="244"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Consists of (i) 16,428 shares of common stock purchasable upon exercise of options granted pursuant to the Long-Term Incentive Plans that are exercisable or become so within sixty days after April 12, 2022, which are held in a trust of which Dr. Brown and his spouse are trustees for the benefit of Dr. Brown’s immediate family members; (ii) 7,162 shares of common stock held in a trust of which Dr. Brown and his spouse are trustees for the benefit of Dr. Brown’s immediate family members; (iii) 5,000 shares of common stock held in a trust of which Dr. Brown’s spouse is trustee for the benefit of Dr. Brown’s immediate family members; (iv) 500 shares of common stock held by a family charitable foundation, of which Dr. Brown is a director and an officer and his wife is a director; and (v) 974 shares of common stock issuable upon settlement of RSUs that are releasable within sixty days after April 12, 2022 upon termination of service. Dr. Brown disclaims beneficial ownership of the shares referenced in (iii) and (iv).</w:t>
      </w:r>
    </w:p>
    <w:p>
      <w:pPr>
        <w:spacing w:after="0" w:line="42" w:lineRule="exact"/>
        <w:rPr>
          <w:rFonts w:ascii="Arial" w:cs="Arial" w:eastAsia="Arial" w:hAnsi="Arial"/>
          <w:sz w:val="14"/>
          <w:szCs w:val="14"/>
          <w:color w:val="215BA8"/>
        </w:rPr>
      </w:pPr>
    </w:p>
    <w:p>
      <w:pPr>
        <w:jc w:val="both"/>
        <w:ind w:left="760" w:right="70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12,930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ind w:left="760" w:right="62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4,785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jc w:val="both"/>
        <w:ind w:left="760" w:right="68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68,375 shares of common stock purchasable upon exercise of options granted pursuant to the Long-Term Incentive Plans that are exercisable or become so within sixty days after April 12, 2022; (ii) 24,713 shares of restricted stock (“RSAs”); and (iii) 229 shares of common stock held in an account under the Company’s 401(k) Savings Plan.</w:t>
      </w:r>
    </w:p>
    <w:p>
      <w:pPr>
        <w:spacing w:after="0" w:line="38" w:lineRule="exact"/>
        <w:rPr>
          <w:rFonts w:ascii="Arial" w:cs="Arial" w:eastAsia="Arial" w:hAnsi="Arial"/>
          <w:sz w:val="14"/>
          <w:szCs w:val="14"/>
          <w:color w:val="215BA8"/>
        </w:rPr>
      </w:pPr>
    </w:p>
    <w:p>
      <w:pPr>
        <w:jc w:val="both"/>
        <w:ind w:left="760" w:right="62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183,040 shares of common stock purchasable upon exercise of options granted pursuant to the Long-Term Incentive Plans that are exercisable or become so within sixty days after April 12, 2022; (ii) 6,580 RSAs; (iii) 2,109 shares of common stock held in a grantor retained annuity trust, of which Mr. LaRosa is the trustee; and (iv) 314 shares of common stock held in an account under the Company’s 401(k) Savings Plan.</w:t>
      </w:r>
    </w:p>
    <w:p>
      <w:pPr>
        <w:spacing w:after="0" w:line="38" w:lineRule="exact"/>
        <w:rPr>
          <w:rFonts w:ascii="Arial" w:cs="Arial" w:eastAsia="Arial" w:hAnsi="Arial"/>
          <w:sz w:val="14"/>
          <w:szCs w:val="14"/>
          <w:color w:val="215BA8"/>
        </w:rPr>
      </w:pPr>
    </w:p>
    <w:p>
      <w:pPr>
        <w:ind w:left="760" w:right="62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266,250 shares of common stock purchasable upon exercise of options granted pursuant to the Long-Term Incentive Plans that are exercisable or become so within sixty days after April 12, 2022; (ii) 39,988 RSAs; and (iii) 4,269 shares of common stock held in an account under the Company’s 401(k) Savings Plan.</w:t>
      </w:r>
    </w:p>
    <w:p>
      <w:pPr>
        <w:spacing w:after="0" w:line="38" w:lineRule="exact"/>
        <w:rPr>
          <w:rFonts w:ascii="Arial" w:cs="Arial" w:eastAsia="Arial" w:hAnsi="Arial"/>
          <w:sz w:val="14"/>
          <w:szCs w:val="14"/>
          <w:color w:val="215BA8"/>
        </w:rPr>
      </w:pPr>
    </w:p>
    <w:p>
      <w:pPr>
        <w:jc w:val="both"/>
        <w:ind w:left="760" w:right="70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75,529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jc w:val="both"/>
        <w:ind w:left="760" w:right="700" w:hanging="212"/>
        <w:spacing w:after="0" w:line="249"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11,625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ind w:left="760" w:right="580" w:hanging="212"/>
        <w:spacing w:after="0" w:line="247" w:lineRule="auto"/>
        <w:tabs>
          <w:tab w:leader="none" w:pos="760" w:val="left"/>
        </w:tabs>
        <w:numPr>
          <w:ilvl w:val="0"/>
          <w:numId w:val="68"/>
        </w:numPr>
        <w:rPr>
          <w:rFonts w:ascii="Arial" w:cs="Arial" w:eastAsia="Arial" w:hAnsi="Arial"/>
          <w:sz w:val="14"/>
          <w:szCs w:val="14"/>
          <w:color w:val="215BA8"/>
        </w:rPr>
      </w:pPr>
      <w:r>
        <w:rPr>
          <w:rFonts w:ascii="Arial" w:cs="Arial" w:eastAsia="Arial" w:hAnsi="Arial"/>
          <w:sz w:val="14"/>
          <w:szCs w:val="14"/>
          <w:color w:val="1A1A1A"/>
        </w:rPr>
        <w:t>Includes (i) 48,249 shares of common stock purchasable upon exercise of options granted pursuant to the Long-Term Incentive Plans that are exercisable or become so within sixty days after April 12, 2022; (ii) 750 shares of common stock held by Mr. Sing’s spouse; (iii) 400 shares of common stock held by Mr. Sing’s spouse as custodian for the benefit of their son; (iv) 1,000 shares of common stock held in a trust for benefit of Mr. Sing’s son; and (v) 974 shares of common stock issuable upon settlement of RSUs that are releasable within sixty days after April 12, 2022 upon termination of service.</w:t>
      </w:r>
    </w:p>
    <w:p>
      <w:pPr>
        <w:spacing w:after="0" w:line="15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48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63" w:name="page64"/>
    <w:bookmarkEnd w:id="63"/>
    <w:p>
      <w:pPr>
        <w:jc w:val="right"/>
        <w:ind w:right="540"/>
        <w:spacing w:after="0"/>
        <w:rPr>
          <w:sz w:val="20"/>
          <w:szCs w:val="20"/>
          <w:color w:val="auto"/>
        </w:rPr>
      </w:pPr>
      <w:r>
        <w:rPr>
          <w:rFonts w:ascii="Arial" w:cs="Arial" w:eastAsia="Arial" w:hAnsi="Arial"/>
          <w:sz w:val="14"/>
          <w:szCs w:val="14"/>
          <w:b w:val="1"/>
          <w:bCs w:val="1"/>
          <w:color w:val="215BA8"/>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760" w:right="700" w:hanging="212"/>
        <w:spacing w:after="0" w:line="249" w:lineRule="auto"/>
        <w:tabs>
          <w:tab w:leader="none" w:pos="760" w:val="left"/>
        </w:tabs>
        <w:numPr>
          <w:ilvl w:val="0"/>
          <w:numId w:val="69"/>
        </w:numPr>
        <w:rPr>
          <w:rFonts w:ascii="Arial" w:cs="Arial" w:eastAsia="Arial" w:hAnsi="Arial"/>
          <w:sz w:val="14"/>
          <w:szCs w:val="14"/>
          <w:color w:val="215BA8"/>
        </w:rPr>
      </w:pPr>
      <w:r>
        <w:rPr>
          <w:rFonts w:ascii="Arial" w:cs="Arial" w:eastAsia="Arial" w:hAnsi="Arial"/>
          <w:sz w:val="14"/>
          <w:szCs w:val="14"/>
          <w:color w:val="1A1A1A"/>
        </w:rPr>
        <w:t>Includes (i) 24,835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ind w:left="760" w:right="620" w:hanging="212"/>
        <w:spacing w:after="0" w:line="249" w:lineRule="auto"/>
        <w:tabs>
          <w:tab w:leader="none" w:pos="760" w:val="left"/>
        </w:tabs>
        <w:numPr>
          <w:ilvl w:val="0"/>
          <w:numId w:val="69"/>
        </w:numPr>
        <w:rPr>
          <w:rFonts w:ascii="Arial" w:cs="Arial" w:eastAsia="Arial" w:hAnsi="Arial"/>
          <w:sz w:val="14"/>
          <w:szCs w:val="14"/>
          <w:color w:val="215BA8"/>
        </w:rPr>
      </w:pPr>
      <w:r>
        <w:rPr>
          <w:rFonts w:ascii="Arial" w:cs="Arial" w:eastAsia="Arial" w:hAnsi="Arial"/>
          <w:sz w:val="14"/>
          <w:szCs w:val="14"/>
          <w:color w:val="1A1A1A"/>
        </w:rPr>
        <w:t>Includes (i) 175,926 shares of common stock purchasable upon exercise of options granted pursuant to the Long-Term Incentive Plans that are exercisable or become so within sixty days after April 12, 2022; (ii) 17,586 RSAs; and (iii) 1,048 shares of common stock held in an account under the Company’s 401(k) Savings Plan.</w:t>
      </w:r>
    </w:p>
    <w:p>
      <w:pPr>
        <w:spacing w:after="0" w:line="38" w:lineRule="exact"/>
        <w:rPr>
          <w:rFonts w:ascii="Arial" w:cs="Arial" w:eastAsia="Arial" w:hAnsi="Arial"/>
          <w:sz w:val="14"/>
          <w:szCs w:val="14"/>
          <w:color w:val="215BA8"/>
        </w:rPr>
      </w:pPr>
    </w:p>
    <w:p>
      <w:pPr>
        <w:ind w:left="760" w:right="660" w:hanging="212"/>
        <w:spacing w:after="0" w:line="249" w:lineRule="auto"/>
        <w:tabs>
          <w:tab w:leader="none" w:pos="760" w:val="left"/>
        </w:tabs>
        <w:numPr>
          <w:ilvl w:val="0"/>
          <w:numId w:val="69"/>
        </w:numPr>
        <w:rPr>
          <w:rFonts w:ascii="Arial" w:cs="Arial" w:eastAsia="Arial" w:hAnsi="Arial"/>
          <w:sz w:val="14"/>
          <w:szCs w:val="14"/>
          <w:color w:val="215BA8"/>
        </w:rPr>
      </w:pPr>
      <w:r>
        <w:rPr>
          <w:rFonts w:ascii="Arial" w:cs="Arial" w:eastAsia="Arial" w:hAnsi="Arial"/>
          <w:sz w:val="14"/>
          <w:szCs w:val="14"/>
          <w:color w:val="1A1A1A"/>
        </w:rPr>
        <w:t>Consists of (i) 24,924 shares of common stock purchasable upon exercise of options granted pursuant to the Long-Term Incentive Plans that are exercisable or become so within sixty days after April 12, 2022; and (ii) 974 shares of common stock issuable upon settlement of RSUs that are releasable within sixty days after April 12, 2022 upon termination of service.</w:t>
      </w:r>
    </w:p>
    <w:p>
      <w:pPr>
        <w:spacing w:after="0" w:line="38" w:lineRule="exact"/>
        <w:rPr>
          <w:rFonts w:ascii="Arial" w:cs="Arial" w:eastAsia="Arial" w:hAnsi="Arial"/>
          <w:sz w:val="14"/>
          <w:szCs w:val="14"/>
          <w:color w:val="215BA8"/>
        </w:rPr>
      </w:pPr>
    </w:p>
    <w:p>
      <w:pPr>
        <w:ind w:left="760" w:right="700" w:hanging="212"/>
        <w:spacing w:after="0" w:line="247" w:lineRule="auto"/>
        <w:tabs>
          <w:tab w:leader="none" w:pos="760" w:val="left"/>
        </w:tabs>
        <w:numPr>
          <w:ilvl w:val="0"/>
          <w:numId w:val="69"/>
        </w:numPr>
        <w:rPr>
          <w:rFonts w:ascii="Arial" w:cs="Arial" w:eastAsia="Arial" w:hAnsi="Arial"/>
          <w:sz w:val="14"/>
          <w:szCs w:val="14"/>
          <w:color w:val="215BA8"/>
        </w:rPr>
      </w:pPr>
      <w:r>
        <w:rPr>
          <w:rFonts w:ascii="Arial" w:cs="Arial" w:eastAsia="Arial" w:hAnsi="Arial"/>
          <w:sz w:val="14"/>
          <w:szCs w:val="14"/>
          <w:color w:val="1A1A1A"/>
        </w:rPr>
        <w:t>Includes (i) 3,490,998 shares of common stock purchasable upon exercise of options granted pursuant to the Long-Term Incentive Plans that are exercisable or become so within sixty days after April 12, 2022; (ii) 127,025 RSAs; (iii) 8,766 shares of common stock issuable upon settlement of RSUs that are releasable within sixty days after April 12, 2022; and (iv) 27,045 shares of common stock held in an account under the Company’s 401(k) Savings Plan.</w:t>
      </w:r>
    </w:p>
    <w:p>
      <w:pPr>
        <w:spacing w:after="0" w:line="204" w:lineRule="exact"/>
        <w:rPr>
          <w:rFonts w:ascii="Arial" w:cs="Arial" w:eastAsia="Arial" w:hAnsi="Arial"/>
          <w:sz w:val="14"/>
          <w:szCs w:val="14"/>
          <w:color w:val="215BA8"/>
        </w:rPr>
      </w:pPr>
    </w:p>
    <w:p>
      <w:pPr>
        <w:ind w:left="760" w:hanging="212"/>
        <w:spacing w:after="0"/>
        <w:tabs>
          <w:tab w:leader="none" w:pos="760" w:val="left"/>
        </w:tabs>
        <w:numPr>
          <w:ilvl w:val="0"/>
          <w:numId w:val="69"/>
        </w:numPr>
        <w:rPr>
          <w:rFonts w:ascii="Arial" w:cs="Arial" w:eastAsia="Arial" w:hAnsi="Arial"/>
          <w:sz w:val="14"/>
          <w:szCs w:val="14"/>
          <w:color w:val="215BA8"/>
        </w:rPr>
      </w:pPr>
      <w:r>
        <w:rPr>
          <w:rFonts w:ascii="Arial" w:cs="Arial" w:eastAsia="Arial" w:hAnsi="Arial"/>
          <w:sz w:val="14"/>
          <w:szCs w:val="14"/>
          <w:color w:val="1A1A1A"/>
        </w:rPr>
        <w:t>Represents less than 1%.</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540" w:right="600"/>
        <w:spacing w:after="0" w:line="247" w:lineRule="auto"/>
        <w:rPr>
          <w:sz w:val="20"/>
          <w:szCs w:val="20"/>
          <w:color w:val="auto"/>
        </w:rPr>
      </w:pPr>
      <w:r>
        <w:rPr>
          <w:rFonts w:ascii="Arial" w:cs="Arial" w:eastAsia="Arial" w:hAnsi="Arial"/>
          <w:sz w:val="15"/>
          <w:szCs w:val="15"/>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10591-6707,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 directors, the Corporate Secretary will make sufficient copies of the contents to send to such director or each director who is a member of the group or committee to which the envelope is addressed.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49</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64" w:name="page65"/>
    <w:bookmarkEnd w:id="64"/>
    <w:p>
      <w:pPr>
        <w:ind w:left="1400" w:right="3260"/>
        <w:spacing w:after="0" w:line="282" w:lineRule="auto"/>
        <w:rPr>
          <w:sz w:val="20"/>
          <w:szCs w:val="20"/>
          <w:color w:val="auto"/>
        </w:rPr>
      </w:pPr>
      <w:r>
        <w:rPr>
          <w:rFonts w:ascii="Arial" w:cs="Arial" w:eastAsia="Arial" w:hAnsi="Arial"/>
          <w:sz w:val="50"/>
          <w:szCs w:val="50"/>
          <w:b w:val="1"/>
          <w:bCs w:val="1"/>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172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17295"/>
                    </a:xfrm>
                    <a:prstGeom prst="rect">
                      <a:avLst/>
                    </a:prstGeom>
                    <a:noFill/>
                  </pic:spPr>
                </pic:pic>
              </a:graphicData>
            </a:graphic>
          </wp:anchor>
        </w:drawing>
        <w:t>COMPENSATION-RELATED MATTERS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60" w:type="dxa"/>
            <w:vAlign w:val="bottom"/>
          </w:tcPr>
          <w:p>
            <w:pPr>
              <w:ind w:left="540"/>
              <w:spacing w:after="0"/>
              <w:rPr>
                <w:rFonts w:ascii="Arial" w:cs="Arial" w:eastAsia="Arial" w:hAnsi="Arial"/>
                <w:sz w:val="20"/>
                <w:szCs w:val="20"/>
                <w:b w:val="1"/>
                <w:bCs w:val="1"/>
                <w:color w:val="215BA8"/>
              </w:rPr>
            </w:pPr>
            <w:hyperlink w:anchor="page66">
              <w:r>
                <w:rPr>
                  <w:rFonts w:ascii="Arial" w:cs="Arial" w:eastAsia="Arial" w:hAnsi="Arial"/>
                  <w:sz w:val="20"/>
                  <w:szCs w:val="20"/>
                  <w:b w:val="1"/>
                  <w:bCs w:val="1"/>
                  <w:color w:val="215BA8"/>
                </w:rPr>
                <w:t>INTRODUCTION</w:t>
              </w:r>
            </w:hyperlink>
          </w:p>
        </w:tc>
        <w:tc>
          <w:tcPr>
            <w:tcW w:w="1040" w:type="dxa"/>
            <w:vAlign w:val="bottom"/>
          </w:tcPr>
          <w:p>
            <w:pPr>
              <w:jc w:val="right"/>
              <w:ind w:right="118"/>
              <w:spacing w:after="0"/>
              <w:rPr>
                <w:sz w:val="20"/>
                <w:szCs w:val="20"/>
                <w:color w:val="auto"/>
              </w:rPr>
            </w:pPr>
            <w:r>
              <w:rPr>
                <w:rFonts w:ascii="Arial" w:cs="Arial" w:eastAsia="Arial" w:hAnsi="Arial"/>
                <w:sz w:val="20"/>
                <w:szCs w:val="20"/>
                <w:b w:val="1"/>
                <w:bCs w:val="1"/>
                <w:color w:val="215BA8"/>
              </w:rPr>
              <w:t>51</w:t>
            </w:r>
          </w:p>
        </w:tc>
        <w:tc>
          <w:tcPr>
            <w:tcW w:w="4660" w:type="dxa"/>
            <w:vAlign w:val="bottom"/>
          </w:tcPr>
          <w:p>
            <w:pPr>
              <w:ind w:left="220"/>
              <w:spacing w:after="0"/>
              <w:rPr>
                <w:rFonts w:ascii="Arial" w:cs="Arial" w:eastAsia="Arial" w:hAnsi="Arial"/>
                <w:sz w:val="20"/>
                <w:szCs w:val="20"/>
                <w:b w:val="1"/>
                <w:bCs w:val="1"/>
                <w:color w:val="215BA8"/>
              </w:rPr>
            </w:pPr>
            <w:hyperlink w:anchor="page96">
              <w:r>
                <w:rPr>
                  <w:rFonts w:ascii="Arial" w:cs="Arial" w:eastAsia="Arial" w:hAnsi="Arial"/>
                  <w:sz w:val="20"/>
                  <w:szCs w:val="20"/>
                  <w:b w:val="1"/>
                  <w:bCs w:val="1"/>
                  <w:color w:val="215BA8"/>
                </w:rPr>
                <w:t>COMPENSATION COMMITTEE REPORT</w:t>
              </w:r>
            </w:hyperlink>
          </w:p>
        </w:tc>
        <w:tc>
          <w:tcPr>
            <w:tcW w:w="980" w:type="dxa"/>
            <w:vAlign w:val="bottom"/>
          </w:tcPr>
          <w:p>
            <w:pPr>
              <w:jc w:val="right"/>
              <w:ind w:right="475"/>
              <w:spacing w:after="0"/>
              <w:rPr>
                <w:sz w:val="20"/>
                <w:szCs w:val="20"/>
                <w:color w:val="auto"/>
              </w:rPr>
            </w:pPr>
            <w:r>
              <w:rPr>
                <w:rFonts w:ascii="Arial" w:cs="Arial" w:eastAsia="Arial" w:hAnsi="Arial"/>
                <w:sz w:val="20"/>
                <w:szCs w:val="20"/>
                <w:b w:val="1"/>
                <w:bCs w:val="1"/>
                <w:color w:val="215BA8"/>
              </w:rPr>
              <w:t>81</w:t>
            </w:r>
          </w:p>
        </w:tc>
        <w:tc>
          <w:tcPr>
            <w:tcW w:w="0" w:type="dxa"/>
            <w:vAlign w:val="bottom"/>
          </w:tcPr>
          <w:p>
            <w:pPr>
              <w:spacing w:after="0"/>
              <w:rPr>
                <w:sz w:val="1"/>
                <w:szCs w:val="1"/>
                <w:color w:val="auto"/>
              </w:rPr>
            </w:pPr>
          </w:p>
        </w:tc>
      </w:tr>
      <w:tr>
        <w:trPr>
          <w:trHeight w:val="373"/>
        </w:trPr>
        <w:tc>
          <w:tcPr>
            <w:tcW w:w="4560" w:type="dxa"/>
            <w:vAlign w:val="bottom"/>
          </w:tcPr>
          <w:p>
            <w:pPr>
              <w:ind w:left="540"/>
              <w:spacing w:after="0"/>
              <w:rPr>
                <w:rFonts w:ascii="Arial" w:cs="Arial" w:eastAsia="Arial" w:hAnsi="Arial"/>
                <w:sz w:val="20"/>
                <w:szCs w:val="20"/>
                <w:b w:val="1"/>
                <w:bCs w:val="1"/>
                <w:color w:val="215BA8"/>
              </w:rPr>
            </w:pPr>
            <w:hyperlink w:anchor="page67">
              <w:r>
                <w:rPr>
                  <w:rFonts w:ascii="Arial" w:cs="Arial" w:eastAsia="Arial" w:hAnsi="Arial"/>
                  <w:sz w:val="20"/>
                  <w:szCs w:val="20"/>
                  <w:b w:val="1"/>
                  <w:bCs w:val="1"/>
                  <w:color w:val="215BA8"/>
                </w:rPr>
                <w:t>COMPENSATION DISCUSSION AND</w:t>
              </w:r>
            </w:hyperlink>
          </w:p>
        </w:tc>
        <w:tc>
          <w:tcPr>
            <w:tcW w:w="1040" w:type="dxa"/>
            <w:vAlign w:val="bottom"/>
          </w:tcPr>
          <w:p>
            <w:pPr>
              <w:spacing w:after="0"/>
              <w:rPr>
                <w:sz w:val="24"/>
                <w:szCs w:val="24"/>
                <w:color w:val="auto"/>
              </w:rPr>
            </w:pPr>
          </w:p>
        </w:tc>
        <w:tc>
          <w:tcPr>
            <w:tcW w:w="4660" w:type="dxa"/>
            <w:vAlign w:val="bottom"/>
          </w:tcPr>
          <w:p>
            <w:pPr>
              <w:ind w:left="220"/>
              <w:spacing w:after="0"/>
              <w:rPr>
                <w:rFonts w:ascii="Arial" w:cs="Arial" w:eastAsia="Arial" w:hAnsi="Arial"/>
                <w:sz w:val="20"/>
                <w:szCs w:val="20"/>
                <w:b w:val="1"/>
                <w:bCs w:val="1"/>
                <w:color w:val="215BA8"/>
              </w:rPr>
            </w:pPr>
            <w:hyperlink w:anchor="page96">
              <w:r>
                <w:rPr>
                  <w:rFonts w:ascii="Arial" w:cs="Arial" w:eastAsia="Arial" w:hAnsi="Arial"/>
                  <w:sz w:val="20"/>
                  <w:szCs w:val="20"/>
                  <w:b w:val="1"/>
                  <w:bCs w:val="1"/>
                  <w:color w:val="215BA8"/>
                </w:rPr>
                <w:t>COMPENSATION COMMITTEE INTERLOCKS</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560" w:type="dxa"/>
            <w:vAlign w:val="bottom"/>
          </w:tcPr>
          <w:p>
            <w:pPr>
              <w:ind w:left="540"/>
              <w:spacing w:after="0"/>
              <w:rPr>
                <w:rFonts w:ascii="Arial" w:cs="Arial" w:eastAsia="Arial" w:hAnsi="Arial"/>
                <w:sz w:val="20"/>
                <w:szCs w:val="20"/>
                <w:b w:val="1"/>
                <w:bCs w:val="1"/>
                <w:color w:val="215BA8"/>
              </w:rPr>
            </w:pPr>
            <w:hyperlink w:anchor="page67">
              <w:r>
                <w:rPr>
                  <w:rFonts w:ascii="Arial" w:cs="Arial" w:eastAsia="Arial" w:hAnsi="Arial"/>
                  <w:sz w:val="20"/>
                  <w:szCs w:val="20"/>
                  <w:b w:val="1"/>
                  <w:bCs w:val="1"/>
                  <w:color w:val="215BA8"/>
                </w:rPr>
                <w:t>ANALYSIS</w:t>
              </w:r>
            </w:hyperlink>
          </w:p>
        </w:tc>
        <w:tc>
          <w:tcPr>
            <w:tcW w:w="1040" w:type="dxa"/>
            <w:vAlign w:val="bottom"/>
          </w:tcPr>
          <w:p>
            <w:pPr>
              <w:jc w:val="right"/>
              <w:ind w:right="118"/>
              <w:spacing w:after="0"/>
              <w:rPr>
                <w:sz w:val="20"/>
                <w:szCs w:val="20"/>
                <w:color w:val="auto"/>
              </w:rPr>
            </w:pPr>
            <w:r>
              <w:rPr>
                <w:rFonts w:ascii="Arial" w:cs="Arial" w:eastAsia="Arial" w:hAnsi="Arial"/>
                <w:sz w:val="20"/>
                <w:szCs w:val="20"/>
                <w:b w:val="1"/>
                <w:bCs w:val="1"/>
                <w:color w:val="215BA8"/>
              </w:rPr>
              <w:t>52</w:t>
            </w:r>
          </w:p>
        </w:tc>
        <w:tc>
          <w:tcPr>
            <w:tcW w:w="4660" w:type="dxa"/>
            <w:vAlign w:val="bottom"/>
          </w:tcPr>
          <w:p>
            <w:pPr>
              <w:ind w:left="220"/>
              <w:spacing w:after="0"/>
              <w:rPr>
                <w:rFonts w:ascii="Arial" w:cs="Arial" w:eastAsia="Arial" w:hAnsi="Arial"/>
                <w:sz w:val="20"/>
                <w:szCs w:val="20"/>
                <w:b w:val="1"/>
                <w:bCs w:val="1"/>
                <w:color w:val="215BA8"/>
              </w:rPr>
            </w:pPr>
            <w:hyperlink w:anchor="page96">
              <w:r>
                <w:rPr>
                  <w:rFonts w:ascii="Arial" w:cs="Arial" w:eastAsia="Arial" w:hAnsi="Arial"/>
                  <w:sz w:val="20"/>
                  <w:szCs w:val="20"/>
                  <w:b w:val="1"/>
                  <w:bCs w:val="1"/>
                  <w:color w:val="215BA8"/>
                </w:rPr>
                <w:t>AND INSIDER PARTICIPATION</w:t>
              </w:r>
            </w:hyperlink>
          </w:p>
        </w:tc>
        <w:tc>
          <w:tcPr>
            <w:tcW w:w="980" w:type="dxa"/>
            <w:vAlign w:val="bottom"/>
          </w:tcPr>
          <w:p>
            <w:pPr>
              <w:jc w:val="right"/>
              <w:ind w:right="475"/>
              <w:spacing w:after="0"/>
              <w:rPr>
                <w:sz w:val="20"/>
                <w:szCs w:val="20"/>
                <w:color w:val="auto"/>
              </w:rPr>
            </w:pPr>
            <w:r>
              <w:rPr>
                <w:rFonts w:ascii="Arial" w:cs="Arial" w:eastAsia="Arial" w:hAnsi="Arial"/>
                <w:sz w:val="20"/>
                <w:szCs w:val="20"/>
                <w:b w:val="1"/>
                <w:bCs w:val="1"/>
                <w:color w:val="215BA8"/>
              </w:rPr>
              <w:t>81</w:t>
            </w:r>
          </w:p>
        </w:tc>
        <w:tc>
          <w:tcPr>
            <w:tcW w:w="0" w:type="dxa"/>
            <w:vAlign w:val="bottom"/>
          </w:tcPr>
          <w:p>
            <w:pPr>
              <w:spacing w:after="0"/>
              <w:rPr>
                <w:sz w:val="1"/>
                <w:szCs w:val="1"/>
                <w:color w:val="auto"/>
              </w:rPr>
            </w:pPr>
          </w:p>
        </w:tc>
      </w:tr>
      <w:tr>
        <w:trPr>
          <w:trHeight w:val="418"/>
        </w:trPr>
        <w:tc>
          <w:tcPr>
            <w:tcW w:w="4560" w:type="dxa"/>
            <w:vAlign w:val="bottom"/>
          </w:tcPr>
          <w:p>
            <w:pPr>
              <w:ind w:left="540"/>
              <w:spacing w:after="0"/>
              <w:rPr>
                <w:rFonts w:ascii="Arial" w:cs="Arial" w:eastAsia="Arial" w:hAnsi="Arial"/>
                <w:sz w:val="16"/>
                <w:szCs w:val="16"/>
                <w:b w:val="1"/>
                <w:bCs w:val="1"/>
                <w:color w:val="auto"/>
              </w:rPr>
            </w:pPr>
            <w:hyperlink w:anchor="page68">
              <w:r>
                <w:rPr>
                  <w:rFonts w:ascii="Arial" w:cs="Arial" w:eastAsia="Arial" w:hAnsi="Arial"/>
                  <w:sz w:val="16"/>
                  <w:szCs w:val="16"/>
                  <w:b w:val="1"/>
                  <w:bCs w:val="1"/>
                  <w:color w:val="auto"/>
                </w:rPr>
                <w:t>Executive Summary</w:t>
              </w:r>
            </w:hyperlink>
          </w:p>
        </w:tc>
        <w:tc>
          <w:tcPr>
            <w:tcW w:w="1040" w:type="dxa"/>
            <w:vAlign w:val="bottom"/>
          </w:tcPr>
          <w:p>
            <w:pPr>
              <w:jc w:val="right"/>
              <w:ind w:right="118"/>
              <w:spacing w:after="0"/>
              <w:rPr>
                <w:sz w:val="20"/>
                <w:szCs w:val="20"/>
                <w:color w:val="auto"/>
              </w:rPr>
            </w:pPr>
            <w:r>
              <w:rPr>
                <w:rFonts w:ascii="Arial" w:cs="Arial" w:eastAsia="Arial" w:hAnsi="Arial"/>
                <w:sz w:val="16"/>
                <w:szCs w:val="16"/>
                <w:b w:val="1"/>
                <w:bCs w:val="1"/>
                <w:color w:val="auto"/>
              </w:rPr>
              <w:t>53</w:t>
            </w:r>
          </w:p>
        </w:tc>
        <w:tc>
          <w:tcPr>
            <w:tcW w:w="4660" w:type="dxa"/>
            <w:vAlign w:val="bottom"/>
          </w:tcPr>
          <w:p>
            <w:pPr>
              <w:ind w:left="220"/>
              <w:spacing w:after="0"/>
              <w:rPr>
                <w:rFonts w:ascii="Arial" w:cs="Arial" w:eastAsia="Arial" w:hAnsi="Arial"/>
                <w:sz w:val="20"/>
                <w:szCs w:val="20"/>
                <w:b w:val="1"/>
                <w:bCs w:val="1"/>
                <w:color w:val="215BA8"/>
              </w:rPr>
            </w:pPr>
            <w:hyperlink w:anchor="page97">
              <w:r>
                <w:rPr>
                  <w:rFonts w:ascii="Arial" w:cs="Arial" w:eastAsia="Arial" w:hAnsi="Arial"/>
                  <w:sz w:val="20"/>
                  <w:szCs w:val="20"/>
                  <w:b w:val="1"/>
                  <w:bCs w:val="1"/>
                  <w:color w:val="215BA8"/>
                </w:rPr>
                <w:t>COMPENSATION DASHBOARD</w:t>
              </w:r>
            </w:hyperlink>
          </w:p>
        </w:tc>
        <w:tc>
          <w:tcPr>
            <w:tcW w:w="980" w:type="dxa"/>
            <w:vAlign w:val="bottom"/>
          </w:tcPr>
          <w:p>
            <w:pPr>
              <w:jc w:val="right"/>
              <w:ind w:right="475"/>
              <w:spacing w:after="0"/>
              <w:rPr>
                <w:sz w:val="20"/>
                <w:szCs w:val="20"/>
                <w:color w:val="auto"/>
              </w:rPr>
            </w:pPr>
            <w:r>
              <w:rPr>
                <w:rFonts w:ascii="Arial" w:cs="Arial" w:eastAsia="Arial" w:hAnsi="Arial"/>
                <w:sz w:val="20"/>
                <w:szCs w:val="20"/>
                <w:b w:val="1"/>
                <w:bCs w:val="1"/>
                <w:color w:val="215BA8"/>
              </w:rPr>
              <w:t>82</w:t>
            </w:r>
          </w:p>
        </w:tc>
        <w:tc>
          <w:tcPr>
            <w:tcW w:w="0" w:type="dxa"/>
            <w:vAlign w:val="bottom"/>
          </w:tcPr>
          <w:p>
            <w:pPr>
              <w:spacing w:after="0"/>
              <w:rPr>
                <w:sz w:val="1"/>
                <w:szCs w:val="1"/>
                <w:color w:val="auto"/>
              </w:rPr>
            </w:pPr>
          </w:p>
        </w:tc>
      </w:tr>
      <w:tr>
        <w:trPr>
          <w:trHeight w:val="382"/>
        </w:trPr>
        <w:tc>
          <w:tcPr>
            <w:tcW w:w="4560" w:type="dxa"/>
            <w:vAlign w:val="bottom"/>
          </w:tcPr>
          <w:p>
            <w:pPr>
              <w:ind w:left="540"/>
              <w:spacing w:after="0"/>
              <w:rPr>
                <w:rFonts w:ascii="Arial" w:cs="Arial" w:eastAsia="Arial" w:hAnsi="Arial"/>
                <w:sz w:val="16"/>
                <w:szCs w:val="16"/>
                <w:b w:val="1"/>
                <w:bCs w:val="1"/>
                <w:color w:val="auto"/>
              </w:rPr>
            </w:pPr>
            <w:hyperlink w:anchor="page70">
              <w:r>
                <w:rPr>
                  <w:rFonts w:ascii="Arial" w:cs="Arial" w:eastAsia="Arial" w:hAnsi="Arial"/>
                  <w:sz w:val="16"/>
                  <w:szCs w:val="16"/>
                  <w:b w:val="1"/>
                  <w:bCs w:val="1"/>
                  <w:color w:val="auto"/>
                </w:rPr>
                <w:t>Compensation Program Overview</w:t>
              </w:r>
            </w:hyperlink>
          </w:p>
        </w:tc>
        <w:tc>
          <w:tcPr>
            <w:tcW w:w="1040" w:type="dxa"/>
            <w:vAlign w:val="bottom"/>
          </w:tcPr>
          <w:p>
            <w:pPr>
              <w:jc w:val="right"/>
              <w:ind w:right="118"/>
              <w:spacing w:after="0"/>
              <w:rPr>
                <w:sz w:val="20"/>
                <w:szCs w:val="20"/>
                <w:color w:val="auto"/>
              </w:rPr>
            </w:pPr>
            <w:r>
              <w:rPr>
                <w:rFonts w:ascii="Arial" w:cs="Arial" w:eastAsia="Arial" w:hAnsi="Arial"/>
                <w:sz w:val="16"/>
                <w:szCs w:val="16"/>
                <w:b w:val="1"/>
                <w:bCs w:val="1"/>
                <w:color w:val="auto"/>
              </w:rPr>
              <w:t>55</w:t>
            </w:r>
          </w:p>
        </w:tc>
        <w:tc>
          <w:tcPr>
            <w:tcW w:w="4660" w:type="dxa"/>
            <w:vAlign w:val="bottom"/>
          </w:tcPr>
          <w:p>
            <w:pPr>
              <w:ind w:left="220"/>
              <w:spacing w:after="0"/>
              <w:rPr>
                <w:rFonts w:ascii="Arial" w:cs="Arial" w:eastAsia="Arial" w:hAnsi="Arial"/>
                <w:sz w:val="16"/>
                <w:szCs w:val="16"/>
                <w:b w:val="1"/>
                <w:bCs w:val="1"/>
                <w:color w:val="auto"/>
              </w:rPr>
            </w:pPr>
            <w:hyperlink w:anchor="page97">
              <w:r>
                <w:rPr>
                  <w:rFonts w:ascii="Arial" w:cs="Arial" w:eastAsia="Arial" w:hAnsi="Arial"/>
                  <w:sz w:val="16"/>
                  <w:szCs w:val="16"/>
                  <w:b w:val="1"/>
                  <w:bCs w:val="1"/>
                  <w:color w:val="auto"/>
                </w:rPr>
                <w:t>2021 Executive Compensation Tables</w:t>
              </w:r>
            </w:hyperlink>
          </w:p>
        </w:tc>
        <w:tc>
          <w:tcPr>
            <w:tcW w:w="980" w:type="dxa"/>
            <w:vAlign w:val="bottom"/>
          </w:tcPr>
          <w:p>
            <w:pPr>
              <w:jc w:val="right"/>
              <w:ind w:right="475"/>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392"/>
        </w:trPr>
        <w:tc>
          <w:tcPr>
            <w:tcW w:w="4560" w:type="dxa"/>
            <w:vAlign w:val="bottom"/>
          </w:tcPr>
          <w:p>
            <w:pPr>
              <w:ind w:left="720"/>
              <w:spacing w:after="0"/>
              <w:rPr>
                <w:rFonts w:ascii="Arial" w:cs="Arial" w:eastAsia="Arial" w:hAnsi="Arial"/>
                <w:sz w:val="16"/>
                <w:szCs w:val="16"/>
                <w:color w:val="auto"/>
              </w:rPr>
            </w:pPr>
            <w:hyperlink w:anchor="page70">
              <w:r>
                <w:rPr>
                  <w:rFonts w:ascii="Arial" w:cs="Arial" w:eastAsia="Arial" w:hAnsi="Arial"/>
                  <w:sz w:val="16"/>
                  <w:szCs w:val="16"/>
                  <w:color w:val="auto"/>
                </w:rPr>
                <w:t>Our Corporate Culture and Pay Philosophy</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55</w:t>
            </w:r>
          </w:p>
        </w:tc>
        <w:tc>
          <w:tcPr>
            <w:tcW w:w="4660" w:type="dxa"/>
            <w:vAlign w:val="bottom"/>
          </w:tcPr>
          <w:p>
            <w:pPr>
              <w:ind w:left="400"/>
              <w:spacing w:after="0"/>
              <w:rPr>
                <w:rFonts w:ascii="Arial" w:cs="Arial" w:eastAsia="Arial" w:hAnsi="Arial"/>
                <w:sz w:val="16"/>
                <w:szCs w:val="16"/>
                <w:color w:val="auto"/>
              </w:rPr>
            </w:pPr>
            <w:hyperlink w:anchor="page97">
              <w:r>
                <w:rPr>
                  <w:rFonts w:ascii="Arial" w:cs="Arial" w:eastAsia="Arial" w:hAnsi="Arial"/>
                  <w:sz w:val="16"/>
                  <w:szCs w:val="16"/>
                  <w:color w:val="auto"/>
                </w:rPr>
                <w:t>2021 Summary Compensation Table</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91"/>
        </w:trPr>
        <w:tc>
          <w:tcPr>
            <w:tcW w:w="4560" w:type="dxa"/>
            <w:vAlign w:val="bottom"/>
          </w:tcPr>
          <w:p>
            <w:pPr>
              <w:ind w:left="720"/>
              <w:spacing w:after="0"/>
              <w:rPr>
                <w:rFonts w:ascii="Arial" w:cs="Arial" w:eastAsia="Arial" w:hAnsi="Arial"/>
                <w:sz w:val="16"/>
                <w:szCs w:val="16"/>
                <w:color w:val="auto"/>
              </w:rPr>
            </w:pPr>
            <w:hyperlink w:anchor="page71">
              <w:r>
                <w:rPr>
                  <w:rFonts w:ascii="Arial" w:cs="Arial" w:eastAsia="Arial" w:hAnsi="Arial"/>
                  <w:sz w:val="16"/>
                  <w:szCs w:val="16"/>
                  <w:color w:val="auto"/>
                </w:rPr>
                <w:t>2021 Business Highlights</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56</w:t>
            </w:r>
          </w:p>
        </w:tc>
        <w:tc>
          <w:tcPr>
            <w:tcW w:w="4660" w:type="dxa"/>
            <w:vAlign w:val="bottom"/>
          </w:tcPr>
          <w:p>
            <w:pPr>
              <w:ind w:left="400"/>
              <w:spacing w:after="0"/>
              <w:rPr>
                <w:rFonts w:ascii="Arial" w:cs="Arial" w:eastAsia="Arial" w:hAnsi="Arial"/>
                <w:sz w:val="16"/>
                <w:szCs w:val="16"/>
                <w:color w:val="auto"/>
              </w:rPr>
            </w:pPr>
            <w:hyperlink w:anchor="page98">
              <w:r>
                <w:rPr>
                  <w:rFonts w:ascii="Arial" w:cs="Arial" w:eastAsia="Arial" w:hAnsi="Arial"/>
                  <w:sz w:val="16"/>
                  <w:szCs w:val="16"/>
                  <w:color w:val="auto"/>
                </w:rPr>
                <w:t>2021 Grants of Plan-Based Awards</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92"/>
        </w:trPr>
        <w:tc>
          <w:tcPr>
            <w:tcW w:w="4560" w:type="dxa"/>
            <w:vAlign w:val="bottom"/>
          </w:tcPr>
          <w:p>
            <w:pPr>
              <w:ind w:left="720"/>
              <w:spacing w:after="0"/>
              <w:rPr>
                <w:rFonts w:ascii="Arial" w:cs="Arial" w:eastAsia="Arial" w:hAnsi="Arial"/>
                <w:sz w:val="16"/>
                <w:szCs w:val="16"/>
                <w:color w:val="auto"/>
              </w:rPr>
            </w:pPr>
            <w:hyperlink w:anchor="page72">
              <w:r>
                <w:rPr>
                  <w:rFonts w:ascii="Arial" w:cs="Arial" w:eastAsia="Arial" w:hAnsi="Arial"/>
                  <w:sz w:val="16"/>
                  <w:szCs w:val="16"/>
                  <w:color w:val="auto"/>
                </w:rPr>
                <w:t>2021 Compensation Highlights</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57</w:t>
            </w:r>
          </w:p>
        </w:tc>
        <w:tc>
          <w:tcPr>
            <w:tcW w:w="4660" w:type="dxa"/>
            <w:vAlign w:val="bottom"/>
          </w:tcPr>
          <w:p>
            <w:pPr>
              <w:ind w:left="400"/>
              <w:spacing w:after="0"/>
              <w:rPr>
                <w:rFonts w:ascii="Arial" w:cs="Arial" w:eastAsia="Arial" w:hAnsi="Arial"/>
                <w:sz w:val="16"/>
                <w:szCs w:val="16"/>
                <w:color w:val="auto"/>
              </w:rPr>
            </w:pPr>
            <w:hyperlink w:anchor="page99">
              <w:r>
                <w:rPr>
                  <w:rFonts w:ascii="Arial" w:cs="Arial" w:eastAsia="Arial" w:hAnsi="Arial"/>
                  <w:sz w:val="16"/>
                  <w:szCs w:val="16"/>
                  <w:color w:val="auto"/>
                </w:rPr>
                <w:t>Outstanding Equity Awards at 2021 Fiscal Year-End</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92"/>
        </w:trPr>
        <w:tc>
          <w:tcPr>
            <w:tcW w:w="4560" w:type="dxa"/>
            <w:vAlign w:val="bottom"/>
          </w:tcPr>
          <w:p>
            <w:pPr>
              <w:ind w:left="720"/>
              <w:spacing w:after="0"/>
              <w:rPr>
                <w:rFonts w:ascii="Arial" w:cs="Arial" w:eastAsia="Arial" w:hAnsi="Arial"/>
                <w:sz w:val="16"/>
                <w:szCs w:val="16"/>
                <w:color w:val="auto"/>
              </w:rPr>
            </w:pPr>
            <w:hyperlink w:anchor="page73">
              <w:r>
                <w:rPr>
                  <w:rFonts w:ascii="Arial" w:cs="Arial" w:eastAsia="Arial" w:hAnsi="Arial"/>
                  <w:sz w:val="16"/>
                  <w:szCs w:val="16"/>
                  <w:color w:val="auto"/>
                </w:rPr>
                <w:t>Shareholder Engagement and Feedback</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58</w:t>
            </w:r>
          </w:p>
        </w:tc>
        <w:tc>
          <w:tcPr>
            <w:tcW w:w="4660" w:type="dxa"/>
            <w:vAlign w:val="bottom"/>
          </w:tcPr>
          <w:p>
            <w:pPr>
              <w:ind w:left="400"/>
              <w:spacing w:after="0"/>
              <w:rPr>
                <w:rFonts w:ascii="Arial" w:cs="Arial" w:eastAsia="Arial" w:hAnsi="Arial"/>
                <w:sz w:val="16"/>
                <w:szCs w:val="16"/>
                <w:color w:val="auto"/>
              </w:rPr>
            </w:pPr>
            <w:hyperlink w:anchor="page102">
              <w:r>
                <w:rPr>
                  <w:rFonts w:ascii="Arial" w:cs="Arial" w:eastAsia="Arial" w:hAnsi="Arial"/>
                  <w:sz w:val="16"/>
                  <w:szCs w:val="16"/>
                  <w:color w:val="auto"/>
                </w:rPr>
                <w:t>2021 Option Exercises and Stock Vested</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91"/>
        </w:trPr>
        <w:tc>
          <w:tcPr>
            <w:tcW w:w="4560" w:type="dxa"/>
            <w:vAlign w:val="bottom"/>
          </w:tcPr>
          <w:p>
            <w:pPr>
              <w:ind w:left="720"/>
              <w:spacing w:after="0"/>
              <w:rPr>
                <w:rFonts w:ascii="Arial" w:cs="Arial" w:eastAsia="Arial" w:hAnsi="Arial"/>
                <w:sz w:val="16"/>
                <w:szCs w:val="16"/>
                <w:color w:val="auto"/>
              </w:rPr>
            </w:pPr>
            <w:hyperlink w:anchor="page74">
              <w:r>
                <w:rPr>
                  <w:rFonts w:ascii="Arial" w:cs="Arial" w:eastAsia="Arial" w:hAnsi="Arial"/>
                  <w:sz w:val="16"/>
                  <w:szCs w:val="16"/>
                  <w:color w:val="auto"/>
                </w:rPr>
                <w:t>How Our Pay Program Works</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59</w:t>
            </w:r>
          </w:p>
        </w:tc>
        <w:tc>
          <w:tcPr>
            <w:tcW w:w="4660" w:type="dxa"/>
            <w:vAlign w:val="bottom"/>
          </w:tcPr>
          <w:p>
            <w:pPr>
              <w:ind w:left="400"/>
              <w:spacing w:after="0"/>
              <w:rPr>
                <w:rFonts w:ascii="Arial" w:cs="Arial" w:eastAsia="Arial" w:hAnsi="Arial"/>
                <w:sz w:val="16"/>
                <w:szCs w:val="16"/>
                <w:color w:val="auto"/>
              </w:rPr>
            </w:pPr>
            <w:hyperlink w:anchor="page102">
              <w:r>
                <w:rPr>
                  <w:rFonts w:ascii="Arial" w:cs="Arial" w:eastAsia="Arial" w:hAnsi="Arial"/>
                  <w:sz w:val="16"/>
                  <w:szCs w:val="16"/>
                  <w:color w:val="auto"/>
                </w:rPr>
                <w:t>Post-Employment Compensation</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92"/>
        </w:trPr>
        <w:tc>
          <w:tcPr>
            <w:tcW w:w="4560" w:type="dxa"/>
            <w:vAlign w:val="bottom"/>
          </w:tcPr>
          <w:p>
            <w:pPr>
              <w:ind w:left="720"/>
              <w:spacing w:after="0"/>
              <w:rPr>
                <w:rFonts w:ascii="Arial" w:cs="Arial" w:eastAsia="Arial" w:hAnsi="Arial"/>
                <w:sz w:val="16"/>
                <w:szCs w:val="16"/>
                <w:color w:val="auto"/>
              </w:rPr>
            </w:pPr>
            <w:hyperlink w:anchor="page75">
              <w:r>
                <w:rPr>
                  <w:rFonts w:ascii="Arial" w:cs="Arial" w:eastAsia="Arial" w:hAnsi="Arial"/>
                  <w:sz w:val="16"/>
                  <w:szCs w:val="16"/>
                  <w:color w:val="auto"/>
                </w:rPr>
                <w:t>Key Governance Features</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60</w:t>
            </w:r>
          </w:p>
        </w:tc>
        <w:tc>
          <w:tcPr>
            <w:tcW w:w="4660" w:type="dxa"/>
            <w:vAlign w:val="bottom"/>
          </w:tcPr>
          <w:p>
            <w:pPr>
              <w:ind w:left="220"/>
              <w:spacing w:after="0"/>
              <w:rPr>
                <w:rFonts w:ascii="Arial" w:cs="Arial" w:eastAsia="Arial" w:hAnsi="Arial"/>
                <w:sz w:val="16"/>
                <w:szCs w:val="16"/>
                <w:b w:val="1"/>
                <w:bCs w:val="1"/>
                <w:color w:val="auto"/>
              </w:rPr>
            </w:pPr>
            <w:hyperlink w:anchor="page107">
              <w:r>
                <w:rPr>
                  <w:rFonts w:ascii="Arial" w:cs="Arial" w:eastAsia="Arial" w:hAnsi="Arial"/>
                  <w:sz w:val="16"/>
                  <w:szCs w:val="16"/>
                  <w:b w:val="1"/>
                  <w:bCs w:val="1"/>
                  <w:color w:val="auto"/>
                </w:rPr>
                <w:t>Additional Compensation Information</w:t>
              </w:r>
            </w:hyperlink>
          </w:p>
        </w:tc>
        <w:tc>
          <w:tcPr>
            <w:tcW w:w="980" w:type="dxa"/>
            <w:vAlign w:val="bottom"/>
          </w:tcPr>
          <w:p>
            <w:pPr>
              <w:jc w:val="right"/>
              <w:ind w:right="475"/>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391"/>
        </w:trPr>
        <w:tc>
          <w:tcPr>
            <w:tcW w:w="4560" w:type="dxa"/>
            <w:vAlign w:val="bottom"/>
          </w:tcPr>
          <w:p>
            <w:pPr>
              <w:ind w:left="540"/>
              <w:spacing w:after="0"/>
              <w:rPr>
                <w:rFonts w:ascii="Arial" w:cs="Arial" w:eastAsia="Arial" w:hAnsi="Arial"/>
                <w:sz w:val="16"/>
                <w:szCs w:val="16"/>
                <w:b w:val="1"/>
                <w:bCs w:val="1"/>
                <w:color w:val="auto"/>
              </w:rPr>
            </w:pPr>
            <w:hyperlink w:anchor="page76">
              <w:r>
                <w:rPr>
                  <w:rFonts w:ascii="Arial" w:cs="Arial" w:eastAsia="Arial" w:hAnsi="Arial"/>
                  <w:sz w:val="16"/>
                  <w:szCs w:val="16"/>
                  <w:b w:val="1"/>
                  <w:bCs w:val="1"/>
                  <w:color w:val="auto"/>
                </w:rPr>
                <w:t>Compensation Program Objectives</w:t>
              </w:r>
            </w:hyperlink>
          </w:p>
        </w:tc>
        <w:tc>
          <w:tcPr>
            <w:tcW w:w="1040" w:type="dxa"/>
            <w:vAlign w:val="bottom"/>
          </w:tcPr>
          <w:p>
            <w:pPr>
              <w:jc w:val="right"/>
              <w:ind w:right="118"/>
              <w:spacing w:after="0"/>
              <w:rPr>
                <w:sz w:val="20"/>
                <w:szCs w:val="20"/>
                <w:color w:val="auto"/>
              </w:rPr>
            </w:pPr>
            <w:r>
              <w:rPr>
                <w:rFonts w:ascii="Arial" w:cs="Arial" w:eastAsia="Arial" w:hAnsi="Arial"/>
                <w:sz w:val="16"/>
                <w:szCs w:val="16"/>
                <w:b w:val="1"/>
                <w:bCs w:val="1"/>
                <w:color w:val="auto"/>
              </w:rPr>
              <w:t>61</w:t>
            </w:r>
          </w:p>
        </w:tc>
        <w:tc>
          <w:tcPr>
            <w:tcW w:w="4660" w:type="dxa"/>
            <w:vAlign w:val="bottom"/>
          </w:tcPr>
          <w:p>
            <w:pPr>
              <w:ind w:left="400"/>
              <w:spacing w:after="0"/>
              <w:rPr>
                <w:rFonts w:ascii="Arial" w:cs="Arial" w:eastAsia="Arial" w:hAnsi="Arial"/>
                <w:sz w:val="16"/>
                <w:szCs w:val="16"/>
                <w:color w:val="auto"/>
              </w:rPr>
            </w:pPr>
            <w:hyperlink w:anchor="page107">
              <w:r>
                <w:rPr>
                  <w:rFonts w:ascii="Arial" w:cs="Arial" w:eastAsia="Arial" w:hAnsi="Arial"/>
                  <w:sz w:val="16"/>
                  <w:szCs w:val="16"/>
                  <w:color w:val="auto"/>
                </w:rPr>
                <w:t>Annual Cash Incentives</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44"/>
        </w:trPr>
        <w:tc>
          <w:tcPr>
            <w:tcW w:w="4560" w:type="dxa"/>
            <w:vAlign w:val="bottom"/>
          </w:tcPr>
          <w:p>
            <w:pPr>
              <w:ind w:left="540"/>
              <w:spacing w:after="0"/>
              <w:rPr>
                <w:rFonts w:ascii="Arial" w:cs="Arial" w:eastAsia="Arial" w:hAnsi="Arial"/>
                <w:sz w:val="16"/>
                <w:szCs w:val="16"/>
                <w:b w:val="1"/>
                <w:bCs w:val="1"/>
                <w:color w:val="auto"/>
              </w:rPr>
            </w:pPr>
            <w:hyperlink w:anchor="page77">
              <w:r>
                <w:rPr>
                  <w:rFonts w:ascii="Arial" w:cs="Arial" w:eastAsia="Arial" w:hAnsi="Arial"/>
                  <w:sz w:val="16"/>
                  <w:szCs w:val="16"/>
                  <w:b w:val="1"/>
                  <w:bCs w:val="1"/>
                  <w:color w:val="auto"/>
                </w:rPr>
                <w:t>Components of Executive Pay:</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b w:val="1"/>
                <w:bCs w:val="1"/>
                <w:color w:val="auto"/>
              </w:rPr>
              <w:t>62</w:t>
            </w:r>
          </w:p>
        </w:tc>
        <w:tc>
          <w:tcPr>
            <w:tcW w:w="4660" w:type="dxa"/>
            <w:vAlign w:val="bottom"/>
          </w:tcPr>
          <w:p>
            <w:pPr>
              <w:ind w:left="400"/>
              <w:spacing w:after="0"/>
              <w:rPr>
                <w:rFonts w:ascii="Arial" w:cs="Arial" w:eastAsia="Arial" w:hAnsi="Arial"/>
                <w:sz w:val="16"/>
                <w:szCs w:val="16"/>
                <w:color w:val="auto"/>
              </w:rPr>
            </w:pPr>
            <w:hyperlink w:anchor="page108">
              <w:r>
                <w:rPr>
                  <w:rFonts w:ascii="Arial" w:cs="Arial" w:eastAsia="Arial" w:hAnsi="Arial"/>
                  <w:sz w:val="16"/>
                  <w:szCs w:val="16"/>
                  <w:color w:val="auto"/>
                </w:rPr>
                <w:t>Perquisites and Personal Benefits</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5"/>
        </w:trPr>
        <w:tc>
          <w:tcPr>
            <w:tcW w:w="4560" w:type="dxa"/>
            <w:vAlign w:val="bottom"/>
          </w:tcPr>
          <w:p>
            <w:pPr>
              <w:ind w:left="540"/>
              <w:spacing w:after="0"/>
              <w:rPr>
                <w:rFonts w:ascii="Arial" w:cs="Arial" w:eastAsia="Arial" w:hAnsi="Arial"/>
                <w:sz w:val="16"/>
                <w:szCs w:val="16"/>
                <w:b w:val="1"/>
                <w:bCs w:val="1"/>
                <w:color w:val="auto"/>
              </w:rPr>
            </w:pPr>
            <w:hyperlink w:anchor="page77">
              <w:r>
                <w:rPr>
                  <w:rFonts w:ascii="Arial" w:cs="Arial" w:eastAsia="Arial" w:hAnsi="Arial"/>
                  <w:sz w:val="16"/>
                  <w:szCs w:val="16"/>
                  <w:b w:val="1"/>
                  <w:bCs w:val="1"/>
                  <w:color w:val="auto"/>
                </w:rPr>
                <w:t>What We Pay and Why We Pay It</w:t>
              </w:r>
            </w:hyperlink>
          </w:p>
        </w:tc>
        <w:tc>
          <w:tcPr>
            <w:tcW w:w="1040" w:type="dxa"/>
            <w:vAlign w:val="bottom"/>
            <w:vMerge w:val="continue"/>
          </w:tcPr>
          <w:p>
            <w:pPr>
              <w:spacing w:after="0"/>
              <w:rPr>
                <w:sz w:val="18"/>
                <w:szCs w:val="18"/>
                <w:color w:val="auto"/>
              </w:rPr>
            </w:pPr>
          </w:p>
        </w:tc>
        <w:tc>
          <w:tcPr>
            <w:tcW w:w="4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60" w:type="dxa"/>
            <w:vAlign w:val="bottom"/>
            <w:vMerge w:val="restart"/>
          </w:tcPr>
          <w:p>
            <w:pPr>
              <w:ind w:left="720"/>
              <w:spacing w:after="0"/>
              <w:rPr>
                <w:rFonts w:ascii="Arial" w:cs="Arial" w:eastAsia="Arial" w:hAnsi="Arial"/>
                <w:sz w:val="16"/>
                <w:szCs w:val="16"/>
                <w:color w:val="auto"/>
              </w:rPr>
            </w:pPr>
            <w:hyperlink w:anchor="page78">
              <w:r>
                <w:rPr>
                  <w:rFonts w:ascii="Arial" w:cs="Arial" w:eastAsia="Arial" w:hAnsi="Arial"/>
                  <w:sz w:val="16"/>
                  <w:szCs w:val="16"/>
                  <w:color w:val="auto"/>
                </w:rPr>
                <w:t>Base Salaries</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63</w:t>
            </w:r>
          </w:p>
        </w:tc>
        <w:tc>
          <w:tcPr>
            <w:tcW w:w="4660" w:type="dxa"/>
            <w:vAlign w:val="bottom"/>
          </w:tcPr>
          <w:p>
            <w:pPr>
              <w:ind w:left="400"/>
              <w:spacing w:after="0"/>
              <w:rPr>
                <w:rFonts w:ascii="Arial" w:cs="Arial" w:eastAsia="Arial" w:hAnsi="Arial"/>
                <w:sz w:val="16"/>
                <w:szCs w:val="16"/>
                <w:color w:val="auto"/>
              </w:rPr>
            </w:pPr>
            <w:hyperlink w:anchor="page110">
              <w:r>
                <w:rPr>
                  <w:rFonts w:ascii="Arial" w:cs="Arial" w:eastAsia="Arial" w:hAnsi="Arial"/>
                  <w:sz w:val="16"/>
                  <w:szCs w:val="16"/>
                  <w:color w:val="auto"/>
                </w:rPr>
                <w:t>Potential Severance Payments</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62"/>
        </w:trPr>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60" w:type="dxa"/>
            <w:vAlign w:val="bottom"/>
            <w:vMerge w:val="restart"/>
          </w:tcPr>
          <w:p>
            <w:pPr>
              <w:ind w:left="720"/>
              <w:spacing w:after="0"/>
              <w:rPr>
                <w:rFonts w:ascii="Arial" w:cs="Arial" w:eastAsia="Arial" w:hAnsi="Arial"/>
                <w:sz w:val="16"/>
                <w:szCs w:val="16"/>
                <w:color w:val="auto"/>
              </w:rPr>
            </w:pPr>
            <w:hyperlink w:anchor="page78">
              <w:r>
                <w:rPr>
                  <w:rFonts w:ascii="Arial" w:cs="Arial" w:eastAsia="Arial" w:hAnsi="Arial"/>
                  <w:sz w:val="16"/>
                  <w:szCs w:val="16"/>
                  <w:color w:val="auto"/>
                </w:rPr>
                <w:t>Annual Cash Incentives</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63</w:t>
            </w:r>
          </w:p>
        </w:tc>
        <w:tc>
          <w:tcPr>
            <w:tcW w:w="4660" w:type="dxa"/>
            <w:vAlign w:val="bottom"/>
          </w:tcPr>
          <w:p>
            <w:pPr>
              <w:ind w:left="400"/>
              <w:spacing w:after="0"/>
              <w:rPr>
                <w:rFonts w:ascii="Arial" w:cs="Arial" w:eastAsia="Arial" w:hAnsi="Arial"/>
                <w:sz w:val="16"/>
                <w:szCs w:val="16"/>
                <w:color w:val="auto"/>
              </w:rPr>
            </w:pPr>
            <w:hyperlink w:anchor="page111">
              <w:r>
                <w:rPr>
                  <w:rFonts w:ascii="Arial" w:cs="Arial" w:eastAsia="Arial" w:hAnsi="Arial"/>
                  <w:sz w:val="16"/>
                  <w:szCs w:val="16"/>
                  <w:color w:val="auto"/>
                </w:rPr>
                <w:t>Pay Ratio</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62"/>
        </w:trPr>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60" w:type="dxa"/>
            <w:vAlign w:val="bottom"/>
            <w:vMerge w:val="restart"/>
          </w:tcPr>
          <w:p>
            <w:pPr>
              <w:ind w:left="720"/>
              <w:spacing w:after="0"/>
              <w:rPr>
                <w:rFonts w:ascii="Arial" w:cs="Arial" w:eastAsia="Arial" w:hAnsi="Arial"/>
                <w:sz w:val="16"/>
                <w:szCs w:val="16"/>
                <w:color w:val="auto"/>
              </w:rPr>
            </w:pPr>
            <w:hyperlink w:anchor="page84">
              <w:r>
                <w:rPr>
                  <w:rFonts w:ascii="Arial" w:cs="Arial" w:eastAsia="Arial" w:hAnsi="Arial"/>
                  <w:sz w:val="16"/>
                  <w:szCs w:val="16"/>
                  <w:color w:val="auto"/>
                </w:rPr>
                <w:t>Annual Equity Awards</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69</w:t>
            </w:r>
          </w:p>
        </w:tc>
        <w:tc>
          <w:tcPr>
            <w:tcW w:w="4660" w:type="dxa"/>
            <w:vAlign w:val="bottom"/>
          </w:tcPr>
          <w:p>
            <w:pPr>
              <w:ind w:left="220"/>
              <w:spacing w:after="0"/>
              <w:rPr>
                <w:rFonts w:ascii="Arial" w:cs="Arial" w:eastAsia="Arial" w:hAnsi="Arial"/>
                <w:sz w:val="16"/>
                <w:szCs w:val="16"/>
                <w:b w:val="1"/>
                <w:bCs w:val="1"/>
                <w:color w:val="auto"/>
              </w:rPr>
            </w:pPr>
            <w:hyperlink w:anchor="page112">
              <w:r>
                <w:rPr>
                  <w:rFonts w:ascii="Arial" w:cs="Arial" w:eastAsia="Arial" w:hAnsi="Arial"/>
                  <w:sz w:val="16"/>
                  <w:szCs w:val="16"/>
                  <w:b w:val="1"/>
                  <w:bCs w:val="1"/>
                  <w:color w:val="auto"/>
                </w:rPr>
                <w:t>Equity Compensation Information</w:t>
              </w:r>
            </w:hyperlink>
          </w:p>
        </w:tc>
        <w:tc>
          <w:tcPr>
            <w:tcW w:w="980" w:type="dxa"/>
            <w:vAlign w:val="bottom"/>
          </w:tcPr>
          <w:p>
            <w:pPr>
              <w:jc w:val="right"/>
              <w:ind w:right="475"/>
              <w:spacing w:after="0"/>
              <w:rPr>
                <w:sz w:val="20"/>
                <w:szCs w:val="20"/>
                <w:color w:val="auto"/>
              </w:rPr>
            </w:pPr>
            <w:r>
              <w:rPr>
                <w:rFonts w:ascii="Arial" w:cs="Arial" w:eastAsia="Arial" w:hAnsi="Arial"/>
                <w:sz w:val="16"/>
                <w:szCs w:val="16"/>
                <w:b w:val="1"/>
                <w:bCs w:val="1"/>
                <w:color w:val="auto"/>
              </w:rPr>
              <w:t>97</w:t>
            </w:r>
          </w:p>
        </w:tc>
        <w:tc>
          <w:tcPr>
            <w:tcW w:w="0" w:type="dxa"/>
            <w:vAlign w:val="bottom"/>
          </w:tcPr>
          <w:p>
            <w:pPr>
              <w:spacing w:after="0"/>
              <w:rPr>
                <w:sz w:val="1"/>
                <w:szCs w:val="1"/>
                <w:color w:val="auto"/>
              </w:rPr>
            </w:pPr>
          </w:p>
        </w:tc>
      </w:tr>
      <w:tr>
        <w:trPr>
          <w:trHeight w:val="162"/>
        </w:trPr>
        <w:tc>
          <w:tcPr>
            <w:tcW w:w="45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60" w:type="dxa"/>
            <w:vAlign w:val="bottom"/>
            <w:vMerge w:val="restart"/>
          </w:tcPr>
          <w:p>
            <w:pPr>
              <w:ind w:left="720"/>
              <w:spacing w:after="0"/>
              <w:rPr>
                <w:rFonts w:ascii="Arial" w:cs="Arial" w:eastAsia="Arial" w:hAnsi="Arial"/>
                <w:sz w:val="16"/>
                <w:szCs w:val="16"/>
                <w:color w:val="auto"/>
              </w:rPr>
            </w:pPr>
            <w:hyperlink w:anchor="page87">
              <w:r>
                <w:rPr>
                  <w:rFonts w:ascii="Arial" w:cs="Arial" w:eastAsia="Arial" w:hAnsi="Arial"/>
                  <w:sz w:val="16"/>
                  <w:szCs w:val="16"/>
                  <w:color w:val="auto"/>
                </w:rPr>
                <w:t>Perquisites and Personal Benefits</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72</w:t>
            </w:r>
          </w:p>
        </w:tc>
        <w:tc>
          <w:tcPr>
            <w:tcW w:w="4660" w:type="dxa"/>
            <w:vAlign w:val="bottom"/>
          </w:tcPr>
          <w:p>
            <w:pPr>
              <w:ind w:left="400"/>
              <w:spacing w:after="0"/>
              <w:rPr>
                <w:rFonts w:ascii="Arial" w:cs="Arial" w:eastAsia="Arial" w:hAnsi="Arial"/>
                <w:sz w:val="16"/>
                <w:szCs w:val="16"/>
                <w:color w:val="auto"/>
              </w:rPr>
            </w:pPr>
            <w:hyperlink w:anchor="page112">
              <w:r>
                <w:rPr>
                  <w:rFonts w:ascii="Arial" w:cs="Arial" w:eastAsia="Arial" w:hAnsi="Arial"/>
                  <w:sz w:val="16"/>
                  <w:szCs w:val="16"/>
                  <w:color w:val="auto"/>
                </w:rPr>
                <w:t>Corporate Governance Aspects of the Second Amended</w:t>
              </w:r>
            </w:hyperlink>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5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4660" w:type="dxa"/>
            <w:vAlign w:val="bottom"/>
          </w:tcPr>
          <w:p>
            <w:pPr>
              <w:ind w:left="400"/>
              <w:spacing w:after="0"/>
              <w:rPr>
                <w:rFonts w:ascii="Arial" w:cs="Arial" w:eastAsia="Arial" w:hAnsi="Arial"/>
                <w:sz w:val="16"/>
                <w:szCs w:val="16"/>
                <w:color w:val="auto"/>
              </w:rPr>
            </w:pPr>
            <w:hyperlink w:anchor="page112">
              <w:r>
                <w:rPr>
                  <w:rFonts w:ascii="Arial" w:cs="Arial" w:eastAsia="Arial" w:hAnsi="Arial"/>
                  <w:sz w:val="16"/>
                  <w:szCs w:val="16"/>
                  <w:color w:val="auto"/>
                </w:rPr>
                <w:t>and Restated Regeneron Pharmaceuticals, Inc. 2014</w:t>
              </w:r>
            </w:hyperlink>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60" w:type="dxa"/>
            <w:vAlign w:val="bottom"/>
            <w:vMerge w:val="restart"/>
          </w:tcPr>
          <w:p>
            <w:pPr>
              <w:ind w:left="720"/>
              <w:spacing w:after="0"/>
              <w:rPr>
                <w:rFonts w:ascii="Arial" w:cs="Arial" w:eastAsia="Arial" w:hAnsi="Arial"/>
                <w:sz w:val="16"/>
                <w:szCs w:val="16"/>
                <w:color w:val="auto"/>
              </w:rPr>
            </w:pPr>
            <w:hyperlink w:anchor="page87">
              <w:r>
                <w:rPr>
                  <w:rFonts w:ascii="Arial" w:cs="Arial" w:eastAsia="Arial" w:hAnsi="Arial"/>
                  <w:sz w:val="16"/>
                  <w:szCs w:val="16"/>
                  <w:color w:val="auto"/>
                </w:rPr>
                <w:t>Potential Severance Payments</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72</w:t>
            </w:r>
          </w:p>
        </w:tc>
        <w:tc>
          <w:tcPr>
            <w:tcW w:w="4660" w:type="dxa"/>
            <w:vAlign w:val="bottom"/>
          </w:tcPr>
          <w:p>
            <w:pPr>
              <w:ind w:left="400"/>
              <w:spacing w:after="0"/>
              <w:rPr>
                <w:rFonts w:ascii="Arial" w:cs="Arial" w:eastAsia="Arial" w:hAnsi="Arial"/>
                <w:sz w:val="16"/>
                <w:szCs w:val="16"/>
                <w:color w:val="auto"/>
              </w:rPr>
            </w:pPr>
            <w:hyperlink w:anchor="page112">
              <w:r>
                <w:rPr>
                  <w:rFonts w:ascii="Arial" w:cs="Arial" w:eastAsia="Arial" w:hAnsi="Arial"/>
                  <w:sz w:val="16"/>
                  <w:szCs w:val="16"/>
                  <w:color w:val="auto"/>
                </w:rPr>
                <w:t>Long-Term Incentive Plan</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5"/>
        </w:trPr>
        <w:tc>
          <w:tcPr>
            <w:tcW w:w="4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vMerge w:val="restart"/>
          </w:tcPr>
          <w:p>
            <w:pPr>
              <w:ind w:left="540"/>
              <w:spacing w:after="0"/>
              <w:rPr>
                <w:rFonts w:ascii="Arial" w:cs="Arial" w:eastAsia="Arial" w:hAnsi="Arial"/>
                <w:sz w:val="16"/>
                <w:szCs w:val="16"/>
                <w:b w:val="1"/>
                <w:bCs w:val="1"/>
                <w:color w:val="auto"/>
              </w:rPr>
            </w:pPr>
            <w:hyperlink w:anchor="page88">
              <w:r>
                <w:rPr>
                  <w:rFonts w:ascii="Arial" w:cs="Arial" w:eastAsia="Arial" w:hAnsi="Arial"/>
                  <w:sz w:val="16"/>
                  <w:szCs w:val="16"/>
                  <w:b w:val="1"/>
                  <w:bCs w:val="1"/>
                  <w:color w:val="auto"/>
                </w:rPr>
                <w:t>Compensation Processes</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b w:val="1"/>
                <w:bCs w:val="1"/>
                <w:color w:val="auto"/>
              </w:rPr>
              <w:t>73</w:t>
            </w:r>
          </w:p>
        </w:tc>
        <w:tc>
          <w:tcPr>
            <w:tcW w:w="4660" w:type="dxa"/>
            <w:vAlign w:val="bottom"/>
          </w:tcPr>
          <w:p>
            <w:pPr>
              <w:ind w:left="400"/>
              <w:spacing w:after="0"/>
              <w:rPr>
                <w:rFonts w:ascii="Arial" w:cs="Arial" w:eastAsia="Arial" w:hAnsi="Arial"/>
                <w:sz w:val="16"/>
                <w:szCs w:val="16"/>
                <w:color w:val="auto"/>
              </w:rPr>
            </w:pPr>
            <w:hyperlink w:anchor="page112">
              <w:r>
                <w:rPr>
                  <w:rFonts w:ascii="Arial" w:cs="Arial" w:eastAsia="Arial" w:hAnsi="Arial"/>
                  <w:sz w:val="16"/>
                  <w:szCs w:val="16"/>
                  <w:color w:val="auto"/>
                </w:rPr>
                <w:t>Key Equity Metrics</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176"/>
        </w:trPr>
        <w:tc>
          <w:tcPr>
            <w:tcW w:w="4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60" w:type="dxa"/>
            <w:vAlign w:val="bottom"/>
            <w:vMerge w:val="restart"/>
          </w:tcPr>
          <w:p>
            <w:pPr>
              <w:ind w:left="720"/>
              <w:spacing w:after="0"/>
              <w:rPr>
                <w:rFonts w:ascii="Arial" w:cs="Arial" w:eastAsia="Arial" w:hAnsi="Arial"/>
                <w:sz w:val="16"/>
                <w:szCs w:val="16"/>
                <w:color w:val="auto"/>
              </w:rPr>
            </w:pPr>
            <w:hyperlink w:anchor="page88">
              <w:r>
                <w:rPr>
                  <w:rFonts w:ascii="Arial" w:cs="Arial" w:eastAsia="Arial" w:hAnsi="Arial"/>
                  <w:sz w:val="16"/>
                  <w:szCs w:val="16"/>
                  <w:color w:val="auto"/>
                </w:rPr>
                <w:t>Compensation Committee</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73</w:t>
            </w:r>
          </w:p>
        </w:tc>
        <w:tc>
          <w:tcPr>
            <w:tcW w:w="4660" w:type="dxa"/>
            <w:vAlign w:val="bottom"/>
          </w:tcPr>
          <w:p>
            <w:pPr>
              <w:ind w:left="400"/>
              <w:spacing w:after="0"/>
              <w:rPr>
                <w:rFonts w:ascii="Arial" w:cs="Arial" w:eastAsia="Arial" w:hAnsi="Arial"/>
                <w:sz w:val="16"/>
                <w:szCs w:val="16"/>
                <w:color w:val="auto"/>
              </w:rPr>
            </w:pPr>
            <w:hyperlink w:anchor="page113">
              <w:r>
                <w:rPr>
                  <w:rFonts w:ascii="Arial" w:cs="Arial" w:eastAsia="Arial" w:hAnsi="Arial"/>
                  <w:sz w:val="16"/>
                  <w:szCs w:val="16"/>
                  <w:color w:val="auto"/>
                </w:rPr>
                <w:t>Equity Compensation Plan Information</w:t>
              </w:r>
            </w:hyperlink>
          </w:p>
        </w:tc>
        <w:tc>
          <w:tcPr>
            <w:tcW w:w="980" w:type="dxa"/>
            <w:vAlign w:val="bottom"/>
          </w:tcPr>
          <w:p>
            <w:pPr>
              <w:jc w:val="right"/>
              <w:ind w:right="475"/>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75"/>
        </w:trPr>
        <w:tc>
          <w:tcPr>
            <w:tcW w:w="456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660" w:type="dxa"/>
            <w:vAlign w:val="bottom"/>
            <w:vMerge w:val="restart"/>
          </w:tcPr>
          <w:p>
            <w:pPr>
              <w:ind w:left="220"/>
              <w:spacing w:after="0"/>
              <w:rPr>
                <w:rFonts w:ascii="Arial" w:cs="Arial" w:eastAsia="Arial" w:hAnsi="Arial"/>
                <w:sz w:val="20"/>
                <w:szCs w:val="20"/>
                <w:b w:val="1"/>
                <w:bCs w:val="1"/>
                <w:color w:val="215BA8"/>
              </w:rPr>
            </w:pPr>
            <w:hyperlink w:anchor="page114">
              <w:r>
                <w:rPr>
                  <w:rFonts w:ascii="Arial" w:cs="Arial" w:eastAsia="Arial" w:hAnsi="Arial"/>
                  <w:sz w:val="20"/>
                  <w:szCs w:val="20"/>
                  <w:b w:val="1"/>
                  <w:bCs w:val="1"/>
                  <w:color w:val="215BA8"/>
                </w:rPr>
                <w:t>PROPOSAL NO. 3: ADVISORY VOTE ON</w:t>
              </w:r>
            </w:hyperlink>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60" w:type="dxa"/>
            <w:vAlign w:val="bottom"/>
            <w:vMerge w:val="restart"/>
          </w:tcPr>
          <w:p>
            <w:pPr>
              <w:ind w:left="720"/>
              <w:spacing w:after="0"/>
              <w:rPr>
                <w:rFonts w:ascii="Arial" w:cs="Arial" w:eastAsia="Arial" w:hAnsi="Arial"/>
                <w:sz w:val="16"/>
                <w:szCs w:val="16"/>
                <w:color w:val="auto"/>
              </w:rPr>
            </w:pPr>
            <w:hyperlink w:anchor="page88">
              <w:r>
                <w:rPr>
                  <w:rFonts w:ascii="Arial" w:cs="Arial" w:eastAsia="Arial" w:hAnsi="Arial"/>
                  <w:sz w:val="16"/>
                  <w:szCs w:val="16"/>
                  <w:color w:val="auto"/>
                </w:rPr>
                <w:t>Management</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73</w:t>
            </w:r>
          </w:p>
        </w:tc>
        <w:tc>
          <w:tcPr>
            <w:tcW w:w="466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4660" w:type="dxa"/>
            <w:vAlign w:val="bottom"/>
          </w:tcPr>
          <w:p>
            <w:pPr>
              <w:ind w:left="220"/>
              <w:spacing w:after="0" w:line="216" w:lineRule="exact"/>
              <w:rPr>
                <w:rFonts w:ascii="Arial" w:cs="Arial" w:eastAsia="Arial" w:hAnsi="Arial"/>
                <w:sz w:val="20"/>
                <w:szCs w:val="20"/>
                <w:b w:val="1"/>
                <w:bCs w:val="1"/>
                <w:color w:val="215BA8"/>
              </w:rPr>
            </w:pPr>
            <w:hyperlink w:anchor="page114">
              <w:r>
                <w:rPr>
                  <w:rFonts w:ascii="Arial" w:cs="Arial" w:eastAsia="Arial" w:hAnsi="Arial"/>
                  <w:sz w:val="20"/>
                  <w:szCs w:val="20"/>
                  <w:b w:val="1"/>
                  <w:bCs w:val="1"/>
                  <w:color w:val="215BA8"/>
                </w:rPr>
                <w:t>COMPENSATION OF NAMED EXECUTIVE</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560" w:type="dxa"/>
            <w:vAlign w:val="bottom"/>
            <w:vMerge w:val="restart"/>
          </w:tcPr>
          <w:p>
            <w:pPr>
              <w:ind w:left="720"/>
              <w:spacing w:after="0"/>
              <w:rPr>
                <w:rFonts w:ascii="Arial" w:cs="Arial" w:eastAsia="Arial" w:hAnsi="Arial"/>
                <w:sz w:val="16"/>
                <w:szCs w:val="16"/>
                <w:color w:val="auto"/>
              </w:rPr>
            </w:pPr>
            <w:hyperlink w:anchor="page89">
              <w:r>
                <w:rPr>
                  <w:rFonts w:ascii="Arial" w:cs="Arial" w:eastAsia="Arial" w:hAnsi="Arial"/>
                  <w:sz w:val="16"/>
                  <w:szCs w:val="16"/>
                  <w:color w:val="auto"/>
                </w:rPr>
                <w:t>Shareholder Input and Outreach</w:t>
              </w:r>
            </w:hyperlink>
          </w:p>
        </w:tc>
        <w:tc>
          <w:tcPr>
            <w:tcW w:w="1040" w:type="dxa"/>
            <w:vAlign w:val="bottom"/>
            <w:vMerge w:val="restart"/>
          </w:tcPr>
          <w:p>
            <w:pPr>
              <w:jc w:val="right"/>
              <w:ind w:right="118"/>
              <w:spacing w:after="0"/>
              <w:rPr>
                <w:sz w:val="20"/>
                <w:szCs w:val="20"/>
                <w:color w:val="auto"/>
              </w:rPr>
            </w:pPr>
            <w:r>
              <w:rPr>
                <w:rFonts w:ascii="Arial" w:cs="Arial" w:eastAsia="Arial" w:hAnsi="Arial"/>
                <w:sz w:val="16"/>
                <w:szCs w:val="16"/>
                <w:color w:val="auto"/>
              </w:rPr>
              <w:t>74</w:t>
            </w:r>
          </w:p>
        </w:tc>
        <w:tc>
          <w:tcPr>
            <w:tcW w:w="4660" w:type="dxa"/>
            <w:vAlign w:val="bottom"/>
          </w:tcPr>
          <w:p>
            <w:pPr>
              <w:ind w:left="220"/>
              <w:spacing w:after="0"/>
              <w:rPr>
                <w:rFonts w:ascii="Arial" w:cs="Arial" w:eastAsia="Arial" w:hAnsi="Arial"/>
                <w:sz w:val="20"/>
                <w:szCs w:val="20"/>
                <w:b w:val="1"/>
                <w:bCs w:val="1"/>
                <w:color w:val="215BA8"/>
              </w:rPr>
            </w:pPr>
            <w:hyperlink w:anchor="page114">
              <w:r>
                <w:rPr>
                  <w:rFonts w:ascii="Arial" w:cs="Arial" w:eastAsia="Arial" w:hAnsi="Arial"/>
                  <w:sz w:val="20"/>
                  <w:szCs w:val="20"/>
                  <w:b w:val="1"/>
                  <w:bCs w:val="1"/>
                  <w:color w:val="215BA8"/>
                </w:rPr>
                <w:t>OFFICERS (SAY-ON-PAY)</w:t>
              </w:r>
            </w:hyperlink>
          </w:p>
        </w:tc>
        <w:tc>
          <w:tcPr>
            <w:tcW w:w="980" w:type="dxa"/>
            <w:vAlign w:val="bottom"/>
          </w:tcPr>
          <w:p>
            <w:pPr>
              <w:jc w:val="right"/>
              <w:ind w:right="475"/>
              <w:spacing w:after="0"/>
              <w:rPr>
                <w:sz w:val="20"/>
                <w:szCs w:val="20"/>
                <w:color w:val="auto"/>
              </w:rPr>
            </w:pPr>
            <w:r>
              <w:rPr>
                <w:rFonts w:ascii="Arial" w:cs="Arial" w:eastAsia="Arial" w:hAnsi="Arial"/>
                <w:sz w:val="20"/>
                <w:szCs w:val="20"/>
                <w:b w:val="1"/>
                <w:bCs w:val="1"/>
                <w:color w:val="215BA8"/>
              </w:rPr>
              <w:t>99</w:t>
            </w:r>
          </w:p>
        </w:tc>
        <w:tc>
          <w:tcPr>
            <w:tcW w:w="0" w:type="dxa"/>
            <w:vAlign w:val="bottom"/>
          </w:tcPr>
          <w:p>
            <w:pPr>
              <w:spacing w:after="0"/>
              <w:rPr>
                <w:sz w:val="1"/>
                <w:szCs w:val="1"/>
                <w:color w:val="auto"/>
              </w:rPr>
            </w:pPr>
          </w:p>
        </w:tc>
      </w:tr>
      <w:tr>
        <w:trPr>
          <w:trHeight w:val="98"/>
        </w:trPr>
        <w:tc>
          <w:tcPr>
            <w:tcW w:w="45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4560" w:type="dxa"/>
            <w:vAlign w:val="bottom"/>
          </w:tcPr>
          <w:p>
            <w:pPr>
              <w:ind w:left="720"/>
              <w:spacing w:after="0"/>
              <w:rPr>
                <w:rFonts w:ascii="Arial" w:cs="Arial" w:eastAsia="Arial" w:hAnsi="Arial"/>
                <w:sz w:val="16"/>
                <w:szCs w:val="16"/>
                <w:color w:val="auto"/>
              </w:rPr>
            </w:pPr>
            <w:hyperlink w:anchor="page92">
              <w:r>
                <w:rPr>
                  <w:rFonts w:ascii="Arial" w:cs="Arial" w:eastAsia="Arial" w:hAnsi="Arial"/>
                  <w:sz w:val="16"/>
                  <w:szCs w:val="16"/>
                  <w:color w:val="auto"/>
                </w:rPr>
                <w:t>Independent Compensation Consultant</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77</w:t>
            </w:r>
          </w:p>
        </w:tc>
        <w:tc>
          <w:tcPr>
            <w:tcW w:w="4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60" w:type="dxa"/>
            <w:vAlign w:val="bottom"/>
          </w:tcPr>
          <w:p>
            <w:pPr>
              <w:ind w:left="720"/>
              <w:spacing w:after="0"/>
              <w:rPr>
                <w:rFonts w:ascii="Arial" w:cs="Arial" w:eastAsia="Arial" w:hAnsi="Arial"/>
                <w:sz w:val="16"/>
                <w:szCs w:val="16"/>
                <w:color w:val="auto"/>
              </w:rPr>
            </w:pPr>
            <w:hyperlink w:anchor="page92">
              <w:r>
                <w:rPr>
                  <w:rFonts w:ascii="Arial" w:cs="Arial" w:eastAsia="Arial" w:hAnsi="Arial"/>
                  <w:sz w:val="16"/>
                  <w:szCs w:val="16"/>
                  <w:color w:val="auto"/>
                </w:rPr>
                <w:t>Peer Data</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77</w:t>
            </w:r>
          </w:p>
        </w:tc>
        <w:tc>
          <w:tcPr>
            <w:tcW w:w="4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60" w:type="dxa"/>
            <w:vAlign w:val="bottom"/>
          </w:tcPr>
          <w:p>
            <w:pPr>
              <w:ind w:left="720"/>
              <w:spacing w:after="0"/>
              <w:rPr>
                <w:rFonts w:ascii="Arial" w:cs="Arial" w:eastAsia="Arial" w:hAnsi="Arial"/>
                <w:sz w:val="16"/>
                <w:szCs w:val="16"/>
                <w:color w:val="auto"/>
              </w:rPr>
            </w:pPr>
            <w:hyperlink w:anchor="page94">
              <w:r>
                <w:rPr>
                  <w:rFonts w:ascii="Arial" w:cs="Arial" w:eastAsia="Arial" w:hAnsi="Arial"/>
                  <w:sz w:val="16"/>
                  <w:szCs w:val="16"/>
                  <w:color w:val="auto"/>
                </w:rPr>
                <w:t>Risk Assessment</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79</w:t>
            </w:r>
          </w:p>
        </w:tc>
        <w:tc>
          <w:tcPr>
            <w:tcW w:w="4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560" w:type="dxa"/>
            <w:vAlign w:val="bottom"/>
          </w:tcPr>
          <w:p>
            <w:pPr>
              <w:ind w:left="720"/>
              <w:spacing w:after="0"/>
              <w:rPr>
                <w:rFonts w:ascii="Arial" w:cs="Arial" w:eastAsia="Arial" w:hAnsi="Arial"/>
                <w:sz w:val="16"/>
                <w:szCs w:val="16"/>
                <w:color w:val="auto"/>
              </w:rPr>
            </w:pPr>
            <w:hyperlink w:anchor="page94">
              <w:r>
                <w:rPr>
                  <w:rFonts w:ascii="Arial" w:cs="Arial" w:eastAsia="Arial" w:hAnsi="Arial"/>
                  <w:sz w:val="16"/>
                  <w:szCs w:val="16"/>
                  <w:color w:val="auto"/>
                </w:rPr>
                <w:t>Tax Implications</w:t>
              </w:r>
            </w:hyperlink>
          </w:p>
        </w:tc>
        <w:tc>
          <w:tcPr>
            <w:tcW w:w="1040" w:type="dxa"/>
            <w:vAlign w:val="bottom"/>
          </w:tcPr>
          <w:p>
            <w:pPr>
              <w:jc w:val="right"/>
              <w:ind w:right="118"/>
              <w:spacing w:after="0"/>
              <w:rPr>
                <w:sz w:val="20"/>
                <w:szCs w:val="20"/>
                <w:color w:val="auto"/>
              </w:rPr>
            </w:pPr>
            <w:r>
              <w:rPr>
                <w:rFonts w:ascii="Arial" w:cs="Arial" w:eastAsia="Arial" w:hAnsi="Arial"/>
                <w:sz w:val="16"/>
                <w:szCs w:val="16"/>
                <w:color w:val="auto"/>
              </w:rPr>
              <w:t>79</w:t>
            </w:r>
          </w:p>
        </w:tc>
        <w:tc>
          <w:tcPr>
            <w:tcW w:w="4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560" w:type="dxa"/>
            <w:vAlign w:val="bottom"/>
          </w:tcPr>
          <w:p>
            <w:pPr>
              <w:spacing w:after="0"/>
              <w:rPr>
                <w:sz w:val="20"/>
                <w:szCs w:val="20"/>
                <w:color w:val="auto"/>
              </w:rPr>
            </w:pPr>
            <w:r>
              <w:rPr>
                <w:rFonts w:ascii="Arial" w:cs="Arial" w:eastAsia="Arial" w:hAnsi="Arial"/>
                <w:sz w:val="14"/>
                <w:szCs w:val="14"/>
                <w:b w:val="1"/>
                <w:bCs w:val="1"/>
                <w:color w:val="auto"/>
              </w:rPr>
              <w:t xml:space="preserve">50 </w:t>
            </w:r>
            <w:r>
              <w:rPr>
                <w:rFonts w:ascii="Arial" w:cs="Arial" w:eastAsia="Arial" w:hAnsi="Arial"/>
                <w:sz w:val="14"/>
                <w:szCs w:val="14"/>
                <w:b w:val="1"/>
                <w:bCs w:val="1"/>
                <w:color w:val="00ADEE"/>
              </w:rPr>
              <w:t>/</w:t>
            </w:r>
          </w:p>
        </w:tc>
        <w:tc>
          <w:tcPr>
            <w:tcW w:w="1040" w:type="dxa"/>
            <w:vAlign w:val="bottom"/>
          </w:tcPr>
          <w:p>
            <w:pPr>
              <w:spacing w:after="0"/>
              <w:rPr>
                <w:sz w:val="24"/>
                <w:szCs w:val="24"/>
                <w:color w:val="auto"/>
              </w:rPr>
            </w:pPr>
          </w:p>
        </w:tc>
        <w:tc>
          <w:tcPr>
            <w:tcW w:w="5640" w:type="dxa"/>
            <w:vAlign w:val="bottom"/>
            <w:gridSpan w:val="2"/>
          </w:tcPr>
          <w:p>
            <w:pPr>
              <w:ind w:left="220"/>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0" w:type="dxa"/>
            <w:vAlign w:val="bottom"/>
          </w:tcPr>
          <w:p>
            <w:pPr>
              <w:spacing w:after="0"/>
              <w:rPr>
                <w:sz w:val="1"/>
                <w:szCs w:val="1"/>
                <w:color w:val="auto"/>
              </w:rPr>
            </w:pPr>
          </w:p>
        </w:tc>
      </w:tr>
      <w:tr>
        <w:trPr>
          <w:trHeight w:val="262"/>
        </w:trPr>
        <w:tc>
          <w:tcPr>
            <w:tcW w:w="4560" w:type="dxa"/>
            <w:vAlign w:val="bottom"/>
            <w:tcBorders>
              <w:bottom w:val="single" w:sz="8" w:color="C0C0C0"/>
            </w:tcBorders>
          </w:tcPr>
          <w:p>
            <w:pPr>
              <w:spacing w:after="0"/>
              <w:rPr>
                <w:sz w:val="22"/>
                <w:szCs w:val="22"/>
                <w:color w:val="auto"/>
              </w:rPr>
            </w:pPr>
          </w:p>
        </w:tc>
        <w:tc>
          <w:tcPr>
            <w:tcW w:w="1040" w:type="dxa"/>
            <w:vAlign w:val="bottom"/>
            <w:tcBorders>
              <w:bottom w:val="single" w:sz="8" w:color="C0C0C0"/>
            </w:tcBorders>
          </w:tcPr>
          <w:p>
            <w:pPr>
              <w:spacing w:after="0"/>
              <w:rPr>
                <w:sz w:val="22"/>
                <w:szCs w:val="22"/>
                <w:color w:val="auto"/>
              </w:rPr>
            </w:pPr>
          </w:p>
        </w:tc>
        <w:tc>
          <w:tcPr>
            <w:tcW w:w="4660" w:type="dxa"/>
            <w:vAlign w:val="bottom"/>
            <w:tcBorders>
              <w:bottom w:val="single" w:sz="8" w:color="C0C0C0"/>
            </w:tcBorders>
          </w:tcPr>
          <w:p>
            <w:pPr>
              <w:spacing w:after="0"/>
              <w:rPr>
                <w:sz w:val="22"/>
                <w:szCs w:val="22"/>
                <w:color w:val="auto"/>
              </w:rPr>
            </w:pPr>
          </w:p>
        </w:tc>
        <w:tc>
          <w:tcPr>
            <w:tcW w:w="98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3" w:right="339" w:bottom="1440" w:gutter="0" w:footer="0" w:header="0"/>
        </w:sectPr>
      </w:pPr>
    </w:p>
    <w:bookmarkStart w:id="65" w:name="page66"/>
    <w:bookmarkEnd w:id="65"/>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2172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2172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47"/>
          <w:szCs w:val="47"/>
          <w:b w:val="1"/>
          <w:bCs w:val="1"/>
          <w:color w:val="215AA8"/>
        </w:rPr>
        <w:t>INTRODUCTION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right="560"/>
        <w:spacing w:after="0" w:line="220" w:lineRule="auto"/>
        <w:rPr>
          <w:sz w:val="20"/>
          <w:szCs w:val="20"/>
          <w:color w:val="auto"/>
        </w:rPr>
      </w:pPr>
      <w:r>
        <w:rPr>
          <w:rFonts w:ascii="Arial" w:cs="Arial" w:eastAsia="Arial" w:hAnsi="Arial"/>
          <w:sz w:val="16"/>
          <w:szCs w:val="16"/>
          <w:color w:val="auto"/>
        </w:rPr>
        <w:t>At the upcoming 2022 Annual Meeting, we seek your input on our approach to compensation for our “Named Executive Officers”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through the advisory vote commonly referred to as “say-on-pay” (Proposal No. 3). Earlier this year, after careful consideration of shareholder feedback received following the 2021 annual shareholder meeting, our board of directors voluntarily changed the frequency of our say-on-pay votes from every three years to every year, commencing at this 2022 Annual Meeting. In making this important change, the board recognized the significance of giving our shareholders the opportunity to formally weigh in on our compensation program every year. Going forward, the board and the Compensation Committee will have, on an annual basis, the benefit of receiving feedback on compensation matters both through the results of our say-on-pay votes and shareholder engagement. We believe this change will promote timely consideration of investor feedback and responsiveness to shareholder concerns.</w:t>
      </w:r>
    </w:p>
    <w:p>
      <w:pPr>
        <w:spacing w:after="0" w:line="155" w:lineRule="exact"/>
        <w:rPr>
          <w:sz w:val="20"/>
          <w:szCs w:val="20"/>
          <w:color w:val="auto"/>
        </w:rPr>
      </w:pPr>
    </w:p>
    <w:p>
      <w:pPr>
        <w:ind w:left="540" w:right="580"/>
        <w:spacing w:after="0" w:line="232" w:lineRule="auto"/>
        <w:rPr>
          <w:sz w:val="20"/>
          <w:szCs w:val="20"/>
          <w:color w:val="auto"/>
        </w:rPr>
      </w:pPr>
      <w:r>
        <w:rPr>
          <w:rFonts w:ascii="Arial" w:cs="Arial" w:eastAsia="Arial" w:hAnsi="Arial"/>
          <w:sz w:val="16"/>
          <w:szCs w:val="16"/>
          <w:color w:val="auto"/>
        </w:rPr>
        <w:t>As you read the Compensation Discussion and Analysis that follows and review this year’s say-on-pay proposal, we hope you consider our overall approach to compensation and the key factors that shape the program’s structure and design as it continues to evolve to meet Regeneron’s business needs. These factors include how closely we tie our pay practices to our mission, strategy, and business model; our ongoing, company-wide pay philosophy; and our process for seeking and carefully considering valuable shareholder feedback each year.</w:t>
      </w:r>
    </w:p>
    <w:p>
      <w:pPr>
        <w:spacing w:after="0" w:line="153" w:lineRule="exact"/>
        <w:rPr>
          <w:sz w:val="20"/>
          <w:szCs w:val="20"/>
          <w:color w:val="auto"/>
        </w:rPr>
      </w:pPr>
    </w:p>
    <w:p>
      <w:pPr>
        <w:ind w:left="540" w:right="840"/>
        <w:spacing w:after="0" w:line="234" w:lineRule="auto"/>
        <w:rPr>
          <w:sz w:val="20"/>
          <w:szCs w:val="20"/>
          <w:color w:val="auto"/>
        </w:rPr>
      </w:pPr>
      <w:r>
        <w:rPr>
          <w:rFonts w:ascii="Arial" w:cs="Arial" w:eastAsia="Arial" w:hAnsi="Arial"/>
          <w:sz w:val="16"/>
          <w:szCs w:val="16"/>
          <w:color w:val="auto"/>
        </w:rPr>
        <w:t>For additional information regarding the extensive, in-depth outreach conducted by our board and senior management team following the 2021 annual shareholder meeting and other recent actions taken in response to investor feedback, please refer to “Compensation Discussion and Analysis–Compensation Processes–Shareholder Input and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91440</wp:posOffset>
            </wp:positionV>
            <wp:extent cx="64465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36" w:lineRule="exact"/>
        <w:rPr>
          <w:sz w:val="20"/>
          <w:szCs w:val="20"/>
          <w:color w:val="auto"/>
        </w:rPr>
      </w:pPr>
    </w:p>
    <w:p>
      <w:pPr>
        <w:ind w:left="700" w:hanging="152"/>
        <w:spacing w:after="0"/>
        <w:tabs>
          <w:tab w:leader="none" w:pos="700" w:val="left"/>
        </w:tabs>
        <w:numPr>
          <w:ilvl w:val="0"/>
          <w:numId w:val="70"/>
        </w:numPr>
        <w:rPr>
          <w:rFonts w:ascii="Arial" w:cs="Arial" w:eastAsia="Arial" w:hAnsi="Arial"/>
          <w:sz w:val="14"/>
          <w:szCs w:val="14"/>
          <w:color w:val="215BA8"/>
        </w:rPr>
      </w:pPr>
      <w:r>
        <w:rPr>
          <w:rFonts w:ascii="Arial" w:cs="Arial" w:eastAsia="Arial" w:hAnsi="Arial"/>
          <w:sz w:val="14"/>
          <w:szCs w:val="14"/>
          <w:color w:val="1A1A1A"/>
        </w:rPr>
        <w:t>Our “Named Executive Officers” or “NEOs” are identified below under “Compensation Discussion and Analysis.”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51</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1440" w:right="339" w:bottom="1440" w:gutter="0" w:footer="0" w:header="0"/>
        </w:sectPr>
      </w:pPr>
    </w:p>
    <w:bookmarkStart w:id="66" w:name="page67"/>
    <w:bookmarkEnd w:id="66"/>
    <w:p>
      <w:pPr>
        <w:ind w:left="1400" w:right="3020"/>
        <w:spacing w:after="0" w:line="269" w:lineRule="auto"/>
        <w:rPr>
          <w:sz w:val="20"/>
          <w:szCs w:val="20"/>
          <w:color w:val="auto"/>
        </w:rPr>
      </w:pPr>
      <w:r>
        <w:rPr>
          <w:rFonts w:ascii="Arial" w:cs="Arial" w:eastAsia="Arial" w:hAnsi="Arial"/>
          <w:sz w:val="47"/>
          <w:szCs w:val="47"/>
          <w:b w:val="1"/>
          <w:bCs w:val="1"/>
          <w:color w:val="215AA8"/>
        </w:rPr>
        <w:drawing>
          <wp:anchor simplePos="0" relativeHeight="251657728" behindDoc="1" locked="0" layoutInCell="0" allowOverlap="1">
            <wp:simplePos x="0" y="0"/>
            <wp:positionH relativeFrom="page">
              <wp:posOffset>345440</wp:posOffset>
            </wp:positionH>
            <wp:positionV relativeFrom="page">
              <wp:posOffset>269240</wp:posOffset>
            </wp:positionV>
            <wp:extent cx="6858000" cy="11912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Compensation Discussion and Analysis (“CD&amp;A”) describes the philosophy, objectives, and structure of our 2021 executive</w:t>
      </w:r>
    </w:p>
    <w:p>
      <w:pPr>
        <w:ind w:left="540" w:right="680"/>
        <w:spacing w:after="0" w:line="204" w:lineRule="auto"/>
        <w:rPr>
          <w:sz w:val="20"/>
          <w:szCs w:val="20"/>
          <w:color w:val="auto"/>
        </w:rPr>
      </w:pPr>
      <w:r>
        <w:rPr>
          <w:rFonts w:ascii="Arial" w:cs="Arial" w:eastAsia="Arial" w:hAnsi="Arial"/>
          <w:sz w:val="15"/>
          <w:szCs w:val="15"/>
          <w:color w:val="auto"/>
        </w:rPr>
        <w:t>compensation program.</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This CD&amp;A is intended to be read in conjunction with the subsequent tables presented under “Compensation Dashboard–2021 Executive Compensation Tables,” which provide further historical compensation information for our “Named Executive Officers”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or “NEOs”.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48260</wp:posOffset>
            </wp:positionV>
            <wp:extent cx="6446520" cy="39693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46520" cy="396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20" w:hanging="172"/>
        <w:spacing w:after="0"/>
        <w:tabs>
          <w:tab w:leader="none" w:pos="720" w:val="left"/>
        </w:tabs>
        <w:numPr>
          <w:ilvl w:val="0"/>
          <w:numId w:val="71"/>
        </w:numPr>
        <w:rPr>
          <w:rFonts w:ascii="Arial" w:cs="Arial" w:eastAsia="Arial" w:hAnsi="Arial"/>
          <w:sz w:val="14"/>
          <w:szCs w:val="14"/>
          <w:color w:val="215BA8"/>
        </w:rPr>
      </w:pPr>
      <w:r>
        <w:rPr>
          <w:rFonts w:ascii="Arial" w:cs="Arial" w:eastAsia="Arial" w:hAnsi="Arial"/>
          <w:sz w:val="14"/>
          <w:szCs w:val="14"/>
          <w:color w:val="1A1A1A"/>
        </w:rPr>
        <w:t>In this section, “we,” “us,” and “our” refer to the Company and, where applicable, to the Compensation Committee of the Company’s board of directors.</w:t>
      </w:r>
    </w:p>
    <w:p>
      <w:pPr>
        <w:spacing w:after="0" w:line="82" w:lineRule="exact"/>
        <w:rPr>
          <w:sz w:val="20"/>
          <w:szCs w:val="20"/>
          <w:color w:val="auto"/>
        </w:rPr>
      </w:pPr>
    </w:p>
    <w:p>
      <w:pPr>
        <w:ind w:left="720" w:right="560" w:hanging="172"/>
        <w:spacing w:after="0" w:line="244" w:lineRule="auto"/>
        <w:tabs>
          <w:tab w:leader="none" w:pos="720" w:val="left"/>
        </w:tabs>
        <w:numPr>
          <w:ilvl w:val="0"/>
          <w:numId w:val="72"/>
        </w:numPr>
        <w:rPr>
          <w:rFonts w:ascii="Arial" w:cs="Arial" w:eastAsia="Arial" w:hAnsi="Arial"/>
          <w:sz w:val="14"/>
          <w:szCs w:val="14"/>
          <w:color w:val="215BA8"/>
        </w:rPr>
      </w:pPr>
      <w:r>
        <w:rPr>
          <w:rFonts w:ascii="Arial" w:cs="Arial" w:eastAsia="Arial" w:hAnsi="Arial"/>
          <w:sz w:val="14"/>
          <w:szCs w:val="14"/>
          <w:color w:val="1A1A1A"/>
        </w:rPr>
        <w:t>This year, our NEOs as determined in accordance with SEC rules consist of the following: our President and Chief Executive Officer (“CEO”); our Executive Vice President, Finance and Chief Financial Officer (“CFO”); and our three other highest-paid executives for 2021, our Executive Vice President and General Manager, Industrial Operations and Product Supply, our Executive Vice President, Research, and our Executive Vice President, General Counsel and Secretary. In addition, as in prior years, we have included our President and Chief Scientific Officer (“CSO”) as an NEO because of the importance of his role to Regeneron, his historical inclusion as an NEO in our proxy statements, and the fact that the annualized grant date fair market value of the five-year, front-loaded equity award granted to him in 2020 would have resulted in his qualifying as an NEO in respect of 2021.</w:t>
      </w:r>
    </w:p>
    <w:p>
      <w:pPr>
        <w:spacing w:after="0" w:line="17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52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67" w:name="page68"/>
    <w:bookmarkEnd w:id="67"/>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EXECUTIVE SUMMARY</w:t>
      </w:r>
    </w:p>
    <w:p>
      <w:pPr>
        <w:spacing w:after="0" w:line="225" w:lineRule="exact"/>
        <w:rPr>
          <w:sz w:val="20"/>
          <w:szCs w:val="20"/>
          <w:color w:val="auto"/>
        </w:rPr>
      </w:pPr>
    </w:p>
    <w:p>
      <w:pPr>
        <w:ind w:left="540" w:right="620"/>
        <w:spacing w:after="0" w:line="232" w:lineRule="auto"/>
        <w:rPr>
          <w:sz w:val="20"/>
          <w:szCs w:val="20"/>
          <w:color w:val="auto"/>
        </w:rPr>
      </w:pPr>
      <w:r>
        <w:rPr>
          <w:rFonts w:ascii="Arial" w:cs="Arial" w:eastAsia="Arial" w:hAnsi="Arial"/>
          <w:sz w:val="16"/>
          <w:szCs w:val="16"/>
          <w:color w:val="auto"/>
        </w:rPr>
        <w:t xml:space="preserve">Regeneron is a unique company at the forefront of medical science. We focus on long-term growth through internal innovation. Our compensation model and broad-based equity program reinforce our company culture and are designed to reward long-term, sustainable performance and to promote an environment where employees are empowered to focus on our mission and drug discovery and development. The use of equity awards for </w:t>
      </w:r>
      <w:r>
        <w:rPr>
          <w:rFonts w:ascii="Arial" w:cs="Arial" w:eastAsia="Arial" w:hAnsi="Arial"/>
          <w:sz w:val="16"/>
          <w:szCs w:val="16"/>
          <w:u w:val="single" w:color="auto"/>
          <w:color w:val="auto"/>
        </w:rPr>
        <w:t>all</w:t>
      </w:r>
      <w:r>
        <w:rPr>
          <w:rFonts w:ascii="Arial" w:cs="Arial" w:eastAsia="Arial" w:hAnsi="Arial"/>
          <w:sz w:val="16"/>
          <w:szCs w:val="16"/>
          <w:color w:val="auto"/>
        </w:rPr>
        <w:t xml:space="preserve"> employees aligns the interests of our workforce with the long time horizons for which we manage and creates a shared incentive to deliver the type of successful research and commercialization efforts that create sustainable value for shareholders.</w:t>
      </w:r>
    </w:p>
    <w:p>
      <w:pPr>
        <w:spacing w:after="0" w:line="164" w:lineRule="exact"/>
        <w:rPr>
          <w:sz w:val="20"/>
          <w:szCs w:val="20"/>
          <w:color w:val="auto"/>
        </w:rPr>
      </w:pPr>
    </w:p>
    <w:p>
      <w:pPr>
        <w:ind w:left="540" w:right="620"/>
        <w:spacing w:after="0" w:line="232" w:lineRule="auto"/>
        <w:rPr>
          <w:sz w:val="20"/>
          <w:szCs w:val="20"/>
          <w:color w:val="auto"/>
        </w:rPr>
      </w:pPr>
      <w:r>
        <w:rPr>
          <w:rFonts w:ascii="Arial" w:cs="Arial" w:eastAsia="Arial" w:hAnsi="Arial"/>
          <w:sz w:val="16"/>
          <w:szCs w:val="16"/>
          <w:color w:val="auto"/>
        </w:rPr>
        <w:t>Over the last 10 years, we have delivered significant, sustainable value to shareholders, as demonstrated by total shareholder return of 1,039% in that period, and brought to market several groundbreaking medicines that help patients through some of the most challenging moments in their lives. Over the same period, we have embraced a model of enhanced shareholder engagement. We value the insights of our shareholders, and we have worked to better understand how to strengthen the alignment of our executive compensation program with shareholder perspectives and interests without detracting from the unique and effective culture this program has helped create.</w:t>
      </w:r>
    </w:p>
    <w:p>
      <w:pPr>
        <w:spacing w:after="0" w:line="164" w:lineRule="exact"/>
        <w:rPr>
          <w:sz w:val="20"/>
          <w:szCs w:val="20"/>
          <w:color w:val="auto"/>
        </w:rPr>
      </w:pPr>
    </w:p>
    <w:p>
      <w:pPr>
        <w:ind w:left="540" w:right="600"/>
        <w:spacing w:after="0" w:line="232" w:lineRule="auto"/>
        <w:rPr>
          <w:sz w:val="20"/>
          <w:szCs w:val="20"/>
          <w:color w:val="auto"/>
        </w:rPr>
      </w:pPr>
      <w:r>
        <w:rPr>
          <w:rFonts w:ascii="Arial" w:cs="Arial" w:eastAsia="Arial" w:hAnsi="Arial"/>
          <w:sz w:val="16"/>
          <w:szCs w:val="16"/>
          <w:color w:val="auto"/>
        </w:rPr>
        <w:t>Our capital allocation strategy begins with investment in best-in-class R&amp;D capabilities, the most important of which are our people. Our compensation program includes some unique features, and we believe that the success of the program in meeting its objectives is in part attributable to these features. We believe equity-based compensation is a powerful tool to secure the services of true experts for the time it takes to do what was thought impossible only a decade ago, and our scientific record and industry-leading retention rate demonstrates the effectiveness of our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99695</wp:posOffset>
            </wp:positionV>
            <wp:extent cx="6446520" cy="3600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46520" cy="360045"/>
                    </a:xfrm>
                    <a:prstGeom prst="rect">
                      <a:avLst/>
                    </a:prstGeom>
                    <a:noFill/>
                  </pic:spPr>
                </pic:pic>
              </a:graphicData>
            </a:graphic>
          </wp:anchor>
        </w:drawing>
      </w:r>
    </w:p>
    <w:p>
      <w:pPr>
        <w:spacing w:after="0" w:line="195" w:lineRule="exact"/>
        <w:rPr>
          <w:sz w:val="20"/>
          <w:szCs w:val="20"/>
          <w:color w:val="auto"/>
        </w:rPr>
      </w:pPr>
    </w:p>
    <w:p>
      <w:pPr>
        <w:ind w:left="640" w:right="1260"/>
        <w:spacing w:after="0" w:line="271" w:lineRule="auto"/>
        <w:rPr>
          <w:sz w:val="20"/>
          <w:szCs w:val="20"/>
          <w:color w:val="auto"/>
        </w:rPr>
      </w:pPr>
      <w:r>
        <w:rPr>
          <w:rFonts w:ascii="Arial" w:cs="Arial" w:eastAsia="Arial" w:hAnsi="Arial"/>
          <w:sz w:val="18"/>
          <w:szCs w:val="18"/>
          <w:b w:val="1"/>
          <w:bCs w:val="1"/>
          <w:color w:val="FFFFFF"/>
        </w:rPr>
        <w:t>2021 Accomplishments–</w:t>
      </w:r>
      <w:r>
        <w:rPr>
          <w:rFonts w:ascii="Arial" w:cs="Arial" w:eastAsia="Arial" w:hAnsi="Arial"/>
          <w:sz w:val="18"/>
          <w:szCs w:val="18"/>
          <w:color w:val="FFFFFF"/>
        </w:rPr>
        <w:t>Driven by Company Culture and Supported by Unique Compensation Program Informed by</w:t>
      </w:r>
      <w:r>
        <w:rPr>
          <w:rFonts w:ascii="Arial" w:cs="Arial" w:eastAsia="Arial" w:hAnsi="Arial"/>
          <w:sz w:val="18"/>
          <w:szCs w:val="18"/>
          <w:b w:val="1"/>
          <w:bCs w:val="1"/>
          <w:color w:val="FFFFFF"/>
        </w:rPr>
        <w:t xml:space="preserve"> </w:t>
      </w:r>
      <w:r>
        <w:rPr>
          <w:rFonts w:ascii="Arial" w:cs="Arial" w:eastAsia="Arial" w:hAnsi="Arial"/>
          <w:sz w:val="18"/>
          <w:szCs w:val="18"/>
          <w:color w:val="FFFFFF"/>
        </w:rPr>
        <w:t>Shareholder Feedback</w:t>
      </w:r>
    </w:p>
    <w:p>
      <w:pPr>
        <w:spacing w:after="0" w:line="218" w:lineRule="exact"/>
        <w:rPr>
          <w:sz w:val="20"/>
          <w:szCs w:val="20"/>
          <w:color w:val="auto"/>
        </w:rPr>
      </w:pPr>
    </w:p>
    <w:p>
      <w:pPr>
        <w:ind w:left="720" w:hanging="172"/>
        <w:spacing w:after="0"/>
        <w:tabs>
          <w:tab w:leader="none" w:pos="720" w:val="left"/>
        </w:tabs>
        <w:numPr>
          <w:ilvl w:val="0"/>
          <w:numId w:val="73"/>
        </w:numPr>
        <w:rPr>
          <w:rFonts w:ascii="Arial" w:cs="Arial" w:eastAsia="Arial" w:hAnsi="Arial"/>
          <w:sz w:val="16"/>
          <w:szCs w:val="16"/>
          <w:b w:val="1"/>
          <w:bCs w:val="1"/>
          <w:color w:val="215BA8"/>
        </w:rPr>
      </w:pPr>
      <w:r>
        <w:rPr>
          <w:rFonts w:ascii="Arial" w:cs="Arial" w:eastAsia="Arial" w:hAnsi="Arial"/>
          <w:sz w:val="16"/>
          <w:szCs w:val="16"/>
          <w:b w:val="1"/>
          <w:bCs w:val="1"/>
          <w:color w:val="215BA8"/>
        </w:rPr>
        <w:t>Regeneron delivered strong performance across all key areas in 2021</w:t>
      </w:r>
      <w:r>
        <w:rPr>
          <w:rFonts w:ascii="Arial" w:cs="Arial" w:eastAsia="Arial" w:hAnsi="Arial"/>
          <w:sz w:val="26"/>
          <w:szCs w:val="26"/>
          <w:b w:val="1"/>
          <w:bCs w:val="1"/>
          <w:color w:val="215BA8"/>
          <w:vertAlign w:val="superscript"/>
        </w:rPr>
        <w:t>4</w:t>
      </w:r>
    </w:p>
    <w:p>
      <w:pPr>
        <w:spacing w:after="0" w:line="105" w:lineRule="exact"/>
        <w:rPr>
          <w:rFonts w:ascii="Arial" w:cs="Arial" w:eastAsia="Arial" w:hAnsi="Arial"/>
          <w:sz w:val="16"/>
          <w:szCs w:val="16"/>
          <w:b w:val="1"/>
          <w:bCs w:val="1"/>
          <w:color w:val="215BA8"/>
        </w:rPr>
      </w:pPr>
    </w:p>
    <w:p>
      <w:pPr>
        <w:ind w:left="1040" w:hanging="168"/>
        <w:spacing w:after="0"/>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Secured several regulatory approvals for new products or new indications for existing products, including:</w:t>
      </w:r>
    </w:p>
    <w:p>
      <w:pPr>
        <w:spacing w:after="0" w:line="180" w:lineRule="exact"/>
        <w:rPr>
          <w:rFonts w:ascii="Arial" w:cs="Arial" w:eastAsia="Arial" w:hAnsi="Arial"/>
          <w:sz w:val="16"/>
          <w:szCs w:val="16"/>
          <w:b w:val="1"/>
          <w:bCs w:val="1"/>
          <w:color w:val="215BA8"/>
        </w:rPr>
      </w:pPr>
    </w:p>
    <w:p>
      <w:pPr>
        <w:ind w:left="1220" w:right="900" w:hanging="176"/>
        <w:spacing w:after="0" w:line="188" w:lineRule="auto"/>
        <w:rPr>
          <w:rFonts w:ascii="Arial" w:cs="Arial" w:eastAsia="Arial" w:hAnsi="Arial"/>
          <w:sz w:val="16"/>
          <w:szCs w:val="16"/>
          <w:b w:val="1"/>
          <w:bCs w:val="1"/>
          <w:color w:val="215BA8"/>
        </w:rPr>
      </w:pPr>
      <w:r>
        <w:rPr>
          <w:rFonts w:ascii="Arial" w:cs="Arial" w:eastAsia="Arial" w:hAnsi="Arial"/>
          <w:sz w:val="31"/>
          <w:szCs w:val="31"/>
          <w:b w:val="1"/>
          <w:bCs w:val="1"/>
          <w:color w:val="215BA8"/>
          <w:vertAlign w:val="superscript"/>
        </w:rPr>
        <w:t>–</w:t>
      </w:r>
      <w:r>
        <w:rPr>
          <w:rFonts w:ascii="Arial" w:cs="Arial" w:eastAsia="Arial" w:hAnsi="Arial"/>
          <w:sz w:val="16"/>
          <w:szCs w:val="16"/>
          <w:color w:val="auto"/>
        </w:rPr>
        <w:t xml:space="preserve"> U.S. Food and Drug Administration (“FDA”) and European Commission (“EC”) approvals of first-in-class Evkeeza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(evinacumab) for patients with an ultra-rare form of high cholesterol</w:t>
      </w:r>
    </w:p>
    <w:p>
      <w:pPr>
        <w:spacing w:after="0" w:line="160" w:lineRule="exact"/>
        <w:rPr>
          <w:rFonts w:ascii="Arial" w:cs="Arial" w:eastAsia="Arial" w:hAnsi="Arial"/>
          <w:sz w:val="16"/>
          <w:szCs w:val="16"/>
          <w:b w:val="1"/>
          <w:bCs w:val="1"/>
          <w:color w:val="215BA8"/>
        </w:rPr>
      </w:pPr>
    </w:p>
    <w:p>
      <w:pPr>
        <w:ind w:left="1040"/>
        <w:spacing w:after="0"/>
        <w:rPr>
          <w:rFonts w:ascii="Arial" w:cs="Arial" w:eastAsia="Arial" w:hAnsi="Arial"/>
          <w:sz w:val="16"/>
          <w:szCs w:val="16"/>
          <w:b w:val="1"/>
          <w:bCs w:val="1"/>
          <w:color w:val="215BA8"/>
        </w:rPr>
      </w:pPr>
      <w:r>
        <w:rPr>
          <w:rFonts w:ascii="Arial" w:cs="Arial" w:eastAsia="Arial" w:hAnsi="Arial"/>
          <w:sz w:val="31"/>
          <w:szCs w:val="31"/>
          <w:color w:val="215BA8"/>
          <w:vertAlign w:val="superscript"/>
        </w:rPr>
        <w:t>–</w:t>
      </w:r>
      <w:r>
        <w:rPr>
          <w:rFonts w:ascii="Arial" w:cs="Arial" w:eastAsia="Arial" w:hAnsi="Arial"/>
          <w:sz w:val="16"/>
          <w:szCs w:val="16"/>
          <w:color w:val="auto"/>
        </w:rPr>
        <w:t xml:space="preserve"> FDA and EC approvals of Libtayo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(cemiplimab) in non-small cell lung cancer (“NSCLC”) and basal cell carcinoma (“BCC”)</w:t>
      </w:r>
    </w:p>
    <w:p>
      <w:pPr>
        <w:spacing w:after="0" w:line="47" w:lineRule="exact"/>
        <w:rPr>
          <w:rFonts w:ascii="Arial" w:cs="Arial" w:eastAsia="Arial" w:hAnsi="Arial"/>
          <w:sz w:val="16"/>
          <w:szCs w:val="16"/>
          <w:b w:val="1"/>
          <w:bCs w:val="1"/>
          <w:color w:val="215BA8"/>
        </w:rPr>
      </w:pPr>
    </w:p>
    <w:p>
      <w:pPr>
        <w:ind w:left="1040" w:hanging="168"/>
        <w:spacing w:after="0"/>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Advanced REGEN-COV</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(casirivimab and imdevimab) antibody cocktail to help in the fight against COVID-19</w:t>
      </w:r>
    </w:p>
    <w:p>
      <w:pPr>
        <w:spacing w:after="0" w:line="63" w:lineRule="exact"/>
        <w:rPr>
          <w:rFonts w:ascii="Arial" w:cs="Arial" w:eastAsia="Arial" w:hAnsi="Arial"/>
          <w:sz w:val="16"/>
          <w:szCs w:val="16"/>
          <w:b w:val="1"/>
          <w:bCs w:val="1"/>
          <w:color w:val="215BA8"/>
        </w:rPr>
      </w:pPr>
    </w:p>
    <w:p>
      <w:pPr>
        <w:ind w:left="1040"/>
        <w:spacing w:after="0"/>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 </w:t>
      </w:r>
      <w:r>
        <w:rPr>
          <w:rFonts w:ascii="Arial" w:cs="Arial" w:eastAsia="Arial" w:hAnsi="Arial"/>
          <w:sz w:val="16"/>
          <w:szCs w:val="16"/>
          <w:color w:val="000000"/>
        </w:rPr>
        <w:t>Delivered more than 3 million doses to patients around the world (together with our collaborator Roche)</w:t>
      </w:r>
    </w:p>
    <w:p>
      <w:pPr>
        <w:spacing w:after="0" w:line="183" w:lineRule="exact"/>
        <w:rPr>
          <w:rFonts w:ascii="Arial" w:cs="Arial" w:eastAsia="Arial" w:hAnsi="Arial"/>
          <w:sz w:val="16"/>
          <w:szCs w:val="16"/>
          <w:b w:val="1"/>
          <w:bCs w:val="1"/>
          <w:color w:val="215BA8"/>
        </w:rPr>
      </w:pPr>
    </w:p>
    <w:p>
      <w:pPr>
        <w:ind w:left="1040" w:hanging="168"/>
        <w:spacing w:after="0"/>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Marked the 10-year anniversary of the FDA’s approval of EYLEA</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(aflibercept) Injection in its first indication</w:t>
      </w:r>
    </w:p>
    <w:p>
      <w:pPr>
        <w:spacing w:after="0" w:line="75" w:lineRule="exact"/>
        <w:rPr>
          <w:rFonts w:ascii="Arial" w:cs="Arial" w:eastAsia="Arial" w:hAnsi="Arial"/>
          <w:sz w:val="16"/>
          <w:szCs w:val="16"/>
          <w:b w:val="1"/>
          <w:bCs w:val="1"/>
          <w:color w:val="215BA8"/>
        </w:rPr>
      </w:pPr>
    </w:p>
    <w:p>
      <w:pPr>
        <w:ind w:left="1040"/>
        <w:spacing w:after="0"/>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 </w:t>
      </w:r>
      <w:r>
        <w:rPr>
          <w:rFonts w:ascii="Arial" w:cs="Arial" w:eastAsia="Arial" w:hAnsi="Arial"/>
          <w:sz w:val="16"/>
          <w:szCs w:val="16"/>
          <w:color w:val="000000"/>
        </w:rPr>
        <w:t>More than 40 million injections administered to patients worldwide since launch</w:t>
      </w:r>
    </w:p>
    <w:p>
      <w:pPr>
        <w:spacing w:after="0" w:line="167" w:lineRule="exact"/>
        <w:rPr>
          <w:rFonts w:ascii="Arial" w:cs="Arial" w:eastAsia="Arial" w:hAnsi="Arial"/>
          <w:sz w:val="16"/>
          <w:szCs w:val="16"/>
          <w:b w:val="1"/>
          <w:bCs w:val="1"/>
          <w:color w:val="215BA8"/>
        </w:rPr>
      </w:pPr>
    </w:p>
    <w:p>
      <w:pPr>
        <w:ind w:left="1040"/>
        <w:spacing w:after="0"/>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 </w:t>
      </w:r>
      <w:r>
        <w:rPr>
          <w:rFonts w:ascii="Arial" w:cs="Arial" w:eastAsia="Arial" w:hAnsi="Arial"/>
          <w:sz w:val="16"/>
          <w:szCs w:val="16"/>
          <w:color w:val="000000"/>
        </w:rPr>
        <w:t>Delivered 19% year-over-year growth in global net product sales in 2021 (10th year on the market)</w:t>
      </w:r>
    </w:p>
    <w:p>
      <w:pPr>
        <w:spacing w:after="0" w:line="183" w:lineRule="exact"/>
        <w:rPr>
          <w:rFonts w:ascii="Arial" w:cs="Arial" w:eastAsia="Arial" w:hAnsi="Arial"/>
          <w:sz w:val="16"/>
          <w:szCs w:val="16"/>
          <w:b w:val="1"/>
          <w:bCs w:val="1"/>
          <w:color w:val="215BA8"/>
        </w:rPr>
      </w:pPr>
    </w:p>
    <w:p>
      <w:pPr>
        <w:ind w:left="1040" w:hanging="168"/>
        <w:spacing w:after="0"/>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Progressed Dupixent</w:t>
      </w:r>
      <w:r>
        <w:rPr>
          <w:rFonts w:ascii="Arial" w:cs="Arial" w:eastAsia="Arial" w:hAnsi="Arial"/>
          <w:sz w:val="26"/>
          <w:szCs w:val="26"/>
          <w:color w:val="auto"/>
          <w:vertAlign w:val="superscript"/>
        </w:rPr>
        <w:t>®</w:t>
      </w:r>
      <w:r>
        <w:rPr>
          <w:rFonts w:ascii="Arial" w:cs="Arial" w:eastAsia="Arial" w:hAnsi="Arial"/>
          <w:sz w:val="16"/>
          <w:szCs w:val="16"/>
          <w:b w:val="1"/>
          <w:bCs w:val="1"/>
          <w:color w:val="auto"/>
        </w:rPr>
        <w:t xml:space="preserve"> (dupilumab) clinical program and drove year-over-year growth of 53% in Dupixent global net product sales</w:t>
      </w:r>
    </w:p>
    <w:p>
      <w:pPr>
        <w:spacing w:after="0" w:line="75" w:lineRule="exact"/>
        <w:rPr>
          <w:rFonts w:ascii="Arial" w:cs="Arial" w:eastAsia="Arial" w:hAnsi="Arial"/>
          <w:sz w:val="16"/>
          <w:szCs w:val="16"/>
          <w:b w:val="1"/>
          <w:bCs w:val="1"/>
          <w:color w:val="215BA8"/>
        </w:rPr>
      </w:pPr>
    </w:p>
    <w:p>
      <w:pPr>
        <w:ind w:left="1040" w:right="800" w:hanging="168"/>
        <w:spacing w:after="0" w:line="259" w:lineRule="auto"/>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Delivered 2021 total shareholder return of 32%, outperforming the S&amp;P 500 Index, Nasdaq Biotechnology Index, and median of Peer Group</w:t>
      </w:r>
    </w:p>
    <w:p>
      <w:pPr>
        <w:spacing w:after="0" w:line="129" w:lineRule="exact"/>
        <w:rPr>
          <w:rFonts w:ascii="Arial" w:cs="Arial" w:eastAsia="Arial" w:hAnsi="Arial"/>
          <w:sz w:val="16"/>
          <w:szCs w:val="16"/>
          <w:b w:val="1"/>
          <w:bCs w:val="1"/>
          <w:color w:val="215BA8"/>
        </w:rPr>
      </w:pPr>
    </w:p>
    <w:p>
      <w:pPr>
        <w:ind w:left="1040" w:right="1240" w:hanging="168"/>
        <w:spacing w:after="0" w:line="259" w:lineRule="auto"/>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Realized 89% top-line growth and 136% bottom-line growth while investing $2.9 billion in R&amp;D and $552 million in capital expenditures</w:t>
      </w:r>
    </w:p>
    <w:p>
      <w:pPr>
        <w:spacing w:after="0" w:line="130" w:lineRule="exact"/>
        <w:rPr>
          <w:rFonts w:ascii="Arial" w:cs="Arial" w:eastAsia="Arial" w:hAnsi="Arial"/>
          <w:sz w:val="16"/>
          <w:szCs w:val="16"/>
          <w:b w:val="1"/>
          <w:bCs w:val="1"/>
          <w:color w:val="215BA8"/>
        </w:rPr>
      </w:pPr>
    </w:p>
    <w:p>
      <w:pPr>
        <w:ind w:left="1040" w:hanging="168"/>
        <w:spacing w:after="0"/>
        <w:tabs>
          <w:tab w:leader="none" w:pos="1040" w:val="left"/>
        </w:tabs>
        <w:numPr>
          <w:ilvl w:val="1"/>
          <w:numId w:val="73"/>
        </w:numPr>
        <w:rPr>
          <w:rFonts w:ascii="Arial" w:cs="Arial" w:eastAsia="Arial" w:hAnsi="Arial"/>
          <w:sz w:val="16"/>
          <w:szCs w:val="16"/>
          <w:b w:val="1"/>
          <w:bCs w:val="1"/>
          <w:color w:val="215BA8"/>
        </w:rPr>
      </w:pPr>
      <w:r>
        <w:rPr>
          <w:rFonts w:ascii="Arial" w:cs="Arial" w:eastAsia="Arial" w:hAnsi="Arial"/>
          <w:sz w:val="16"/>
          <w:szCs w:val="16"/>
          <w:b w:val="1"/>
          <w:bCs w:val="1"/>
          <w:color w:val="auto"/>
        </w:rPr>
        <w:t>Repurchased $1.7 billion of common stock and allocated an additional $3.0 billion for future repurchases</w:t>
      </w:r>
      <w:r>
        <w:rPr>
          <w:rFonts w:ascii="Arial" w:cs="Arial" w:eastAsia="Arial" w:hAnsi="Arial"/>
          <w:sz w:val="26"/>
          <w:szCs w:val="26"/>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58420</wp:posOffset>
            </wp:positionV>
            <wp:extent cx="64465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71" w:lineRule="exact"/>
        <w:rPr>
          <w:sz w:val="20"/>
          <w:szCs w:val="20"/>
          <w:color w:val="auto"/>
        </w:rPr>
      </w:pPr>
    </w:p>
    <w:p>
      <w:pPr>
        <w:ind w:left="720" w:hanging="172"/>
        <w:spacing w:after="0"/>
        <w:tabs>
          <w:tab w:leader="none" w:pos="720" w:val="left"/>
        </w:tabs>
        <w:numPr>
          <w:ilvl w:val="0"/>
          <w:numId w:val="74"/>
        </w:numPr>
        <w:rPr>
          <w:rFonts w:ascii="Arial" w:cs="Arial" w:eastAsia="Arial" w:hAnsi="Arial"/>
          <w:sz w:val="14"/>
          <w:szCs w:val="14"/>
          <w:color w:val="215AA8"/>
        </w:rPr>
      </w:pPr>
      <w:r>
        <w:rPr>
          <w:rFonts w:ascii="Arial" w:cs="Arial" w:eastAsia="Arial" w:hAnsi="Arial"/>
          <w:sz w:val="14"/>
          <w:szCs w:val="14"/>
          <w:color w:val="1A1A1A"/>
        </w:rPr>
        <w:t>See “Compensation Program Overview–2021 Business Highlights” for more information.</w:t>
      </w:r>
    </w:p>
    <w:p>
      <w:pPr>
        <w:spacing w:after="0" w:line="1" w:lineRule="exact"/>
        <w:rPr>
          <w:sz w:val="20"/>
          <w:szCs w:val="20"/>
          <w:color w:val="auto"/>
        </w:rPr>
      </w:pPr>
    </w:p>
    <w:p>
      <w:pPr>
        <w:ind w:left="720" w:hanging="172"/>
        <w:spacing w:after="0"/>
        <w:tabs>
          <w:tab w:leader="none" w:pos="720" w:val="left"/>
        </w:tabs>
        <w:numPr>
          <w:ilvl w:val="0"/>
          <w:numId w:val="75"/>
        </w:numPr>
        <w:rPr>
          <w:rFonts w:ascii="Arial" w:cs="Arial" w:eastAsia="Arial" w:hAnsi="Arial"/>
          <w:sz w:val="14"/>
          <w:szCs w:val="14"/>
          <w:color w:val="215AA8"/>
        </w:rPr>
      </w:pPr>
      <w:r>
        <w:rPr>
          <w:rFonts w:ascii="Arial" w:cs="Arial" w:eastAsia="Arial" w:hAnsi="Arial"/>
          <w:sz w:val="14"/>
          <w:szCs w:val="14"/>
          <w:color w:val="1A1A1A"/>
        </w:rPr>
        <w:t>Of the $3.0 billion authorized for future repurchases, $2.8 billion remained available as of December 31,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53</w:t>
            </w:r>
          </w:p>
        </w:tc>
      </w:tr>
      <w:tr>
        <w:trPr>
          <w:trHeight w:val="194"/>
        </w:trPr>
        <w:tc>
          <w:tcPr>
            <w:tcW w:w="8200" w:type="dxa"/>
            <w:vAlign w:val="bottom"/>
            <w:tcBorders>
              <w:bottom w:val="single" w:sz="8" w:color="C0C0C0"/>
            </w:tcBorders>
          </w:tcPr>
          <w:p>
            <w:pPr>
              <w:spacing w:after="0"/>
              <w:rPr>
                <w:sz w:val="16"/>
                <w:szCs w:val="16"/>
                <w:color w:val="auto"/>
              </w:rPr>
            </w:pPr>
          </w:p>
        </w:tc>
        <w:tc>
          <w:tcPr>
            <w:tcW w:w="3040" w:type="dxa"/>
            <w:vAlign w:val="bottom"/>
            <w:tcBorders>
              <w:bottom w:val="single" w:sz="8" w:color="C0C0C0"/>
            </w:tcBorders>
          </w:tcPr>
          <w:p>
            <w:pPr>
              <w:spacing w:after="0"/>
              <w:rPr>
                <w:sz w:val="16"/>
                <w:szCs w:val="16"/>
                <w:color w:val="auto"/>
              </w:rPr>
            </w:pPr>
          </w:p>
        </w:tc>
      </w:tr>
    </w:tbl>
    <w:p>
      <w:pPr>
        <w:sectPr>
          <w:pgSz w:w="11900" w:h="16838" w:orient="portrait"/>
          <w:cols w:equalWidth="0" w:num="1">
            <w:col w:w="11240"/>
          </w:cols>
          <w:pgMar w:left="320" w:top="572" w:right="339" w:bottom="1440" w:gutter="0" w:footer="0" w:header="0"/>
        </w:sectPr>
      </w:pPr>
    </w:p>
    <w:bookmarkStart w:id="68" w:name="page69"/>
    <w:bookmarkEnd w:id="68"/>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720" w:right="840" w:hanging="172"/>
        <w:spacing w:after="0" w:line="259" w:lineRule="auto"/>
        <w:tabs>
          <w:tab w:leader="none" w:pos="720" w:val="left"/>
        </w:tabs>
        <w:numPr>
          <w:ilvl w:val="0"/>
          <w:numId w:val="76"/>
        </w:numPr>
        <w:rPr>
          <w:rFonts w:ascii="Arial" w:cs="Arial" w:eastAsia="Arial" w:hAnsi="Arial"/>
          <w:sz w:val="16"/>
          <w:szCs w:val="16"/>
          <w:b w:val="1"/>
          <w:bCs w:val="1"/>
          <w:color w:val="215BA8"/>
        </w:rPr>
      </w:pPr>
      <w:r>
        <w:rPr>
          <w:rFonts w:ascii="Arial" w:cs="Arial" w:eastAsia="Arial" w:hAnsi="Arial"/>
          <w:sz w:val="16"/>
          <w:szCs w:val="16"/>
          <w:b w:val="1"/>
          <w:bCs w:val="1"/>
          <w:color w:val="215BA8"/>
        </w:rPr>
        <w:t>Successes in 2021 were supported by Regeneron’s well-defined culture, which is inextricably linked to the compensation program designed to further it</w:t>
      </w:r>
    </w:p>
    <w:p>
      <w:pPr>
        <w:spacing w:after="0" w:line="129" w:lineRule="exact"/>
        <w:rPr>
          <w:rFonts w:ascii="Arial" w:cs="Arial" w:eastAsia="Arial" w:hAnsi="Arial"/>
          <w:sz w:val="16"/>
          <w:szCs w:val="16"/>
          <w:b w:val="1"/>
          <w:bCs w:val="1"/>
          <w:color w:val="215BA8"/>
        </w:rPr>
      </w:pPr>
    </w:p>
    <w:p>
      <w:pPr>
        <w:ind w:left="1040" w:right="660" w:hanging="168"/>
        <w:spacing w:after="0" w:line="259" w:lineRule="auto"/>
        <w:tabs>
          <w:tab w:leader="none" w:pos="1040" w:val="left"/>
        </w:tabs>
        <w:numPr>
          <w:ilvl w:val="1"/>
          <w:numId w:val="76"/>
        </w:numPr>
        <w:rPr>
          <w:rFonts w:ascii="Arial" w:cs="Arial" w:eastAsia="Arial" w:hAnsi="Arial"/>
          <w:sz w:val="16"/>
          <w:szCs w:val="16"/>
          <w:b w:val="1"/>
          <w:bCs w:val="1"/>
          <w:color w:val="215BA8"/>
        </w:rPr>
      </w:pPr>
      <w:r>
        <w:rPr>
          <w:rFonts w:ascii="Arial" w:cs="Arial" w:eastAsia="Arial" w:hAnsi="Arial"/>
          <w:sz w:val="16"/>
          <w:szCs w:val="16"/>
          <w:b w:val="1"/>
          <w:bCs w:val="1"/>
          <w:color w:val="auto"/>
        </w:rPr>
        <w:t>Longer vesting and deferral periods for equity awards relative to many peers, which help drive turnover rate of less than half the industry average</w:t>
      </w:r>
    </w:p>
    <w:p>
      <w:pPr>
        <w:spacing w:after="0" w:line="129" w:lineRule="exact"/>
        <w:rPr>
          <w:rFonts w:ascii="Arial" w:cs="Arial" w:eastAsia="Arial" w:hAnsi="Arial"/>
          <w:sz w:val="16"/>
          <w:szCs w:val="16"/>
          <w:b w:val="1"/>
          <w:bCs w:val="1"/>
          <w:color w:val="215BA8"/>
        </w:rPr>
      </w:pPr>
    </w:p>
    <w:p>
      <w:pPr>
        <w:ind w:left="1040" w:right="1100" w:hanging="168"/>
        <w:spacing w:after="0" w:line="259" w:lineRule="auto"/>
        <w:tabs>
          <w:tab w:leader="none" w:pos="1040" w:val="left"/>
        </w:tabs>
        <w:numPr>
          <w:ilvl w:val="1"/>
          <w:numId w:val="76"/>
        </w:numPr>
        <w:rPr>
          <w:rFonts w:ascii="Arial" w:cs="Arial" w:eastAsia="Arial" w:hAnsi="Arial"/>
          <w:sz w:val="16"/>
          <w:szCs w:val="16"/>
          <w:b w:val="1"/>
          <w:bCs w:val="1"/>
          <w:color w:val="215BA8"/>
        </w:rPr>
      </w:pPr>
      <w:r>
        <w:rPr>
          <w:rFonts w:ascii="Arial" w:cs="Arial" w:eastAsia="Arial" w:hAnsi="Arial"/>
          <w:sz w:val="16"/>
          <w:szCs w:val="16"/>
          <w:b w:val="1"/>
          <w:bCs w:val="1"/>
          <w:color w:val="auto"/>
        </w:rPr>
        <w:t>New-hire and/or annual equity awards granted to all employees, which creates alignment throughout the organization with shareholders and long-term Company vision</w:t>
      </w:r>
    </w:p>
    <w:p>
      <w:pPr>
        <w:spacing w:after="0" w:line="129" w:lineRule="exact"/>
        <w:rPr>
          <w:rFonts w:ascii="Arial" w:cs="Arial" w:eastAsia="Arial" w:hAnsi="Arial"/>
          <w:sz w:val="16"/>
          <w:szCs w:val="16"/>
          <w:b w:val="1"/>
          <w:bCs w:val="1"/>
          <w:color w:val="215BA8"/>
        </w:rPr>
      </w:pPr>
    </w:p>
    <w:p>
      <w:pPr>
        <w:ind w:left="1040" w:right="1040" w:hanging="168"/>
        <w:spacing w:after="0" w:line="259" w:lineRule="auto"/>
        <w:tabs>
          <w:tab w:leader="none" w:pos="1040" w:val="left"/>
        </w:tabs>
        <w:numPr>
          <w:ilvl w:val="1"/>
          <w:numId w:val="76"/>
        </w:numPr>
        <w:rPr>
          <w:rFonts w:ascii="Arial" w:cs="Arial" w:eastAsia="Arial" w:hAnsi="Arial"/>
          <w:sz w:val="16"/>
          <w:szCs w:val="16"/>
          <w:b w:val="1"/>
          <w:bCs w:val="1"/>
          <w:color w:val="215BA8"/>
        </w:rPr>
      </w:pPr>
      <w:r>
        <w:rPr>
          <w:rFonts w:ascii="Arial" w:cs="Arial" w:eastAsia="Arial" w:hAnsi="Arial"/>
          <w:sz w:val="16"/>
          <w:szCs w:val="16"/>
          <w:b w:val="1"/>
          <w:bCs w:val="1"/>
          <w:color w:val="auto"/>
        </w:rPr>
        <w:t>Unwavering focus on sustainable performance through a commitment to “Doing Well by Doing Good”, reflected in external recognitions as a responsible organization</w:t>
      </w:r>
    </w:p>
    <w:p>
      <w:pPr>
        <w:spacing w:after="0" w:line="129" w:lineRule="exact"/>
        <w:rPr>
          <w:sz w:val="20"/>
          <w:szCs w:val="20"/>
          <w:color w:val="auto"/>
        </w:rPr>
      </w:pPr>
    </w:p>
    <w:p>
      <w:pPr>
        <w:ind w:left="720" w:hanging="172"/>
        <w:spacing w:after="0"/>
        <w:tabs>
          <w:tab w:leader="none" w:pos="720" w:val="left"/>
        </w:tabs>
        <w:numPr>
          <w:ilvl w:val="0"/>
          <w:numId w:val="77"/>
        </w:numPr>
        <w:rPr>
          <w:rFonts w:ascii="Arial" w:cs="Arial" w:eastAsia="Arial" w:hAnsi="Arial"/>
          <w:sz w:val="16"/>
          <w:szCs w:val="16"/>
          <w:b w:val="1"/>
          <w:bCs w:val="1"/>
          <w:color w:val="215BA8"/>
        </w:rPr>
      </w:pPr>
      <w:r>
        <w:rPr>
          <w:rFonts w:ascii="Arial" w:cs="Arial" w:eastAsia="Arial" w:hAnsi="Arial"/>
          <w:sz w:val="16"/>
          <w:szCs w:val="16"/>
          <w:b w:val="1"/>
          <w:bCs w:val="1"/>
          <w:color w:val="215BA8"/>
        </w:rPr>
        <w:t>Regeneron’s board and management carefully listened to shareholders and reflected their feedback in recent decisions</w:t>
      </w:r>
    </w:p>
    <w:p>
      <w:pPr>
        <w:spacing w:after="0" w:line="167" w:lineRule="exact"/>
        <w:rPr>
          <w:rFonts w:ascii="Arial" w:cs="Arial" w:eastAsia="Arial" w:hAnsi="Arial"/>
          <w:sz w:val="16"/>
          <w:szCs w:val="16"/>
          <w:b w:val="1"/>
          <w:bCs w:val="1"/>
          <w:color w:val="215BA8"/>
        </w:rPr>
      </w:pPr>
    </w:p>
    <w:p>
      <w:pPr>
        <w:ind w:left="1040" w:right="660" w:hanging="168"/>
        <w:spacing w:after="0" w:line="259" w:lineRule="auto"/>
        <w:tabs>
          <w:tab w:leader="none" w:pos="1040" w:val="left"/>
        </w:tabs>
        <w:numPr>
          <w:ilvl w:val="1"/>
          <w:numId w:val="77"/>
        </w:numPr>
        <w:rPr>
          <w:rFonts w:ascii="Arial" w:cs="Arial" w:eastAsia="Arial" w:hAnsi="Arial"/>
          <w:sz w:val="16"/>
          <w:szCs w:val="16"/>
          <w:b w:val="1"/>
          <w:bCs w:val="1"/>
          <w:color w:val="215BA8"/>
        </w:rPr>
      </w:pPr>
      <w:r>
        <w:rPr>
          <w:rFonts w:ascii="Arial" w:cs="Arial" w:eastAsia="Arial" w:hAnsi="Arial"/>
          <w:sz w:val="16"/>
          <w:szCs w:val="16"/>
          <w:b w:val="1"/>
          <w:bCs w:val="1"/>
          <w:color w:val="auto"/>
        </w:rPr>
        <w:t>Changed the frequency of our say-on-pay votes from every three years to every year, commencing at the upcoming 2022 Annual Meeting</w:t>
      </w:r>
    </w:p>
    <w:p>
      <w:pPr>
        <w:spacing w:after="0" w:line="129" w:lineRule="exact"/>
        <w:rPr>
          <w:rFonts w:ascii="Arial" w:cs="Arial" w:eastAsia="Arial" w:hAnsi="Arial"/>
          <w:sz w:val="16"/>
          <w:szCs w:val="16"/>
          <w:b w:val="1"/>
          <w:bCs w:val="1"/>
          <w:color w:val="215BA8"/>
        </w:rPr>
      </w:pPr>
    </w:p>
    <w:p>
      <w:pPr>
        <w:ind w:left="1040" w:right="560" w:hanging="168"/>
        <w:spacing w:after="0" w:line="259" w:lineRule="auto"/>
        <w:tabs>
          <w:tab w:leader="none" w:pos="1040" w:val="left"/>
        </w:tabs>
        <w:numPr>
          <w:ilvl w:val="1"/>
          <w:numId w:val="77"/>
        </w:numPr>
        <w:rPr>
          <w:rFonts w:ascii="Arial" w:cs="Arial" w:eastAsia="Arial" w:hAnsi="Arial"/>
          <w:sz w:val="16"/>
          <w:szCs w:val="16"/>
          <w:b w:val="1"/>
          <w:bCs w:val="1"/>
          <w:color w:val="215BA8"/>
        </w:rPr>
      </w:pPr>
      <w:r>
        <w:rPr>
          <w:rFonts w:ascii="Arial" w:cs="Arial" w:eastAsia="Arial" w:hAnsi="Arial"/>
          <w:sz w:val="16"/>
          <w:szCs w:val="16"/>
          <w:b w:val="1"/>
          <w:bCs w:val="1"/>
          <w:color w:val="auto"/>
        </w:rPr>
        <w:t>Continued to calibrate the size and mix of equity awards to NEOs and broad-based employees in line with shareholder preference for a balanced program</w:t>
      </w:r>
    </w:p>
    <w:p>
      <w:pPr>
        <w:spacing w:after="0" w:line="129" w:lineRule="exact"/>
        <w:rPr>
          <w:rFonts w:ascii="Arial" w:cs="Arial" w:eastAsia="Arial" w:hAnsi="Arial"/>
          <w:sz w:val="16"/>
          <w:szCs w:val="16"/>
          <w:b w:val="1"/>
          <w:bCs w:val="1"/>
          <w:color w:val="215BA8"/>
        </w:rPr>
      </w:pPr>
    </w:p>
    <w:p>
      <w:pPr>
        <w:ind w:left="1040" w:right="800" w:hanging="168"/>
        <w:spacing w:after="0" w:line="259" w:lineRule="auto"/>
        <w:tabs>
          <w:tab w:leader="none" w:pos="1040" w:val="left"/>
        </w:tabs>
        <w:numPr>
          <w:ilvl w:val="1"/>
          <w:numId w:val="77"/>
        </w:numPr>
        <w:rPr>
          <w:rFonts w:ascii="Arial" w:cs="Arial" w:eastAsia="Arial" w:hAnsi="Arial"/>
          <w:sz w:val="16"/>
          <w:szCs w:val="16"/>
          <w:b w:val="1"/>
          <w:bCs w:val="1"/>
          <w:color w:val="215BA8"/>
        </w:rPr>
      </w:pPr>
      <w:r>
        <w:rPr>
          <w:rFonts w:ascii="Arial" w:cs="Arial" w:eastAsia="Arial" w:hAnsi="Arial"/>
          <w:sz w:val="16"/>
          <w:szCs w:val="16"/>
          <w:b w:val="1"/>
          <w:bCs w:val="1"/>
          <w:color w:val="auto"/>
        </w:rPr>
        <w:t>Reduced burn rate to 3.1% of common shares outstanding, the lowest rate in the last decade, despite employee growth of 14% last year alone</w:t>
      </w:r>
    </w:p>
    <w:p>
      <w:pPr>
        <w:spacing w:after="0" w:line="129" w:lineRule="exact"/>
        <w:rPr>
          <w:rFonts w:ascii="Arial" w:cs="Arial" w:eastAsia="Arial" w:hAnsi="Arial"/>
          <w:sz w:val="16"/>
          <w:szCs w:val="16"/>
          <w:b w:val="1"/>
          <w:bCs w:val="1"/>
          <w:color w:val="215BA8"/>
        </w:rPr>
      </w:pPr>
    </w:p>
    <w:p>
      <w:pPr>
        <w:ind w:left="1040" w:right="600" w:hanging="168"/>
        <w:spacing w:after="0" w:line="259" w:lineRule="auto"/>
        <w:tabs>
          <w:tab w:leader="none" w:pos="1040" w:val="left"/>
        </w:tabs>
        <w:numPr>
          <w:ilvl w:val="1"/>
          <w:numId w:val="77"/>
        </w:numPr>
        <w:rPr>
          <w:rFonts w:ascii="Arial" w:cs="Arial" w:eastAsia="Arial" w:hAnsi="Arial"/>
          <w:sz w:val="16"/>
          <w:szCs w:val="16"/>
          <w:b w:val="1"/>
          <w:bCs w:val="1"/>
          <w:color w:val="215BA8"/>
        </w:rPr>
      </w:pPr>
      <w:r>
        <w:rPr>
          <w:rFonts w:ascii="Arial" w:cs="Arial" w:eastAsia="Arial" w:hAnsi="Arial"/>
          <w:sz w:val="16"/>
          <w:szCs w:val="16"/>
          <w:b w:val="1"/>
          <w:bCs w:val="1"/>
          <w:color w:val="auto"/>
        </w:rPr>
        <w:t>Honored and reaffirmed commitment of no new grants to NEOs who previously received front-loaded awards intended to replace multiple years of grants</w:t>
      </w:r>
    </w:p>
    <w:p>
      <w:pPr>
        <w:spacing w:after="0" w:line="15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54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69" w:name="page70"/>
    <w:bookmarkEnd w:id="69"/>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COMPENSATION PROGRAM OVERVIEW</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OUR CORPORATE CULTURE AND PAY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147320</wp:posOffset>
            </wp:positionV>
            <wp:extent cx="1929130" cy="10026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29130" cy="100266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p>
      <w:pPr>
        <w:spacing w:after="0" w:line="239" w:lineRule="exact"/>
        <w:rPr>
          <w:sz w:val="20"/>
          <w:szCs w:val="20"/>
          <w:color w:val="auto"/>
        </w:rPr>
      </w:pPr>
    </w:p>
    <w:p>
      <w:pPr>
        <w:ind w:left="540"/>
        <w:spacing w:after="0" w:line="232" w:lineRule="auto"/>
        <w:rPr>
          <w:sz w:val="20"/>
          <w:szCs w:val="20"/>
          <w:color w:val="auto"/>
        </w:rPr>
      </w:pPr>
      <w:r>
        <w:rPr>
          <w:rFonts w:ascii="Arial" w:cs="Arial" w:eastAsia="Arial" w:hAnsi="Arial"/>
          <w:sz w:val="16"/>
          <w:szCs w:val="16"/>
          <w:color w:val="auto"/>
        </w:rPr>
        <w:t>An “overnight breakthrough” in the biotechnology industry takes years of research and drug development spearheaded by a collection of the world’s top scientists, staff, and businesspeople. Our corporate culture and pay philosophy are the interlinked product of the unique challenges at the forefront of medical science, which require agility, persistence, and top-tier talent.</w:t>
      </w:r>
    </w:p>
    <w:p>
      <w:pPr>
        <w:spacing w:after="0" w:line="166" w:lineRule="exact"/>
        <w:rPr>
          <w:sz w:val="20"/>
          <w:szCs w:val="20"/>
          <w:color w:val="auto"/>
        </w:rPr>
      </w:pPr>
    </w:p>
    <w:p>
      <w:pPr>
        <w:ind w:left="540" w:right="40"/>
        <w:spacing w:after="0" w:line="231" w:lineRule="auto"/>
        <w:rPr>
          <w:sz w:val="20"/>
          <w:szCs w:val="20"/>
          <w:color w:val="auto"/>
        </w:rPr>
      </w:pPr>
      <w:r>
        <w:rPr>
          <w:rFonts w:ascii="Arial" w:cs="Arial" w:eastAsia="Arial" w:hAnsi="Arial"/>
          <w:sz w:val="16"/>
          <w:szCs w:val="16"/>
          <w:color w:val="auto"/>
        </w:rPr>
        <w:t>Regeneron’s culture is defined by loyal and motivated employees with an entrepreneurial spirit who are dedicated to the Company’s mission to use the power of science to invent medicines for people with serious diseases. Our employees’ engagement, commitment, and achievements are key drivers of pipeline success and therefore our long-term performance. For Regeneron to succeed, our compensation model must reward long-term, sustainable performance and reinforce a culture where employees are empowered to pursue fulfilling careers and focus on our mission and drug discovery and development.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right="720"/>
        <w:spacing w:after="0"/>
        <w:rPr>
          <w:sz w:val="20"/>
          <w:szCs w:val="20"/>
          <w:color w:val="auto"/>
        </w:rPr>
      </w:pPr>
      <w:r>
        <w:rPr>
          <w:rFonts w:ascii="Arial" w:cs="Arial" w:eastAsia="Arial" w:hAnsi="Arial"/>
          <w:sz w:val="18"/>
          <w:szCs w:val="18"/>
          <w:b w:val="1"/>
          <w:bCs w:val="1"/>
          <w:color w:val="auto"/>
        </w:rPr>
        <w:t xml:space="preserve">We focus on </w:t>
      </w:r>
      <w:r>
        <w:rPr>
          <w:rFonts w:ascii="Arial" w:cs="Arial" w:eastAsia="Arial" w:hAnsi="Arial"/>
          <w:sz w:val="18"/>
          <w:szCs w:val="18"/>
          <w:b w:val="1"/>
          <w:bCs w:val="1"/>
          <w:color w:val="215BA8"/>
        </w:rPr>
        <w:t>long-term</w:t>
      </w:r>
      <w:r>
        <w:rPr>
          <w:rFonts w:ascii="Arial" w:cs="Arial" w:eastAsia="Arial" w:hAnsi="Arial"/>
          <w:sz w:val="18"/>
          <w:szCs w:val="18"/>
          <w:b w:val="1"/>
          <w:bCs w:val="1"/>
          <w:color w:val="auto"/>
        </w:rPr>
        <w:t xml:space="preserve"> growth through </w:t>
      </w:r>
      <w:r>
        <w:rPr>
          <w:rFonts w:ascii="Arial" w:cs="Arial" w:eastAsia="Arial" w:hAnsi="Arial"/>
          <w:sz w:val="18"/>
          <w:szCs w:val="18"/>
          <w:b w:val="1"/>
          <w:bCs w:val="1"/>
          <w:color w:val="215BA8"/>
        </w:rPr>
        <w:t>internal</w:t>
      </w:r>
      <w:r>
        <w:rPr>
          <w:rFonts w:ascii="Arial" w:cs="Arial" w:eastAsia="Arial" w:hAnsi="Arial"/>
          <w:sz w:val="18"/>
          <w:szCs w:val="18"/>
          <w:b w:val="1"/>
          <w:bCs w:val="1"/>
          <w:color w:val="auto"/>
        </w:rPr>
        <w:t xml:space="preserve"> innovation. Our compensation model and </w:t>
      </w:r>
      <w:r>
        <w:rPr>
          <w:rFonts w:ascii="Arial" w:cs="Arial" w:eastAsia="Arial" w:hAnsi="Arial"/>
          <w:sz w:val="18"/>
          <w:szCs w:val="18"/>
          <w:b w:val="1"/>
          <w:bCs w:val="1"/>
          <w:color w:val="215BA8"/>
        </w:rPr>
        <w:t xml:space="preserve">broad-based equity </w:t>
      </w:r>
      <w:r>
        <w:rPr>
          <w:rFonts w:ascii="Arial" w:cs="Arial" w:eastAsia="Arial" w:hAnsi="Arial"/>
          <w:sz w:val="18"/>
          <w:szCs w:val="18"/>
          <w:b w:val="1"/>
          <w:bCs w:val="1"/>
          <w:color w:val="000000"/>
        </w:rPr>
        <w:t>program reinforce</w:t>
      </w:r>
      <w:r>
        <w:rPr>
          <w:rFonts w:ascii="Arial" w:cs="Arial" w:eastAsia="Arial" w:hAnsi="Arial"/>
          <w:sz w:val="18"/>
          <w:szCs w:val="18"/>
          <w:b w:val="1"/>
          <w:bCs w:val="1"/>
          <w:color w:val="215BA8"/>
        </w:rPr>
        <w:t xml:space="preserve"> </w:t>
      </w:r>
      <w:r>
        <w:rPr>
          <w:rFonts w:ascii="Arial" w:cs="Arial" w:eastAsia="Arial" w:hAnsi="Arial"/>
          <w:sz w:val="18"/>
          <w:szCs w:val="18"/>
          <w:b w:val="1"/>
          <w:bCs w:val="1"/>
          <w:color w:val="000000"/>
        </w:rPr>
        <w:t xml:space="preserve">our company culture and are designed to reward </w:t>
      </w:r>
      <w:r>
        <w:rPr>
          <w:rFonts w:ascii="Arial" w:cs="Arial" w:eastAsia="Arial" w:hAnsi="Arial"/>
          <w:sz w:val="18"/>
          <w:szCs w:val="18"/>
          <w:b w:val="1"/>
          <w:bCs w:val="1"/>
          <w:color w:val="215BA8"/>
        </w:rPr>
        <w:t>long term,</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15BA8"/>
        </w:rPr>
        <w:t>sustainable performance</w:t>
      </w:r>
      <w:r>
        <w:rPr>
          <w:rFonts w:ascii="Arial" w:cs="Arial" w:eastAsia="Arial" w:hAnsi="Arial"/>
          <w:sz w:val="18"/>
          <w:szCs w:val="18"/>
          <w:b w:val="1"/>
          <w:bCs w:val="1"/>
          <w:color w:val="000000"/>
        </w:rPr>
        <w:t>.</w:t>
      </w:r>
    </w:p>
    <w:p>
      <w:pPr>
        <w:spacing w:after="0" w:line="780" w:lineRule="exact"/>
        <w:rPr>
          <w:sz w:val="20"/>
          <w:szCs w:val="20"/>
          <w:color w:val="auto"/>
        </w:rPr>
      </w:pPr>
    </w:p>
    <w:p>
      <w:pPr>
        <w:sectPr>
          <w:pgSz w:w="11900" w:h="16838" w:orient="portrait"/>
          <w:cols w:equalWidth="0" w:num="2">
            <w:col w:w="7440" w:space="300"/>
            <w:col w:w="3500"/>
          </w:cols>
          <w:pgMar w:left="320" w:top="572" w:right="339" w:bottom="1440" w:gutter="0" w:footer="0" w:header="0"/>
          <w:type w:val="continuous"/>
        </w:sectPr>
      </w:pPr>
    </w:p>
    <w:p>
      <w:pPr>
        <w:ind w:left="540" w:right="580"/>
        <w:spacing w:after="0" w:line="243" w:lineRule="auto"/>
        <w:rPr>
          <w:sz w:val="20"/>
          <w:szCs w:val="20"/>
          <w:color w:val="auto"/>
        </w:rPr>
      </w:pPr>
      <w:r>
        <w:rPr>
          <w:rFonts w:ascii="Arial" w:cs="Arial" w:eastAsia="Arial" w:hAnsi="Arial"/>
          <w:sz w:val="15"/>
          <w:szCs w:val="15"/>
          <w:color w:val="auto"/>
        </w:rPr>
        <w:t xml:space="preserve">Like many companies, we use equity-based pay to align employees’ interests with our long-term success; but unlike many peers, a key part of our pay philosophy is to award equity-based pay to </w:t>
      </w:r>
      <w:r>
        <w:rPr>
          <w:rFonts w:ascii="Arial" w:cs="Arial" w:eastAsia="Arial" w:hAnsi="Arial"/>
          <w:sz w:val="15"/>
          <w:szCs w:val="15"/>
          <w:u w:val="single" w:color="auto"/>
          <w:color w:val="auto"/>
        </w:rPr>
        <w:t>all</w:t>
      </w:r>
      <w:r>
        <w:rPr>
          <w:rFonts w:ascii="Arial" w:cs="Arial" w:eastAsia="Arial" w:hAnsi="Arial"/>
          <w:sz w:val="15"/>
          <w:szCs w:val="15"/>
          <w:color w:val="auto"/>
        </w:rPr>
        <w:t xml:space="preserve"> employees. This unique approach ensures that when we deliver for patients and for shareholders, everyone shares in the upside growth, even over the multiyear timeframes required to bring new medicines to market. Emphasizing the overall success of the Company thus allows us to pursue innovative approaches and follow the science. In recent years, approximately 90% of our annual employee equity grants were awarded to employees other than our NEOs, representing an exceptionally broad-based equity plan. We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believe this approach supports our robust employee engagement and industry-leading retention,</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56515</wp:posOffset>
            </wp:positionV>
            <wp:extent cx="5572125" cy="13798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57212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right="680"/>
        <w:spacing w:after="0" w:line="254" w:lineRule="auto"/>
        <w:rPr>
          <w:sz w:val="20"/>
          <w:szCs w:val="20"/>
          <w:color w:val="auto"/>
        </w:rPr>
      </w:pPr>
      <w:r>
        <w:rPr>
          <w:rFonts w:ascii="Arial" w:cs="Arial" w:eastAsia="Arial" w:hAnsi="Arial"/>
          <w:sz w:val="15"/>
          <w:szCs w:val="15"/>
          <w:color w:val="auto"/>
        </w:rPr>
        <w:t>Our corporate culture also is shaped by our commitment to “Doing Well by Doing Good,” which has inspired the Company for over 30 years. This commitment, paired with unrelenting focus on science and innovation, is reflected in our 2025 global responsibility goals. In 2021, we took important steps toward achieving these goals, as discussed in the subsection “The Company–Corporate Governance–Corporate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93980</wp:posOffset>
            </wp:positionV>
            <wp:extent cx="64465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27" w:lineRule="exact"/>
        <w:rPr>
          <w:sz w:val="20"/>
          <w:szCs w:val="20"/>
          <w:color w:val="auto"/>
        </w:rPr>
      </w:pPr>
    </w:p>
    <w:p>
      <w:pPr>
        <w:ind w:left="720" w:right="660" w:hanging="172"/>
        <w:spacing w:after="0" w:line="258" w:lineRule="auto"/>
        <w:tabs>
          <w:tab w:leader="none" w:pos="720" w:val="left"/>
        </w:tabs>
        <w:numPr>
          <w:ilvl w:val="0"/>
          <w:numId w:val="78"/>
        </w:numPr>
        <w:rPr>
          <w:rFonts w:ascii="Arial" w:cs="Arial" w:eastAsia="Arial" w:hAnsi="Arial"/>
          <w:sz w:val="14"/>
          <w:szCs w:val="14"/>
          <w:color w:val="215AA8"/>
        </w:rPr>
      </w:pPr>
      <w:r>
        <w:rPr>
          <w:rFonts w:ascii="Arial" w:cs="Arial" w:eastAsia="Arial" w:hAnsi="Arial"/>
          <w:sz w:val="14"/>
          <w:szCs w:val="14"/>
          <w:color w:val="1A1A1A"/>
        </w:rPr>
        <w:t>Based on Regeneron’s turnover rate compared to the industry average. For example, our 2021 turnover rate was 7.8% compared to an industry average of 19.0%. Industry average is based on data of U.S. life sciences companies reported in Aon’s 2021 Salary Increase and Turnover Study.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55</w:t>
            </w:r>
          </w:p>
        </w:tc>
      </w:tr>
      <w:tr>
        <w:trPr>
          <w:trHeight w:val="194"/>
        </w:trPr>
        <w:tc>
          <w:tcPr>
            <w:tcW w:w="8200" w:type="dxa"/>
            <w:vAlign w:val="bottom"/>
            <w:tcBorders>
              <w:bottom w:val="single" w:sz="8" w:color="C0C0C0"/>
            </w:tcBorders>
          </w:tcPr>
          <w:p>
            <w:pPr>
              <w:spacing w:after="0"/>
              <w:rPr>
                <w:sz w:val="16"/>
                <w:szCs w:val="16"/>
                <w:color w:val="auto"/>
              </w:rPr>
            </w:pPr>
          </w:p>
        </w:tc>
        <w:tc>
          <w:tcPr>
            <w:tcW w:w="3040" w:type="dxa"/>
            <w:vAlign w:val="bottom"/>
            <w:tcBorders>
              <w:bottom w:val="single" w:sz="8" w:color="C0C0C0"/>
            </w:tcBorders>
          </w:tcPr>
          <w:p>
            <w:pPr>
              <w:spacing w:after="0"/>
              <w:rPr>
                <w:sz w:val="16"/>
                <w:szCs w:val="16"/>
                <w:color w:val="auto"/>
              </w:rPr>
            </w:pPr>
          </w:p>
        </w:tc>
      </w:tr>
    </w:tbl>
    <w:p>
      <w:pPr>
        <w:sectPr>
          <w:pgSz w:w="11900" w:h="16838" w:orient="portrait"/>
          <w:cols w:equalWidth="0" w:num="1">
            <w:col w:w="11240"/>
          </w:cols>
          <w:pgMar w:left="320" w:top="572" w:right="339" w:bottom="1440" w:gutter="0" w:footer="0" w:header="0"/>
          <w:type w:val="continuous"/>
        </w:sectPr>
      </w:pPr>
    </w:p>
    <w:bookmarkStart w:id="70" w:name="page71"/>
    <w:bookmarkEnd w:id="70"/>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2021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580"/>
        <w:spacing w:after="0" w:line="231" w:lineRule="auto"/>
        <w:rPr>
          <w:sz w:val="20"/>
          <w:szCs w:val="20"/>
          <w:color w:val="auto"/>
        </w:rPr>
      </w:pPr>
      <w:r>
        <w:rPr>
          <w:rFonts w:ascii="Arial" w:cs="Arial" w:eastAsia="Arial" w:hAnsi="Arial"/>
          <w:sz w:val="16"/>
          <w:szCs w:val="16"/>
          <w:color w:val="auto"/>
        </w:rPr>
        <w:t>In 2021, we continued to help in the fight against the COVID-19 pandemic by delivering millions of doses of REGEN-COV to patients in need while also making significant progress in all key areas of our business. In addition, we continued to demonstrate our commitment to driving sustainable, long-term shareholder value creation, including by investing $2.9 billion in research and development and $552 million in capital expenditures. We highlight select 2021 accomplishments below and provide a comprehensive overview of our 2021 achievements, as well as the Compensation Committee’s assessment of those achievements, in the subsection “Components of Executive Pay: What We Pay and Why We Pay It—Annual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100965</wp:posOffset>
            </wp:positionV>
            <wp:extent cx="6446520" cy="1911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46520" cy="191135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15BA8"/>
        </w:rPr>
        <w:t>Regulatory Actions</w:t>
      </w:r>
    </w:p>
    <w:p>
      <w:pPr>
        <w:spacing w:after="0" w:line="68" w:lineRule="exact"/>
        <w:rPr>
          <w:sz w:val="20"/>
          <w:szCs w:val="20"/>
          <w:color w:val="auto"/>
        </w:rPr>
      </w:pPr>
    </w:p>
    <w:p>
      <w:pPr>
        <w:ind w:left="800" w:right="660" w:hanging="126"/>
        <w:spacing w:after="0" w:line="263" w:lineRule="auto"/>
        <w:tabs>
          <w:tab w:leader="none" w:pos="804" w:val="left"/>
        </w:tabs>
        <w:numPr>
          <w:ilvl w:val="0"/>
          <w:numId w:val="79"/>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Evkeeza: </w:t>
      </w:r>
      <w:r>
        <w:rPr>
          <w:rFonts w:ascii="Arial" w:cs="Arial" w:eastAsia="Arial" w:hAnsi="Arial"/>
          <w:sz w:val="14"/>
          <w:szCs w:val="14"/>
          <w:color w:val="auto"/>
        </w:rPr>
        <w:t>U.S. Food and Drug Administration and European</w:t>
      </w:r>
      <w:r>
        <w:rPr>
          <w:rFonts w:ascii="Arial" w:cs="Arial" w:eastAsia="Arial" w:hAnsi="Arial"/>
          <w:sz w:val="14"/>
          <w:szCs w:val="14"/>
          <w:b w:val="1"/>
          <w:bCs w:val="1"/>
          <w:color w:val="auto"/>
        </w:rPr>
        <w:t xml:space="preserve"> </w:t>
      </w:r>
      <w:r>
        <w:rPr>
          <w:rFonts w:ascii="Arial" w:cs="Arial" w:eastAsia="Arial" w:hAnsi="Arial"/>
          <w:sz w:val="14"/>
          <w:szCs w:val="14"/>
          <w:color w:val="auto"/>
        </w:rPr>
        <w:t>Commission approvals to treat homozygous familial hypercholesterolemia</w:t>
      </w:r>
    </w:p>
    <w:p>
      <w:pPr>
        <w:spacing w:after="0" w:line="10" w:lineRule="exact"/>
        <w:rPr>
          <w:rFonts w:ascii="Arial" w:cs="Arial" w:eastAsia="Arial" w:hAnsi="Arial"/>
          <w:sz w:val="14"/>
          <w:szCs w:val="14"/>
          <w:b w:val="1"/>
          <w:bCs w:val="1"/>
          <w:color w:val="215BA8"/>
        </w:rPr>
      </w:pPr>
    </w:p>
    <w:p>
      <w:pPr>
        <w:ind w:left="800" w:hanging="126"/>
        <w:spacing w:after="0"/>
        <w:tabs>
          <w:tab w:leader="none" w:pos="800" w:val="left"/>
        </w:tabs>
        <w:numPr>
          <w:ilvl w:val="0"/>
          <w:numId w:val="79"/>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Libtayo: </w:t>
      </w:r>
      <w:r>
        <w:rPr>
          <w:rFonts w:ascii="Arial" w:cs="Arial" w:eastAsia="Arial" w:hAnsi="Arial"/>
          <w:sz w:val="14"/>
          <w:szCs w:val="14"/>
          <w:color w:val="auto"/>
        </w:rPr>
        <w:t>FDA and EC approvals to treat NSCLC and BCC</w:t>
      </w:r>
    </w:p>
    <w:p>
      <w:pPr>
        <w:spacing w:after="0" w:line="55" w:lineRule="exact"/>
        <w:rPr>
          <w:rFonts w:ascii="Arial" w:cs="Arial" w:eastAsia="Arial" w:hAnsi="Arial"/>
          <w:sz w:val="14"/>
          <w:szCs w:val="14"/>
          <w:b w:val="1"/>
          <w:bCs w:val="1"/>
          <w:color w:val="215BA8"/>
        </w:rPr>
      </w:pPr>
    </w:p>
    <w:p>
      <w:pPr>
        <w:ind w:left="800" w:right="80" w:hanging="126"/>
        <w:spacing w:after="0" w:line="281" w:lineRule="auto"/>
        <w:tabs>
          <w:tab w:leader="none" w:pos="804" w:val="left"/>
        </w:tabs>
        <w:numPr>
          <w:ilvl w:val="0"/>
          <w:numId w:val="79"/>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Dupixent: </w:t>
      </w:r>
      <w:r>
        <w:rPr>
          <w:rFonts w:ascii="Arial" w:cs="Arial" w:eastAsia="Arial" w:hAnsi="Arial"/>
          <w:sz w:val="14"/>
          <w:szCs w:val="14"/>
          <w:color w:val="auto"/>
        </w:rPr>
        <w:t>FDA approval for asthma in pediatric patients aged 6 to 11</w:t>
      </w:r>
      <w:r>
        <w:rPr>
          <w:rFonts w:ascii="Arial" w:cs="Arial" w:eastAsia="Arial" w:hAnsi="Arial"/>
          <w:sz w:val="14"/>
          <w:szCs w:val="14"/>
          <w:b w:val="1"/>
          <w:bCs w:val="1"/>
          <w:color w:val="auto"/>
        </w:rPr>
        <w:t xml:space="preserve"> </w:t>
      </w:r>
      <w:r>
        <w:rPr>
          <w:rFonts w:ascii="Arial" w:cs="Arial" w:eastAsia="Arial" w:hAnsi="Arial"/>
          <w:sz w:val="14"/>
          <w:szCs w:val="14"/>
          <w:color w:val="auto"/>
        </w:rPr>
        <w:t>years</w:t>
      </w:r>
    </w:p>
    <w:p>
      <w:pPr>
        <w:spacing w:after="0" w:line="1" w:lineRule="exact"/>
        <w:rPr>
          <w:rFonts w:ascii="Arial" w:cs="Arial" w:eastAsia="Arial" w:hAnsi="Arial"/>
          <w:sz w:val="14"/>
          <w:szCs w:val="14"/>
          <w:b w:val="1"/>
          <w:bCs w:val="1"/>
          <w:color w:val="215BA8"/>
        </w:rPr>
      </w:pPr>
    </w:p>
    <w:p>
      <w:pPr>
        <w:ind w:left="800" w:hanging="126"/>
        <w:spacing w:after="0"/>
        <w:tabs>
          <w:tab w:leader="none" w:pos="800" w:val="left"/>
        </w:tabs>
        <w:numPr>
          <w:ilvl w:val="0"/>
          <w:numId w:val="79"/>
        </w:numPr>
        <w:rPr>
          <w:rFonts w:ascii="Arial" w:cs="Arial" w:eastAsia="Arial" w:hAnsi="Arial"/>
          <w:sz w:val="14"/>
          <w:szCs w:val="14"/>
          <w:b w:val="1"/>
          <w:bCs w:val="1"/>
          <w:color w:val="215BA8"/>
        </w:rPr>
      </w:pPr>
      <w:r>
        <w:rPr>
          <w:rFonts w:ascii="Arial" w:cs="Arial" w:eastAsia="Arial" w:hAnsi="Arial"/>
          <w:sz w:val="14"/>
          <w:szCs w:val="14"/>
          <w:b w:val="1"/>
          <w:bCs w:val="1"/>
          <w:color w:val="auto"/>
        </w:rPr>
        <w:t>REGEN-COV:</w:t>
      </w:r>
    </w:p>
    <w:p>
      <w:pPr>
        <w:spacing w:after="0" w:line="73" w:lineRule="exact"/>
        <w:rPr>
          <w:rFonts w:ascii="Arial" w:cs="Arial" w:eastAsia="Arial" w:hAnsi="Arial"/>
          <w:sz w:val="14"/>
          <w:szCs w:val="14"/>
          <w:b w:val="1"/>
          <w:bCs w:val="1"/>
          <w:color w:val="215BA8"/>
        </w:rPr>
      </w:pPr>
    </w:p>
    <w:p>
      <w:pPr>
        <w:ind w:left="940" w:right="300" w:hanging="122"/>
        <w:spacing w:after="0" w:line="232" w:lineRule="auto"/>
        <w:tabs>
          <w:tab w:leader="none" w:pos="944" w:val="left"/>
        </w:tabs>
        <w:numPr>
          <w:ilvl w:val="1"/>
          <w:numId w:val="79"/>
        </w:numPr>
        <w:rPr>
          <w:rFonts w:ascii="Arial" w:cs="Arial" w:eastAsia="Arial" w:hAnsi="Arial"/>
          <w:sz w:val="14"/>
          <w:szCs w:val="14"/>
          <w:b w:val="1"/>
          <w:bCs w:val="1"/>
          <w:color w:val="215BA8"/>
        </w:rPr>
      </w:pPr>
      <w:r>
        <w:rPr>
          <w:rFonts w:ascii="Arial" w:cs="Arial" w:eastAsia="Arial" w:hAnsi="Arial"/>
          <w:sz w:val="14"/>
          <w:szCs w:val="14"/>
          <w:color w:val="auto"/>
        </w:rPr>
        <w:t>Emergency Use Authorization (“EUA”) updated by FDA to lower dose to 1,200 mg, allow for subcutaneous injections in certain circumstances, and include post-exposure prophylaxis</w:t>
      </w:r>
      <w:r>
        <w:rPr>
          <w:rFonts w:ascii="Arial" w:cs="Arial" w:eastAsia="Arial" w:hAnsi="Arial"/>
          <w:sz w:val="23"/>
          <w:szCs w:val="23"/>
          <w:color w:val="auto"/>
          <w:vertAlign w:val="superscript"/>
        </w:rPr>
        <w:t>1</w:t>
      </w:r>
    </w:p>
    <w:p>
      <w:pPr>
        <w:ind w:left="940" w:right="80" w:hanging="122"/>
        <w:spacing w:after="0" w:line="249" w:lineRule="auto"/>
        <w:tabs>
          <w:tab w:leader="none" w:pos="944" w:val="left"/>
        </w:tabs>
        <w:numPr>
          <w:ilvl w:val="1"/>
          <w:numId w:val="79"/>
        </w:numPr>
        <w:rPr>
          <w:rFonts w:ascii="Arial" w:cs="Arial" w:eastAsia="Arial" w:hAnsi="Arial"/>
          <w:sz w:val="14"/>
          <w:szCs w:val="14"/>
          <w:b w:val="1"/>
          <w:bCs w:val="1"/>
          <w:color w:val="215BA8"/>
        </w:rPr>
      </w:pPr>
      <w:r>
        <w:rPr>
          <w:rFonts w:ascii="Arial" w:cs="Arial" w:eastAsia="Arial" w:hAnsi="Arial"/>
          <w:sz w:val="14"/>
          <w:szCs w:val="14"/>
          <w:color w:val="auto"/>
        </w:rPr>
        <w:t>EC approval for COVID-19 treatment of non-hospitalized patents and prevention and approval in Japan by Ministry of Health, Labour and Welfare (“MHLW”) for COVID-19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210185</wp:posOffset>
            </wp:positionV>
            <wp:extent cx="3051810" cy="1911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51810" cy="1911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215BA8"/>
        </w:rPr>
        <w:t>Clinical Advances</w:t>
      </w:r>
    </w:p>
    <w:p>
      <w:pPr>
        <w:spacing w:after="0" w:line="68" w:lineRule="exact"/>
        <w:rPr>
          <w:sz w:val="20"/>
          <w:szCs w:val="20"/>
          <w:color w:val="auto"/>
        </w:rPr>
      </w:pPr>
    </w:p>
    <w:p>
      <w:pPr>
        <w:ind w:left="140" w:right="740" w:hanging="127"/>
        <w:spacing w:after="0" w:line="281" w:lineRule="auto"/>
        <w:tabs>
          <w:tab w:leader="none" w:pos="144" w:val="left"/>
        </w:tabs>
        <w:numPr>
          <w:ilvl w:val="0"/>
          <w:numId w:val="80"/>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Aflibercept 8 mg: </w:t>
      </w:r>
      <w:r>
        <w:rPr>
          <w:rFonts w:ascii="Arial" w:cs="Arial" w:eastAsia="Arial" w:hAnsi="Arial"/>
          <w:sz w:val="14"/>
          <w:szCs w:val="14"/>
          <w:color w:val="auto"/>
        </w:rPr>
        <w:t>Reported positive Phase 2 results in neovascular</w:t>
      </w:r>
      <w:r>
        <w:rPr>
          <w:rFonts w:ascii="Arial" w:cs="Arial" w:eastAsia="Arial" w:hAnsi="Arial"/>
          <w:sz w:val="14"/>
          <w:szCs w:val="14"/>
          <w:b w:val="1"/>
          <w:bCs w:val="1"/>
          <w:color w:val="auto"/>
        </w:rPr>
        <w:t xml:space="preserve"> </w:t>
      </w:r>
      <w:r>
        <w:rPr>
          <w:rFonts w:ascii="Arial" w:cs="Arial" w:eastAsia="Arial" w:hAnsi="Arial"/>
          <w:sz w:val="14"/>
          <w:szCs w:val="14"/>
          <w:color w:val="auto"/>
        </w:rPr>
        <w:t>age-related macular degeneration (“wet AMD”)</w:t>
      </w:r>
    </w:p>
    <w:p>
      <w:pPr>
        <w:spacing w:after="0" w:line="1" w:lineRule="exact"/>
        <w:rPr>
          <w:rFonts w:ascii="Arial" w:cs="Arial" w:eastAsia="Arial" w:hAnsi="Arial"/>
          <w:sz w:val="14"/>
          <w:szCs w:val="14"/>
          <w:b w:val="1"/>
          <w:bCs w:val="1"/>
          <w:color w:val="215BA8"/>
        </w:rPr>
      </w:pPr>
    </w:p>
    <w:p>
      <w:pPr>
        <w:jc w:val="both"/>
        <w:ind w:left="140" w:right="720" w:hanging="127"/>
        <w:spacing w:after="0" w:line="263" w:lineRule="auto"/>
        <w:tabs>
          <w:tab w:leader="none" w:pos="144" w:val="left"/>
        </w:tabs>
        <w:numPr>
          <w:ilvl w:val="0"/>
          <w:numId w:val="80"/>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Dupixent: </w:t>
      </w:r>
      <w:r>
        <w:rPr>
          <w:rFonts w:ascii="Arial" w:cs="Arial" w:eastAsia="Arial" w:hAnsi="Arial"/>
          <w:sz w:val="14"/>
          <w:szCs w:val="14"/>
          <w:color w:val="auto"/>
        </w:rPr>
        <w:t>Reported positive Phase 3 results from trials investigating</w:t>
      </w:r>
      <w:r>
        <w:rPr>
          <w:rFonts w:ascii="Arial" w:cs="Arial" w:eastAsia="Arial" w:hAnsi="Arial"/>
          <w:sz w:val="14"/>
          <w:szCs w:val="14"/>
          <w:b w:val="1"/>
          <w:bCs w:val="1"/>
          <w:color w:val="auto"/>
        </w:rPr>
        <w:t xml:space="preserve"> </w:t>
      </w:r>
      <w:r>
        <w:rPr>
          <w:rFonts w:ascii="Arial" w:cs="Arial" w:eastAsia="Arial" w:hAnsi="Arial"/>
          <w:sz w:val="14"/>
          <w:szCs w:val="14"/>
          <w:color w:val="auto"/>
        </w:rPr>
        <w:t>four potential new indications (chronic spontaneous urticaria, prurigo nodularis, eosinophilic esophagitis, and pediatric atopic dermatitis)</w:t>
      </w:r>
    </w:p>
    <w:p>
      <w:pPr>
        <w:spacing w:after="0" w:line="10" w:lineRule="exact"/>
        <w:rPr>
          <w:rFonts w:ascii="Arial" w:cs="Arial" w:eastAsia="Arial" w:hAnsi="Arial"/>
          <w:sz w:val="14"/>
          <w:szCs w:val="14"/>
          <w:b w:val="1"/>
          <w:bCs w:val="1"/>
          <w:color w:val="215BA8"/>
        </w:rPr>
      </w:pPr>
    </w:p>
    <w:p>
      <w:pPr>
        <w:ind w:left="140" w:right="740" w:hanging="127"/>
        <w:spacing w:after="0" w:line="263" w:lineRule="auto"/>
        <w:tabs>
          <w:tab w:leader="none" w:pos="144" w:val="left"/>
        </w:tabs>
        <w:numPr>
          <w:ilvl w:val="0"/>
          <w:numId w:val="80"/>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Libtayo: </w:t>
      </w:r>
      <w:r>
        <w:rPr>
          <w:rFonts w:ascii="Arial" w:cs="Arial" w:eastAsia="Arial" w:hAnsi="Arial"/>
          <w:sz w:val="14"/>
          <w:szCs w:val="14"/>
          <w:color w:val="auto"/>
        </w:rPr>
        <w:t>Reported positive Phase 3 results from trial in combination</w:t>
      </w:r>
      <w:r>
        <w:rPr>
          <w:rFonts w:ascii="Arial" w:cs="Arial" w:eastAsia="Arial" w:hAnsi="Arial"/>
          <w:sz w:val="14"/>
          <w:szCs w:val="14"/>
          <w:b w:val="1"/>
          <w:bCs w:val="1"/>
          <w:color w:val="auto"/>
        </w:rPr>
        <w:t xml:space="preserve"> </w:t>
      </w:r>
      <w:r>
        <w:rPr>
          <w:rFonts w:ascii="Arial" w:cs="Arial" w:eastAsia="Arial" w:hAnsi="Arial"/>
          <w:sz w:val="14"/>
          <w:szCs w:val="14"/>
          <w:color w:val="auto"/>
        </w:rPr>
        <w:t>with chemotherapy for the treatment of NSCLC; trial stopped early based on Independent Data Monitoring Committee recommendation</w:t>
      </w:r>
    </w:p>
    <w:p>
      <w:pPr>
        <w:spacing w:after="0" w:line="10" w:lineRule="exact"/>
        <w:rPr>
          <w:rFonts w:ascii="Arial" w:cs="Arial" w:eastAsia="Arial" w:hAnsi="Arial"/>
          <w:sz w:val="14"/>
          <w:szCs w:val="14"/>
          <w:b w:val="1"/>
          <w:bCs w:val="1"/>
          <w:color w:val="215BA8"/>
        </w:rPr>
      </w:pPr>
    </w:p>
    <w:p>
      <w:pPr>
        <w:ind w:left="140" w:right="700" w:hanging="127"/>
        <w:spacing w:after="0" w:line="281" w:lineRule="auto"/>
        <w:tabs>
          <w:tab w:leader="none" w:pos="144" w:val="left"/>
        </w:tabs>
        <w:numPr>
          <w:ilvl w:val="0"/>
          <w:numId w:val="80"/>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REGN5458 </w:t>
      </w:r>
      <w:r>
        <w:rPr>
          <w:rFonts w:ascii="Arial" w:cs="Arial" w:eastAsia="Arial" w:hAnsi="Arial"/>
          <w:sz w:val="14"/>
          <w:szCs w:val="14"/>
          <w:color w:val="auto"/>
        </w:rPr>
        <w:t>(bispecific antibody targeting BCMA and CD3): Reported</w:t>
      </w:r>
      <w:r>
        <w:rPr>
          <w:rFonts w:ascii="Arial" w:cs="Arial" w:eastAsia="Arial" w:hAnsi="Arial"/>
          <w:sz w:val="14"/>
          <w:szCs w:val="14"/>
          <w:b w:val="1"/>
          <w:bCs w:val="1"/>
          <w:color w:val="auto"/>
        </w:rPr>
        <w:t xml:space="preserve"> </w:t>
      </w:r>
      <w:r>
        <w:rPr>
          <w:rFonts w:ascii="Arial" w:cs="Arial" w:eastAsia="Arial" w:hAnsi="Arial"/>
          <w:sz w:val="14"/>
          <w:szCs w:val="14"/>
          <w:color w:val="auto"/>
        </w:rPr>
        <w:t>updated data from multiple myeloma study</w:t>
      </w:r>
    </w:p>
    <w:p>
      <w:pPr>
        <w:spacing w:after="0" w:line="1" w:lineRule="exact"/>
        <w:rPr>
          <w:rFonts w:ascii="Arial" w:cs="Arial" w:eastAsia="Arial" w:hAnsi="Arial"/>
          <w:sz w:val="14"/>
          <w:szCs w:val="14"/>
          <w:b w:val="1"/>
          <w:bCs w:val="1"/>
          <w:color w:val="215BA8"/>
        </w:rPr>
      </w:pPr>
    </w:p>
    <w:p>
      <w:pPr>
        <w:ind w:left="140" w:right="740" w:hanging="127"/>
        <w:spacing w:after="0" w:line="263" w:lineRule="auto"/>
        <w:tabs>
          <w:tab w:leader="none" w:pos="144" w:val="left"/>
        </w:tabs>
        <w:numPr>
          <w:ilvl w:val="0"/>
          <w:numId w:val="80"/>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Odronextamab </w:t>
      </w:r>
      <w:r>
        <w:rPr>
          <w:rFonts w:ascii="Arial" w:cs="Arial" w:eastAsia="Arial" w:hAnsi="Arial"/>
          <w:sz w:val="14"/>
          <w:szCs w:val="14"/>
          <w:color w:val="auto"/>
        </w:rPr>
        <w:t>(bispecific antibody targeting CD20 and CD3):</w:t>
      </w:r>
      <w:r>
        <w:rPr>
          <w:rFonts w:ascii="Arial" w:cs="Arial" w:eastAsia="Arial" w:hAnsi="Arial"/>
          <w:sz w:val="14"/>
          <w:szCs w:val="14"/>
          <w:b w:val="1"/>
          <w:bCs w:val="1"/>
          <w:color w:val="auto"/>
        </w:rPr>
        <w:t xml:space="preserve"> </w:t>
      </w:r>
      <w:r>
        <w:rPr>
          <w:rFonts w:ascii="Arial" w:cs="Arial" w:eastAsia="Arial" w:hAnsi="Arial"/>
          <w:sz w:val="14"/>
          <w:szCs w:val="14"/>
          <w:color w:val="auto"/>
        </w:rPr>
        <w:t>Resumed enrollment in potentially pivotal Phase 2 trial in B-cell non-Hodgkin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255270</wp:posOffset>
            </wp:positionV>
            <wp:extent cx="3042920" cy="1911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42920" cy="191198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5300" w:space="720"/>
            <w:col w:w="5220"/>
          </w:cols>
          <w:pgMar w:left="320" w:top="572" w:right="339" w:bottom="1440" w:gutter="0" w:footer="0" w:header="0"/>
          <w:type w:val="continuous"/>
        </w:sect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215BA8"/>
        </w:rPr>
        <w:t>Commercial Execution</w:t>
      </w:r>
    </w:p>
    <w:p>
      <w:pPr>
        <w:spacing w:after="0" w:line="68" w:lineRule="exact"/>
        <w:rPr>
          <w:sz w:val="20"/>
          <w:szCs w:val="20"/>
          <w:color w:val="auto"/>
        </w:rPr>
      </w:pPr>
    </w:p>
    <w:p>
      <w:pPr>
        <w:ind w:left="940" w:right="80" w:hanging="122"/>
        <w:spacing w:after="0" w:line="225" w:lineRule="auto"/>
        <w:tabs>
          <w:tab w:leader="none" w:pos="944" w:val="left"/>
        </w:tabs>
        <w:numPr>
          <w:ilvl w:val="0"/>
          <w:numId w:val="81"/>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EYLEA: </w:t>
      </w:r>
      <w:r>
        <w:rPr>
          <w:rFonts w:ascii="Arial" w:cs="Arial" w:eastAsia="Arial" w:hAnsi="Arial"/>
          <w:sz w:val="14"/>
          <w:szCs w:val="14"/>
          <w:color w:val="auto"/>
        </w:rPr>
        <w:t>Full-year 2021 global net product sales increased 19% to</w:t>
      </w:r>
      <w:r>
        <w:rPr>
          <w:rFonts w:ascii="Arial" w:cs="Arial" w:eastAsia="Arial" w:hAnsi="Arial"/>
          <w:sz w:val="14"/>
          <w:szCs w:val="14"/>
          <w:b w:val="1"/>
          <w:bCs w:val="1"/>
          <w:color w:val="auto"/>
        </w:rPr>
        <w:t xml:space="preserve"> </w:t>
      </w:r>
      <w:r>
        <w:rPr>
          <w:rFonts w:ascii="Arial" w:cs="Arial" w:eastAsia="Arial" w:hAnsi="Arial"/>
          <w:sz w:val="14"/>
          <w:szCs w:val="14"/>
          <w:color w:val="auto"/>
        </w:rPr>
        <w:t>$9.38 billion</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versus 2020 while marking the 10-year anniversary of FDA approval in its first indication, with more than 40 million injections administered to patients worldwide since launch</w:t>
      </w:r>
    </w:p>
    <w:p>
      <w:pPr>
        <w:spacing w:after="0" w:line="28" w:lineRule="exact"/>
        <w:rPr>
          <w:rFonts w:ascii="Arial" w:cs="Arial" w:eastAsia="Arial" w:hAnsi="Arial"/>
          <w:sz w:val="14"/>
          <w:szCs w:val="14"/>
          <w:b w:val="1"/>
          <w:bCs w:val="1"/>
          <w:color w:val="215BA8"/>
        </w:rPr>
      </w:pPr>
    </w:p>
    <w:p>
      <w:pPr>
        <w:ind w:left="940" w:right="180" w:hanging="122"/>
        <w:spacing w:after="0" w:line="238" w:lineRule="auto"/>
        <w:tabs>
          <w:tab w:leader="none" w:pos="944" w:val="left"/>
        </w:tabs>
        <w:numPr>
          <w:ilvl w:val="0"/>
          <w:numId w:val="81"/>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Dupixent: </w:t>
      </w:r>
      <w:r>
        <w:rPr>
          <w:rFonts w:ascii="Arial" w:cs="Arial" w:eastAsia="Arial" w:hAnsi="Arial"/>
          <w:sz w:val="14"/>
          <w:szCs w:val="14"/>
          <w:color w:val="auto"/>
        </w:rPr>
        <w:t>Full-year 2021 global net product sales increased 53%</w:t>
      </w:r>
      <w:r>
        <w:rPr>
          <w:rFonts w:ascii="Arial" w:cs="Arial" w:eastAsia="Arial" w:hAnsi="Arial"/>
          <w:sz w:val="14"/>
          <w:szCs w:val="14"/>
          <w:b w:val="1"/>
          <w:bCs w:val="1"/>
          <w:color w:val="auto"/>
        </w:rPr>
        <w:t xml:space="preserve"> </w:t>
      </w:r>
      <w:r>
        <w:rPr>
          <w:rFonts w:ascii="Arial" w:cs="Arial" w:eastAsia="Arial" w:hAnsi="Arial"/>
          <w:sz w:val="14"/>
          <w:szCs w:val="14"/>
          <w:color w:val="auto"/>
        </w:rPr>
        <w:t>to $6.20 billion</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versus 2020</w:t>
      </w:r>
    </w:p>
    <w:p>
      <w:pPr>
        <w:spacing w:after="0" w:line="1" w:lineRule="exact"/>
        <w:rPr>
          <w:rFonts w:ascii="Arial" w:cs="Arial" w:eastAsia="Arial" w:hAnsi="Arial"/>
          <w:sz w:val="14"/>
          <w:szCs w:val="14"/>
          <w:b w:val="1"/>
          <w:bCs w:val="1"/>
          <w:color w:val="215BA8"/>
        </w:rPr>
      </w:pPr>
    </w:p>
    <w:p>
      <w:pPr>
        <w:ind w:left="940" w:right="120" w:hanging="122"/>
        <w:spacing w:after="0" w:line="228" w:lineRule="auto"/>
        <w:tabs>
          <w:tab w:leader="none" w:pos="944" w:val="left"/>
        </w:tabs>
        <w:numPr>
          <w:ilvl w:val="0"/>
          <w:numId w:val="81"/>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Libtayo: </w:t>
      </w:r>
      <w:r>
        <w:rPr>
          <w:rFonts w:ascii="Arial" w:cs="Arial" w:eastAsia="Arial" w:hAnsi="Arial"/>
          <w:sz w:val="14"/>
          <w:szCs w:val="14"/>
          <w:color w:val="auto"/>
        </w:rPr>
        <w:t>Full-year 2021 global net product sales increased 32% to</w:t>
      </w:r>
      <w:r>
        <w:rPr>
          <w:rFonts w:ascii="Arial" w:cs="Arial" w:eastAsia="Arial" w:hAnsi="Arial"/>
          <w:sz w:val="14"/>
          <w:szCs w:val="14"/>
          <w:b w:val="1"/>
          <w:bCs w:val="1"/>
          <w:color w:val="auto"/>
        </w:rPr>
        <w:t xml:space="preserve"> </w:t>
      </w:r>
      <w:r>
        <w:rPr>
          <w:rFonts w:ascii="Arial" w:cs="Arial" w:eastAsia="Arial" w:hAnsi="Arial"/>
          <w:sz w:val="14"/>
          <w:szCs w:val="14"/>
          <w:color w:val="auto"/>
        </w:rPr>
        <w:t>$458.2 million</w:t>
      </w:r>
      <w:r>
        <w:rPr>
          <w:rFonts w:ascii="Arial" w:cs="Arial" w:eastAsia="Arial" w:hAnsi="Arial"/>
          <w:sz w:val="23"/>
          <w:szCs w:val="23"/>
          <w:color w:val="auto"/>
          <w:vertAlign w:val="superscript"/>
        </w:rPr>
        <w:t>3</w:t>
      </w:r>
      <w:r>
        <w:rPr>
          <w:rFonts w:ascii="Arial" w:cs="Arial" w:eastAsia="Arial" w:hAnsi="Arial"/>
          <w:sz w:val="14"/>
          <w:szCs w:val="14"/>
          <w:color w:val="auto"/>
        </w:rPr>
        <w:t xml:space="preserve"> versus 2020</w:t>
      </w:r>
    </w:p>
    <w:p>
      <w:pPr>
        <w:ind w:left="940" w:right="180" w:hanging="122"/>
        <w:spacing w:after="0" w:line="249" w:lineRule="auto"/>
        <w:tabs>
          <w:tab w:leader="none" w:pos="904" w:val="left"/>
        </w:tabs>
        <w:numPr>
          <w:ilvl w:val="0"/>
          <w:numId w:val="81"/>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REGEN-COV: </w:t>
      </w:r>
      <w:r>
        <w:rPr>
          <w:rFonts w:ascii="Arial" w:cs="Arial" w:eastAsia="Arial" w:hAnsi="Arial"/>
          <w:sz w:val="14"/>
          <w:szCs w:val="14"/>
          <w:color w:val="auto"/>
        </w:rPr>
        <w:t>Delivered more than 2.8 million doses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contracts with the U.S. government, leading to full-year 2021 U.S. net product sales of $5.83 billion</w:t>
      </w:r>
    </w:p>
    <w:p>
      <w:pPr>
        <w:spacing w:after="0" w:line="20" w:lineRule="exact"/>
        <w:rPr>
          <w:rFonts w:ascii="Arial" w:cs="Arial" w:eastAsia="Arial" w:hAnsi="Arial"/>
          <w:sz w:val="14"/>
          <w:szCs w:val="14"/>
          <w:b w:val="1"/>
          <w:bCs w:val="1"/>
          <w:color w:val="215BA8"/>
        </w:rPr>
      </w:pPr>
    </w:p>
    <w:p>
      <w:pPr>
        <w:ind w:left="940" w:right="260" w:hanging="122"/>
        <w:spacing w:after="0" w:line="285" w:lineRule="auto"/>
        <w:tabs>
          <w:tab w:leader="none" w:pos="944" w:val="left"/>
        </w:tabs>
        <w:numPr>
          <w:ilvl w:val="0"/>
          <w:numId w:val="81"/>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Commercial Expansion: </w:t>
      </w:r>
      <w:r>
        <w:rPr>
          <w:rFonts w:ascii="Arial" w:cs="Arial" w:eastAsia="Arial" w:hAnsi="Arial"/>
          <w:sz w:val="14"/>
          <w:szCs w:val="14"/>
          <w:color w:val="auto"/>
        </w:rPr>
        <w:t>Established commercial capabilities in</w:t>
      </w:r>
      <w:r>
        <w:rPr>
          <w:rFonts w:ascii="Arial" w:cs="Arial" w:eastAsia="Arial" w:hAnsi="Arial"/>
          <w:sz w:val="14"/>
          <w:szCs w:val="14"/>
          <w:b w:val="1"/>
          <w:bCs w:val="1"/>
          <w:color w:val="auto"/>
        </w:rPr>
        <w:t xml:space="preserve"> </w:t>
      </w:r>
      <w:r>
        <w:rPr>
          <w:rFonts w:ascii="Arial" w:cs="Arial" w:eastAsia="Arial" w:hAnsi="Arial"/>
          <w:sz w:val="14"/>
          <w:szCs w:val="14"/>
          <w:color w:val="auto"/>
        </w:rPr>
        <w:t>certain countries outside the United States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215BA8"/>
        </w:rPr>
        <w:t>Financial Execution and Talent Management</w:t>
      </w:r>
    </w:p>
    <w:p>
      <w:pPr>
        <w:spacing w:after="0" w:line="68" w:lineRule="exact"/>
        <w:rPr>
          <w:sz w:val="20"/>
          <w:szCs w:val="20"/>
          <w:color w:val="auto"/>
        </w:rPr>
      </w:pPr>
    </w:p>
    <w:p>
      <w:pPr>
        <w:ind w:left="140" w:right="800" w:hanging="127"/>
        <w:spacing w:after="0" w:line="212" w:lineRule="auto"/>
        <w:tabs>
          <w:tab w:leader="none" w:pos="144" w:val="left"/>
        </w:tabs>
        <w:numPr>
          <w:ilvl w:val="0"/>
          <w:numId w:val="82"/>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Revenue: </w:t>
      </w:r>
      <w:r>
        <w:rPr>
          <w:rFonts w:ascii="Arial" w:cs="Arial" w:eastAsia="Arial" w:hAnsi="Arial"/>
          <w:sz w:val="14"/>
          <w:szCs w:val="14"/>
          <w:color w:val="auto"/>
        </w:rPr>
        <w:t>Full-year 2021 revenues increased 89% to $16.07 billion</w:t>
      </w:r>
      <w:r>
        <w:rPr>
          <w:rFonts w:ascii="Arial" w:cs="Arial" w:eastAsia="Arial" w:hAnsi="Arial"/>
          <w:sz w:val="14"/>
          <w:szCs w:val="14"/>
          <w:b w:val="1"/>
          <w:bCs w:val="1"/>
          <w:color w:val="auto"/>
        </w:rPr>
        <w:t xml:space="preserve"> </w:t>
      </w:r>
      <w:r>
        <w:rPr>
          <w:rFonts w:ascii="Arial" w:cs="Arial" w:eastAsia="Arial" w:hAnsi="Arial"/>
          <w:sz w:val="14"/>
          <w:szCs w:val="14"/>
          <w:color w:val="auto"/>
        </w:rPr>
        <w:t>versus 2020 (including $6.19 billion attributable to REGEN-COV</w:t>
      </w:r>
      <w:r>
        <w:rPr>
          <w:rFonts w:ascii="Arial" w:cs="Arial" w:eastAsia="Arial" w:hAnsi="Arial"/>
          <w:sz w:val="23"/>
          <w:szCs w:val="23"/>
          <w:color w:val="auto"/>
          <w:vertAlign w:val="superscript"/>
        </w:rPr>
        <w:t>4</w:t>
      </w:r>
      <w:r>
        <w:rPr>
          <w:rFonts w:ascii="Arial" w:cs="Arial" w:eastAsia="Arial" w:hAnsi="Arial"/>
          <w:sz w:val="14"/>
          <w:szCs w:val="14"/>
          <w:color w:val="auto"/>
        </w:rPr>
        <w:t>); revenues excluding REGEN-COV increased 19%</w:t>
      </w:r>
      <w:r>
        <w:rPr>
          <w:rFonts w:ascii="Arial" w:cs="Arial" w:eastAsia="Arial" w:hAnsi="Arial"/>
          <w:sz w:val="23"/>
          <w:szCs w:val="23"/>
          <w:color w:val="auto"/>
          <w:vertAlign w:val="superscript"/>
        </w:rPr>
        <w:t>5</w:t>
      </w:r>
    </w:p>
    <w:p>
      <w:pPr>
        <w:spacing w:after="0" w:line="2" w:lineRule="exact"/>
        <w:rPr>
          <w:rFonts w:ascii="Arial" w:cs="Arial" w:eastAsia="Arial" w:hAnsi="Arial"/>
          <w:sz w:val="14"/>
          <w:szCs w:val="14"/>
          <w:b w:val="1"/>
          <w:bCs w:val="1"/>
          <w:color w:val="215BA8"/>
        </w:rPr>
      </w:pPr>
    </w:p>
    <w:p>
      <w:pPr>
        <w:ind w:left="140" w:right="780" w:hanging="127"/>
        <w:spacing w:after="0" w:line="232" w:lineRule="auto"/>
        <w:tabs>
          <w:tab w:leader="none" w:pos="144" w:val="left"/>
        </w:tabs>
        <w:numPr>
          <w:ilvl w:val="0"/>
          <w:numId w:val="82"/>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EPS Growth: </w:t>
      </w:r>
      <w:r>
        <w:rPr>
          <w:rFonts w:ascii="Arial" w:cs="Arial" w:eastAsia="Arial" w:hAnsi="Arial"/>
          <w:sz w:val="14"/>
          <w:szCs w:val="14"/>
          <w:color w:val="auto"/>
        </w:rPr>
        <w:t>GAAP and non-GAAP net income per share, or EPS,</w:t>
      </w:r>
      <w:r>
        <w:rPr>
          <w:rFonts w:ascii="Arial" w:cs="Arial" w:eastAsia="Arial" w:hAnsi="Arial"/>
          <w:sz w:val="14"/>
          <w:szCs w:val="14"/>
          <w:b w:val="1"/>
          <w:bCs w:val="1"/>
          <w:color w:val="auto"/>
        </w:rPr>
        <w:t xml:space="preserve"> </w:t>
      </w:r>
      <w:r>
        <w:rPr>
          <w:rFonts w:ascii="Arial" w:cs="Arial" w:eastAsia="Arial" w:hAnsi="Arial"/>
          <w:sz w:val="14"/>
          <w:szCs w:val="14"/>
          <w:color w:val="auto"/>
        </w:rPr>
        <w:t>for full-year 2021 increased 136% and 137%, respectively, versus 2020</w:t>
      </w:r>
      <w:r>
        <w:rPr>
          <w:rFonts w:ascii="Arial" w:cs="Arial" w:eastAsia="Arial" w:hAnsi="Arial"/>
          <w:sz w:val="23"/>
          <w:szCs w:val="23"/>
          <w:color w:val="auto"/>
          <w:vertAlign w:val="superscript"/>
        </w:rPr>
        <w:t>5</w:t>
      </w:r>
    </w:p>
    <w:p>
      <w:pPr>
        <w:ind w:left="140" w:right="680" w:hanging="127"/>
        <w:spacing w:after="0" w:line="228" w:lineRule="auto"/>
        <w:tabs>
          <w:tab w:leader="none" w:pos="144" w:val="left"/>
        </w:tabs>
        <w:numPr>
          <w:ilvl w:val="0"/>
          <w:numId w:val="82"/>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Share Repurchase Programs: </w:t>
      </w:r>
      <w:r>
        <w:rPr>
          <w:rFonts w:ascii="Arial" w:cs="Arial" w:eastAsia="Arial" w:hAnsi="Arial"/>
          <w:sz w:val="14"/>
          <w:szCs w:val="14"/>
          <w:color w:val="auto"/>
        </w:rPr>
        <w:t>Repurchased $1.7 billion of common</w:t>
      </w:r>
      <w:r>
        <w:rPr>
          <w:rFonts w:ascii="Arial" w:cs="Arial" w:eastAsia="Arial" w:hAnsi="Arial"/>
          <w:sz w:val="14"/>
          <w:szCs w:val="14"/>
          <w:b w:val="1"/>
          <w:bCs w:val="1"/>
          <w:color w:val="auto"/>
        </w:rPr>
        <w:t xml:space="preserve"> </w:t>
      </w:r>
      <w:r>
        <w:rPr>
          <w:rFonts w:ascii="Arial" w:cs="Arial" w:eastAsia="Arial" w:hAnsi="Arial"/>
          <w:sz w:val="14"/>
          <w:szCs w:val="14"/>
          <w:color w:val="auto"/>
        </w:rPr>
        <w:t>stock and allocated an additional $3.0 billion for future repurchases</w:t>
      </w:r>
      <w:r>
        <w:rPr>
          <w:rFonts w:ascii="Arial" w:cs="Arial" w:eastAsia="Arial" w:hAnsi="Arial"/>
          <w:sz w:val="23"/>
          <w:szCs w:val="23"/>
          <w:color w:val="auto"/>
          <w:vertAlign w:val="superscript"/>
        </w:rPr>
        <w:t>6</w:t>
      </w:r>
    </w:p>
    <w:p>
      <w:pPr>
        <w:ind w:left="140" w:right="660" w:hanging="127"/>
        <w:spacing w:after="0" w:line="249" w:lineRule="auto"/>
        <w:tabs>
          <w:tab w:leader="none" w:pos="144" w:val="left"/>
        </w:tabs>
        <w:numPr>
          <w:ilvl w:val="0"/>
          <w:numId w:val="82"/>
        </w:numPr>
        <w:rPr>
          <w:rFonts w:ascii="Arial" w:cs="Arial" w:eastAsia="Arial" w:hAnsi="Arial"/>
          <w:sz w:val="14"/>
          <w:szCs w:val="14"/>
          <w:b w:val="1"/>
          <w:bCs w:val="1"/>
          <w:color w:val="215BA8"/>
        </w:rPr>
      </w:pPr>
      <w:r>
        <w:rPr>
          <w:rFonts w:ascii="Arial" w:cs="Arial" w:eastAsia="Arial" w:hAnsi="Arial"/>
          <w:sz w:val="14"/>
          <w:szCs w:val="14"/>
          <w:b w:val="1"/>
          <w:bCs w:val="1"/>
          <w:color w:val="auto"/>
        </w:rPr>
        <w:t xml:space="preserve">Global Growth and Retention: </w:t>
      </w:r>
      <w:r>
        <w:rPr>
          <w:rFonts w:ascii="Arial" w:cs="Arial" w:eastAsia="Arial" w:hAnsi="Arial"/>
          <w:sz w:val="14"/>
          <w:szCs w:val="14"/>
          <w:color w:val="auto"/>
        </w:rPr>
        <w:t>Headcount exceeded 10,000</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up 14% year-over-year, while turnover rate stayed at less than half the industry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441960</wp:posOffset>
            </wp:positionV>
            <wp:extent cx="64465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5300" w:space="720"/>
            <w:col w:w="5220"/>
          </w:cols>
          <w:pgMar w:left="320" w:top="572" w:right="339" w:bottom="1440" w:gutter="0" w:footer="0" w:header="0"/>
          <w:type w:val="continuous"/>
        </w:sectPr>
      </w:pPr>
    </w:p>
    <w:p>
      <w:pPr>
        <w:spacing w:after="0" w:line="219" w:lineRule="exact"/>
        <w:rPr>
          <w:sz w:val="20"/>
          <w:szCs w:val="20"/>
          <w:color w:val="auto"/>
        </w:rPr>
      </w:pPr>
    </w:p>
    <w:p>
      <w:pPr>
        <w:ind w:left="720" w:right="560" w:hanging="172"/>
        <w:spacing w:after="0" w:line="247" w:lineRule="auto"/>
        <w:tabs>
          <w:tab w:leader="none" w:pos="720" w:val="left"/>
        </w:tabs>
        <w:numPr>
          <w:ilvl w:val="0"/>
          <w:numId w:val="83"/>
        </w:numPr>
        <w:rPr>
          <w:rFonts w:ascii="Arial" w:cs="Arial" w:eastAsia="Arial" w:hAnsi="Arial"/>
          <w:sz w:val="14"/>
          <w:szCs w:val="14"/>
          <w:color w:val="215AA8"/>
        </w:rPr>
      </w:pPr>
      <w:r>
        <w:rPr>
          <w:rFonts w:ascii="Arial" w:cs="Arial" w:eastAsia="Arial" w:hAnsi="Arial"/>
          <w:sz w:val="14"/>
          <w:szCs w:val="14"/>
          <w:color w:val="1A1A1A"/>
        </w:rPr>
        <w:t>In January 2022, the FDA revised the EUA for REGEN-COV to exclude its use in geographic regions where, based on available information including variant susceptibility and regional variant frequency, infection or exposure is likely due to a variant such as Omicron (B.1.1.529) that is not susceptible to the treatment. With this EUA revision, REGEN-COV is not currently authorized for use in any U.S. states, territories, or jurisdictions, since Omicron is currently the dominant variant across the United States.</w:t>
      </w:r>
    </w:p>
    <w:p>
      <w:pPr>
        <w:spacing w:after="0" w:line="66" w:lineRule="exact"/>
        <w:rPr>
          <w:sz w:val="20"/>
          <w:szCs w:val="20"/>
          <w:color w:val="auto"/>
        </w:rPr>
      </w:pPr>
    </w:p>
    <w:p>
      <w:pPr>
        <w:ind w:left="720" w:hanging="172"/>
        <w:spacing w:after="0"/>
        <w:tabs>
          <w:tab w:leader="none" w:pos="720" w:val="left"/>
        </w:tabs>
        <w:numPr>
          <w:ilvl w:val="0"/>
          <w:numId w:val="84"/>
        </w:numPr>
        <w:rPr>
          <w:rFonts w:ascii="Arial" w:cs="Arial" w:eastAsia="Arial" w:hAnsi="Arial"/>
          <w:sz w:val="14"/>
          <w:szCs w:val="14"/>
          <w:color w:val="215AA8"/>
        </w:rPr>
      </w:pPr>
      <w:r>
        <w:rPr>
          <w:rFonts w:ascii="Arial" w:cs="Arial" w:eastAsia="Arial" w:hAnsi="Arial"/>
          <w:sz w:val="14"/>
          <w:szCs w:val="14"/>
          <w:color w:val="1A1A1A"/>
        </w:rPr>
        <w:t>Our collaborator Bayer records net product sales of EYLEA outside the United States.</w:t>
      </w:r>
    </w:p>
    <w:p>
      <w:pPr>
        <w:spacing w:after="0" w:line="82" w:lineRule="exact"/>
        <w:rPr>
          <w:sz w:val="20"/>
          <w:szCs w:val="20"/>
          <w:color w:val="auto"/>
        </w:rPr>
      </w:pPr>
    </w:p>
    <w:p>
      <w:pPr>
        <w:ind w:left="720" w:hanging="172"/>
        <w:spacing w:after="0"/>
        <w:tabs>
          <w:tab w:leader="none" w:pos="720" w:val="left"/>
        </w:tabs>
        <w:numPr>
          <w:ilvl w:val="0"/>
          <w:numId w:val="85"/>
        </w:numPr>
        <w:rPr>
          <w:rFonts w:ascii="Arial" w:cs="Arial" w:eastAsia="Arial" w:hAnsi="Arial"/>
          <w:sz w:val="14"/>
          <w:szCs w:val="14"/>
          <w:color w:val="215AA8"/>
        </w:rPr>
      </w:pPr>
      <w:r>
        <w:rPr>
          <w:rFonts w:ascii="Arial" w:cs="Arial" w:eastAsia="Arial" w:hAnsi="Arial"/>
          <w:sz w:val="14"/>
          <w:szCs w:val="14"/>
          <w:color w:val="1A1A1A"/>
        </w:rPr>
        <w:t>Our collaborator Sanofi records global net product sales of Dupixent and net product sales of Libtayo outside the United States.</w:t>
      </w:r>
    </w:p>
    <w:p>
      <w:pPr>
        <w:spacing w:after="0" w:line="77" w:lineRule="exact"/>
        <w:rPr>
          <w:sz w:val="20"/>
          <w:szCs w:val="20"/>
          <w:color w:val="auto"/>
        </w:rPr>
      </w:pPr>
    </w:p>
    <w:p>
      <w:pPr>
        <w:ind w:left="720" w:right="560" w:hanging="172"/>
        <w:spacing w:after="0" w:line="182" w:lineRule="auto"/>
        <w:tabs>
          <w:tab w:leader="none" w:pos="720" w:val="left"/>
        </w:tabs>
        <w:numPr>
          <w:ilvl w:val="0"/>
          <w:numId w:val="86"/>
        </w:numPr>
        <w:rPr>
          <w:rFonts w:ascii="Arial" w:cs="Arial" w:eastAsia="Arial" w:hAnsi="Arial"/>
          <w:sz w:val="28"/>
          <w:szCs w:val="28"/>
          <w:color w:val="215AA8"/>
          <w:vertAlign w:val="superscript"/>
        </w:rPr>
      </w:pPr>
      <w:r>
        <w:rPr>
          <w:rFonts w:ascii="Arial" w:cs="Arial" w:eastAsia="Arial" w:hAnsi="Arial"/>
          <w:sz w:val="14"/>
          <w:szCs w:val="14"/>
          <w:color w:val="1A1A1A"/>
        </w:rPr>
        <w:t>The casirivimab and imdevimab antibody cocktail is known as REGEN-COV in the United States and Ronaprove</w:t>
      </w:r>
      <w:r>
        <w:rPr>
          <w:rFonts w:ascii="Arial" w:cs="Arial" w:eastAsia="Arial" w:hAnsi="Arial"/>
          <w:sz w:val="22"/>
          <w:szCs w:val="22"/>
          <w:color w:val="1A1A1A"/>
          <w:vertAlign w:val="superscript"/>
        </w:rPr>
        <w:t>TM</w:t>
      </w:r>
      <w:r>
        <w:rPr>
          <w:rFonts w:ascii="Arial" w:cs="Arial" w:eastAsia="Arial" w:hAnsi="Arial"/>
          <w:sz w:val="14"/>
          <w:szCs w:val="14"/>
          <w:color w:val="1A1A1A"/>
        </w:rPr>
        <w:t xml:space="preserve"> in other countries. The Company records net product sales of REGEN-COV in the United States and Roche records net product sales of Ronapreve outside the United States.</w:t>
      </w:r>
    </w:p>
    <w:p>
      <w:pPr>
        <w:spacing w:after="0" w:line="71" w:lineRule="exact"/>
        <w:rPr>
          <w:sz w:val="20"/>
          <w:szCs w:val="20"/>
          <w:color w:val="auto"/>
        </w:rPr>
      </w:pPr>
    </w:p>
    <w:p>
      <w:pPr>
        <w:ind w:left="720" w:right="720" w:hanging="172"/>
        <w:spacing w:after="0" w:line="249" w:lineRule="auto"/>
        <w:tabs>
          <w:tab w:leader="none" w:pos="720" w:val="left"/>
        </w:tabs>
        <w:numPr>
          <w:ilvl w:val="0"/>
          <w:numId w:val="87"/>
        </w:numPr>
        <w:rPr>
          <w:rFonts w:ascii="Arial" w:cs="Arial" w:eastAsia="Arial" w:hAnsi="Arial"/>
          <w:sz w:val="14"/>
          <w:szCs w:val="14"/>
          <w:color w:val="215AA8"/>
        </w:rPr>
      </w:pPr>
      <w:r>
        <w:rPr>
          <w:rFonts w:ascii="Arial" w:cs="Arial" w:eastAsia="Arial" w:hAnsi="Arial"/>
          <w:sz w:val="14"/>
          <w:szCs w:val="14"/>
          <w:color w:val="1A1A1A"/>
        </w:rPr>
        <w:t>Revenues excluding REGEN-COV, non-GAAP net income, and non-GAAP net income per share, or EPS, are not measures calculated in accordance with GAAP. See Appendix A for a definition of these measures and a reconciliation of each of these measures to the most directly comparable GAAP financial measure.</w:t>
      </w:r>
    </w:p>
    <w:p>
      <w:pPr>
        <w:spacing w:after="0" w:line="66" w:lineRule="exact"/>
        <w:rPr>
          <w:sz w:val="20"/>
          <w:szCs w:val="20"/>
          <w:color w:val="auto"/>
        </w:rPr>
      </w:pPr>
    </w:p>
    <w:p>
      <w:pPr>
        <w:ind w:left="720" w:hanging="172"/>
        <w:spacing w:after="0"/>
        <w:tabs>
          <w:tab w:leader="none" w:pos="720" w:val="left"/>
        </w:tabs>
        <w:numPr>
          <w:ilvl w:val="0"/>
          <w:numId w:val="88"/>
        </w:numPr>
        <w:rPr>
          <w:rFonts w:ascii="Arial" w:cs="Arial" w:eastAsia="Arial" w:hAnsi="Arial"/>
          <w:sz w:val="14"/>
          <w:szCs w:val="14"/>
          <w:color w:val="215AA8"/>
        </w:rPr>
      </w:pPr>
      <w:r>
        <w:rPr>
          <w:rFonts w:ascii="Arial" w:cs="Arial" w:eastAsia="Arial" w:hAnsi="Arial"/>
          <w:sz w:val="14"/>
          <w:szCs w:val="14"/>
          <w:color w:val="1A1A1A"/>
        </w:rPr>
        <w:t>Of the $3.0 billion authorized for future repurchases, $2.8 billion remained available as of December 31, 2021.</w:t>
      </w:r>
    </w:p>
    <w:p>
      <w:pPr>
        <w:spacing w:after="0" w:line="18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56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type w:val="continuous"/>
        </w:sectPr>
      </w:pPr>
    </w:p>
    <w:bookmarkStart w:id="71" w:name="page72"/>
    <w:bookmarkEnd w:id="71"/>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Our stock performed well in 2021, delivering a total shareholder return (“TSR”) of 32% and outperforming each of the benchmarks shown in the chart below over this period. In addition, our stock significantly outperformed each of these benchmarks over the 10-year period ended December 31, 2021. While we cannot predict or control the performance of our stock price in any particular period, we believe that our Company’s performance is best assessed from a long-term perspective, consistent with the long-term nature of the drug discovery and development cycle. We also believe that if we continue to deliver pipeline, operational, and financial results, the creation of shareholder value and stock price appreciation will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100965</wp:posOffset>
            </wp:positionV>
            <wp:extent cx="6446520" cy="17487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4652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Arial" w:cs="Arial" w:eastAsia="Arial" w:hAnsi="Arial"/>
          <w:sz w:val="14"/>
          <w:szCs w:val="14"/>
          <w:color w:val="1A1A1A"/>
        </w:rPr>
        <w:t>*TSR data reflect total returns (stock price appreciation and, if applicable, reinvested dividends).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2021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680"/>
        <w:spacing w:after="0" w:line="230" w:lineRule="auto"/>
        <w:rPr>
          <w:sz w:val="20"/>
          <w:szCs w:val="20"/>
          <w:color w:val="auto"/>
        </w:rPr>
      </w:pPr>
      <w:r>
        <w:rPr>
          <w:rFonts w:ascii="Arial" w:cs="Arial" w:eastAsia="Arial" w:hAnsi="Arial"/>
          <w:sz w:val="16"/>
          <w:szCs w:val="16"/>
          <w:color w:val="auto"/>
        </w:rPr>
        <w:t>Our compensation program continues to evolve as the Company grows, our competition changes, and our business and operating environments transform. A decade ago we had one-fifth of the employees we have today, a Company-wide equity compensation program comprised entirely of stock options, and equity award guidelines that sized all awards based on the number of underlying shares, resulting in an annual burn rate of almost 5% of common shares outstanding. In recognition of the impact of our growth on the use of equity and in response to shareholder feedback, commencing in 2013, we implemented eight straight years of equity award guideline reductions; and in 2019 and 2020, we introduced and then expanded the use of full-value awards as a component of our annual equity awards. As discussed below, we continued to evolve our compensation program in 2021 and achieved a burn rate of 3.1%, the lowest level in the last decade, despite keeping our broad-based equity program intact and growing to over 10,000 employees.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Key compensation decisions since the 2021 annual shareholder meeting are highlighted below.</w:t>
      </w:r>
    </w:p>
    <w:p>
      <w:pPr>
        <w:spacing w:after="0" w:line="147" w:lineRule="exact"/>
        <w:rPr>
          <w:sz w:val="20"/>
          <w:szCs w:val="20"/>
          <w:color w:val="auto"/>
        </w:rPr>
      </w:pPr>
    </w:p>
    <w:p>
      <w:pPr>
        <w:ind w:left="540" w:right="560" w:firstLine="8"/>
        <w:spacing w:after="0" w:line="234" w:lineRule="auto"/>
        <w:tabs>
          <w:tab w:leader="none" w:pos="714" w:val="left"/>
        </w:tabs>
        <w:numPr>
          <w:ilvl w:val="0"/>
          <w:numId w:val="89"/>
        </w:numPr>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Implemented Annual Say-on-Pay. </w:t>
      </w:r>
      <w:r>
        <w:rPr>
          <w:rFonts w:ascii="Arial" w:cs="Arial" w:eastAsia="Arial" w:hAnsi="Arial"/>
          <w:sz w:val="16"/>
          <w:szCs w:val="16"/>
          <w:color w:val="000000"/>
        </w:rPr>
        <w:t>Earlier this year, after careful consideration of shareholder feedback received following the 2021 annual</w:t>
      </w:r>
      <w:r>
        <w:rPr>
          <w:rFonts w:ascii="Arial" w:cs="Arial" w:eastAsia="Arial" w:hAnsi="Arial"/>
          <w:sz w:val="16"/>
          <w:szCs w:val="16"/>
          <w:b w:val="1"/>
          <w:bCs w:val="1"/>
          <w:color w:val="215BA8"/>
        </w:rPr>
        <w:t xml:space="preserve"> </w:t>
      </w:r>
      <w:r>
        <w:rPr>
          <w:rFonts w:ascii="Arial" w:cs="Arial" w:eastAsia="Arial" w:hAnsi="Arial"/>
          <w:sz w:val="16"/>
          <w:szCs w:val="16"/>
          <w:color w:val="000000"/>
        </w:rPr>
        <w:t>shareholder meeting, our board of directors voluntarily changed the frequency of our say-on-pay votes from every three years to every year, commencing at the 2022 Annual Meeting. In making this important change, the board recognized the significance of giving our shareholders the opportunity to formally weigh in on our compensation program every year. While recognizing that in 2017 our shareholders approved a triennial vote frequency and that the next frequency vote was not scheduled until 2023, our board concluded that the 2017 vote did not reflect current views of our shareholders, based on the shareholder feedback we had received, and that it was in the best interests of shareholders to unilaterally adopt an annual say-on-pay vote effective immediately.</w:t>
      </w:r>
    </w:p>
    <w:p>
      <w:pPr>
        <w:spacing w:after="0" w:line="148" w:lineRule="exact"/>
        <w:rPr>
          <w:rFonts w:ascii="Arial" w:cs="Arial" w:eastAsia="Arial" w:hAnsi="Arial"/>
          <w:sz w:val="16"/>
          <w:szCs w:val="16"/>
          <w:b w:val="1"/>
          <w:bCs w:val="1"/>
          <w:color w:val="215BA8"/>
        </w:rPr>
      </w:pPr>
    </w:p>
    <w:p>
      <w:pPr>
        <w:ind w:left="540" w:right="680" w:firstLine="8"/>
        <w:spacing w:after="0" w:line="234" w:lineRule="auto"/>
        <w:tabs>
          <w:tab w:leader="none" w:pos="714" w:val="left"/>
        </w:tabs>
        <w:numPr>
          <w:ilvl w:val="0"/>
          <w:numId w:val="89"/>
        </w:numPr>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Reaffirmed Commitment to Issue No Equity Awards for CEO and CSO Before December 2025. </w:t>
      </w:r>
      <w:r>
        <w:rPr>
          <w:rFonts w:ascii="Arial" w:cs="Arial" w:eastAsia="Arial" w:hAnsi="Arial"/>
          <w:sz w:val="16"/>
          <w:szCs w:val="16"/>
          <w:color w:val="000000"/>
        </w:rPr>
        <w:t>In response to shareholder feedback, the</w:t>
      </w:r>
      <w:r>
        <w:rPr>
          <w:rFonts w:ascii="Arial" w:cs="Arial" w:eastAsia="Arial" w:hAnsi="Arial"/>
          <w:sz w:val="16"/>
          <w:szCs w:val="16"/>
          <w:b w:val="1"/>
          <w:bCs w:val="1"/>
          <w:color w:val="215BA8"/>
        </w:rPr>
        <w:t xml:space="preserve"> </w:t>
      </w:r>
      <w:r>
        <w:rPr>
          <w:rFonts w:ascii="Arial" w:cs="Arial" w:eastAsia="Arial" w:hAnsi="Arial"/>
          <w:sz w:val="16"/>
          <w:szCs w:val="16"/>
          <w:color w:val="000000"/>
        </w:rPr>
        <w:t>board and the Compensation Committee reaffirmed in this proxy statement their commitment to issue no equity awards to our CEO and CSO before the Company’s regular year-end grant cycle in December 2025. While this commitment was given at the time of grant of the front-loaded performance restricted stock units (“PSUs”) to our CEO and CSO in December 2020, the board and the Compensation Committee determined to reaffirm that the PSUs are intended to replace five years’ worth of annual equity awards and that these executives will not be eligible for new grants of equity awards until December 2025. See “Compensation Discussion and Analysis–Components of Executive Pay: What We Pay and Why We Pay It–Annual Equity Awards” for more information on these PSU awards and this commitment.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57</w:t>
            </w:r>
          </w:p>
        </w:tc>
      </w:tr>
      <w:tr>
        <w:trPr>
          <w:trHeight w:val="194"/>
        </w:trPr>
        <w:tc>
          <w:tcPr>
            <w:tcW w:w="8200" w:type="dxa"/>
            <w:vAlign w:val="bottom"/>
            <w:tcBorders>
              <w:bottom w:val="single" w:sz="8" w:color="C0C0C0"/>
            </w:tcBorders>
          </w:tcPr>
          <w:p>
            <w:pPr>
              <w:spacing w:after="0"/>
              <w:rPr>
                <w:sz w:val="16"/>
                <w:szCs w:val="16"/>
                <w:color w:val="auto"/>
              </w:rPr>
            </w:pPr>
          </w:p>
        </w:tc>
        <w:tc>
          <w:tcPr>
            <w:tcW w:w="3040" w:type="dxa"/>
            <w:vAlign w:val="bottom"/>
            <w:tcBorders>
              <w:bottom w:val="single" w:sz="8" w:color="C0C0C0"/>
            </w:tcBorders>
          </w:tcPr>
          <w:p>
            <w:pPr>
              <w:spacing w:after="0"/>
              <w:rPr>
                <w:sz w:val="16"/>
                <w:szCs w:val="16"/>
                <w:color w:val="auto"/>
              </w:rPr>
            </w:pPr>
          </w:p>
        </w:tc>
      </w:tr>
    </w:tbl>
    <w:p>
      <w:pPr>
        <w:sectPr>
          <w:pgSz w:w="11900" w:h="16838" w:orient="portrait"/>
          <w:cols w:equalWidth="0" w:num="1">
            <w:col w:w="11240"/>
          </w:cols>
          <w:pgMar w:left="320" w:top="572" w:right="339" w:bottom="1440" w:gutter="0" w:footer="0" w:header="0"/>
        </w:sectPr>
      </w:pPr>
    </w:p>
    <w:bookmarkStart w:id="72" w:name="page73"/>
    <w:bookmarkEnd w:id="72"/>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40" w:right="580" w:firstLine="8"/>
        <w:spacing w:after="0" w:line="232" w:lineRule="auto"/>
        <w:tabs>
          <w:tab w:leader="none" w:pos="714" w:val="left"/>
        </w:tabs>
        <w:numPr>
          <w:ilvl w:val="0"/>
          <w:numId w:val="90"/>
        </w:numPr>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Revised Equity Award Guidelines to Reflect Value-Based Approach and Continued to Use Full-Value Awards for Portion of Equity Grants. </w:t>
      </w:r>
      <w:r>
        <w:rPr>
          <w:rFonts w:ascii="Arial" w:cs="Arial" w:eastAsia="Arial" w:hAnsi="Arial"/>
          <w:sz w:val="16"/>
          <w:szCs w:val="16"/>
          <w:color w:val="000000"/>
        </w:rPr>
        <w:t>In 2021, the Compensation Committee approved changes to the Company’s equity award guidelines to express all awards in dollar terms</w:t>
      </w:r>
      <w:r>
        <w:rPr>
          <w:rFonts w:ascii="Arial" w:cs="Arial" w:eastAsia="Arial" w:hAnsi="Arial"/>
          <w:sz w:val="16"/>
          <w:szCs w:val="16"/>
          <w:b w:val="1"/>
          <w:bCs w:val="1"/>
          <w:color w:val="215BA8"/>
        </w:rPr>
        <w:t xml:space="preserve"> </w:t>
      </w:r>
      <w:r>
        <w:rPr>
          <w:rFonts w:ascii="Arial" w:cs="Arial" w:eastAsia="Arial" w:hAnsi="Arial"/>
          <w:sz w:val="16"/>
          <w:szCs w:val="16"/>
          <w:color w:val="000000"/>
        </w:rPr>
        <w:t>(i.e., grant date fair value). Prior to 2019, the sizing of equity awards was determined based on the number of underlying shares, rather than the target grant date fair value; and in 2019 and 2020, we utilized hybrid guidelines. The current approach allows for value delivery to be normalized and predictable year-over-year, an important consideration for the top talent we seek to attract and retain, and better aligns with industry peers of similar size, maturity, and growth trajectory. It also resulted in lowering the Company’s burn rate in 2021 and helped address feedback relating to the levels of burn rate viewed as acceptable by some of our shareholders. In 2021, our burn rate was 3.1%, the lowest level in the last decade, despite keeping our broad-based equity program intact and increasing the number of our employees by 14% year-over-year, as shown in the chart below. As had been the case since 2019, in 2021 the Compensation Committee used a mix of stock options and full-value equity awards for NEOs below the CEO/CSO level and for other employees, with the full-value awards consisting of restricted stock awards (“RSAs”) and, for employees outside the United States, restricted stock units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103505</wp:posOffset>
            </wp:positionV>
            <wp:extent cx="6446520" cy="19373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44652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720" w:right="760" w:hanging="172"/>
        <w:spacing w:after="0" w:line="249" w:lineRule="auto"/>
        <w:tabs>
          <w:tab w:leader="none" w:pos="720" w:val="left"/>
        </w:tabs>
        <w:numPr>
          <w:ilvl w:val="0"/>
          <w:numId w:val="91"/>
        </w:numPr>
        <w:rPr>
          <w:rFonts w:ascii="Arial" w:cs="Arial" w:eastAsia="Arial" w:hAnsi="Arial"/>
          <w:sz w:val="14"/>
          <w:szCs w:val="14"/>
          <w:color w:val="1A1A1A"/>
        </w:rPr>
      </w:pPr>
      <w:r>
        <w:rPr>
          <w:rFonts w:ascii="Arial" w:cs="Arial" w:eastAsia="Arial" w:hAnsi="Arial"/>
          <w:sz w:val="14"/>
          <w:szCs w:val="14"/>
          <w:color w:val="1A1A1A"/>
        </w:rPr>
        <w:t>Burn rate calculated by dividing (a) the sum of (i) the number of shares subject to equity awards (stock options, RSAs, and RSUs) granted during the year and (ii) PSUs earned during the year (if any), by (b) the basic weighted-average number of shares of common stock and Class A stock outstanding during the year. Headcount numbers based on the number of employees as of December 31 of the applicable year.</w:t>
      </w:r>
    </w:p>
    <w:p>
      <w:pPr>
        <w:spacing w:after="0" w:line="142" w:lineRule="exact"/>
        <w:rPr>
          <w:sz w:val="20"/>
          <w:szCs w:val="20"/>
          <w:color w:val="auto"/>
        </w:rPr>
      </w:pPr>
    </w:p>
    <w:p>
      <w:pPr>
        <w:ind w:left="540" w:right="600" w:firstLine="8"/>
        <w:spacing w:after="0" w:line="235" w:lineRule="auto"/>
        <w:tabs>
          <w:tab w:leader="none" w:pos="714" w:val="left"/>
        </w:tabs>
        <w:numPr>
          <w:ilvl w:val="0"/>
          <w:numId w:val="92"/>
        </w:numPr>
        <w:rPr>
          <w:rFonts w:ascii="Arial" w:cs="Arial" w:eastAsia="Arial" w:hAnsi="Arial"/>
          <w:sz w:val="16"/>
          <w:szCs w:val="16"/>
          <w:b w:val="1"/>
          <w:bCs w:val="1"/>
          <w:color w:val="215BA8"/>
        </w:rPr>
      </w:pPr>
      <w:r>
        <w:rPr>
          <w:rFonts w:ascii="Arial" w:cs="Arial" w:eastAsia="Arial" w:hAnsi="Arial"/>
          <w:sz w:val="16"/>
          <w:szCs w:val="16"/>
          <w:b w:val="1"/>
          <w:bCs w:val="1"/>
          <w:color w:val="215BA8"/>
        </w:rPr>
        <w:t xml:space="preserve">Set Lower Company Performance Multiplier for Annual Cash Incentive Awards. </w:t>
      </w:r>
      <w:r>
        <w:rPr>
          <w:rFonts w:ascii="Arial" w:cs="Arial" w:eastAsia="Arial" w:hAnsi="Arial"/>
          <w:sz w:val="16"/>
          <w:szCs w:val="16"/>
          <w:color w:val="000000"/>
        </w:rPr>
        <w:t>For 2021, the Compensation Committee set the Company</w:t>
      </w:r>
      <w:r>
        <w:rPr>
          <w:rFonts w:ascii="Arial" w:cs="Arial" w:eastAsia="Arial" w:hAnsi="Arial"/>
          <w:sz w:val="16"/>
          <w:szCs w:val="16"/>
          <w:b w:val="1"/>
          <w:bCs w:val="1"/>
          <w:color w:val="215BA8"/>
        </w:rPr>
        <w:t xml:space="preserve"> </w:t>
      </w:r>
      <w:r>
        <w:rPr>
          <w:rFonts w:ascii="Arial" w:cs="Arial" w:eastAsia="Arial" w:hAnsi="Arial"/>
          <w:sz w:val="16"/>
          <w:szCs w:val="16"/>
          <w:color w:val="000000"/>
        </w:rPr>
        <w:t>performance multiplier for annual cash incentive awards to all eligible employees at 1.9. In so doing, the Compensation Committee reduced the multiplier from the previous year (2.25) (when Regeneron successfully discovered, developed, and commenced manufacturing of REGEN-COV in record time) to remain within the range historically used (0 to 2.0) and recognized another year of outstanding Company performance, including the achievements discussed above and in the subsection “Components of Executive Pay: What We Pay and Why We Pay It—Annual Cash Incentives.”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SHAREHOLDER ENGAGEMENT AND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19" w:lineRule="exact"/>
        <w:rPr>
          <w:sz w:val="20"/>
          <w:szCs w:val="20"/>
          <w:color w:val="auto"/>
        </w:rPr>
      </w:pPr>
    </w:p>
    <w:p>
      <w:pPr>
        <w:ind w:left="540" w:right="600"/>
        <w:spacing w:after="0" w:line="232" w:lineRule="auto"/>
        <w:rPr>
          <w:sz w:val="20"/>
          <w:szCs w:val="20"/>
          <w:color w:val="auto"/>
        </w:rPr>
      </w:pPr>
      <w:r>
        <w:rPr>
          <w:rFonts w:ascii="Arial" w:cs="Arial" w:eastAsia="Arial" w:hAnsi="Arial"/>
          <w:sz w:val="16"/>
          <w:szCs w:val="16"/>
          <w:color w:val="auto"/>
        </w:rPr>
        <w:t>In addition to establishing an executive compensation program that aligns with our corporate culture and pay philosophy, we seek the views of our shareholders and annually engage with our investor base to solicit ideas, input, and direct feedback. We do this not only formally through our say-on-pay vote but also through direct discussions with our shareholders and informal exchanges in other settings. Feedback from these outreach efforts informs the Compensation Committee’s decision-making when evaluating our current compensation program and considering any potential modifications.</w:t>
      </w:r>
    </w:p>
    <w:p>
      <w:pPr>
        <w:spacing w:after="0" w:line="164"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In the last decade, we have actively and regularly engaged with our key shareholders to receive feedback on many important areas including governance, compensation, and corporate responsibility matters. Following the 2021 annual shareholder meeting, once again our board of directors and senior management team embarked on an extensive, in-depth engagement to gather insight into shareholder voting decisions at that meeting and to solicit feedback from key shareholders on compensation and governance matters. We reached out to shareholders collectively representing nearly 60% of the shares of common stock outstanding as of December 31, 2021 (excluding shares held by our directors and executive officers), which we refer to as “public shares.” This outreach resulted in one-on-one discussions with shareholders representing over 40% of our public shares. In addition, we engaged with the two largest proxy advisory firms.</w:t>
      </w:r>
    </w:p>
    <w:p>
      <w:pPr>
        <w:spacing w:after="0" w:line="164" w:lineRule="exact"/>
        <w:rPr>
          <w:sz w:val="20"/>
          <w:szCs w:val="20"/>
          <w:color w:val="auto"/>
        </w:rPr>
      </w:pPr>
    </w:p>
    <w:p>
      <w:pPr>
        <w:jc w:val="both"/>
        <w:ind w:left="540" w:right="620"/>
        <w:spacing w:after="0" w:line="234" w:lineRule="auto"/>
        <w:rPr>
          <w:sz w:val="20"/>
          <w:szCs w:val="20"/>
          <w:color w:val="auto"/>
        </w:rPr>
      </w:pPr>
      <w:r>
        <w:rPr>
          <w:rFonts w:ascii="Arial" w:cs="Arial" w:eastAsia="Arial" w:hAnsi="Arial"/>
          <w:sz w:val="16"/>
          <w:szCs w:val="16"/>
          <w:color w:val="auto"/>
        </w:rPr>
        <w:t>The feedback we received in 2021 was again an important factor in board and committee discussions, which led to the adoption of an annual say-on-pay frequency commencing with the 2022 Annual Meeting as well as several other actions described elsewhere in this CD&amp;A, as summarized in the subsection “Compensation Discussion and Analysis–Compensation Processes–Shareholder Input and Outreach.”</w:t>
      </w:r>
    </w:p>
    <w:p>
      <w:pPr>
        <w:spacing w:after="0" w:line="17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58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73" w:name="page74"/>
    <w:bookmarkEnd w:id="73"/>
    <w:p>
      <w:pPr>
        <w:ind w:left="470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HOW OUR PAY PROGRAM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46" w:lineRule="exact"/>
        <w:rPr>
          <w:sz w:val="20"/>
          <w:szCs w:val="20"/>
          <w:color w:val="auto"/>
        </w:rPr>
      </w:pPr>
    </w:p>
    <w:p>
      <w:pPr>
        <w:ind w:left="540" w:right="660"/>
        <w:spacing w:after="0" w:line="232" w:lineRule="auto"/>
        <w:rPr>
          <w:sz w:val="20"/>
          <w:szCs w:val="20"/>
          <w:color w:val="auto"/>
        </w:rPr>
      </w:pPr>
      <w:r>
        <w:rPr>
          <w:rFonts w:ascii="Arial" w:cs="Arial" w:eastAsia="Arial" w:hAnsi="Arial"/>
          <w:sz w:val="16"/>
          <w:szCs w:val="16"/>
          <w:color w:val="auto"/>
        </w:rPr>
        <w:t>As discussed above, our compensation program’s structure and design are shaped by how closely we tie our pay practices to our mission, strategy, and business model; our ongoing, company-wide pay philosophy; and our process for seeking and carefully considering valuable shareholder feedback each year. The compensation program for NEOs follows the same principles we apply throughout the organization, with an even greater emphasis on equity compensation to ensure our leadership’s interests are aligned with our long-term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100965</wp:posOffset>
            </wp:positionV>
            <wp:extent cx="5572125" cy="17570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7212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 create an effective executive compensation structure, our Compensation Committee relied on the following compensation elements for our</w:t>
      </w:r>
    </w:p>
    <w:p>
      <w:pPr>
        <w:ind w:left="540"/>
        <w:spacing w:after="0"/>
        <w:rPr>
          <w:sz w:val="20"/>
          <w:szCs w:val="20"/>
          <w:color w:val="auto"/>
        </w:rPr>
      </w:pPr>
      <w:r>
        <w:rPr>
          <w:rFonts w:ascii="Arial" w:cs="Arial" w:eastAsia="Arial" w:hAnsi="Arial"/>
          <w:sz w:val="16"/>
          <w:szCs w:val="16"/>
          <w:color w:val="auto"/>
        </w:rPr>
        <w:t>NEOs in 2021 and recent years:</w:t>
      </w:r>
    </w:p>
    <w:p>
      <w:pPr>
        <w:spacing w:after="0" w:line="135"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1540" w:type="dxa"/>
            <w:vAlign w:val="bottom"/>
            <w:tcBorders>
              <w:bottom w:val="single" w:sz="8" w:color="215BA8"/>
            </w:tcBorders>
          </w:tcPr>
          <w:p>
            <w:pPr>
              <w:spacing w:after="0"/>
              <w:rPr>
                <w:sz w:val="15"/>
                <w:szCs w:val="15"/>
                <w:color w:val="auto"/>
              </w:rPr>
            </w:pPr>
          </w:p>
        </w:tc>
        <w:tc>
          <w:tcPr>
            <w:tcW w:w="1020" w:type="dxa"/>
            <w:vAlign w:val="bottom"/>
            <w:tcBorders>
              <w:bottom w:val="single" w:sz="8" w:color="215BA8"/>
            </w:tcBorders>
          </w:tcPr>
          <w:p>
            <w:pPr>
              <w:ind w:left="80"/>
              <w:spacing w:after="0"/>
              <w:rPr>
                <w:sz w:val="20"/>
                <w:szCs w:val="20"/>
                <w:color w:val="auto"/>
              </w:rPr>
            </w:pPr>
            <w:r>
              <w:rPr>
                <w:rFonts w:ascii="Arial" w:cs="Arial" w:eastAsia="Arial" w:hAnsi="Arial"/>
                <w:sz w:val="12"/>
                <w:szCs w:val="12"/>
                <w:b w:val="1"/>
                <w:bCs w:val="1"/>
                <w:color w:val="215BA8"/>
              </w:rPr>
              <w:t>Period</w:t>
            </w:r>
          </w:p>
        </w:tc>
        <w:tc>
          <w:tcPr>
            <w:tcW w:w="1520" w:type="dxa"/>
            <w:vAlign w:val="bottom"/>
            <w:tcBorders>
              <w:bottom w:val="single" w:sz="8" w:color="215BA8"/>
            </w:tcBorders>
          </w:tcPr>
          <w:p>
            <w:pPr>
              <w:ind w:left="80"/>
              <w:spacing w:after="0"/>
              <w:rPr>
                <w:sz w:val="20"/>
                <w:szCs w:val="20"/>
                <w:color w:val="auto"/>
              </w:rPr>
            </w:pPr>
            <w:r>
              <w:rPr>
                <w:rFonts w:ascii="Arial" w:cs="Arial" w:eastAsia="Arial" w:hAnsi="Arial"/>
                <w:sz w:val="12"/>
                <w:szCs w:val="12"/>
                <w:b w:val="1"/>
                <w:bCs w:val="1"/>
                <w:color w:val="215BA8"/>
              </w:rPr>
              <w:t>Element</w:t>
            </w:r>
          </w:p>
        </w:tc>
        <w:tc>
          <w:tcPr>
            <w:tcW w:w="3040" w:type="dxa"/>
            <w:vAlign w:val="bottom"/>
            <w:tcBorders>
              <w:bottom w:val="single" w:sz="8" w:color="215BA8"/>
            </w:tcBorders>
          </w:tcPr>
          <w:p>
            <w:pPr>
              <w:ind w:left="100"/>
              <w:spacing w:after="0"/>
              <w:rPr>
                <w:sz w:val="20"/>
                <w:szCs w:val="20"/>
                <w:color w:val="auto"/>
              </w:rPr>
            </w:pPr>
            <w:r>
              <w:rPr>
                <w:rFonts w:ascii="Arial" w:cs="Arial" w:eastAsia="Arial" w:hAnsi="Arial"/>
                <w:sz w:val="12"/>
                <w:szCs w:val="12"/>
                <w:b w:val="1"/>
                <w:bCs w:val="1"/>
                <w:color w:val="215BA8"/>
              </w:rPr>
              <w:t>Objective</w:t>
            </w:r>
          </w:p>
        </w:tc>
        <w:tc>
          <w:tcPr>
            <w:tcW w:w="3040" w:type="dxa"/>
            <w:vAlign w:val="bottom"/>
            <w:tcBorders>
              <w:bottom w:val="single" w:sz="8" w:color="215BA8"/>
            </w:tcBorders>
          </w:tcPr>
          <w:p>
            <w:pPr>
              <w:ind w:left="100"/>
              <w:spacing w:after="0"/>
              <w:rPr>
                <w:sz w:val="20"/>
                <w:szCs w:val="20"/>
                <w:color w:val="auto"/>
              </w:rPr>
            </w:pPr>
            <w:r>
              <w:rPr>
                <w:rFonts w:ascii="Arial" w:cs="Arial" w:eastAsia="Arial" w:hAnsi="Arial"/>
                <w:sz w:val="12"/>
                <w:szCs w:val="12"/>
                <w:b w:val="1"/>
                <w:bCs w:val="1"/>
                <w:color w:val="215BA8"/>
              </w:rPr>
              <w:t>Performance Measured/Rewarded</w:t>
            </w:r>
          </w:p>
        </w:tc>
        <w:tc>
          <w:tcPr>
            <w:tcW w:w="0" w:type="dxa"/>
            <w:vAlign w:val="bottom"/>
          </w:tcPr>
          <w:p>
            <w:pPr>
              <w:spacing w:after="0"/>
              <w:rPr>
                <w:sz w:val="1"/>
                <w:szCs w:val="1"/>
                <w:color w:val="auto"/>
              </w:rPr>
            </w:pPr>
          </w:p>
        </w:tc>
      </w:tr>
      <w:tr>
        <w:trPr>
          <w:trHeight w:val="194"/>
        </w:trPr>
        <w:tc>
          <w:tcPr>
            <w:tcW w:w="1540" w:type="dxa"/>
            <w:vAlign w:val="bottom"/>
            <w:vMerge w:val="restart"/>
            <w:shd w:val="clear" w:color="auto" w:fill="D1D2D4"/>
          </w:tcPr>
          <w:p>
            <w:pPr>
              <w:ind w:left="100"/>
              <w:spacing w:after="0"/>
              <w:rPr>
                <w:sz w:val="20"/>
                <w:szCs w:val="20"/>
                <w:color w:val="auto"/>
              </w:rPr>
            </w:pPr>
            <w:r>
              <w:rPr>
                <w:rFonts w:ascii="Arial" w:cs="Arial" w:eastAsia="Arial" w:hAnsi="Arial"/>
                <w:sz w:val="14"/>
                <w:szCs w:val="14"/>
                <w:b w:val="1"/>
                <w:bCs w:val="1"/>
                <w:color w:val="auto"/>
              </w:rPr>
              <w:t>FIXED</w:t>
            </w:r>
          </w:p>
        </w:tc>
        <w:tc>
          <w:tcPr>
            <w:tcW w:w="1020" w:type="dxa"/>
            <w:vAlign w:val="bottom"/>
            <w:shd w:val="clear" w:color="auto" w:fill="EEEFEF"/>
          </w:tcPr>
          <w:p>
            <w:pPr>
              <w:ind w:left="80"/>
              <w:spacing w:after="0"/>
              <w:rPr>
                <w:sz w:val="20"/>
                <w:szCs w:val="20"/>
                <w:color w:val="auto"/>
              </w:rPr>
            </w:pPr>
            <w:r>
              <w:rPr>
                <w:rFonts w:ascii="Arial" w:cs="Arial" w:eastAsia="Arial" w:hAnsi="Arial"/>
                <w:sz w:val="14"/>
                <w:szCs w:val="14"/>
                <w:color w:val="auto"/>
              </w:rPr>
              <w:t>Annual</w:t>
            </w:r>
          </w:p>
        </w:tc>
        <w:tc>
          <w:tcPr>
            <w:tcW w:w="1520" w:type="dxa"/>
            <w:vAlign w:val="bottom"/>
            <w:shd w:val="clear" w:color="auto" w:fill="EEEFEF"/>
          </w:tcPr>
          <w:p>
            <w:pPr>
              <w:ind w:left="80"/>
              <w:spacing w:after="0"/>
              <w:rPr>
                <w:sz w:val="20"/>
                <w:szCs w:val="20"/>
                <w:color w:val="auto"/>
              </w:rPr>
            </w:pPr>
            <w:r>
              <w:rPr>
                <w:rFonts w:ascii="Arial" w:cs="Arial" w:eastAsia="Arial" w:hAnsi="Arial"/>
                <w:sz w:val="14"/>
                <w:szCs w:val="14"/>
                <w:b w:val="1"/>
                <w:bCs w:val="1"/>
                <w:color w:val="auto"/>
              </w:rPr>
              <w:t>Base Salary</w:t>
            </w:r>
          </w:p>
        </w:tc>
        <w:tc>
          <w:tcPr>
            <w:tcW w:w="3040" w:type="dxa"/>
            <w:vAlign w:val="bottom"/>
            <w:shd w:val="clear" w:color="auto" w:fill="EEEFEF"/>
          </w:tcPr>
          <w:p>
            <w:pPr>
              <w:ind w:left="100"/>
              <w:spacing w:after="0"/>
              <w:rPr>
                <w:sz w:val="20"/>
                <w:szCs w:val="20"/>
                <w:color w:val="auto"/>
              </w:rPr>
            </w:pPr>
            <w:r>
              <w:rPr>
                <w:rFonts w:ascii="Arial" w:cs="Arial" w:eastAsia="Arial" w:hAnsi="Arial"/>
                <w:sz w:val="14"/>
                <w:szCs w:val="14"/>
                <w:color w:val="auto"/>
              </w:rPr>
              <w:t>Recognizes an individual’s role and</w:t>
            </w:r>
          </w:p>
        </w:tc>
        <w:tc>
          <w:tcPr>
            <w:tcW w:w="3040" w:type="dxa"/>
            <w:vAlign w:val="bottom"/>
            <w:shd w:val="clear" w:color="auto" w:fill="EEEFEF"/>
          </w:tcPr>
          <w:p>
            <w:pPr>
              <w:ind w:left="100"/>
              <w:spacing w:after="0"/>
              <w:rPr>
                <w:sz w:val="20"/>
                <w:szCs w:val="20"/>
                <w:color w:val="auto"/>
              </w:rPr>
            </w:pPr>
            <w:r>
              <w:rPr>
                <w:rFonts w:ascii="Arial" w:cs="Arial" w:eastAsia="Arial" w:hAnsi="Arial"/>
                <w:sz w:val="14"/>
                <w:szCs w:val="14"/>
                <w:color w:val="auto"/>
              </w:rPr>
              <w:t>Reviewed annually and set based on market</w:t>
            </w:r>
          </w:p>
        </w:tc>
        <w:tc>
          <w:tcPr>
            <w:tcW w:w="0" w:type="dxa"/>
            <w:vAlign w:val="bottom"/>
          </w:tcPr>
          <w:p>
            <w:pPr>
              <w:spacing w:after="0"/>
              <w:rPr>
                <w:sz w:val="1"/>
                <w:szCs w:val="1"/>
                <w:color w:val="auto"/>
              </w:rPr>
            </w:pPr>
          </w:p>
        </w:tc>
      </w:tr>
      <w:tr>
        <w:trPr>
          <w:trHeight w:val="162"/>
        </w:trPr>
        <w:tc>
          <w:tcPr>
            <w:tcW w:w="1540" w:type="dxa"/>
            <w:vAlign w:val="bottom"/>
            <w:vMerge w:val="continue"/>
            <w:shd w:val="clear" w:color="auto" w:fill="D1D2D4"/>
          </w:tcPr>
          <w:p>
            <w:pPr>
              <w:spacing w:after="0"/>
              <w:rPr>
                <w:sz w:val="14"/>
                <w:szCs w:val="14"/>
                <w:color w:val="auto"/>
              </w:rPr>
            </w:pPr>
          </w:p>
        </w:tc>
        <w:tc>
          <w:tcPr>
            <w:tcW w:w="1020" w:type="dxa"/>
            <w:vAlign w:val="bottom"/>
            <w:shd w:val="clear" w:color="auto" w:fill="EEEFEF"/>
          </w:tcPr>
          <w:p>
            <w:pPr>
              <w:spacing w:after="0"/>
              <w:rPr>
                <w:sz w:val="14"/>
                <w:szCs w:val="14"/>
                <w:color w:val="auto"/>
              </w:rPr>
            </w:pPr>
          </w:p>
        </w:tc>
        <w:tc>
          <w:tcPr>
            <w:tcW w:w="1520" w:type="dxa"/>
            <w:vAlign w:val="bottom"/>
            <w:shd w:val="clear" w:color="auto" w:fill="EEEFEF"/>
          </w:tcPr>
          <w:p>
            <w:pPr>
              <w:spacing w:after="0"/>
              <w:rPr>
                <w:sz w:val="14"/>
                <w:szCs w:val="14"/>
                <w:color w:val="auto"/>
              </w:rPr>
            </w:pPr>
          </w:p>
        </w:tc>
        <w:tc>
          <w:tcPr>
            <w:tcW w:w="3040" w:type="dxa"/>
            <w:vAlign w:val="bottom"/>
            <w:shd w:val="clear" w:color="auto" w:fill="EEEFEF"/>
          </w:tcPr>
          <w:p>
            <w:pPr>
              <w:ind w:left="100"/>
              <w:spacing w:after="0"/>
              <w:rPr>
                <w:sz w:val="20"/>
                <w:szCs w:val="20"/>
                <w:color w:val="auto"/>
              </w:rPr>
            </w:pPr>
            <w:r>
              <w:rPr>
                <w:rFonts w:ascii="Arial" w:cs="Arial" w:eastAsia="Arial" w:hAnsi="Arial"/>
                <w:sz w:val="14"/>
                <w:szCs w:val="14"/>
                <w:color w:val="auto"/>
              </w:rPr>
              <w:t>responsibilities and serves as an important</w:t>
            </w:r>
          </w:p>
        </w:tc>
        <w:tc>
          <w:tcPr>
            <w:tcW w:w="3040" w:type="dxa"/>
            <w:vAlign w:val="bottom"/>
            <w:shd w:val="clear" w:color="auto" w:fill="EEEFEF"/>
          </w:tcPr>
          <w:p>
            <w:pPr>
              <w:ind w:left="100"/>
              <w:spacing w:after="0"/>
              <w:rPr>
                <w:sz w:val="20"/>
                <w:szCs w:val="20"/>
                <w:color w:val="auto"/>
              </w:rPr>
            </w:pPr>
            <w:r>
              <w:rPr>
                <w:rFonts w:ascii="Arial" w:cs="Arial" w:eastAsia="Arial" w:hAnsi="Arial"/>
                <w:sz w:val="14"/>
                <w:szCs w:val="14"/>
                <w:color w:val="auto"/>
              </w:rPr>
              <w:t>competitiveness, individual performance,</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58585A"/>
            </w:tcBorders>
            <w:shd w:val="clear" w:color="auto" w:fill="D1D2D4"/>
          </w:tcPr>
          <w:p>
            <w:pPr>
              <w:spacing w:after="0"/>
              <w:rPr>
                <w:sz w:val="15"/>
                <w:szCs w:val="15"/>
                <w:color w:val="auto"/>
              </w:rPr>
            </w:pPr>
          </w:p>
        </w:tc>
        <w:tc>
          <w:tcPr>
            <w:tcW w:w="1020" w:type="dxa"/>
            <w:vAlign w:val="bottom"/>
            <w:tcBorders>
              <w:bottom w:val="single" w:sz="8" w:color="58585A"/>
            </w:tcBorders>
            <w:shd w:val="clear" w:color="auto" w:fill="EEEFEF"/>
          </w:tcPr>
          <w:p>
            <w:pPr>
              <w:spacing w:after="0"/>
              <w:rPr>
                <w:sz w:val="15"/>
                <w:szCs w:val="15"/>
                <w:color w:val="auto"/>
              </w:rPr>
            </w:pPr>
          </w:p>
        </w:tc>
        <w:tc>
          <w:tcPr>
            <w:tcW w:w="1520" w:type="dxa"/>
            <w:vAlign w:val="bottom"/>
            <w:tcBorders>
              <w:bottom w:val="single" w:sz="8" w:color="58585A"/>
            </w:tcBorders>
            <w:shd w:val="clear" w:color="auto" w:fill="EEEFEF"/>
          </w:tcPr>
          <w:p>
            <w:pPr>
              <w:spacing w:after="0"/>
              <w:rPr>
                <w:sz w:val="15"/>
                <w:szCs w:val="15"/>
                <w:color w:val="auto"/>
              </w:rPr>
            </w:pPr>
          </w:p>
        </w:tc>
        <w:tc>
          <w:tcPr>
            <w:tcW w:w="3040" w:type="dxa"/>
            <w:vAlign w:val="bottom"/>
            <w:tcBorders>
              <w:bottom w:val="single" w:sz="8" w:color="58585A"/>
            </w:tcBorders>
            <w:shd w:val="clear" w:color="auto" w:fill="EEEFEF"/>
          </w:tcPr>
          <w:p>
            <w:pPr>
              <w:ind w:left="100"/>
              <w:spacing w:after="0"/>
              <w:rPr>
                <w:sz w:val="20"/>
                <w:szCs w:val="20"/>
                <w:color w:val="auto"/>
              </w:rPr>
            </w:pPr>
            <w:r>
              <w:rPr>
                <w:rFonts w:ascii="Arial" w:cs="Arial" w:eastAsia="Arial" w:hAnsi="Arial"/>
                <w:sz w:val="14"/>
                <w:szCs w:val="14"/>
                <w:color w:val="auto"/>
              </w:rPr>
              <w:t>retention vehicle</w:t>
            </w:r>
          </w:p>
        </w:tc>
        <w:tc>
          <w:tcPr>
            <w:tcW w:w="3040" w:type="dxa"/>
            <w:vAlign w:val="bottom"/>
            <w:tcBorders>
              <w:bottom w:val="single" w:sz="8" w:color="58585A"/>
            </w:tcBorders>
            <w:shd w:val="clear" w:color="auto" w:fill="EEEFEF"/>
          </w:tcPr>
          <w:p>
            <w:pPr>
              <w:ind w:left="100"/>
              <w:spacing w:after="0"/>
              <w:rPr>
                <w:sz w:val="20"/>
                <w:szCs w:val="20"/>
                <w:color w:val="auto"/>
              </w:rPr>
            </w:pPr>
            <w:r>
              <w:rPr>
                <w:rFonts w:ascii="Arial" w:cs="Arial" w:eastAsia="Arial" w:hAnsi="Arial"/>
                <w:sz w:val="14"/>
                <w:szCs w:val="14"/>
                <w:color w:val="auto"/>
              </w:rPr>
              <w:t>and other internal considerations</w:t>
            </w:r>
          </w:p>
        </w:tc>
        <w:tc>
          <w:tcPr>
            <w:tcW w:w="0" w:type="dxa"/>
            <w:vAlign w:val="bottom"/>
          </w:tcPr>
          <w:p>
            <w:pPr>
              <w:spacing w:after="0"/>
              <w:rPr>
                <w:sz w:val="1"/>
                <w:szCs w:val="1"/>
                <w:color w:val="auto"/>
              </w:rPr>
            </w:pPr>
          </w:p>
        </w:tc>
      </w:tr>
      <w:tr>
        <w:trPr>
          <w:trHeight w:val="175"/>
        </w:trPr>
        <w:tc>
          <w:tcPr>
            <w:tcW w:w="1540" w:type="dxa"/>
            <w:vAlign w:val="bottom"/>
            <w:shd w:val="clear" w:color="auto" w:fill="D6DBEE"/>
          </w:tcPr>
          <w:p>
            <w:pPr>
              <w:spacing w:after="0"/>
              <w:rPr>
                <w:sz w:val="15"/>
                <w:szCs w:val="15"/>
                <w:color w:val="auto"/>
              </w:rPr>
            </w:pPr>
          </w:p>
        </w:tc>
        <w:tc>
          <w:tcPr>
            <w:tcW w:w="1020" w:type="dxa"/>
            <w:vAlign w:val="bottom"/>
            <w:shd w:val="clear" w:color="auto" w:fill="E8ECF5"/>
          </w:tcPr>
          <w:p>
            <w:pPr>
              <w:ind w:left="80"/>
              <w:spacing w:after="0"/>
              <w:rPr>
                <w:sz w:val="20"/>
                <w:szCs w:val="20"/>
                <w:color w:val="auto"/>
              </w:rPr>
            </w:pPr>
            <w:r>
              <w:rPr>
                <w:rFonts w:ascii="Arial" w:cs="Arial" w:eastAsia="Arial" w:hAnsi="Arial"/>
                <w:sz w:val="14"/>
                <w:szCs w:val="14"/>
                <w:color w:val="auto"/>
              </w:rPr>
              <w:t>Annual</w:t>
            </w: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b w:val="1"/>
                <w:bCs w:val="1"/>
                <w:color w:val="auto"/>
              </w:rPr>
              <w:t>Annual Cash</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Motivates and rewards our executives for</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Corporate performance (CEO and CSO);</w:t>
            </w:r>
          </w:p>
        </w:tc>
        <w:tc>
          <w:tcPr>
            <w:tcW w:w="0" w:type="dxa"/>
            <w:vAlign w:val="bottom"/>
          </w:tcPr>
          <w:p>
            <w:pPr>
              <w:spacing w:after="0"/>
              <w:rPr>
                <w:sz w:val="1"/>
                <w:szCs w:val="1"/>
                <w:color w:val="auto"/>
              </w:rPr>
            </w:pPr>
          </w:p>
        </w:tc>
      </w:tr>
      <w:tr>
        <w:trPr>
          <w:trHeight w:val="180"/>
        </w:trPr>
        <w:tc>
          <w:tcPr>
            <w:tcW w:w="1540" w:type="dxa"/>
            <w:vAlign w:val="bottom"/>
            <w:shd w:val="clear" w:color="auto" w:fill="D6DBEE"/>
          </w:tcPr>
          <w:p>
            <w:pPr>
              <w:spacing w:after="0"/>
              <w:rPr>
                <w:sz w:val="15"/>
                <w:szCs w:val="15"/>
                <w:color w:val="auto"/>
              </w:rPr>
            </w:pPr>
          </w:p>
        </w:tc>
        <w:tc>
          <w:tcPr>
            <w:tcW w:w="1020" w:type="dxa"/>
            <w:vAlign w:val="bottom"/>
            <w:shd w:val="clear" w:color="auto" w:fill="E8ECF5"/>
          </w:tcPr>
          <w:p>
            <w:pPr>
              <w:spacing w:after="0"/>
              <w:rPr>
                <w:sz w:val="15"/>
                <w:szCs w:val="15"/>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b w:val="1"/>
                <w:bCs w:val="1"/>
                <w:color w:val="auto"/>
              </w:rPr>
              <w:t>Incentive</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short-term achievements and milestones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corporate performance and individual</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spacing w:after="0"/>
              <w:rPr>
                <w:sz w:val="14"/>
                <w:szCs w:val="14"/>
                <w:color w:val="auto"/>
              </w:rPr>
            </w:pP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towards our long-term goals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contributions to that achievement (other</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D6DBEE"/>
            </w:tcBorders>
            <w:shd w:val="clear" w:color="auto" w:fill="D6DBEE"/>
          </w:tcPr>
          <w:p>
            <w:pPr>
              <w:spacing w:after="0"/>
              <w:rPr>
                <w:sz w:val="15"/>
                <w:szCs w:val="15"/>
                <w:color w:val="auto"/>
              </w:rPr>
            </w:pPr>
          </w:p>
        </w:tc>
        <w:tc>
          <w:tcPr>
            <w:tcW w:w="1020" w:type="dxa"/>
            <w:vAlign w:val="bottom"/>
            <w:tcBorders>
              <w:bottom w:val="single" w:sz="8" w:color="58585A"/>
            </w:tcBorders>
            <w:shd w:val="clear" w:color="auto" w:fill="E8ECF5"/>
          </w:tcPr>
          <w:p>
            <w:pPr>
              <w:spacing w:after="0"/>
              <w:rPr>
                <w:sz w:val="15"/>
                <w:szCs w:val="15"/>
                <w:color w:val="auto"/>
              </w:rPr>
            </w:pPr>
          </w:p>
        </w:tc>
        <w:tc>
          <w:tcPr>
            <w:tcW w:w="1520" w:type="dxa"/>
            <w:vAlign w:val="bottom"/>
            <w:tcBorders>
              <w:bottom w:val="single" w:sz="8" w:color="58585A"/>
            </w:tcBorders>
            <w:shd w:val="clear" w:color="auto" w:fill="E8ECF5"/>
          </w:tcPr>
          <w:p>
            <w:pPr>
              <w:spacing w:after="0"/>
              <w:rPr>
                <w:sz w:val="15"/>
                <w:szCs w:val="15"/>
                <w:color w:val="auto"/>
              </w:rPr>
            </w:pPr>
          </w:p>
        </w:tc>
        <w:tc>
          <w:tcPr>
            <w:tcW w:w="3040" w:type="dxa"/>
            <w:vAlign w:val="bottom"/>
            <w:tcBorders>
              <w:bottom w:val="single" w:sz="8" w:color="58585A"/>
            </w:tcBorders>
            <w:shd w:val="clear" w:color="auto" w:fill="E8ECF5"/>
          </w:tcPr>
          <w:p>
            <w:pPr>
              <w:spacing w:after="0"/>
              <w:rPr>
                <w:sz w:val="15"/>
                <w:szCs w:val="15"/>
                <w:color w:val="auto"/>
              </w:rPr>
            </w:pPr>
          </w:p>
        </w:tc>
        <w:tc>
          <w:tcPr>
            <w:tcW w:w="3040" w:type="dxa"/>
            <w:vAlign w:val="bottom"/>
            <w:tcBorders>
              <w:bottom w:val="single" w:sz="8" w:color="58585A"/>
            </w:tcBorders>
            <w:shd w:val="clear" w:color="auto" w:fill="E8ECF5"/>
          </w:tcPr>
          <w:p>
            <w:pPr>
              <w:ind w:left="100"/>
              <w:spacing w:after="0"/>
              <w:rPr>
                <w:sz w:val="20"/>
                <w:szCs w:val="20"/>
                <w:color w:val="auto"/>
              </w:rPr>
            </w:pPr>
            <w:r>
              <w:rPr>
                <w:rFonts w:ascii="Arial" w:cs="Arial" w:eastAsia="Arial" w:hAnsi="Arial"/>
                <w:sz w:val="14"/>
                <w:szCs w:val="14"/>
                <w:color w:val="auto"/>
              </w:rPr>
              <w:t>NEOs)</w:t>
            </w:r>
          </w:p>
        </w:tc>
        <w:tc>
          <w:tcPr>
            <w:tcW w:w="0" w:type="dxa"/>
            <w:vAlign w:val="bottom"/>
          </w:tcPr>
          <w:p>
            <w:pPr>
              <w:spacing w:after="0"/>
              <w:rPr>
                <w:sz w:val="1"/>
                <w:szCs w:val="1"/>
                <w:color w:val="auto"/>
              </w:rPr>
            </w:pPr>
          </w:p>
        </w:tc>
      </w:tr>
      <w:tr>
        <w:trPr>
          <w:trHeight w:val="193"/>
        </w:trPr>
        <w:tc>
          <w:tcPr>
            <w:tcW w:w="1540" w:type="dxa"/>
            <w:vAlign w:val="bottom"/>
            <w:shd w:val="clear" w:color="auto" w:fill="D6DBEE"/>
          </w:tcPr>
          <w:p>
            <w:pPr>
              <w:spacing w:after="0"/>
              <w:rPr>
                <w:sz w:val="16"/>
                <w:szCs w:val="16"/>
                <w:color w:val="auto"/>
              </w:rPr>
            </w:pPr>
          </w:p>
        </w:tc>
        <w:tc>
          <w:tcPr>
            <w:tcW w:w="1020" w:type="dxa"/>
            <w:vAlign w:val="bottom"/>
            <w:shd w:val="clear" w:color="auto" w:fill="E8ECF5"/>
          </w:tcPr>
          <w:p>
            <w:pPr>
              <w:ind w:left="80"/>
              <w:spacing w:after="0"/>
              <w:rPr>
                <w:sz w:val="20"/>
                <w:szCs w:val="20"/>
                <w:color w:val="auto"/>
              </w:rPr>
            </w:pPr>
            <w:r>
              <w:rPr>
                <w:rFonts w:ascii="Arial" w:cs="Arial" w:eastAsia="Arial" w:hAnsi="Arial"/>
                <w:sz w:val="14"/>
                <w:szCs w:val="14"/>
                <w:color w:val="auto"/>
              </w:rPr>
              <w:t>Long-Term</w:t>
            </w: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b w:val="1"/>
                <w:bCs w:val="1"/>
                <w:color w:val="auto"/>
              </w:rPr>
              <w:t xml:space="preserve">PSUs* </w:t>
            </w:r>
            <w:r>
              <w:rPr>
                <w:rFonts w:ascii="Arial" w:cs="Arial" w:eastAsia="Arial" w:hAnsi="Arial"/>
                <w:sz w:val="14"/>
                <w:szCs w:val="14"/>
                <w:color w:val="auto"/>
              </w:rPr>
              <w:t>(CEO and</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Aligns the interests of CEO and CSO with</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Five-year absolute TSR goals as primary</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color w:val="auto"/>
              </w:rPr>
              <w:t>CSO)</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shareholders over the long term; rewards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performance metric, with 5-year</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spacing w:after="0"/>
              <w:rPr>
                <w:sz w:val="14"/>
                <w:szCs w:val="14"/>
                <w:color w:val="auto"/>
              </w:rPr>
            </w:pP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strong TSR performance</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performance and vesting periods and, in the</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spacing w:after="0"/>
              <w:rPr>
                <w:sz w:val="14"/>
                <w:szCs w:val="14"/>
                <w:color w:val="auto"/>
              </w:rPr>
            </w:pPr>
          </w:p>
        </w:tc>
        <w:tc>
          <w:tcPr>
            <w:tcW w:w="3040" w:type="dxa"/>
            <w:vAlign w:val="bottom"/>
            <w:shd w:val="clear" w:color="auto" w:fill="E8ECF5"/>
          </w:tcPr>
          <w:p>
            <w:pPr>
              <w:spacing w:after="0"/>
              <w:rPr>
                <w:sz w:val="14"/>
                <w:szCs w:val="14"/>
                <w:color w:val="auto"/>
              </w:rPr>
            </w:pP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case of the 2020 PSUs, a 3-year post-</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D6DBEE"/>
            </w:tcBorders>
            <w:shd w:val="clear" w:color="auto" w:fill="D6DBEE"/>
          </w:tcPr>
          <w:p>
            <w:pPr>
              <w:spacing w:after="0"/>
              <w:rPr>
                <w:sz w:val="15"/>
                <w:szCs w:val="15"/>
                <w:color w:val="auto"/>
              </w:rPr>
            </w:pPr>
          </w:p>
        </w:tc>
        <w:tc>
          <w:tcPr>
            <w:tcW w:w="1020" w:type="dxa"/>
            <w:vAlign w:val="bottom"/>
            <w:tcBorders>
              <w:bottom w:val="single" w:sz="8" w:color="58585A"/>
            </w:tcBorders>
            <w:shd w:val="clear" w:color="auto" w:fill="E8ECF5"/>
          </w:tcPr>
          <w:p>
            <w:pPr>
              <w:spacing w:after="0"/>
              <w:rPr>
                <w:sz w:val="15"/>
                <w:szCs w:val="15"/>
                <w:color w:val="auto"/>
              </w:rPr>
            </w:pPr>
          </w:p>
        </w:tc>
        <w:tc>
          <w:tcPr>
            <w:tcW w:w="1520" w:type="dxa"/>
            <w:vAlign w:val="bottom"/>
            <w:tcBorders>
              <w:bottom w:val="single" w:sz="8" w:color="58585A"/>
            </w:tcBorders>
            <w:shd w:val="clear" w:color="auto" w:fill="E8ECF5"/>
          </w:tcPr>
          <w:p>
            <w:pPr>
              <w:spacing w:after="0"/>
              <w:rPr>
                <w:sz w:val="15"/>
                <w:szCs w:val="15"/>
                <w:color w:val="auto"/>
              </w:rPr>
            </w:pPr>
          </w:p>
        </w:tc>
        <w:tc>
          <w:tcPr>
            <w:tcW w:w="3040" w:type="dxa"/>
            <w:vAlign w:val="bottom"/>
            <w:tcBorders>
              <w:bottom w:val="single" w:sz="8" w:color="58585A"/>
            </w:tcBorders>
            <w:shd w:val="clear" w:color="auto" w:fill="E8ECF5"/>
          </w:tcPr>
          <w:p>
            <w:pPr>
              <w:spacing w:after="0"/>
              <w:rPr>
                <w:sz w:val="15"/>
                <w:szCs w:val="15"/>
                <w:color w:val="auto"/>
              </w:rPr>
            </w:pPr>
          </w:p>
        </w:tc>
        <w:tc>
          <w:tcPr>
            <w:tcW w:w="3040" w:type="dxa"/>
            <w:vAlign w:val="bottom"/>
            <w:tcBorders>
              <w:bottom w:val="single" w:sz="8" w:color="58585A"/>
            </w:tcBorders>
            <w:shd w:val="clear" w:color="auto" w:fill="E8ECF5"/>
          </w:tcPr>
          <w:p>
            <w:pPr>
              <w:ind w:left="100"/>
              <w:spacing w:after="0"/>
              <w:rPr>
                <w:sz w:val="20"/>
                <w:szCs w:val="20"/>
                <w:color w:val="auto"/>
              </w:rPr>
            </w:pPr>
            <w:r>
              <w:rPr>
                <w:rFonts w:ascii="Arial" w:cs="Arial" w:eastAsia="Arial" w:hAnsi="Arial"/>
                <w:sz w:val="14"/>
                <w:szCs w:val="14"/>
                <w:color w:val="auto"/>
              </w:rPr>
              <w:t>vesting holding period</w:t>
            </w:r>
          </w:p>
        </w:tc>
        <w:tc>
          <w:tcPr>
            <w:tcW w:w="0" w:type="dxa"/>
            <w:vAlign w:val="bottom"/>
          </w:tcPr>
          <w:p>
            <w:pPr>
              <w:spacing w:after="0"/>
              <w:rPr>
                <w:sz w:val="1"/>
                <w:szCs w:val="1"/>
                <w:color w:val="auto"/>
              </w:rPr>
            </w:pPr>
          </w:p>
        </w:tc>
      </w:tr>
      <w:tr>
        <w:trPr>
          <w:trHeight w:val="193"/>
        </w:trPr>
        <w:tc>
          <w:tcPr>
            <w:tcW w:w="1540" w:type="dxa"/>
            <w:vAlign w:val="bottom"/>
            <w:shd w:val="clear" w:color="auto" w:fill="D6DBEE"/>
          </w:tcPr>
          <w:p>
            <w:pPr>
              <w:ind w:left="100"/>
              <w:spacing w:after="0"/>
              <w:rPr>
                <w:sz w:val="20"/>
                <w:szCs w:val="20"/>
                <w:color w:val="auto"/>
              </w:rPr>
            </w:pPr>
            <w:r>
              <w:rPr>
                <w:rFonts w:ascii="Arial" w:cs="Arial" w:eastAsia="Arial" w:hAnsi="Arial"/>
                <w:sz w:val="14"/>
                <w:szCs w:val="14"/>
                <w:b w:val="1"/>
                <w:bCs w:val="1"/>
                <w:color w:val="215BA8"/>
              </w:rPr>
              <w:t>PERFORMANCE</w:t>
            </w:r>
          </w:p>
        </w:tc>
        <w:tc>
          <w:tcPr>
            <w:tcW w:w="1020" w:type="dxa"/>
            <w:vAlign w:val="bottom"/>
            <w:shd w:val="clear" w:color="auto" w:fill="E8ECF5"/>
          </w:tcPr>
          <w:p>
            <w:pPr>
              <w:ind w:left="80"/>
              <w:spacing w:after="0"/>
              <w:rPr>
                <w:sz w:val="20"/>
                <w:szCs w:val="20"/>
                <w:color w:val="auto"/>
              </w:rPr>
            </w:pPr>
            <w:r>
              <w:rPr>
                <w:rFonts w:ascii="Arial" w:cs="Arial" w:eastAsia="Arial" w:hAnsi="Arial"/>
                <w:sz w:val="14"/>
                <w:szCs w:val="14"/>
                <w:color w:val="auto"/>
              </w:rPr>
              <w:t>Long-Term</w:t>
            </w: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b w:val="1"/>
                <w:bCs w:val="1"/>
                <w:color w:val="auto"/>
              </w:rPr>
              <w:t>Stock Options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Aligns the interests of other NEOs with</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Vest in equal annual increments over four</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ind w:left="100"/>
              <w:spacing w:after="0"/>
              <w:rPr>
                <w:sz w:val="20"/>
                <w:szCs w:val="20"/>
                <w:color w:val="auto"/>
              </w:rPr>
            </w:pPr>
            <w:r>
              <w:rPr>
                <w:rFonts w:ascii="Arial" w:cs="Arial" w:eastAsia="Arial" w:hAnsi="Arial"/>
                <w:sz w:val="14"/>
                <w:szCs w:val="14"/>
                <w:b w:val="1"/>
                <w:bCs w:val="1"/>
                <w:color w:val="215BA8"/>
              </w:rPr>
              <w:t>BASED</w:t>
            </w: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color w:val="auto"/>
              </w:rPr>
              <w:t>(NEOs other than</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shareholders; rewards shareholder value</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years; 10-year term</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D6DBEE"/>
            </w:tcBorders>
            <w:shd w:val="clear" w:color="auto" w:fill="D6DBEE"/>
          </w:tcPr>
          <w:p>
            <w:pPr>
              <w:spacing w:after="0"/>
              <w:rPr>
                <w:sz w:val="15"/>
                <w:szCs w:val="15"/>
                <w:color w:val="auto"/>
              </w:rPr>
            </w:pPr>
          </w:p>
        </w:tc>
        <w:tc>
          <w:tcPr>
            <w:tcW w:w="1020" w:type="dxa"/>
            <w:vAlign w:val="bottom"/>
            <w:tcBorders>
              <w:bottom w:val="single" w:sz="8" w:color="58585A"/>
            </w:tcBorders>
            <w:shd w:val="clear" w:color="auto" w:fill="E8ECF5"/>
          </w:tcPr>
          <w:p>
            <w:pPr>
              <w:spacing w:after="0"/>
              <w:rPr>
                <w:sz w:val="15"/>
                <w:szCs w:val="15"/>
                <w:color w:val="auto"/>
              </w:rPr>
            </w:pPr>
          </w:p>
        </w:tc>
        <w:tc>
          <w:tcPr>
            <w:tcW w:w="1520" w:type="dxa"/>
            <w:vAlign w:val="bottom"/>
            <w:tcBorders>
              <w:bottom w:val="single" w:sz="8" w:color="58585A"/>
            </w:tcBorders>
            <w:shd w:val="clear" w:color="auto" w:fill="E8ECF5"/>
          </w:tcPr>
          <w:p>
            <w:pPr>
              <w:ind w:left="80"/>
              <w:spacing w:after="0"/>
              <w:rPr>
                <w:sz w:val="20"/>
                <w:szCs w:val="20"/>
                <w:color w:val="auto"/>
              </w:rPr>
            </w:pPr>
            <w:r>
              <w:rPr>
                <w:rFonts w:ascii="Arial" w:cs="Arial" w:eastAsia="Arial" w:hAnsi="Arial"/>
                <w:sz w:val="14"/>
                <w:szCs w:val="14"/>
                <w:color w:val="auto"/>
              </w:rPr>
              <w:t>CEO and CSO)</w:t>
            </w:r>
          </w:p>
        </w:tc>
        <w:tc>
          <w:tcPr>
            <w:tcW w:w="3040" w:type="dxa"/>
            <w:vAlign w:val="bottom"/>
            <w:tcBorders>
              <w:bottom w:val="single" w:sz="8" w:color="58585A"/>
            </w:tcBorders>
            <w:shd w:val="clear" w:color="auto" w:fill="E8ECF5"/>
          </w:tcPr>
          <w:p>
            <w:pPr>
              <w:ind w:left="100"/>
              <w:spacing w:after="0"/>
              <w:rPr>
                <w:sz w:val="20"/>
                <w:szCs w:val="20"/>
                <w:color w:val="auto"/>
              </w:rPr>
            </w:pPr>
            <w:r>
              <w:rPr>
                <w:rFonts w:ascii="Arial" w:cs="Arial" w:eastAsia="Arial" w:hAnsi="Arial"/>
                <w:sz w:val="14"/>
                <w:szCs w:val="14"/>
                <w:color w:val="auto"/>
              </w:rPr>
              <w:t>creation after the date of grant</w:t>
            </w:r>
          </w:p>
        </w:tc>
        <w:tc>
          <w:tcPr>
            <w:tcW w:w="3040" w:type="dxa"/>
            <w:vAlign w:val="bottom"/>
            <w:tcBorders>
              <w:bottom w:val="single" w:sz="8" w:color="58585A"/>
            </w:tcBorders>
            <w:shd w:val="clear" w:color="auto" w:fill="E8ECF5"/>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540" w:type="dxa"/>
            <w:vAlign w:val="bottom"/>
            <w:shd w:val="clear" w:color="auto" w:fill="D6DBEE"/>
          </w:tcPr>
          <w:p>
            <w:pPr>
              <w:spacing w:after="0"/>
              <w:rPr>
                <w:sz w:val="16"/>
                <w:szCs w:val="16"/>
                <w:color w:val="auto"/>
              </w:rPr>
            </w:pPr>
          </w:p>
        </w:tc>
        <w:tc>
          <w:tcPr>
            <w:tcW w:w="1020" w:type="dxa"/>
            <w:vAlign w:val="bottom"/>
            <w:shd w:val="clear" w:color="auto" w:fill="E8ECF5"/>
          </w:tcPr>
          <w:p>
            <w:pPr>
              <w:ind w:left="80"/>
              <w:spacing w:after="0"/>
              <w:rPr>
                <w:sz w:val="20"/>
                <w:szCs w:val="20"/>
                <w:color w:val="auto"/>
              </w:rPr>
            </w:pPr>
            <w:r>
              <w:rPr>
                <w:rFonts w:ascii="Arial" w:cs="Arial" w:eastAsia="Arial" w:hAnsi="Arial"/>
                <w:sz w:val="14"/>
                <w:szCs w:val="14"/>
                <w:color w:val="auto"/>
              </w:rPr>
              <w:t>Long-Term</w:t>
            </w: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b w:val="1"/>
                <w:bCs w:val="1"/>
                <w:color w:val="auto"/>
              </w:rPr>
              <w:t>Annual RSAs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Reinforces long-term focus and rewards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Annual awards RSAs vest 50% on the</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color w:val="auto"/>
              </w:rPr>
              <w:t>(NEOs other than</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high performance</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second anniversary of the date of grant and</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color w:val="auto"/>
              </w:rPr>
              <w:t>CEO and CSO)</w:t>
            </w:r>
          </w:p>
        </w:tc>
        <w:tc>
          <w:tcPr>
            <w:tcW w:w="3040" w:type="dxa"/>
            <w:vAlign w:val="bottom"/>
            <w:shd w:val="clear" w:color="auto" w:fill="E8ECF5"/>
          </w:tcPr>
          <w:p>
            <w:pPr>
              <w:spacing w:after="0"/>
              <w:rPr>
                <w:sz w:val="14"/>
                <w:szCs w:val="14"/>
                <w:color w:val="auto"/>
              </w:rPr>
            </w:pP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50% on fourth anniversary of the date of</w:t>
            </w:r>
          </w:p>
        </w:tc>
        <w:tc>
          <w:tcPr>
            <w:tcW w:w="0" w:type="dxa"/>
            <w:vAlign w:val="bottom"/>
          </w:tcPr>
          <w:p>
            <w:pPr>
              <w:spacing w:after="0"/>
              <w:rPr>
                <w:sz w:val="1"/>
                <w:szCs w:val="1"/>
                <w:color w:val="auto"/>
              </w:rPr>
            </w:pPr>
          </w:p>
        </w:tc>
      </w:tr>
      <w:tr>
        <w:trPr>
          <w:trHeight w:val="17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spacing w:after="0"/>
              <w:rPr>
                <w:sz w:val="14"/>
                <w:szCs w:val="14"/>
                <w:color w:val="auto"/>
              </w:rPr>
            </w:pPr>
          </w:p>
        </w:tc>
        <w:tc>
          <w:tcPr>
            <w:tcW w:w="3040" w:type="dxa"/>
            <w:vAlign w:val="bottom"/>
            <w:shd w:val="clear" w:color="auto" w:fill="E8ECF5"/>
          </w:tcPr>
          <w:p>
            <w:pPr>
              <w:spacing w:after="0"/>
              <w:rPr>
                <w:sz w:val="14"/>
                <w:szCs w:val="14"/>
                <w:color w:val="auto"/>
              </w:rPr>
            </w:pP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grant</w:t>
            </w:r>
          </w:p>
        </w:tc>
        <w:tc>
          <w:tcPr>
            <w:tcW w:w="0" w:type="dxa"/>
            <w:vAlign w:val="bottom"/>
          </w:tcPr>
          <w:p>
            <w:pPr>
              <w:spacing w:after="0"/>
              <w:rPr>
                <w:sz w:val="1"/>
                <w:szCs w:val="1"/>
                <w:color w:val="auto"/>
              </w:rPr>
            </w:pPr>
          </w:p>
        </w:tc>
      </w:tr>
      <w:tr>
        <w:trPr>
          <w:trHeight w:val="287"/>
        </w:trPr>
        <w:tc>
          <w:tcPr>
            <w:tcW w:w="1540" w:type="dxa"/>
            <w:vAlign w:val="bottom"/>
            <w:shd w:val="clear" w:color="auto" w:fill="D6DBEE"/>
          </w:tcPr>
          <w:p>
            <w:pPr>
              <w:spacing w:after="0"/>
              <w:rPr>
                <w:sz w:val="24"/>
                <w:szCs w:val="24"/>
                <w:color w:val="auto"/>
              </w:rPr>
            </w:pPr>
          </w:p>
        </w:tc>
        <w:tc>
          <w:tcPr>
            <w:tcW w:w="1020" w:type="dxa"/>
            <w:vAlign w:val="bottom"/>
            <w:shd w:val="clear" w:color="auto" w:fill="E8ECF5"/>
          </w:tcPr>
          <w:p>
            <w:pPr>
              <w:spacing w:after="0"/>
              <w:rPr>
                <w:sz w:val="24"/>
                <w:szCs w:val="2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b w:val="1"/>
                <w:bCs w:val="1"/>
                <w:color w:val="auto"/>
              </w:rPr>
              <w:t>Special RSAs</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Rewards exceptional performance; further</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Special RSAs vest in their entirety on the</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color w:val="auto"/>
              </w:rPr>
              <w:t>(certain NEOs other</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promotes employee retention</w:t>
            </w:r>
          </w:p>
        </w:tc>
        <w:tc>
          <w:tcPr>
            <w:tcW w:w="3040" w:type="dxa"/>
            <w:vAlign w:val="bottom"/>
            <w:shd w:val="clear" w:color="auto" w:fill="E8ECF5"/>
          </w:tcPr>
          <w:p>
            <w:pPr>
              <w:ind w:left="100"/>
              <w:spacing w:after="0"/>
              <w:rPr>
                <w:sz w:val="20"/>
                <w:szCs w:val="20"/>
                <w:color w:val="auto"/>
              </w:rPr>
            </w:pPr>
            <w:r>
              <w:rPr>
                <w:rFonts w:ascii="Arial" w:cs="Arial" w:eastAsia="Arial" w:hAnsi="Arial"/>
                <w:sz w:val="14"/>
                <w:szCs w:val="14"/>
                <w:color w:val="auto"/>
              </w:rPr>
              <w:t>fifth anniversary of the date of grant</w:t>
            </w:r>
          </w:p>
        </w:tc>
        <w:tc>
          <w:tcPr>
            <w:tcW w:w="0" w:type="dxa"/>
            <w:vAlign w:val="bottom"/>
          </w:tcPr>
          <w:p>
            <w:pPr>
              <w:spacing w:after="0"/>
              <w:rPr>
                <w:sz w:val="1"/>
                <w:szCs w:val="1"/>
                <w:color w:val="auto"/>
              </w:rPr>
            </w:pPr>
          </w:p>
        </w:tc>
      </w:tr>
      <w:tr>
        <w:trPr>
          <w:trHeight w:val="162"/>
        </w:trPr>
        <w:tc>
          <w:tcPr>
            <w:tcW w:w="1540" w:type="dxa"/>
            <w:vAlign w:val="bottom"/>
            <w:shd w:val="clear" w:color="auto" w:fill="D6DBEE"/>
          </w:tcPr>
          <w:p>
            <w:pPr>
              <w:spacing w:after="0"/>
              <w:rPr>
                <w:sz w:val="14"/>
                <w:szCs w:val="14"/>
                <w:color w:val="auto"/>
              </w:rPr>
            </w:pPr>
          </w:p>
        </w:tc>
        <w:tc>
          <w:tcPr>
            <w:tcW w:w="1020" w:type="dxa"/>
            <w:vAlign w:val="bottom"/>
            <w:shd w:val="clear" w:color="auto" w:fill="E8ECF5"/>
          </w:tcPr>
          <w:p>
            <w:pPr>
              <w:spacing w:after="0"/>
              <w:rPr>
                <w:sz w:val="14"/>
                <w:szCs w:val="14"/>
                <w:color w:val="auto"/>
              </w:rPr>
            </w:pPr>
          </w:p>
        </w:tc>
        <w:tc>
          <w:tcPr>
            <w:tcW w:w="1520" w:type="dxa"/>
            <w:vAlign w:val="bottom"/>
            <w:shd w:val="clear" w:color="auto" w:fill="E8ECF5"/>
          </w:tcPr>
          <w:p>
            <w:pPr>
              <w:ind w:left="80"/>
              <w:spacing w:after="0"/>
              <w:rPr>
                <w:sz w:val="20"/>
                <w:szCs w:val="20"/>
                <w:color w:val="auto"/>
              </w:rPr>
            </w:pPr>
            <w:r>
              <w:rPr>
                <w:rFonts w:ascii="Arial" w:cs="Arial" w:eastAsia="Arial" w:hAnsi="Arial"/>
                <w:sz w:val="14"/>
                <w:szCs w:val="14"/>
                <w:color w:val="auto"/>
              </w:rPr>
              <w:t>than CEO and</w:t>
            </w:r>
          </w:p>
        </w:tc>
        <w:tc>
          <w:tcPr>
            <w:tcW w:w="3040" w:type="dxa"/>
            <w:vAlign w:val="bottom"/>
            <w:shd w:val="clear" w:color="auto" w:fill="E8ECF5"/>
          </w:tcPr>
          <w:p>
            <w:pPr>
              <w:spacing w:after="0"/>
              <w:rPr>
                <w:sz w:val="14"/>
                <w:szCs w:val="14"/>
                <w:color w:val="auto"/>
              </w:rPr>
            </w:pPr>
          </w:p>
        </w:tc>
        <w:tc>
          <w:tcPr>
            <w:tcW w:w="3040" w:type="dxa"/>
            <w:vAlign w:val="bottom"/>
            <w:shd w:val="clear" w:color="auto" w:fill="E8ECF5"/>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40" w:type="dxa"/>
            <w:vAlign w:val="bottom"/>
            <w:tcBorders>
              <w:bottom w:val="single" w:sz="8" w:color="215BA8"/>
            </w:tcBorders>
            <w:shd w:val="clear" w:color="auto" w:fill="D6DBEE"/>
          </w:tcPr>
          <w:p>
            <w:pPr>
              <w:spacing w:after="0"/>
              <w:rPr>
                <w:sz w:val="15"/>
                <w:szCs w:val="15"/>
                <w:color w:val="auto"/>
              </w:rPr>
            </w:pPr>
          </w:p>
        </w:tc>
        <w:tc>
          <w:tcPr>
            <w:tcW w:w="1020" w:type="dxa"/>
            <w:vAlign w:val="bottom"/>
            <w:tcBorders>
              <w:bottom w:val="single" w:sz="8" w:color="215BA8"/>
            </w:tcBorders>
            <w:shd w:val="clear" w:color="auto" w:fill="E8ECF5"/>
          </w:tcPr>
          <w:p>
            <w:pPr>
              <w:spacing w:after="0"/>
              <w:rPr>
                <w:sz w:val="15"/>
                <w:szCs w:val="15"/>
                <w:color w:val="auto"/>
              </w:rPr>
            </w:pPr>
          </w:p>
        </w:tc>
        <w:tc>
          <w:tcPr>
            <w:tcW w:w="1520" w:type="dxa"/>
            <w:vAlign w:val="bottom"/>
            <w:tcBorders>
              <w:bottom w:val="single" w:sz="8" w:color="215BA8"/>
            </w:tcBorders>
            <w:shd w:val="clear" w:color="auto" w:fill="E8ECF5"/>
          </w:tcPr>
          <w:p>
            <w:pPr>
              <w:ind w:left="80"/>
              <w:spacing w:after="0"/>
              <w:rPr>
                <w:sz w:val="20"/>
                <w:szCs w:val="20"/>
                <w:color w:val="auto"/>
              </w:rPr>
            </w:pPr>
            <w:r>
              <w:rPr>
                <w:rFonts w:ascii="Arial" w:cs="Arial" w:eastAsia="Arial" w:hAnsi="Arial"/>
                <w:sz w:val="14"/>
                <w:szCs w:val="14"/>
                <w:color w:val="auto"/>
              </w:rPr>
              <w:t>CSO)**</w:t>
            </w:r>
          </w:p>
        </w:tc>
        <w:tc>
          <w:tcPr>
            <w:tcW w:w="3040" w:type="dxa"/>
            <w:vAlign w:val="bottom"/>
            <w:tcBorders>
              <w:bottom w:val="single" w:sz="8" w:color="215BA8"/>
            </w:tcBorders>
            <w:shd w:val="clear" w:color="auto" w:fill="E8ECF5"/>
          </w:tcPr>
          <w:p>
            <w:pPr>
              <w:spacing w:after="0"/>
              <w:rPr>
                <w:sz w:val="15"/>
                <w:szCs w:val="15"/>
                <w:color w:val="auto"/>
              </w:rPr>
            </w:pPr>
          </w:p>
        </w:tc>
        <w:tc>
          <w:tcPr>
            <w:tcW w:w="3040" w:type="dxa"/>
            <w:vAlign w:val="bottom"/>
            <w:tcBorders>
              <w:bottom w:val="single" w:sz="8" w:color="215BA8"/>
            </w:tcBorders>
            <w:shd w:val="clear" w:color="auto" w:fill="E8ECF5"/>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760" w:right="940" w:hanging="212"/>
        <w:spacing w:after="0" w:line="241" w:lineRule="auto"/>
        <w:tabs>
          <w:tab w:leader="none" w:pos="760" w:val="left"/>
        </w:tabs>
        <w:numPr>
          <w:ilvl w:val="0"/>
          <w:numId w:val="93"/>
        </w:numPr>
        <w:rPr>
          <w:rFonts w:ascii="Arial" w:cs="Arial" w:eastAsia="Arial" w:hAnsi="Arial"/>
          <w:sz w:val="14"/>
          <w:szCs w:val="14"/>
          <w:color w:val="1A1A1A"/>
        </w:rPr>
      </w:pPr>
      <w:r>
        <w:rPr>
          <w:rFonts w:ascii="Arial" w:cs="Arial" w:eastAsia="Arial" w:hAnsi="Arial"/>
          <w:sz w:val="14"/>
          <w:szCs w:val="14"/>
          <w:color w:val="1A1A1A"/>
        </w:rPr>
        <w:t>Five-year, front-loaded PSU award granted to our CEO and CSO in 2020 in lieu of five years’ worth of annual equity awards. These executives are not eligible for additional equity awards until December 2025.</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1A1A1A"/>
        </w:rPr>
        <w:t>**  No special RSAs were awarded to any of the NEOs in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59</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572" w:right="339" w:bottom="1440" w:gutter="0" w:footer="0" w:header="0"/>
        </w:sectPr>
      </w:pPr>
    </w:p>
    <w:bookmarkStart w:id="74" w:name="page75"/>
    <w:bookmarkEnd w:id="74"/>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KEY GOVERNANCE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Compensation Committee independently oversees the executive compensation program with the support of an independent compensation</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consultant and management. Our compensation program demonstrates strong governance, minimizing inappropriate risk-taking behavior while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protecting shareholder rights and interests. The following is a summary of Regeneron’s key executive compensation best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100330</wp:posOffset>
            </wp:positionV>
            <wp:extent cx="6446520" cy="283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46520" cy="283210"/>
                    </a:xfrm>
                    <a:prstGeom prst="rect">
                      <a:avLst/>
                    </a:prstGeom>
                    <a:noFill/>
                  </pic:spPr>
                </pic:pic>
              </a:graphicData>
            </a:graphic>
          </wp:anchor>
        </w:drawing>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164465</wp:posOffset>
            </wp:positionV>
            <wp:extent cx="188595" cy="1885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164465</wp:posOffset>
            </wp:positionV>
            <wp:extent cx="188595"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314"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D60058"/>
        </w:rPr>
        <w:t>Align pay with performance</w:t>
      </w:r>
    </w:p>
    <w:p>
      <w:pPr>
        <w:spacing w:after="0" w:line="26" w:lineRule="exact"/>
        <w:rPr>
          <w:sz w:val="20"/>
          <w:szCs w:val="20"/>
          <w:color w:val="auto"/>
        </w:rPr>
      </w:pPr>
    </w:p>
    <w:p>
      <w:pPr>
        <w:ind w:left="1240" w:right="240" w:hanging="206"/>
        <w:spacing w:after="0" w:line="236" w:lineRule="auto"/>
        <w:tabs>
          <w:tab w:leader="none" w:pos="1240" w:val="left"/>
        </w:tabs>
        <w:numPr>
          <w:ilvl w:val="0"/>
          <w:numId w:val="94"/>
        </w:numPr>
        <w:rPr>
          <w:rFonts w:ascii="Arial" w:cs="Arial" w:eastAsia="Arial" w:hAnsi="Arial"/>
          <w:sz w:val="16"/>
          <w:szCs w:val="16"/>
          <w:b w:val="1"/>
          <w:bCs w:val="1"/>
          <w:color w:val="215BA8"/>
        </w:rPr>
      </w:pPr>
      <w:r>
        <w:rPr>
          <w:rFonts w:ascii="Arial" w:cs="Arial" w:eastAsia="Arial" w:hAnsi="Arial"/>
          <w:sz w:val="16"/>
          <w:szCs w:val="16"/>
          <w:color w:val="auto"/>
        </w:rPr>
        <w:t>All CEO and CSO direct pay is performance-based and “at-risk” (except for base salary)</w:t>
      </w:r>
    </w:p>
    <w:p>
      <w:pPr>
        <w:spacing w:after="0" w:line="70" w:lineRule="exact"/>
        <w:rPr>
          <w:rFonts w:ascii="Arial" w:cs="Arial" w:eastAsia="Arial" w:hAnsi="Arial"/>
          <w:sz w:val="16"/>
          <w:szCs w:val="16"/>
          <w:b w:val="1"/>
          <w:bCs w:val="1"/>
          <w:color w:val="215BA8"/>
        </w:rPr>
      </w:pPr>
    </w:p>
    <w:p>
      <w:pPr>
        <w:ind w:left="1240" w:hanging="206"/>
        <w:spacing w:after="0"/>
        <w:tabs>
          <w:tab w:leader="none" w:pos="1240" w:val="left"/>
        </w:tabs>
        <w:numPr>
          <w:ilvl w:val="0"/>
          <w:numId w:val="94"/>
        </w:numPr>
        <w:rPr>
          <w:rFonts w:ascii="Arial" w:cs="Arial" w:eastAsia="Arial" w:hAnsi="Arial"/>
          <w:sz w:val="16"/>
          <w:szCs w:val="16"/>
          <w:b w:val="1"/>
          <w:bCs w:val="1"/>
          <w:color w:val="215BA8"/>
        </w:rPr>
      </w:pPr>
      <w:r>
        <w:rPr>
          <w:rFonts w:ascii="Arial" w:cs="Arial" w:eastAsia="Arial" w:hAnsi="Arial"/>
          <w:sz w:val="16"/>
          <w:szCs w:val="16"/>
          <w:color w:val="auto"/>
        </w:rPr>
        <w:t>94% of CEO direct pay “at-risk” in 2021 (see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101600</wp:posOffset>
            </wp:positionV>
            <wp:extent cx="188595"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right="900"/>
        <w:spacing w:after="0" w:line="252" w:lineRule="auto"/>
        <w:rPr>
          <w:sz w:val="20"/>
          <w:szCs w:val="20"/>
          <w:color w:val="auto"/>
        </w:rPr>
      </w:pPr>
      <w:r>
        <w:rPr>
          <w:rFonts w:ascii="Arial" w:cs="Arial" w:eastAsia="Arial" w:hAnsi="Arial"/>
          <w:sz w:val="17"/>
          <w:szCs w:val="17"/>
          <w:b w:val="1"/>
          <w:bCs w:val="1"/>
          <w:color w:val="D60058"/>
        </w:rPr>
        <w:t>Align our compensation philosophy and program design with our culture and business strategy</w:t>
      </w:r>
    </w:p>
    <w:p>
      <w:pPr>
        <w:ind w:left="220" w:hanging="214"/>
        <w:spacing w:after="0"/>
        <w:tabs>
          <w:tab w:leader="none" w:pos="220" w:val="left"/>
        </w:tabs>
        <w:numPr>
          <w:ilvl w:val="0"/>
          <w:numId w:val="95"/>
        </w:numPr>
        <w:rPr>
          <w:rFonts w:ascii="Arial" w:cs="Arial" w:eastAsia="Arial" w:hAnsi="Arial"/>
          <w:sz w:val="16"/>
          <w:szCs w:val="16"/>
          <w:b w:val="1"/>
          <w:bCs w:val="1"/>
          <w:color w:val="215BA8"/>
        </w:rPr>
      </w:pPr>
      <w:r>
        <w:rPr>
          <w:rFonts w:ascii="Arial" w:cs="Arial" w:eastAsia="Arial" w:hAnsi="Arial"/>
          <w:sz w:val="16"/>
          <w:szCs w:val="16"/>
          <w:color w:val="auto"/>
        </w:rPr>
        <w:t>Long-term oriented</w:t>
      </w:r>
    </w:p>
    <w:p>
      <w:pPr>
        <w:spacing w:after="0" w:line="72" w:lineRule="exact"/>
        <w:rPr>
          <w:rFonts w:ascii="Arial" w:cs="Arial" w:eastAsia="Arial" w:hAnsi="Arial"/>
          <w:sz w:val="16"/>
          <w:szCs w:val="16"/>
          <w:b w:val="1"/>
          <w:bCs w:val="1"/>
          <w:color w:val="215BA8"/>
        </w:rPr>
      </w:pPr>
    </w:p>
    <w:p>
      <w:pPr>
        <w:ind w:left="220" w:hanging="214"/>
        <w:spacing w:after="0"/>
        <w:tabs>
          <w:tab w:leader="none" w:pos="220" w:val="left"/>
        </w:tabs>
        <w:numPr>
          <w:ilvl w:val="0"/>
          <w:numId w:val="95"/>
        </w:numPr>
        <w:rPr>
          <w:rFonts w:ascii="Arial" w:cs="Arial" w:eastAsia="Arial" w:hAnsi="Arial"/>
          <w:sz w:val="16"/>
          <w:szCs w:val="16"/>
          <w:b w:val="1"/>
          <w:bCs w:val="1"/>
          <w:color w:val="215BA8"/>
        </w:rPr>
      </w:pPr>
      <w:r>
        <w:rPr>
          <w:rFonts w:ascii="Arial" w:cs="Arial" w:eastAsia="Arial" w:hAnsi="Arial"/>
          <w:sz w:val="16"/>
          <w:szCs w:val="16"/>
          <w:color w:val="auto"/>
        </w:rPr>
        <w:t>Focused on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101600</wp:posOffset>
            </wp:positionV>
            <wp:extent cx="188595"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410" w:right="339" w:bottom="1440" w:gutter="0" w:footer="0" w:header="0"/>
          <w:type w:val="continuous"/>
        </w:sectPr>
      </w:pPr>
    </w:p>
    <w:p>
      <w:pPr>
        <w:spacing w:after="0" w:line="2"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D60058"/>
        </w:rPr>
        <w:t>Align management and shareholder interests</w:t>
      </w:r>
    </w:p>
    <w:p>
      <w:pPr>
        <w:spacing w:after="0" w:line="26" w:lineRule="exact"/>
        <w:rPr>
          <w:sz w:val="20"/>
          <w:szCs w:val="20"/>
          <w:color w:val="auto"/>
        </w:rPr>
      </w:pPr>
    </w:p>
    <w:p>
      <w:pPr>
        <w:ind w:left="1240" w:right="600" w:hanging="206"/>
        <w:spacing w:after="0" w:line="236" w:lineRule="auto"/>
        <w:tabs>
          <w:tab w:leader="none" w:pos="1240" w:val="left"/>
        </w:tabs>
        <w:numPr>
          <w:ilvl w:val="0"/>
          <w:numId w:val="96"/>
        </w:numPr>
        <w:rPr>
          <w:rFonts w:ascii="Arial" w:cs="Arial" w:eastAsia="Arial" w:hAnsi="Arial"/>
          <w:sz w:val="16"/>
          <w:szCs w:val="16"/>
          <w:b w:val="1"/>
          <w:bCs w:val="1"/>
          <w:color w:val="215BA8"/>
        </w:rPr>
      </w:pPr>
      <w:r>
        <w:rPr>
          <w:rFonts w:ascii="Arial" w:cs="Arial" w:eastAsia="Arial" w:hAnsi="Arial"/>
          <w:sz w:val="16"/>
          <w:szCs w:val="16"/>
          <w:color w:val="auto"/>
        </w:rPr>
        <w:t>Equity compensation key component of compensation program</w:t>
      </w:r>
    </w:p>
    <w:p>
      <w:pPr>
        <w:spacing w:after="0" w:line="70" w:lineRule="exact"/>
        <w:rPr>
          <w:rFonts w:ascii="Arial" w:cs="Arial" w:eastAsia="Arial" w:hAnsi="Arial"/>
          <w:sz w:val="16"/>
          <w:szCs w:val="16"/>
          <w:b w:val="1"/>
          <w:bCs w:val="1"/>
          <w:color w:val="215BA8"/>
        </w:rPr>
      </w:pPr>
    </w:p>
    <w:p>
      <w:pPr>
        <w:ind w:left="1240" w:right="200" w:hanging="206"/>
        <w:spacing w:after="0" w:line="251" w:lineRule="auto"/>
        <w:tabs>
          <w:tab w:leader="none" w:pos="1240" w:val="left"/>
        </w:tabs>
        <w:numPr>
          <w:ilvl w:val="0"/>
          <w:numId w:val="96"/>
        </w:numPr>
        <w:rPr>
          <w:rFonts w:ascii="Arial" w:cs="Arial" w:eastAsia="Arial" w:hAnsi="Arial"/>
          <w:sz w:val="15"/>
          <w:szCs w:val="15"/>
          <w:b w:val="1"/>
          <w:bCs w:val="1"/>
          <w:color w:val="215BA8"/>
        </w:rPr>
      </w:pPr>
      <w:r>
        <w:rPr>
          <w:rFonts w:ascii="Arial" w:cs="Arial" w:eastAsia="Arial" w:hAnsi="Arial"/>
          <w:sz w:val="15"/>
          <w:szCs w:val="15"/>
          <w:color w:val="auto"/>
        </w:rPr>
        <w:t>Alignment over the long term: stock options vest over four years with a ten-year term; RSAs vest over four or five years; 2020 PSUs include five year performance and vesting periods and a three year post-vesting holding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94615</wp:posOffset>
            </wp:positionV>
            <wp:extent cx="188595"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84" w:lineRule="exact"/>
        <w:rPr>
          <w:sz w:val="20"/>
          <w:szCs w:val="20"/>
          <w:color w:val="auto"/>
        </w:rPr>
      </w:pPr>
    </w:p>
    <w:p>
      <w:pPr>
        <w:ind w:left="1040"/>
        <w:spacing w:after="0"/>
        <w:rPr>
          <w:sz w:val="20"/>
          <w:szCs w:val="20"/>
          <w:color w:val="auto"/>
        </w:rPr>
      </w:pPr>
      <w:r>
        <w:rPr>
          <w:rFonts w:ascii="Arial" w:cs="Arial" w:eastAsia="Arial" w:hAnsi="Arial"/>
          <w:sz w:val="17"/>
          <w:szCs w:val="17"/>
          <w:b w:val="1"/>
          <w:bCs w:val="1"/>
          <w:color w:val="D60058"/>
        </w:rPr>
        <w:t>Maintain robust stock ownership guidelines</w:t>
      </w:r>
    </w:p>
    <w:p>
      <w:pPr>
        <w:spacing w:after="0" w:line="26" w:lineRule="exact"/>
        <w:rPr>
          <w:sz w:val="20"/>
          <w:szCs w:val="20"/>
          <w:color w:val="auto"/>
        </w:rPr>
      </w:pPr>
    </w:p>
    <w:p>
      <w:pPr>
        <w:ind w:left="1240" w:hanging="206"/>
        <w:spacing w:after="0"/>
        <w:tabs>
          <w:tab w:leader="none" w:pos="1240" w:val="left"/>
        </w:tabs>
        <w:numPr>
          <w:ilvl w:val="0"/>
          <w:numId w:val="97"/>
        </w:numPr>
        <w:rPr>
          <w:rFonts w:ascii="Arial" w:cs="Arial" w:eastAsia="Arial" w:hAnsi="Arial"/>
          <w:sz w:val="16"/>
          <w:szCs w:val="16"/>
          <w:b w:val="1"/>
          <w:bCs w:val="1"/>
          <w:color w:val="215BA8"/>
        </w:rPr>
      </w:pPr>
      <w:r>
        <w:rPr>
          <w:rFonts w:ascii="Arial" w:cs="Arial" w:eastAsia="Arial" w:hAnsi="Arial"/>
          <w:sz w:val="16"/>
          <w:szCs w:val="16"/>
          <w:color w:val="auto"/>
        </w:rPr>
        <w:t>CEO and CSO: Shares with a value at least 6x base salary</w:t>
      </w:r>
    </w:p>
    <w:p>
      <w:pPr>
        <w:spacing w:after="0" w:line="72" w:lineRule="exact"/>
        <w:rPr>
          <w:rFonts w:ascii="Arial" w:cs="Arial" w:eastAsia="Arial" w:hAnsi="Arial"/>
          <w:sz w:val="16"/>
          <w:szCs w:val="16"/>
          <w:b w:val="1"/>
          <w:bCs w:val="1"/>
          <w:color w:val="215BA8"/>
        </w:rPr>
      </w:pPr>
    </w:p>
    <w:p>
      <w:pPr>
        <w:ind w:left="1240" w:hanging="206"/>
        <w:spacing w:after="0"/>
        <w:tabs>
          <w:tab w:leader="none" w:pos="1240" w:val="left"/>
        </w:tabs>
        <w:numPr>
          <w:ilvl w:val="0"/>
          <w:numId w:val="97"/>
        </w:numPr>
        <w:rPr>
          <w:rFonts w:ascii="Arial" w:cs="Arial" w:eastAsia="Arial" w:hAnsi="Arial"/>
          <w:sz w:val="16"/>
          <w:szCs w:val="16"/>
          <w:b w:val="1"/>
          <w:bCs w:val="1"/>
          <w:color w:val="215BA8"/>
        </w:rPr>
      </w:pPr>
      <w:r>
        <w:rPr>
          <w:rFonts w:ascii="Arial" w:cs="Arial" w:eastAsia="Arial" w:hAnsi="Arial"/>
          <w:sz w:val="16"/>
          <w:szCs w:val="16"/>
          <w:color w:val="auto"/>
        </w:rPr>
        <w:t>Other NEOs: Shares with a value at least 2x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101600</wp:posOffset>
            </wp:positionV>
            <wp:extent cx="18859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95" w:lineRule="exact"/>
        <w:rPr>
          <w:sz w:val="20"/>
          <w:szCs w:val="20"/>
          <w:color w:val="auto"/>
        </w:rPr>
      </w:pPr>
    </w:p>
    <w:p>
      <w:pPr>
        <w:jc w:val="both"/>
        <w:ind w:left="1040" w:right="180"/>
        <w:spacing w:after="0" w:line="245" w:lineRule="auto"/>
        <w:rPr>
          <w:sz w:val="20"/>
          <w:szCs w:val="20"/>
          <w:color w:val="auto"/>
        </w:rPr>
      </w:pPr>
      <w:r>
        <w:rPr>
          <w:rFonts w:ascii="Arial" w:cs="Arial" w:eastAsia="Arial" w:hAnsi="Arial"/>
          <w:sz w:val="17"/>
          <w:szCs w:val="17"/>
          <w:b w:val="1"/>
          <w:bCs w:val="1"/>
          <w:color w:val="D60058"/>
        </w:rPr>
        <w:t>Provide shareholders with the opportunity to weigh in on compensation matters via say-on-pay votes every year</w:t>
      </w:r>
    </w:p>
    <w:p>
      <w:pPr>
        <w:spacing w:after="0" w:line="1" w:lineRule="exact"/>
        <w:rPr>
          <w:sz w:val="20"/>
          <w:szCs w:val="20"/>
          <w:color w:val="auto"/>
        </w:rPr>
      </w:pPr>
    </w:p>
    <w:p>
      <w:pPr>
        <w:ind w:left="1240" w:right="220" w:hanging="206"/>
        <w:spacing w:after="0" w:line="234" w:lineRule="auto"/>
        <w:tabs>
          <w:tab w:leader="none" w:pos="1240" w:val="left"/>
        </w:tabs>
        <w:numPr>
          <w:ilvl w:val="0"/>
          <w:numId w:val="98"/>
        </w:numPr>
        <w:rPr>
          <w:rFonts w:ascii="Arial" w:cs="Arial" w:eastAsia="Arial" w:hAnsi="Arial"/>
          <w:sz w:val="16"/>
          <w:szCs w:val="16"/>
          <w:b w:val="1"/>
          <w:bCs w:val="1"/>
          <w:color w:val="215BA8"/>
        </w:rPr>
      </w:pPr>
      <w:r>
        <w:rPr>
          <w:rFonts w:ascii="Arial" w:cs="Arial" w:eastAsia="Arial" w:hAnsi="Arial"/>
          <w:sz w:val="16"/>
          <w:szCs w:val="16"/>
          <w:color w:val="auto"/>
        </w:rPr>
        <w:t>Voluntarily changed the frequency of say-on-pay votes from every three years to every year, commencing at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202565</wp:posOffset>
            </wp:positionV>
            <wp:extent cx="6446520" cy="282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46520"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D60058"/>
        </w:rPr>
        <w:t>Maintain a strong recoupment (clawback) policy</w:t>
      </w:r>
    </w:p>
    <w:p>
      <w:pPr>
        <w:spacing w:after="0" w:line="26" w:lineRule="exact"/>
        <w:rPr>
          <w:sz w:val="20"/>
          <w:szCs w:val="20"/>
          <w:color w:val="auto"/>
        </w:rPr>
      </w:pPr>
    </w:p>
    <w:p>
      <w:pPr>
        <w:ind w:left="220" w:hanging="214"/>
        <w:spacing w:after="0"/>
        <w:tabs>
          <w:tab w:leader="none" w:pos="220" w:val="left"/>
        </w:tabs>
        <w:numPr>
          <w:ilvl w:val="0"/>
          <w:numId w:val="99"/>
        </w:numPr>
        <w:rPr>
          <w:rFonts w:ascii="Arial" w:cs="Arial" w:eastAsia="Arial" w:hAnsi="Arial"/>
          <w:sz w:val="16"/>
          <w:szCs w:val="16"/>
          <w:b w:val="1"/>
          <w:bCs w:val="1"/>
          <w:color w:val="215BA8"/>
        </w:rPr>
      </w:pPr>
      <w:r>
        <w:rPr>
          <w:rFonts w:ascii="Arial" w:cs="Arial" w:eastAsia="Arial" w:hAnsi="Arial"/>
          <w:sz w:val="16"/>
          <w:szCs w:val="16"/>
          <w:color w:val="auto"/>
        </w:rPr>
        <w:t>Applies to bonus and other incentive compensation</w:t>
      </w:r>
    </w:p>
    <w:p>
      <w:pPr>
        <w:spacing w:after="0" w:line="72" w:lineRule="exact"/>
        <w:rPr>
          <w:rFonts w:ascii="Arial" w:cs="Arial" w:eastAsia="Arial" w:hAnsi="Arial"/>
          <w:sz w:val="16"/>
          <w:szCs w:val="16"/>
          <w:b w:val="1"/>
          <w:bCs w:val="1"/>
          <w:color w:val="215BA8"/>
        </w:rPr>
      </w:pPr>
    </w:p>
    <w:p>
      <w:pPr>
        <w:ind w:left="220" w:right="780" w:hanging="214"/>
        <w:spacing w:after="0" w:line="234" w:lineRule="auto"/>
        <w:tabs>
          <w:tab w:leader="none" w:pos="220" w:val="left"/>
        </w:tabs>
        <w:numPr>
          <w:ilvl w:val="0"/>
          <w:numId w:val="99"/>
        </w:numPr>
        <w:rPr>
          <w:rFonts w:ascii="Arial" w:cs="Arial" w:eastAsia="Arial" w:hAnsi="Arial"/>
          <w:sz w:val="16"/>
          <w:szCs w:val="16"/>
          <w:b w:val="1"/>
          <w:bCs w:val="1"/>
          <w:color w:val="215BA8"/>
        </w:rPr>
      </w:pPr>
      <w:r>
        <w:rPr>
          <w:rFonts w:ascii="Arial" w:cs="Arial" w:eastAsia="Arial" w:hAnsi="Arial"/>
          <w:sz w:val="16"/>
          <w:szCs w:val="16"/>
          <w:color w:val="auto"/>
        </w:rPr>
        <w:t>Applies regardless of whether paid or payable in cash, equity, or otherwise and regardless of whether earned or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99695</wp:posOffset>
            </wp:positionV>
            <wp:extent cx="188595"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D60058"/>
        </w:rPr>
        <w:t>Retain an independent compensation consultant</w:t>
      </w:r>
    </w:p>
    <w:p>
      <w:pPr>
        <w:spacing w:after="0" w:line="26" w:lineRule="exact"/>
        <w:rPr>
          <w:sz w:val="20"/>
          <w:szCs w:val="20"/>
          <w:color w:val="auto"/>
        </w:rPr>
      </w:pPr>
    </w:p>
    <w:p>
      <w:pPr>
        <w:ind w:left="220" w:right="740" w:hanging="214"/>
        <w:spacing w:after="0" w:line="232" w:lineRule="auto"/>
        <w:tabs>
          <w:tab w:leader="none" w:pos="220" w:val="left"/>
        </w:tabs>
        <w:numPr>
          <w:ilvl w:val="0"/>
          <w:numId w:val="100"/>
        </w:numPr>
        <w:rPr>
          <w:rFonts w:ascii="Arial" w:cs="Arial" w:eastAsia="Arial" w:hAnsi="Arial"/>
          <w:sz w:val="16"/>
          <w:szCs w:val="16"/>
          <w:b w:val="1"/>
          <w:bCs w:val="1"/>
          <w:color w:val="215BA8"/>
        </w:rPr>
      </w:pPr>
      <w:r>
        <w:rPr>
          <w:rFonts w:ascii="Arial" w:cs="Arial" w:eastAsia="Arial" w:hAnsi="Arial"/>
          <w:sz w:val="16"/>
          <w:szCs w:val="16"/>
          <w:color w:val="auto"/>
        </w:rPr>
        <w:t>Independent compensation consultant provides advice directly to the Compensation Committee on all key compensation decisions, as well as recommendations for compensation plans, budgets, and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100965</wp:posOffset>
            </wp:positionV>
            <wp:extent cx="188595" cy="1885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181"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b w:val="1"/>
          <w:bCs w:val="1"/>
          <w:color w:val="D60058"/>
        </w:rPr>
        <w:t>Actively and regularly engage with shareholders on executive compensation matters</w:t>
      </w:r>
    </w:p>
    <w:p>
      <w:pPr>
        <w:ind w:left="220" w:hanging="214"/>
        <w:spacing w:after="0"/>
        <w:tabs>
          <w:tab w:leader="none" w:pos="220" w:val="left"/>
        </w:tabs>
        <w:numPr>
          <w:ilvl w:val="0"/>
          <w:numId w:val="101"/>
        </w:numPr>
        <w:rPr>
          <w:rFonts w:ascii="Arial" w:cs="Arial" w:eastAsia="Arial" w:hAnsi="Arial"/>
          <w:sz w:val="16"/>
          <w:szCs w:val="16"/>
          <w:b w:val="1"/>
          <w:bCs w:val="1"/>
          <w:color w:val="215BA8"/>
        </w:rPr>
      </w:pPr>
      <w:r>
        <w:rPr>
          <w:rFonts w:ascii="Arial" w:cs="Arial" w:eastAsia="Arial" w:hAnsi="Arial"/>
          <w:sz w:val="16"/>
          <w:szCs w:val="16"/>
          <w:color w:val="auto"/>
        </w:rPr>
        <w:t>Robust engagement program in the last decade</w:t>
      </w:r>
    </w:p>
    <w:p>
      <w:pPr>
        <w:spacing w:after="0" w:line="86" w:lineRule="exact"/>
        <w:rPr>
          <w:rFonts w:ascii="Arial" w:cs="Arial" w:eastAsia="Arial" w:hAnsi="Arial"/>
          <w:sz w:val="16"/>
          <w:szCs w:val="16"/>
          <w:b w:val="1"/>
          <w:bCs w:val="1"/>
          <w:color w:val="215BA8"/>
        </w:rPr>
      </w:pPr>
    </w:p>
    <w:p>
      <w:pPr>
        <w:ind w:left="220" w:right="640" w:hanging="214"/>
        <w:spacing w:after="0" w:line="232" w:lineRule="auto"/>
        <w:tabs>
          <w:tab w:leader="none" w:pos="220" w:val="left"/>
        </w:tabs>
        <w:numPr>
          <w:ilvl w:val="0"/>
          <w:numId w:val="101"/>
        </w:numPr>
        <w:rPr>
          <w:rFonts w:ascii="Arial" w:cs="Arial" w:eastAsia="Arial" w:hAnsi="Arial"/>
          <w:sz w:val="16"/>
          <w:szCs w:val="16"/>
          <w:b w:val="1"/>
          <w:bCs w:val="1"/>
          <w:color w:val="215BA8"/>
        </w:rPr>
      </w:pPr>
      <w:r>
        <w:rPr>
          <w:rFonts w:ascii="Arial" w:cs="Arial" w:eastAsia="Arial" w:hAnsi="Arial"/>
          <w:sz w:val="16"/>
          <w:szCs w:val="16"/>
          <w:color w:val="auto"/>
        </w:rPr>
        <w:t>In 2021, reached out to shareholders collectively representing nearly 60% of public shares and held one-on-one discussions with shareholders representing over 40% of public shares</w:t>
      </w:r>
    </w:p>
    <w:p>
      <w:pPr>
        <w:spacing w:after="0" w:line="200" w:lineRule="exact"/>
        <w:rPr>
          <w:sz w:val="20"/>
          <w:szCs w:val="20"/>
          <w:color w:val="auto"/>
        </w:rPr>
      </w:pPr>
    </w:p>
    <w:p>
      <w:pPr>
        <w:sectPr>
          <w:pgSz w:w="11900" w:h="16838" w:orient="portrait"/>
          <w:cols w:equalWidth="0" w:num="2">
            <w:col w:w="5600" w:space="720"/>
            <w:col w:w="4920"/>
          </w:cols>
          <w:pgMar w:left="320" w:top="410" w:right="339" w:bottom="1440" w:gutter="0" w:footer="0" w:header="0"/>
          <w:type w:val="continuous"/>
        </w:sectPr>
      </w:pPr>
    </w:p>
    <w:p>
      <w:pPr>
        <w:spacing w:after="0" w:line="3" w:lineRule="exact"/>
        <w:rPr>
          <w:sz w:val="20"/>
          <w:szCs w:val="20"/>
          <w:color w:val="auto"/>
        </w:rPr>
      </w:pPr>
    </w:p>
    <w:p>
      <w:pPr>
        <w:ind w:left="640"/>
        <w:spacing w:after="0"/>
        <w:rPr>
          <w:sz w:val="20"/>
          <w:szCs w:val="20"/>
          <w:color w:val="auto"/>
        </w:rPr>
      </w:pPr>
      <w:r>
        <w:rPr>
          <w:rFonts w:ascii="Arial" w:cs="Arial" w:eastAsia="Arial" w:hAnsi="Arial"/>
          <w:sz w:val="23"/>
          <w:szCs w:val="23"/>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164465</wp:posOffset>
            </wp:positionV>
            <wp:extent cx="188595" cy="1885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164465</wp:posOffset>
            </wp:positionV>
            <wp:extent cx="188595"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ind w:left="1040"/>
              <w:spacing w:after="0"/>
              <w:rPr>
                <w:sz w:val="20"/>
                <w:szCs w:val="20"/>
                <w:color w:val="auto"/>
              </w:rPr>
            </w:pPr>
            <w:r>
              <w:rPr>
                <w:rFonts w:ascii="Arial" w:cs="Arial" w:eastAsia="Arial" w:hAnsi="Arial"/>
                <w:sz w:val="17"/>
                <w:szCs w:val="17"/>
                <w:b w:val="1"/>
                <w:bCs w:val="1"/>
                <w:color w:val="D60058"/>
              </w:rPr>
              <w:t>Reprice or exchange stock options</w:t>
            </w:r>
          </w:p>
        </w:tc>
        <w:tc>
          <w:tcPr>
            <w:tcW w:w="6400" w:type="dxa"/>
            <w:vAlign w:val="bottom"/>
          </w:tcPr>
          <w:p>
            <w:pPr>
              <w:ind w:left="1480"/>
              <w:spacing w:after="0"/>
              <w:rPr>
                <w:sz w:val="20"/>
                <w:szCs w:val="20"/>
                <w:color w:val="auto"/>
              </w:rPr>
            </w:pPr>
            <w:r>
              <w:rPr>
                <w:rFonts w:ascii="Arial" w:cs="Arial" w:eastAsia="Arial" w:hAnsi="Arial"/>
                <w:sz w:val="17"/>
                <w:szCs w:val="17"/>
                <w:b w:val="1"/>
                <w:bCs w:val="1"/>
                <w:color w:val="D60058"/>
              </w:rPr>
              <w:t>Provide excise tax gross-ups in any new</w:t>
            </w:r>
          </w:p>
        </w:tc>
        <w:tc>
          <w:tcPr>
            <w:tcW w:w="0" w:type="dxa"/>
            <w:vAlign w:val="bottom"/>
          </w:tcPr>
          <w:p>
            <w:pPr>
              <w:spacing w:after="0"/>
              <w:rPr>
                <w:sz w:val="1"/>
                <w:szCs w:val="1"/>
                <w:color w:val="auto"/>
              </w:rPr>
            </w:pPr>
          </w:p>
        </w:tc>
      </w:tr>
      <w:tr>
        <w:trPr>
          <w:trHeight w:val="225"/>
        </w:trPr>
        <w:tc>
          <w:tcPr>
            <w:tcW w:w="4840" w:type="dxa"/>
            <w:vAlign w:val="bottom"/>
          </w:tcPr>
          <w:p>
            <w:pPr>
              <w:spacing w:after="0"/>
              <w:rPr>
                <w:sz w:val="19"/>
                <w:szCs w:val="19"/>
                <w:color w:val="auto"/>
              </w:rPr>
            </w:pPr>
          </w:p>
        </w:tc>
        <w:tc>
          <w:tcPr>
            <w:tcW w:w="6400" w:type="dxa"/>
            <w:vAlign w:val="bottom"/>
          </w:tcPr>
          <w:p>
            <w:pPr>
              <w:ind w:left="1480"/>
              <w:spacing w:after="0"/>
              <w:rPr>
                <w:sz w:val="20"/>
                <w:szCs w:val="20"/>
                <w:color w:val="auto"/>
              </w:rPr>
            </w:pPr>
            <w:r>
              <w:rPr>
                <w:rFonts w:ascii="Arial" w:cs="Arial" w:eastAsia="Arial" w:hAnsi="Arial"/>
                <w:sz w:val="17"/>
                <w:szCs w:val="17"/>
                <w:b w:val="1"/>
                <w:bCs w:val="1"/>
                <w:color w:val="D60058"/>
              </w:rPr>
              <w:t>compensation plans or arrangements</w:t>
            </w:r>
          </w:p>
        </w:tc>
        <w:tc>
          <w:tcPr>
            <w:tcW w:w="0" w:type="dxa"/>
            <w:vAlign w:val="bottom"/>
          </w:tcPr>
          <w:p>
            <w:pPr>
              <w:spacing w:after="0"/>
              <w:rPr>
                <w:sz w:val="1"/>
                <w:szCs w:val="1"/>
                <w:color w:val="auto"/>
              </w:rPr>
            </w:pPr>
          </w:p>
        </w:tc>
      </w:tr>
      <w:tr>
        <w:trPr>
          <w:trHeight w:val="243"/>
        </w:trPr>
        <w:tc>
          <w:tcPr>
            <w:tcW w:w="4840" w:type="dxa"/>
            <w:vAlign w:val="bottom"/>
          </w:tcPr>
          <w:p>
            <w:pPr>
              <w:ind w:left="1040"/>
              <w:spacing w:after="0"/>
              <w:rPr>
                <w:sz w:val="20"/>
                <w:szCs w:val="20"/>
                <w:color w:val="auto"/>
              </w:rPr>
            </w:pPr>
            <w:r>
              <w:rPr>
                <w:rFonts w:ascii="Arial" w:cs="Arial" w:eastAsia="Arial" w:hAnsi="Arial"/>
                <w:sz w:val="17"/>
                <w:szCs w:val="17"/>
                <w:b w:val="1"/>
                <w:bCs w:val="1"/>
                <w:color w:val="D60058"/>
              </w:rPr>
              <w:t>Provide excessive perquisites</w:t>
            </w:r>
          </w:p>
        </w:tc>
        <w:tc>
          <w:tcPr>
            <w:tcW w:w="6400" w:type="dxa"/>
            <w:vAlign w:val="bottom"/>
            <w:vMerge w:val="restart"/>
          </w:tcPr>
          <w:p>
            <w:pPr>
              <w:ind w:left="1480"/>
              <w:spacing w:after="0"/>
              <w:rPr>
                <w:sz w:val="20"/>
                <w:szCs w:val="20"/>
                <w:color w:val="auto"/>
              </w:rPr>
            </w:pPr>
            <w:r>
              <w:rPr>
                <w:rFonts w:ascii="Arial" w:cs="Arial" w:eastAsia="Arial" w:hAnsi="Arial"/>
                <w:sz w:val="17"/>
                <w:szCs w:val="17"/>
                <w:b w:val="1"/>
                <w:bCs w:val="1"/>
                <w:color w:val="D60058"/>
              </w:rPr>
              <w:t>Allow hedging or pledging of securities</w:t>
            </w: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6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7"/>
        </w:trPr>
        <w:tc>
          <w:tcPr>
            <w:tcW w:w="4840" w:type="dxa"/>
            <w:vAlign w:val="bottom"/>
          </w:tcPr>
          <w:p>
            <w:pPr>
              <w:jc w:val="right"/>
              <w:ind w:right="4479"/>
              <w:spacing w:after="0"/>
              <w:rPr>
                <w:sz w:val="20"/>
                <w:szCs w:val="20"/>
                <w:color w:val="auto"/>
              </w:rPr>
            </w:pPr>
            <w:r>
              <w:rPr>
                <w:rFonts w:ascii="Arial" w:cs="Arial" w:eastAsia="Arial" w:hAnsi="Arial"/>
                <w:sz w:val="14"/>
                <w:szCs w:val="14"/>
                <w:b w:val="1"/>
                <w:bCs w:val="1"/>
                <w:color w:val="auto"/>
              </w:rPr>
              <w:t xml:space="preserve">60 </w:t>
            </w:r>
            <w:r>
              <w:rPr>
                <w:rFonts w:ascii="Arial" w:cs="Arial" w:eastAsia="Arial" w:hAnsi="Arial"/>
                <w:sz w:val="14"/>
                <w:szCs w:val="14"/>
                <w:b w:val="1"/>
                <w:bCs w:val="1"/>
                <w:color w:val="00ADEE"/>
              </w:rPr>
              <w:t>/</w:t>
            </w:r>
          </w:p>
        </w:tc>
        <w:tc>
          <w:tcPr>
            <w:tcW w:w="6400" w:type="dxa"/>
            <w:vAlign w:val="bottom"/>
          </w:tcPr>
          <w:p>
            <w:pPr>
              <w:ind w:left="980"/>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0" w:type="dxa"/>
            <w:vAlign w:val="bottom"/>
          </w:tcPr>
          <w:p>
            <w:pPr>
              <w:spacing w:after="0"/>
              <w:rPr>
                <w:sz w:val="1"/>
                <w:szCs w:val="1"/>
                <w:color w:val="auto"/>
              </w:rPr>
            </w:pPr>
          </w:p>
        </w:tc>
      </w:tr>
      <w:tr>
        <w:trPr>
          <w:trHeight w:val="262"/>
        </w:trPr>
        <w:tc>
          <w:tcPr>
            <w:tcW w:w="4840" w:type="dxa"/>
            <w:vAlign w:val="bottom"/>
            <w:tcBorders>
              <w:bottom w:val="single" w:sz="8" w:color="C0C0C0"/>
            </w:tcBorders>
          </w:tcPr>
          <w:p>
            <w:pPr>
              <w:spacing w:after="0"/>
              <w:rPr>
                <w:sz w:val="22"/>
                <w:szCs w:val="22"/>
                <w:color w:val="auto"/>
              </w:rPr>
            </w:pPr>
          </w:p>
        </w:tc>
        <w:tc>
          <w:tcPr>
            <w:tcW w:w="640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-719455</wp:posOffset>
            </wp:positionV>
            <wp:extent cx="188595"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88595" cy="18859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-599440</wp:posOffset>
            </wp:positionV>
            <wp:extent cx="188595"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8595" cy="18859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75" w:name="page76"/>
    <w:bookmarkEnd w:id="75"/>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COMPENSATION PROGRAM OBJECTIVES</w:t>
      </w:r>
    </w:p>
    <w:p>
      <w:pPr>
        <w:spacing w:after="0" w:line="212" w:lineRule="exact"/>
        <w:rPr>
          <w:sz w:val="20"/>
          <w:szCs w:val="20"/>
          <w:color w:val="auto"/>
        </w:rPr>
      </w:pPr>
    </w:p>
    <w:p>
      <w:pPr>
        <w:ind w:left="540" w:right="580"/>
        <w:spacing w:after="0" w:line="231" w:lineRule="auto"/>
        <w:rPr>
          <w:sz w:val="20"/>
          <w:szCs w:val="20"/>
          <w:color w:val="auto"/>
        </w:rPr>
      </w:pPr>
      <w:r>
        <w:rPr>
          <w:rFonts w:ascii="Arial" w:cs="Arial" w:eastAsia="Arial" w:hAnsi="Arial"/>
          <w:sz w:val="16"/>
          <w:szCs w:val="16"/>
          <w:color w:val="auto"/>
        </w:rPr>
        <w:t>Our executive compensation program is designed to pay for performance, drive the creation of long-term, sustainable shareholder value, deliver compensation that is competitively positioned amongst our peers, and align with the pursuit and achievement of both our short-term and long-term strategic goals. Our pay program must attract and retain talented leaders who can innovate and execute. Managing our business for the long term is a core Company belief, as demonstrated by our history of growing through innovation and through a pipeline of internally developed medicines. Further, the compensation program must support the board’s and management’s broader objectives, such as those relating to research and product development; commercialization and access; manufacturing operations; and human capital management, including promotion of a diverse and inclusive workplace.</w:t>
      </w:r>
    </w:p>
    <w:p>
      <w:pPr>
        <w:spacing w:after="0" w:line="164" w:lineRule="exact"/>
        <w:rPr>
          <w:sz w:val="20"/>
          <w:szCs w:val="20"/>
          <w:color w:val="auto"/>
        </w:rPr>
      </w:pPr>
    </w:p>
    <w:p>
      <w:pPr>
        <w:ind w:left="540" w:right="620"/>
        <w:spacing w:after="0" w:line="236" w:lineRule="auto"/>
        <w:rPr>
          <w:sz w:val="20"/>
          <w:szCs w:val="20"/>
          <w:color w:val="auto"/>
        </w:rPr>
      </w:pPr>
      <w:r>
        <w:rPr>
          <w:rFonts w:ascii="Arial" w:cs="Arial" w:eastAsia="Arial" w:hAnsi="Arial"/>
          <w:sz w:val="16"/>
          <w:szCs w:val="16"/>
          <w:color w:val="auto"/>
        </w:rPr>
        <w:t>We strive to achieve these objectives by considering the following key compensation program tenets when designing and determining appropriate compensation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100330</wp:posOffset>
            </wp:positionV>
            <wp:extent cx="6446520" cy="11398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46520" cy="113982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215BA8"/>
        </w:rPr>
        <w:t>Drive innovation through ownership culture</w:t>
      </w:r>
    </w:p>
    <w:p>
      <w:pPr>
        <w:spacing w:after="0" w:line="86" w:lineRule="exact"/>
        <w:rPr>
          <w:sz w:val="20"/>
          <w:szCs w:val="20"/>
          <w:color w:val="auto"/>
        </w:rPr>
      </w:pPr>
    </w:p>
    <w:p>
      <w:pPr>
        <w:ind w:left="640"/>
        <w:spacing w:after="0" w:line="244" w:lineRule="auto"/>
        <w:rPr>
          <w:sz w:val="20"/>
          <w:szCs w:val="20"/>
          <w:color w:val="auto"/>
        </w:rPr>
      </w:pPr>
      <w:r>
        <w:rPr>
          <w:rFonts w:ascii="Arial" w:cs="Arial" w:eastAsia="Arial" w:hAnsi="Arial"/>
          <w:sz w:val="14"/>
          <w:szCs w:val="14"/>
          <w:color w:val="auto"/>
        </w:rPr>
        <w:t>Our objective is to create and reinforce an ownership culture where employees are empowered to pursue fulfilling careers and focus on our mission and drug discovery and development. We believe a broad-based equity program that incentivizes long-term performance and promotes employee retention is a key ingredient in achieving this culture of ownership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445135</wp:posOffset>
            </wp:positionV>
            <wp:extent cx="3137535" cy="12255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37535" cy="1225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520"/>
        <w:spacing w:after="0" w:line="257" w:lineRule="auto"/>
        <w:rPr>
          <w:sz w:val="20"/>
          <w:szCs w:val="20"/>
          <w:color w:val="auto"/>
        </w:rPr>
      </w:pPr>
      <w:r>
        <w:rPr>
          <w:rFonts w:ascii="Arial" w:cs="Arial" w:eastAsia="Arial" w:hAnsi="Arial"/>
          <w:sz w:val="20"/>
          <w:szCs w:val="20"/>
          <w:b w:val="1"/>
          <w:bCs w:val="1"/>
          <w:color w:val="215BA8"/>
        </w:rPr>
        <w:t>Prioritize design simplicity and long-term orientation</w:t>
      </w:r>
    </w:p>
    <w:p>
      <w:pPr>
        <w:spacing w:after="0" w:line="39" w:lineRule="exact"/>
        <w:rPr>
          <w:sz w:val="20"/>
          <w:szCs w:val="20"/>
          <w:color w:val="auto"/>
        </w:rPr>
      </w:pPr>
    </w:p>
    <w:p>
      <w:pPr>
        <w:ind w:right="660"/>
        <w:spacing w:after="0" w:line="244" w:lineRule="auto"/>
        <w:rPr>
          <w:sz w:val="20"/>
          <w:szCs w:val="20"/>
          <w:color w:val="auto"/>
        </w:rPr>
      </w:pPr>
      <w:r>
        <w:rPr>
          <w:rFonts w:ascii="Arial" w:cs="Arial" w:eastAsia="Arial" w:hAnsi="Arial"/>
          <w:sz w:val="14"/>
          <w:szCs w:val="14"/>
          <w:color w:val="auto"/>
        </w:rPr>
        <w:t>Tying compensation to long-term, Company-wide success and straightforward Company goals has enabled us to encourage decision-making that we believe is consistent with the long-term sustainability of our Company and our reputation. Our objective is to remain nimble, to encourage evolutionary ideas when strategies need to change, and to have the ability to pivot quickly if needed, without being hindered by overly complex compensation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203835</wp:posOffset>
            </wp:positionV>
            <wp:extent cx="3145790" cy="12255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45790" cy="12255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560"/>
            <w:col w:w="5400"/>
          </w:cols>
          <w:pgMar w:left="320" w:top="410" w:right="339" w:bottom="1440" w:gutter="0" w:footer="0" w:header="0"/>
          <w:type w:val="continuous"/>
        </w:sectPr>
      </w:pPr>
    </w:p>
    <w:p>
      <w:pPr>
        <w:spacing w:after="0" w:line="174" w:lineRule="exact"/>
        <w:rPr>
          <w:sz w:val="20"/>
          <w:szCs w:val="20"/>
          <w:color w:val="auto"/>
        </w:rPr>
      </w:pPr>
    </w:p>
    <w:p>
      <w:pPr>
        <w:ind w:left="640" w:right="280"/>
        <w:spacing w:after="0" w:line="257" w:lineRule="auto"/>
        <w:rPr>
          <w:sz w:val="20"/>
          <w:szCs w:val="20"/>
          <w:color w:val="auto"/>
        </w:rPr>
      </w:pPr>
      <w:r>
        <w:rPr>
          <w:rFonts w:ascii="Arial" w:cs="Arial" w:eastAsia="Arial" w:hAnsi="Arial"/>
          <w:sz w:val="20"/>
          <w:szCs w:val="20"/>
          <w:b w:val="1"/>
          <w:bCs w:val="1"/>
          <w:color w:val="215BA8"/>
        </w:rPr>
        <w:t>Provide at-risk, performance-based equity to all employees</w:t>
      </w:r>
    </w:p>
    <w:p>
      <w:pPr>
        <w:spacing w:after="0" w:line="39" w:lineRule="exact"/>
        <w:rPr>
          <w:sz w:val="20"/>
          <w:szCs w:val="20"/>
          <w:color w:val="auto"/>
        </w:rPr>
      </w:pPr>
    </w:p>
    <w:p>
      <w:pPr>
        <w:ind w:left="640"/>
        <w:spacing w:after="0" w:line="244" w:lineRule="auto"/>
        <w:rPr>
          <w:sz w:val="20"/>
          <w:szCs w:val="20"/>
          <w:color w:val="auto"/>
        </w:rPr>
      </w:pPr>
      <w:r>
        <w:rPr>
          <w:rFonts w:ascii="Arial" w:cs="Arial" w:eastAsia="Arial" w:hAnsi="Arial"/>
          <w:sz w:val="14"/>
          <w:szCs w:val="14"/>
          <w:color w:val="auto"/>
        </w:rPr>
        <w:t>A key part of our pay philosophy since our inception has been to award equity-based pay to all employees, not just senior executives, to ensure that when we deliver for patients and for shareholders, everyone shares in the potential upside growth. In line with this goal, approximately 90% of the employee equity grants in each of the last five years were awarded to our employees other than our NEOs. We believe this approach represents one of our competitive advantages.</w:t>
      </w:r>
    </w:p>
    <w:p>
      <w:pPr>
        <w:spacing w:after="0" w:line="362"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D60058"/>
        </w:rPr>
        <w:t>Regeneron CEO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8890</wp:posOffset>
            </wp:positionV>
            <wp:extent cx="2494280" cy="1423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94280"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215BA8"/>
        </w:rPr>
        <w:t>Align with shareholder interests</w:t>
      </w:r>
    </w:p>
    <w:p>
      <w:pPr>
        <w:spacing w:after="0" w:line="86" w:lineRule="exact"/>
        <w:rPr>
          <w:sz w:val="20"/>
          <w:szCs w:val="20"/>
          <w:color w:val="auto"/>
        </w:rPr>
      </w:pPr>
    </w:p>
    <w:p>
      <w:pPr>
        <w:ind w:left="100" w:right="640"/>
        <w:spacing w:after="0" w:line="239" w:lineRule="auto"/>
        <w:rPr>
          <w:sz w:val="20"/>
          <w:szCs w:val="20"/>
          <w:color w:val="auto"/>
        </w:rPr>
      </w:pPr>
      <w:r>
        <w:rPr>
          <w:rFonts w:ascii="Arial" w:cs="Arial" w:eastAsia="Arial" w:hAnsi="Arial"/>
          <w:sz w:val="14"/>
          <w:szCs w:val="14"/>
          <w:color w:val="auto"/>
        </w:rPr>
        <w:t>Our objective has always been to ensure close alignment with shareholder interests. All of the direct pay of our CEO and CSO, except for base salary, depends on performance and is “at-risk.” For our CEO, at-risk pay comprised 94% of his direct pay in 2021, which is significantly higher than the percentage of at-risk compensation for CEOs in our Peer Group, as</w:t>
      </w:r>
    </w:p>
    <w:p>
      <w:pPr>
        <w:spacing w:after="0" w:line="3" w:lineRule="exact"/>
        <w:rPr>
          <w:sz w:val="20"/>
          <w:szCs w:val="20"/>
          <w:color w:val="auto"/>
        </w:rPr>
      </w:pPr>
    </w:p>
    <w:p>
      <w:pPr>
        <w:jc w:val="both"/>
        <w:ind w:left="100" w:right="960"/>
        <w:spacing w:after="0" w:line="221" w:lineRule="auto"/>
        <w:rPr>
          <w:sz w:val="20"/>
          <w:szCs w:val="20"/>
          <w:color w:val="auto"/>
        </w:rPr>
      </w:pPr>
      <w:r>
        <w:rPr>
          <w:rFonts w:ascii="Arial" w:cs="Arial" w:eastAsia="Arial" w:hAnsi="Arial"/>
          <w:sz w:val="14"/>
          <w:szCs w:val="14"/>
          <w:color w:val="auto"/>
        </w:rPr>
        <w:t>shown in the charts below.</w:t>
      </w:r>
      <w:r>
        <w:rPr>
          <w:rFonts w:ascii="Arial" w:cs="Arial" w:eastAsia="Arial" w:hAnsi="Arial"/>
          <w:sz w:val="23"/>
          <w:szCs w:val="23"/>
          <w:color w:val="auto"/>
          <w:vertAlign w:val="superscript"/>
        </w:rPr>
        <w:t>7</w:t>
      </w:r>
      <w:r>
        <w:rPr>
          <w:rFonts w:ascii="Arial" w:cs="Arial" w:eastAsia="Arial" w:hAnsi="Arial"/>
          <w:sz w:val="14"/>
          <w:szCs w:val="14"/>
          <w:color w:val="auto"/>
        </w:rPr>
        <w:t xml:space="preserve"> More broadly, the long-term nature of our equity program is consistent with the drug discovery and development cycle and, therefore, helps drive the creation of long-term shareholder value.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D60058"/>
        </w:rPr>
        <w:t>Peer Group Average CEO Pay Mix</w:t>
      </w:r>
      <w:r>
        <w:rPr>
          <w:rFonts w:ascii="Arial" w:cs="Arial" w:eastAsia="Arial" w:hAnsi="Arial"/>
          <w:sz w:val="23"/>
          <w:szCs w:val="23"/>
          <w:b w:val="1"/>
          <w:bCs w:val="1"/>
          <w:color w:val="D60058"/>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2743200" cy="131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743200" cy="1311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500"/>
          </w:cols>
          <w:pgMar w:left="320" w:top="41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60" w:right="680" w:hanging="212"/>
        <w:spacing w:after="0" w:line="245" w:lineRule="auto"/>
        <w:tabs>
          <w:tab w:leader="none" w:pos="760" w:val="left"/>
        </w:tabs>
        <w:numPr>
          <w:ilvl w:val="0"/>
          <w:numId w:val="102"/>
        </w:numPr>
        <w:rPr>
          <w:rFonts w:ascii="Arial" w:cs="Arial" w:eastAsia="Arial" w:hAnsi="Arial"/>
          <w:sz w:val="14"/>
          <w:szCs w:val="14"/>
          <w:color w:val="1A1A1A"/>
        </w:rPr>
      </w:pPr>
      <w:r>
        <w:rPr>
          <w:rFonts w:ascii="Arial" w:cs="Arial" w:eastAsia="Arial" w:hAnsi="Arial"/>
          <w:sz w:val="14"/>
          <w:szCs w:val="14"/>
          <w:color w:val="1A1A1A"/>
        </w:rPr>
        <w:t>“At-risk Equity” consists of stock options and any equity awards with performance-based vesting conditions (such as PSUs). For purposes of this chart, we annualized the five-year, front-loaded PSU award that was granted to our CEO in 2020. “Other Equity” consists of all other equity awards, such as time-based RSAs and RSUs. “At-risk Equity” and “Other Equity” reflect the grant date fair value of such equity awards. “STIP” consists of bonus and/or other applicable compensation provided under short-term, non-equity incentive plans. “At-risk” compensation consists of STIP and At-risk Equity. Total compensation amounts reflect direct compensation (total reported compensation, other than amounts reported as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83820</wp:posOffset>
            </wp:positionV>
            <wp:extent cx="64465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79" w:lineRule="exact"/>
        <w:rPr>
          <w:sz w:val="20"/>
          <w:szCs w:val="20"/>
          <w:color w:val="auto"/>
        </w:rPr>
      </w:pPr>
    </w:p>
    <w:p>
      <w:pPr>
        <w:ind w:left="760" w:right="700" w:hanging="212"/>
        <w:spacing w:after="0" w:line="249" w:lineRule="auto"/>
        <w:tabs>
          <w:tab w:leader="none" w:pos="760" w:val="left"/>
        </w:tabs>
        <w:numPr>
          <w:ilvl w:val="0"/>
          <w:numId w:val="103"/>
        </w:numPr>
        <w:rPr>
          <w:rFonts w:ascii="Arial" w:cs="Arial" w:eastAsia="Arial" w:hAnsi="Arial"/>
          <w:sz w:val="14"/>
          <w:szCs w:val="14"/>
          <w:color w:val="215BA8"/>
        </w:rPr>
      </w:pPr>
      <w:r>
        <w:rPr>
          <w:rFonts w:ascii="Arial" w:cs="Arial" w:eastAsia="Arial" w:hAnsi="Arial"/>
          <w:sz w:val="14"/>
          <w:szCs w:val="14"/>
          <w:color w:val="1A1A1A"/>
        </w:rPr>
        <w:t>We define “direct pay” or “direct compensation” as total compensation as reported in the Summary Compensation Table in the applicable proxy statement, other than the amounts reported as “All other compensation” and (if applicable) amounts reported under “Change in pension value and nonqualified deferred compensation earnings.” Peer Group CEO pay mix based on median for each compensation component using data reported for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61</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76" w:name="page77"/>
    <w:bookmarkEnd w:id="76"/>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COMPONENTS OF EXECUTIVE PAY:</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WHAT WE PAY AND WHY WE PAY IT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OUR NEO COMPENSATION HAS FIVE PRINCIPAL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130175</wp:posOffset>
            </wp:positionV>
            <wp:extent cx="5143500" cy="497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We use these pay components to achieve the following objectives: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40" w:type="dxa"/>
            <w:vAlign w:val="bottom"/>
            <w:tcBorders>
              <w:bottom w:val="single" w:sz="8" w:color="215AA8"/>
            </w:tcBorders>
          </w:tcPr>
          <w:p>
            <w:pPr>
              <w:spacing w:after="0"/>
              <w:rPr>
                <w:sz w:val="12"/>
                <w:szCs w:val="12"/>
                <w:color w:val="auto"/>
              </w:rPr>
            </w:pPr>
          </w:p>
        </w:tc>
        <w:tc>
          <w:tcPr>
            <w:tcW w:w="1120" w:type="dxa"/>
            <w:vAlign w:val="bottom"/>
            <w:tcBorders>
              <w:bottom w:val="single" w:sz="8" w:color="215AA8"/>
            </w:tcBorders>
          </w:tcPr>
          <w:p>
            <w:pPr>
              <w:spacing w:after="0"/>
              <w:rPr>
                <w:sz w:val="12"/>
                <w:szCs w:val="12"/>
                <w:color w:val="auto"/>
              </w:rPr>
            </w:pPr>
          </w:p>
        </w:tc>
        <w:tc>
          <w:tcPr>
            <w:tcW w:w="2820" w:type="dxa"/>
            <w:vAlign w:val="bottom"/>
            <w:tcBorders>
              <w:bottom w:val="single" w:sz="8" w:color="215AA8"/>
            </w:tcBorders>
            <w:gridSpan w:val="2"/>
          </w:tcPr>
          <w:p>
            <w:pPr>
              <w:ind w:left="180"/>
              <w:spacing w:after="0"/>
              <w:rPr>
                <w:sz w:val="20"/>
                <w:szCs w:val="20"/>
                <w:color w:val="auto"/>
              </w:rPr>
            </w:pPr>
            <w:r>
              <w:rPr>
                <w:rFonts w:ascii="Arial" w:cs="Arial" w:eastAsia="Arial" w:hAnsi="Arial"/>
                <w:sz w:val="12"/>
                <w:szCs w:val="12"/>
                <w:b w:val="1"/>
                <w:bCs w:val="1"/>
                <w:color w:val="215BA8"/>
              </w:rPr>
              <w:t>COMPENSATION COMPONENTS</w:t>
            </w:r>
          </w:p>
        </w:tc>
        <w:tc>
          <w:tcPr>
            <w:tcW w:w="1600" w:type="dxa"/>
            <w:vAlign w:val="bottom"/>
            <w:tcBorders>
              <w:bottom w:val="single" w:sz="8" w:color="215AA8"/>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54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215BA8"/>
                <w:w w:val="95"/>
              </w:rPr>
              <w:t>Annual Cash</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215BA8"/>
                <w:w w:val="96"/>
              </w:rPr>
              <w:t>Annual Equity</w:t>
            </w:r>
          </w:p>
        </w:tc>
        <w:tc>
          <w:tcPr>
            <w:tcW w:w="1500" w:type="dxa"/>
            <w:vAlign w:val="bottom"/>
          </w:tcPr>
          <w:p>
            <w:pPr>
              <w:jc w:val="center"/>
              <w:spacing w:after="0"/>
              <w:rPr>
                <w:sz w:val="20"/>
                <w:szCs w:val="20"/>
                <w:color w:val="auto"/>
              </w:rPr>
            </w:pPr>
            <w:r>
              <w:rPr>
                <w:rFonts w:ascii="Arial" w:cs="Arial" w:eastAsia="Arial" w:hAnsi="Arial"/>
                <w:sz w:val="12"/>
                <w:szCs w:val="12"/>
                <w:b w:val="1"/>
                <w:bCs w:val="1"/>
                <w:color w:val="215BA8"/>
                <w:w w:val="96"/>
              </w:rPr>
              <w:t>Perquisites and</w:t>
            </w:r>
          </w:p>
        </w:tc>
        <w:tc>
          <w:tcPr>
            <w:tcW w:w="21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215BA8"/>
                <w:w w:val="98"/>
              </w:rPr>
              <w:t>Potential Severance</w:t>
            </w: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3480" w:type="dxa"/>
            <w:vAlign w:val="bottom"/>
          </w:tcPr>
          <w:p>
            <w:pPr>
              <w:ind w:left="1380"/>
              <w:spacing w:after="0"/>
              <w:rPr>
                <w:sz w:val="20"/>
                <w:szCs w:val="20"/>
                <w:color w:val="auto"/>
              </w:rPr>
            </w:pPr>
            <w:r>
              <w:rPr>
                <w:rFonts w:ascii="Arial" w:cs="Arial" w:eastAsia="Arial" w:hAnsi="Arial"/>
                <w:sz w:val="12"/>
                <w:szCs w:val="12"/>
                <w:b w:val="1"/>
                <w:bCs w:val="1"/>
                <w:color w:val="215BA8"/>
              </w:rPr>
              <w:t>Objective</w:t>
            </w:r>
          </w:p>
        </w:tc>
        <w:tc>
          <w:tcPr>
            <w:tcW w:w="1140" w:type="dxa"/>
            <w:vAlign w:val="bottom"/>
          </w:tcPr>
          <w:p>
            <w:pPr>
              <w:jc w:val="center"/>
              <w:ind w:right="25"/>
              <w:spacing w:after="0"/>
              <w:rPr>
                <w:sz w:val="20"/>
                <w:szCs w:val="20"/>
                <w:color w:val="auto"/>
              </w:rPr>
            </w:pPr>
            <w:r>
              <w:rPr>
                <w:rFonts w:ascii="Arial" w:cs="Arial" w:eastAsia="Arial" w:hAnsi="Arial"/>
                <w:sz w:val="12"/>
                <w:szCs w:val="12"/>
                <w:b w:val="1"/>
                <w:bCs w:val="1"/>
                <w:color w:val="215BA8"/>
                <w:w w:val="97"/>
              </w:rPr>
              <w:t>Base Salaries</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215BA8"/>
                <w:w w:val="98"/>
              </w:rPr>
              <w:t>Incentives</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215BA8"/>
                <w:w w:val="96"/>
              </w:rPr>
              <w:t>Awards</w:t>
            </w:r>
          </w:p>
        </w:tc>
        <w:tc>
          <w:tcPr>
            <w:tcW w:w="1500" w:type="dxa"/>
            <w:vAlign w:val="bottom"/>
          </w:tcPr>
          <w:p>
            <w:pPr>
              <w:jc w:val="center"/>
              <w:spacing w:after="0"/>
              <w:rPr>
                <w:sz w:val="20"/>
                <w:szCs w:val="20"/>
                <w:color w:val="auto"/>
              </w:rPr>
            </w:pPr>
            <w:r>
              <w:rPr>
                <w:rFonts w:ascii="Arial" w:cs="Arial" w:eastAsia="Arial" w:hAnsi="Arial"/>
                <w:sz w:val="12"/>
                <w:szCs w:val="12"/>
                <w:b w:val="1"/>
                <w:bCs w:val="1"/>
                <w:color w:val="215BA8"/>
                <w:w w:val="96"/>
              </w:rPr>
              <w:t>Personal Benefits</w:t>
            </w:r>
          </w:p>
        </w:tc>
        <w:tc>
          <w:tcPr>
            <w:tcW w:w="21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215BA8"/>
                <w:w w:val="98"/>
              </w:rPr>
              <w:t>Payments</w:t>
            </w:r>
          </w:p>
        </w:tc>
        <w:tc>
          <w:tcPr>
            <w:tcW w:w="0" w:type="dxa"/>
            <w:vAlign w:val="bottom"/>
          </w:tcPr>
          <w:p>
            <w:pPr>
              <w:spacing w:after="0"/>
              <w:rPr>
                <w:sz w:val="1"/>
                <w:szCs w:val="1"/>
                <w:color w:val="auto"/>
              </w:rPr>
            </w:pPr>
          </w:p>
        </w:tc>
      </w:tr>
      <w:tr>
        <w:trPr>
          <w:trHeight w:val="278"/>
        </w:trPr>
        <w:tc>
          <w:tcPr>
            <w:tcW w:w="540" w:type="dxa"/>
            <w:vAlign w:val="bottom"/>
          </w:tcPr>
          <w:p>
            <w:pPr>
              <w:spacing w:after="0"/>
              <w:rPr>
                <w:sz w:val="24"/>
                <w:szCs w:val="24"/>
                <w:color w:val="auto"/>
              </w:rPr>
            </w:pPr>
          </w:p>
        </w:tc>
        <w:tc>
          <w:tcPr>
            <w:tcW w:w="3480" w:type="dxa"/>
            <w:vAlign w:val="bottom"/>
            <w:tcBorders>
              <w:top w:val="single" w:sz="8" w:color="215AA8"/>
            </w:tcBorders>
            <w:shd w:val="clear" w:color="auto" w:fill="EEEEEF"/>
          </w:tcPr>
          <w:p>
            <w:pPr>
              <w:ind w:left="40"/>
              <w:spacing w:after="0"/>
              <w:rPr>
                <w:sz w:val="20"/>
                <w:szCs w:val="20"/>
                <w:color w:val="auto"/>
              </w:rPr>
            </w:pPr>
            <w:r>
              <w:rPr>
                <w:rFonts w:ascii="Arial" w:cs="Arial" w:eastAsia="Arial" w:hAnsi="Arial"/>
                <w:sz w:val="14"/>
                <w:szCs w:val="14"/>
                <w:color w:val="auto"/>
              </w:rPr>
              <w:t>Attract and retain top talent</w:t>
            </w:r>
          </w:p>
        </w:tc>
        <w:tc>
          <w:tcPr>
            <w:tcW w:w="1140" w:type="dxa"/>
            <w:vAlign w:val="bottom"/>
            <w:tcBorders>
              <w:top w:val="single" w:sz="8" w:color="215AA8"/>
            </w:tcBorders>
            <w:shd w:val="clear" w:color="auto" w:fill="EEEEEF"/>
          </w:tcPr>
          <w:p>
            <w:pPr>
              <w:jc w:val="center"/>
              <w:ind w:right="45"/>
              <w:spacing w:after="0"/>
              <w:rPr>
                <w:sz w:val="20"/>
                <w:szCs w:val="20"/>
                <w:color w:val="auto"/>
              </w:rPr>
            </w:pPr>
            <w:r>
              <w:rPr>
                <w:rFonts w:ascii="Arial" w:cs="Arial" w:eastAsia="Arial" w:hAnsi="Arial"/>
                <w:sz w:val="16"/>
                <w:szCs w:val="16"/>
                <w:b w:val="1"/>
                <w:bCs w:val="1"/>
                <w:color w:val="215BA8"/>
              </w:rPr>
              <w:t>●</w:t>
            </w:r>
          </w:p>
        </w:tc>
        <w:tc>
          <w:tcPr>
            <w:tcW w:w="1120" w:type="dxa"/>
            <w:vAlign w:val="bottom"/>
            <w:tcBorders>
              <w:top w:val="single" w:sz="8" w:color="215AA8"/>
            </w:tcBorders>
            <w:shd w:val="clear" w:color="auto" w:fill="EEEEEF"/>
          </w:tcPr>
          <w:p>
            <w:pPr>
              <w:jc w:val="center"/>
              <w:spacing w:after="0"/>
              <w:rPr>
                <w:sz w:val="20"/>
                <w:szCs w:val="20"/>
                <w:color w:val="auto"/>
              </w:rPr>
            </w:pPr>
            <w:r>
              <w:rPr>
                <w:rFonts w:ascii="Arial" w:cs="Arial" w:eastAsia="Arial" w:hAnsi="Arial"/>
                <w:sz w:val="16"/>
                <w:szCs w:val="16"/>
                <w:b w:val="1"/>
                <w:bCs w:val="1"/>
                <w:color w:val="215BA8"/>
              </w:rPr>
              <w:t>●</w:t>
            </w:r>
          </w:p>
        </w:tc>
        <w:tc>
          <w:tcPr>
            <w:tcW w:w="1320" w:type="dxa"/>
            <w:vAlign w:val="bottom"/>
            <w:tcBorders>
              <w:top w:val="single" w:sz="8" w:color="215AA8"/>
            </w:tcBorders>
            <w:shd w:val="clear" w:color="auto" w:fill="EEEEEF"/>
          </w:tcPr>
          <w:p>
            <w:pPr>
              <w:jc w:val="center"/>
              <w:spacing w:after="0"/>
              <w:rPr>
                <w:sz w:val="20"/>
                <w:szCs w:val="20"/>
                <w:color w:val="auto"/>
              </w:rPr>
            </w:pPr>
            <w:r>
              <w:rPr>
                <w:rFonts w:ascii="Arial" w:cs="Arial" w:eastAsia="Arial" w:hAnsi="Arial"/>
                <w:sz w:val="16"/>
                <w:szCs w:val="16"/>
                <w:b w:val="1"/>
                <w:bCs w:val="1"/>
                <w:color w:val="215BA8"/>
              </w:rPr>
              <w:t>●</w:t>
            </w:r>
          </w:p>
        </w:tc>
        <w:tc>
          <w:tcPr>
            <w:tcW w:w="1500" w:type="dxa"/>
            <w:vAlign w:val="bottom"/>
            <w:tcBorders>
              <w:top w:val="single" w:sz="8" w:color="215AA8"/>
            </w:tcBorders>
            <w:shd w:val="clear" w:color="auto" w:fill="EEEEEF"/>
          </w:tcPr>
          <w:p>
            <w:pPr>
              <w:jc w:val="center"/>
              <w:spacing w:after="0"/>
              <w:rPr>
                <w:sz w:val="20"/>
                <w:szCs w:val="20"/>
                <w:color w:val="auto"/>
              </w:rPr>
            </w:pPr>
            <w:r>
              <w:rPr>
                <w:rFonts w:ascii="Arial" w:cs="Arial" w:eastAsia="Arial" w:hAnsi="Arial"/>
                <w:sz w:val="16"/>
                <w:szCs w:val="16"/>
                <w:b w:val="1"/>
                <w:bCs w:val="1"/>
                <w:color w:val="215BA8"/>
              </w:rPr>
              <w:t>●</w:t>
            </w:r>
          </w:p>
        </w:tc>
        <w:tc>
          <w:tcPr>
            <w:tcW w:w="1600" w:type="dxa"/>
            <w:vAlign w:val="bottom"/>
            <w:tcBorders>
              <w:top w:val="single" w:sz="8" w:color="215AA8"/>
            </w:tcBorders>
            <w:shd w:val="clear" w:color="auto" w:fill="EEEEEF"/>
          </w:tcPr>
          <w:p>
            <w:pPr>
              <w:jc w:val="center"/>
              <w:ind w:left="27"/>
              <w:spacing w:after="0"/>
              <w:rPr>
                <w:sz w:val="20"/>
                <w:szCs w:val="20"/>
                <w:color w:val="auto"/>
              </w:rPr>
            </w:pPr>
            <w:r>
              <w:rPr>
                <w:rFonts w:ascii="Arial" w:cs="Arial" w:eastAsia="Arial" w:hAnsi="Arial"/>
                <w:sz w:val="16"/>
                <w:szCs w:val="16"/>
                <w:b w:val="1"/>
                <w:bCs w:val="1"/>
                <w:color w:val="215BA8"/>
              </w:rPr>
              <w: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40" w:type="dxa"/>
            <w:vAlign w:val="bottom"/>
          </w:tcPr>
          <w:p>
            <w:pPr>
              <w:spacing w:after="0"/>
              <w:rPr>
                <w:sz w:val="6"/>
                <w:szCs w:val="6"/>
                <w:color w:val="auto"/>
              </w:rPr>
            </w:pPr>
          </w:p>
        </w:tc>
        <w:tc>
          <w:tcPr>
            <w:tcW w:w="3480" w:type="dxa"/>
            <w:vAlign w:val="bottom"/>
            <w:tcBorders>
              <w:bottom w:val="single" w:sz="8" w:color="58585A"/>
            </w:tcBorders>
            <w:shd w:val="clear" w:color="auto" w:fill="EEEEEF"/>
          </w:tcPr>
          <w:p>
            <w:pPr>
              <w:spacing w:after="0"/>
              <w:rPr>
                <w:sz w:val="6"/>
                <w:szCs w:val="6"/>
                <w:color w:val="auto"/>
              </w:rPr>
            </w:pPr>
          </w:p>
        </w:tc>
        <w:tc>
          <w:tcPr>
            <w:tcW w:w="1140" w:type="dxa"/>
            <w:vAlign w:val="bottom"/>
            <w:tcBorders>
              <w:bottom w:val="single" w:sz="8" w:color="58585A"/>
            </w:tcBorders>
            <w:shd w:val="clear" w:color="auto" w:fill="EEEEEF"/>
          </w:tcPr>
          <w:p>
            <w:pPr>
              <w:spacing w:after="0"/>
              <w:rPr>
                <w:sz w:val="6"/>
                <w:szCs w:val="6"/>
                <w:color w:val="auto"/>
              </w:rPr>
            </w:pPr>
          </w:p>
        </w:tc>
        <w:tc>
          <w:tcPr>
            <w:tcW w:w="1120" w:type="dxa"/>
            <w:vAlign w:val="bottom"/>
            <w:tcBorders>
              <w:bottom w:val="single" w:sz="8" w:color="58585A"/>
            </w:tcBorders>
            <w:shd w:val="clear" w:color="auto" w:fill="EEEEEF"/>
          </w:tcPr>
          <w:p>
            <w:pPr>
              <w:spacing w:after="0"/>
              <w:rPr>
                <w:sz w:val="6"/>
                <w:szCs w:val="6"/>
                <w:color w:val="auto"/>
              </w:rPr>
            </w:pPr>
          </w:p>
        </w:tc>
        <w:tc>
          <w:tcPr>
            <w:tcW w:w="1320" w:type="dxa"/>
            <w:vAlign w:val="bottom"/>
            <w:tcBorders>
              <w:bottom w:val="single" w:sz="8" w:color="58585A"/>
            </w:tcBorders>
            <w:shd w:val="clear" w:color="auto" w:fill="EEEEEF"/>
          </w:tcPr>
          <w:p>
            <w:pPr>
              <w:spacing w:after="0"/>
              <w:rPr>
                <w:sz w:val="6"/>
                <w:szCs w:val="6"/>
                <w:color w:val="auto"/>
              </w:rPr>
            </w:pPr>
          </w:p>
        </w:tc>
        <w:tc>
          <w:tcPr>
            <w:tcW w:w="1500" w:type="dxa"/>
            <w:vAlign w:val="bottom"/>
            <w:tcBorders>
              <w:bottom w:val="single" w:sz="8" w:color="58585A"/>
            </w:tcBorders>
            <w:shd w:val="clear" w:color="auto" w:fill="EEEEEF"/>
          </w:tcPr>
          <w:p>
            <w:pPr>
              <w:spacing w:after="0"/>
              <w:rPr>
                <w:sz w:val="6"/>
                <w:szCs w:val="6"/>
                <w:color w:val="auto"/>
              </w:rPr>
            </w:pPr>
          </w:p>
        </w:tc>
        <w:tc>
          <w:tcPr>
            <w:tcW w:w="1600" w:type="dxa"/>
            <w:vAlign w:val="bottom"/>
            <w:tcBorders>
              <w:bottom w:val="single" w:sz="8" w:color="58585A"/>
            </w:tcBorders>
            <w:shd w:val="clear" w:color="auto" w:fill="EEEEEF"/>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540" w:type="dxa"/>
            <w:vAlign w:val="bottom"/>
          </w:tcPr>
          <w:p>
            <w:pPr>
              <w:spacing w:after="0"/>
              <w:rPr>
                <w:sz w:val="23"/>
                <w:szCs w:val="23"/>
                <w:color w:val="auto"/>
              </w:rPr>
            </w:pPr>
          </w:p>
        </w:tc>
        <w:tc>
          <w:tcPr>
            <w:tcW w:w="3480" w:type="dxa"/>
            <w:vAlign w:val="bottom"/>
          </w:tcPr>
          <w:p>
            <w:pPr>
              <w:ind w:left="40"/>
              <w:spacing w:after="0"/>
              <w:rPr>
                <w:sz w:val="20"/>
                <w:szCs w:val="20"/>
                <w:color w:val="auto"/>
              </w:rPr>
            </w:pPr>
            <w:r>
              <w:rPr>
                <w:rFonts w:ascii="Arial" w:cs="Arial" w:eastAsia="Arial" w:hAnsi="Arial"/>
                <w:sz w:val="14"/>
                <w:szCs w:val="14"/>
                <w:color w:val="auto"/>
              </w:rPr>
              <w:t>Provide stability and manage risk</w:t>
            </w:r>
          </w:p>
        </w:tc>
        <w:tc>
          <w:tcPr>
            <w:tcW w:w="1140" w:type="dxa"/>
            <w:vAlign w:val="bottom"/>
          </w:tcPr>
          <w:p>
            <w:pPr>
              <w:jc w:val="center"/>
              <w:ind w:right="45"/>
              <w:spacing w:after="0"/>
              <w:rPr>
                <w:sz w:val="20"/>
                <w:szCs w:val="20"/>
                <w:color w:val="auto"/>
              </w:rPr>
            </w:pPr>
            <w:r>
              <w:rPr>
                <w:rFonts w:ascii="Arial" w:cs="Arial" w:eastAsia="Arial" w:hAnsi="Arial"/>
                <w:sz w:val="16"/>
                <w:szCs w:val="16"/>
                <w:b w:val="1"/>
                <w:bCs w:val="1"/>
                <w:color w:val="215BA8"/>
              </w:rPr>
              <w:t>●</w:t>
            </w:r>
          </w:p>
        </w:tc>
        <w:tc>
          <w:tcPr>
            <w:tcW w:w="1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215BA8"/>
              </w:rPr>
              <w:t>●</w:t>
            </w:r>
          </w:p>
        </w:tc>
        <w:tc>
          <w:tcPr>
            <w:tcW w:w="0" w:type="dxa"/>
            <w:vAlign w:val="bottom"/>
          </w:tcPr>
          <w:p>
            <w:pPr>
              <w:spacing w:after="0"/>
              <w:rPr>
                <w:sz w:val="1"/>
                <w:szCs w:val="1"/>
                <w:color w:val="auto"/>
              </w:rPr>
            </w:pPr>
          </w:p>
        </w:tc>
      </w:tr>
      <w:tr>
        <w:trPr>
          <w:trHeight w:val="73"/>
        </w:trPr>
        <w:tc>
          <w:tcPr>
            <w:tcW w:w="540" w:type="dxa"/>
            <w:vAlign w:val="bottom"/>
          </w:tcPr>
          <w:p>
            <w:pPr>
              <w:spacing w:after="0"/>
              <w:rPr>
                <w:sz w:val="6"/>
                <w:szCs w:val="6"/>
                <w:color w:val="auto"/>
              </w:rPr>
            </w:pPr>
          </w:p>
        </w:tc>
        <w:tc>
          <w:tcPr>
            <w:tcW w:w="3480" w:type="dxa"/>
            <w:vAlign w:val="bottom"/>
            <w:tcBorders>
              <w:bottom w:val="single" w:sz="8" w:color="58585A"/>
            </w:tcBorders>
          </w:tcPr>
          <w:p>
            <w:pPr>
              <w:spacing w:after="0"/>
              <w:rPr>
                <w:sz w:val="6"/>
                <w:szCs w:val="6"/>
                <w:color w:val="auto"/>
              </w:rPr>
            </w:pPr>
          </w:p>
        </w:tc>
        <w:tc>
          <w:tcPr>
            <w:tcW w:w="1140" w:type="dxa"/>
            <w:vAlign w:val="bottom"/>
            <w:tcBorders>
              <w:bottom w:val="single" w:sz="8" w:color="58585A"/>
            </w:tcBorders>
          </w:tcPr>
          <w:p>
            <w:pPr>
              <w:spacing w:after="0"/>
              <w:rPr>
                <w:sz w:val="6"/>
                <w:szCs w:val="6"/>
                <w:color w:val="auto"/>
              </w:rPr>
            </w:pPr>
          </w:p>
        </w:tc>
        <w:tc>
          <w:tcPr>
            <w:tcW w:w="1120" w:type="dxa"/>
            <w:vAlign w:val="bottom"/>
            <w:tcBorders>
              <w:bottom w:val="single" w:sz="8" w:color="58585A"/>
            </w:tcBorders>
          </w:tcPr>
          <w:p>
            <w:pPr>
              <w:spacing w:after="0"/>
              <w:rPr>
                <w:sz w:val="6"/>
                <w:szCs w:val="6"/>
                <w:color w:val="auto"/>
              </w:rPr>
            </w:pPr>
          </w:p>
        </w:tc>
        <w:tc>
          <w:tcPr>
            <w:tcW w:w="1320" w:type="dxa"/>
            <w:vAlign w:val="bottom"/>
            <w:tcBorders>
              <w:bottom w:val="single" w:sz="8" w:color="58585A"/>
            </w:tcBorders>
          </w:tcPr>
          <w:p>
            <w:pPr>
              <w:spacing w:after="0"/>
              <w:rPr>
                <w:sz w:val="6"/>
                <w:szCs w:val="6"/>
                <w:color w:val="auto"/>
              </w:rPr>
            </w:pPr>
          </w:p>
        </w:tc>
        <w:tc>
          <w:tcPr>
            <w:tcW w:w="1500" w:type="dxa"/>
            <w:vAlign w:val="bottom"/>
            <w:tcBorders>
              <w:bottom w:val="single" w:sz="8" w:color="58585A"/>
            </w:tcBorders>
          </w:tcPr>
          <w:p>
            <w:pPr>
              <w:spacing w:after="0"/>
              <w:rPr>
                <w:sz w:val="6"/>
                <w:szCs w:val="6"/>
                <w:color w:val="auto"/>
              </w:rPr>
            </w:pPr>
          </w:p>
        </w:tc>
        <w:tc>
          <w:tcPr>
            <w:tcW w:w="1600" w:type="dxa"/>
            <w:vAlign w:val="bottom"/>
            <w:tcBorders>
              <w:bottom w:val="single" w:sz="8" w:color="58585A"/>
            </w:tcBorders>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540" w:type="dxa"/>
            <w:vAlign w:val="bottom"/>
          </w:tcPr>
          <w:p>
            <w:pPr>
              <w:spacing w:after="0"/>
              <w:rPr>
                <w:sz w:val="23"/>
                <w:szCs w:val="23"/>
                <w:color w:val="auto"/>
              </w:rPr>
            </w:pPr>
          </w:p>
        </w:tc>
        <w:tc>
          <w:tcPr>
            <w:tcW w:w="3480" w:type="dxa"/>
            <w:vAlign w:val="bottom"/>
            <w:shd w:val="clear" w:color="auto" w:fill="EEEEEF"/>
          </w:tcPr>
          <w:p>
            <w:pPr>
              <w:ind w:left="40"/>
              <w:spacing w:after="0"/>
              <w:rPr>
                <w:sz w:val="20"/>
                <w:szCs w:val="20"/>
                <w:color w:val="auto"/>
              </w:rPr>
            </w:pPr>
            <w:r>
              <w:rPr>
                <w:rFonts w:ascii="Arial" w:cs="Arial" w:eastAsia="Arial" w:hAnsi="Arial"/>
                <w:sz w:val="14"/>
                <w:szCs w:val="14"/>
                <w:color w:val="auto"/>
              </w:rPr>
              <w:t>Reward annual performance</w:t>
            </w:r>
          </w:p>
        </w:tc>
        <w:tc>
          <w:tcPr>
            <w:tcW w:w="1140" w:type="dxa"/>
            <w:vAlign w:val="bottom"/>
            <w:shd w:val="clear" w:color="auto" w:fill="EEEEEF"/>
          </w:tcPr>
          <w:p>
            <w:pPr>
              <w:spacing w:after="0"/>
              <w:rPr>
                <w:sz w:val="23"/>
                <w:szCs w:val="23"/>
                <w:color w:val="auto"/>
              </w:rPr>
            </w:pPr>
          </w:p>
        </w:tc>
        <w:tc>
          <w:tcPr>
            <w:tcW w:w="1120" w:type="dxa"/>
            <w:vAlign w:val="bottom"/>
            <w:shd w:val="clear" w:color="auto" w:fill="EEEEEF"/>
          </w:tcPr>
          <w:p>
            <w:pPr>
              <w:jc w:val="center"/>
              <w:spacing w:after="0"/>
              <w:rPr>
                <w:sz w:val="20"/>
                <w:szCs w:val="20"/>
                <w:color w:val="auto"/>
              </w:rPr>
            </w:pPr>
            <w:r>
              <w:rPr>
                <w:rFonts w:ascii="Arial" w:cs="Arial" w:eastAsia="Arial" w:hAnsi="Arial"/>
                <w:sz w:val="16"/>
                <w:szCs w:val="16"/>
                <w:b w:val="1"/>
                <w:bCs w:val="1"/>
                <w:color w:val="215BA8"/>
              </w:rPr>
              <w:t>●</w:t>
            </w:r>
          </w:p>
        </w:tc>
        <w:tc>
          <w:tcPr>
            <w:tcW w:w="1320" w:type="dxa"/>
            <w:vAlign w:val="bottom"/>
            <w:shd w:val="clear" w:color="auto" w:fill="EEEEEF"/>
          </w:tcPr>
          <w:p>
            <w:pPr>
              <w:spacing w:after="0"/>
              <w:rPr>
                <w:sz w:val="23"/>
                <w:szCs w:val="23"/>
                <w:color w:val="auto"/>
              </w:rPr>
            </w:pPr>
          </w:p>
        </w:tc>
        <w:tc>
          <w:tcPr>
            <w:tcW w:w="1500" w:type="dxa"/>
            <w:vAlign w:val="bottom"/>
            <w:shd w:val="clear" w:color="auto" w:fill="EEEEEF"/>
          </w:tcPr>
          <w:p>
            <w:pPr>
              <w:spacing w:after="0"/>
              <w:rPr>
                <w:sz w:val="23"/>
                <w:szCs w:val="23"/>
                <w:color w:val="auto"/>
              </w:rPr>
            </w:pPr>
          </w:p>
        </w:tc>
        <w:tc>
          <w:tcPr>
            <w:tcW w:w="1600" w:type="dxa"/>
            <w:vAlign w:val="bottom"/>
            <w:shd w:val="clear" w:color="auto" w:fill="EEEEEF"/>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540" w:type="dxa"/>
            <w:vAlign w:val="bottom"/>
          </w:tcPr>
          <w:p>
            <w:pPr>
              <w:spacing w:after="0"/>
              <w:rPr>
                <w:sz w:val="6"/>
                <w:szCs w:val="6"/>
                <w:color w:val="auto"/>
              </w:rPr>
            </w:pPr>
          </w:p>
        </w:tc>
        <w:tc>
          <w:tcPr>
            <w:tcW w:w="3480" w:type="dxa"/>
            <w:vAlign w:val="bottom"/>
            <w:tcBorders>
              <w:bottom w:val="single" w:sz="8" w:color="58585A"/>
            </w:tcBorders>
            <w:shd w:val="clear" w:color="auto" w:fill="EEEEEF"/>
          </w:tcPr>
          <w:p>
            <w:pPr>
              <w:spacing w:after="0"/>
              <w:rPr>
                <w:sz w:val="6"/>
                <w:szCs w:val="6"/>
                <w:color w:val="auto"/>
              </w:rPr>
            </w:pPr>
          </w:p>
        </w:tc>
        <w:tc>
          <w:tcPr>
            <w:tcW w:w="1140" w:type="dxa"/>
            <w:vAlign w:val="bottom"/>
            <w:tcBorders>
              <w:bottom w:val="single" w:sz="8" w:color="58585A"/>
            </w:tcBorders>
            <w:shd w:val="clear" w:color="auto" w:fill="EEEEEF"/>
          </w:tcPr>
          <w:p>
            <w:pPr>
              <w:spacing w:after="0"/>
              <w:rPr>
                <w:sz w:val="6"/>
                <w:szCs w:val="6"/>
                <w:color w:val="auto"/>
              </w:rPr>
            </w:pPr>
          </w:p>
        </w:tc>
        <w:tc>
          <w:tcPr>
            <w:tcW w:w="1120" w:type="dxa"/>
            <w:vAlign w:val="bottom"/>
            <w:tcBorders>
              <w:bottom w:val="single" w:sz="8" w:color="58585A"/>
            </w:tcBorders>
            <w:shd w:val="clear" w:color="auto" w:fill="EEEEEF"/>
          </w:tcPr>
          <w:p>
            <w:pPr>
              <w:spacing w:after="0"/>
              <w:rPr>
                <w:sz w:val="6"/>
                <w:szCs w:val="6"/>
                <w:color w:val="auto"/>
              </w:rPr>
            </w:pPr>
          </w:p>
        </w:tc>
        <w:tc>
          <w:tcPr>
            <w:tcW w:w="1320" w:type="dxa"/>
            <w:vAlign w:val="bottom"/>
            <w:tcBorders>
              <w:bottom w:val="single" w:sz="8" w:color="58585A"/>
            </w:tcBorders>
            <w:shd w:val="clear" w:color="auto" w:fill="EEEEEF"/>
          </w:tcPr>
          <w:p>
            <w:pPr>
              <w:spacing w:after="0"/>
              <w:rPr>
                <w:sz w:val="6"/>
                <w:szCs w:val="6"/>
                <w:color w:val="auto"/>
              </w:rPr>
            </w:pPr>
          </w:p>
        </w:tc>
        <w:tc>
          <w:tcPr>
            <w:tcW w:w="1500" w:type="dxa"/>
            <w:vAlign w:val="bottom"/>
            <w:tcBorders>
              <w:bottom w:val="single" w:sz="8" w:color="58585A"/>
            </w:tcBorders>
            <w:shd w:val="clear" w:color="auto" w:fill="EEEEEF"/>
          </w:tcPr>
          <w:p>
            <w:pPr>
              <w:spacing w:after="0"/>
              <w:rPr>
                <w:sz w:val="6"/>
                <w:szCs w:val="6"/>
                <w:color w:val="auto"/>
              </w:rPr>
            </w:pPr>
          </w:p>
        </w:tc>
        <w:tc>
          <w:tcPr>
            <w:tcW w:w="1600" w:type="dxa"/>
            <w:vAlign w:val="bottom"/>
            <w:tcBorders>
              <w:bottom w:val="single" w:sz="8" w:color="58585A"/>
            </w:tcBorders>
            <w:shd w:val="clear" w:color="auto" w:fill="EEEEEF"/>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3480" w:type="dxa"/>
            <w:vAlign w:val="bottom"/>
          </w:tcPr>
          <w:p>
            <w:pPr>
              <w:ind w:left="40"/>
              <w:spacing w:after="0"/>
              <w:rPr>
                <w:sz w:val="20"/>
                <w:szCs w:val="20"/>
                <w:color w:val="auto"/>
              </w:rPr>
            </w:pPr>
            <w:r>
              <w:rPr>
                <w:rFonts w:ascii="Arial" w:cs="Arial" w:eastAsia="Arial" w:hAnsi="Arial"/>
                <w:sz w:val="14"/>
                <w:szCs w:val="14"/>
                <w:color w:val="auto"/>
              </w:rPr>
              <w:t>Balance immediate focus with pursuit of</w:t>
            </w: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215BA8"/>
              </w:rPr>
              <w:t>●</w:t>
            </w:r>
          </w:p>
        </w:tc>
        <w:tc>
          <w:tcPr>
            <w:tcW w:w="1500" w:type="dxa"/>
            <w:vAlign w:val="bottom"/>
          </w:tcPr>
          <w:p>
            <w:pPr>
              <w:spacing w:after="0"/>
              <w:rPr>
                <w:sz w:val="20"/>
                <w:szCs w:val="20"/>
                <w:color w:val="auto"/>
              </w:rPr>
            </w:pPr>
          </w:p>
        </w:tc>
        <w:tc>
          <w:tcPr>
            <w:tcW w:w="214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215BA8"/>
              </w:rPr>
              <w:t>●</w:t>
            </w:r>
          </w:p>
        </w:tc>
        <w:tc>
          <w:tcPr>
            <w:tcW w:w="0" w:type="dxa"/>
            <w:vAlign w:val="bottom"/>
          </w:tcPr>
          <w:p>
            <w:pPr>
              <w:spacing w:after="0"/>
              <w:rPr>
                <w:sz w:val="1"/>
                <w:szCs w:val="1"/>
                <w:color w:val="auto"/>
              </w:rPr>
            </w:pPr>
          </w:p>
        </w:tc>
      </w:tr>
      <w:tr>
        <w:trPr>
          <w:trHeight w:val="97"/>
        </w:trPr>
        <w:tc>
          <w:tcPr>
            <w:tcW w:w="540" w:type="dxa"/>
            <w:vAlign w:val="bottom"/>
          </w:tcPr>
          <w:p>
            <w:pPr>
              <w:spacing w:after="0"/>
              <w:rPr>
                <w:sz w:val="8"/>
                <w:szCs w:val="8"/>
                <w:color w:val="auto"/>
              </w:rPr>
            </w:pPr>
          </w:p>
        </w:tc>
        <w:tc>
          <w:tcPr>
            <w:tcW w:w="3480" w:type="dxa"/>
            <w:vAlign w:val="bottom"/>
            <w:vMerge w:val="restart"/>
          </w:tcPr>
          <w:p>
            <w:pPr>
              <w:ind w:left="40"/>
              <w:spacing w:after="0"/>
              <w:rPr>
                <w:sz w:val="20"/>
                <w:szCs w:val="20"/>
                <w:color w:val="auto"/>
              </w:rPr>
            </w:pPr>
            <w:r>
              <w:rPr>
                <w:rFonts w:ascii="Arial" w:cs="Arial" w:eastAsia="Arial" w:hAnsi="Arial"/>
                <w:sz w:val="14"/>
                <w:szCs w:val="14"/>
                <w:color w:val="auto"/>
              </w:rPr>
              <w:t>sustainable long-term performance</w:t>
            </w: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5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540" w:type="dxa"/>
            <w:vAlign w:val="bottom"/>
          </w:tcPr>
          <w:p>
            <w:pPr>
              <w:spacing w:after="0"/>
              <w:rPr>
                <w:sz w:val="5"/>
                <w:szCs w:val="5"/>
                <w:color w:val="auto"/>
              </w:rPr>
            </w:pPr>
          </w:p>
        </w:tc>
        <w:tc>
          <w:tcPr>
            <w:tcW w:w="3480" w:type="dxa"/>
            <w:vAlign w:val="bottom"/>
            <w:tcBorders>
              <w:bottom w:val="single" w:sz="8" w:color="58585A"/>
            </w:tcBorders>
          </w:tcPr>
          <w:p>
            <w:pPr>
              <w:spacing w:after="0"/>
              <w:rPr>
                <w:sz w:val="5"/>
                <w:szCs w:val="5"/>
                <w:color w:val="auto"/>
              </w:rPr>
            </w:pPr>
          </w:p>
        </w:tc>
        <w:tc>
          <w:tcPr>
            <w:tcW w:w="1140" w:type="dxa"/>
            <w:vAlign w:val="bottom"/>
            <w:tcBorders>
              <w:bottom w:val="single" w:sz="8" w:color="58585A"/>
            </w:tcBorders>
          </w:tcPr>
          <w:p>
            <w:pPr>
              <w:spacing w:after="0"/>
              <w:rPr>
                <w:sz w:val="5"/>
                <w:szCs w:val="5"/>
                <w:color w:val="auto"/>
              </w:rPr>
            </w:pPr>
          </w:p>
        </w:tc>
        <w:tc>
          <w:tcPr>
            <w:tcW w:w="1120" w:type="dxa"/>
            <w:vAlign w:val="bottom"/>
            <w:tcBorders>
              <w:bottom w:val="single" w:sz="8" w:color="58585A"/>
            </w:tcBorders>
          </w:tcPr>
          <w:p>
            <w:pPr>
              <w:spacing w:after="0"/>
              <w:rPr>
                <w:sz w:val="5"/>
                <w:szCs w:val="5"/>
                <w:color w:val="auto"/>
              </w:rPr>
            </w:pPr>
          </w:p>
        </w:tc>
        <w:tc>
          <w:tcPr>
            <w:tcW w:w="1320" w:type="dxa"/>
            <w:vAlign w:val="bottom"/>
            <w:tcBorders>
              <w:bottom w:val="single" w:sz="8" w:color="58585A"/>
            </w:tcBorders>
          </w:tcPr>
          <w:p>
            <w:pPr>
              <w:spacing w:after="0"/>
              <w:rPr>
                <w:sz w:val="5"/>
                <w:szCs w:val="5"/>
                <w:color w:val="auto"/>
              </w:rPr>
            </w:pPr>
          </w:p>
        </w:tc>
        <w:tc>
          <w:tcPr>
            <w:tcW w:w="1500" w:type="dxa"/>
            <w:vAlign w:val="bottom"/>
            <w:tcBorders>
              <w:bottom w:val="single" w:sz="8" w:color="58585A"/>
            </w:tcBorders>
          </w:tcPr>
          <w:p>
            <w:pPr>
              <w:spacing w:after="0"/>
              <w:rPr>
                <w:sz w:val="5"/>
                <w:szCs w:val="5"/>
                <w:color w:val="auto"/>
              </w:rPr>
            </w:pPr>
          </w:p>
        </w:tc>
        <w:tc>
          <w:tcPr>
            <w:tcW w:w="1600" w:type="dxa"/>
            <w:vAlign w:val="bottom"/>
            <w:tcBorders>
              <w:bottom w:val="single" w:sz="8" w:color="58585A"/>
            </w:tcBorders>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3480" w:type="dxa"/>
            <w:vAlign w:val="bottom"/>
            <w:shd w:val="clear" w:color="auto" w:fill="EEEEEF"/>
          </w:tcPr>
          <w:p>
            <w:pPr>
              <w:ind w:left="40"/>
              <w:spacing w:after="0"/>
              <w:rPr>
                <w:sz w:val="20"/>
                <w:szCs w:val="20"/>
                <w:color w:val="auto"/>
              </w:rPr>
            </w:pPr>
            <w:r>
              <w:rPr>
                <w:rFonts w:ascii="Arial" w:cs="Arial" w:eastAsia="Arial" w:hAnsi="Arial"/>
                <w:sz w:val="14"/>
                <w:szCs w:val="14"/>
                <w:color w:val="auto"/>
              </w:rPr>
              <w:t>Align our employees’ interests with those of</w:t>
            </w:r>
          </w:p>
        </w:tc>
        <w:tc>
          <w:tcPr>
            <w:tcW w:w="1140" w:type="dxa"/>
            <w:vAlign w:val="bottom"/>
            <w:shd w:val="clear" w:color="auto" w:fill="EEEEEF"/>
          </w:tcPr>
          <w:p>
            <w:pPr>
              <w:spacing w:after="0"/>
              <w:rPr>
                <w:sz w:val="20"/>
                <w:szCs w:val="20"/>
                <w:color w:val="auto"/>
              </w:rPr>
            </w:pPr>
          </w:p>
        </w:tc>
        <w:tc>
          <w:tcPr>
            <w:tcW w:w="1120" w:type="dxa"/>
            <w:vAlign w:val="bottom"/>
            <w:vMerge w:val="restart"/>
            <w:shd w:val="clear" w:color="auto" w:fill="EEEEEF"/>
          </w:tcPr>
          <w:p>
            <w:pPr>
              <w:jc w:val="center"/>
              <w:spacing w:after="0"/>
              <w:rPr>
                <w:sz w:val="20"/>
                <w:szCs w:val="20"/>
                <w:color w:val="auto"/>
              </w:rPr>
            </w:pPr>
            <w:r>
              <w:rPr>
                <w:rFonts w:ascii="Arial" w:cs="Arial" w:eastAsia="Arial" w:hAnsi="Arial"/>
                <w:sz w:val="16"/>
                <w:szCs w:val="16"/>
                <w:b w:val="1"/>
                <w:bCs w:val="1"/>
                <w:color w:val="215BA8"/>
              </w:rPr>
              <w:t>●</w:t>
            </w:r>
          </w:p>
        </w:tc>
        <w:tc>
          <w:tcPr>
            <w:tcW w:w="1320" w:type="dxa"/>
            <w:vAlign w:val="bottom"/>
            <w:vMerge w:val="restart"/>
            <w:shd w:val="clear" w:color="auto" w:fill="EEEEEF"/>
          </w:tcPr>
          <w:p>
            <w:pPr>
              <w:jc w:val="center"/>
              <w:spacing w:after="0"/>
              <w:rPr>
                <w:sz w:val="20"/>
                <w:szCs w:val="20"/>
                <w:color w:val="auto"/>
              </w:rPr>
            </w:pPr>
            <w:r>
              <w:rPr>
                <w:rFonts w:ascii="Arial" w:cs="Arial" w:eastAsia="Arial" w:hAnsi="Arial"/>
                <w:sz w:val="16"/>
                <w:szCs w:val="16"/>
                <w:b w:val="1"/>
                <w:bCs w:val="1"/>
                <w:color w:val="215BA8"/>
              </w:rPr>
              <w:t>●</w:t>
            </w:r>
          </w:p>
        </w:tc>
        <w:tc>
          <w:tcPr>
            <w:tcW w:w="1500" w:type="dxa"/>
            <w:vAlign w:val="bottom"/>
            <w:shd w:val="clear" w:color="auto" w:fill="EEEEEF"/>
          </w:tcPr>
          <w:p>
            <w:pPr>
              <w:spacing w:after="0"/>
              <w:rPr>
                <w:sz w:val="20"/>
                <w:szCs w:val="20"/>
                <w:color w:val="auto"/>
              </w:rPr>
            </w:pPr>
          </w:p>
        </w:tc>
        <w:tc>
          <w:tcPr>
            <w:tcW w:w="1600" w:type="dxa"/>
            <w:vAlign w:val="bottom"/>
            <w:shd w:val="clear" w:color="auto" w:fill="EEEEEF"/>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540" w:type="dxa"/>
            <w:vAlign w:val="bottom"/>
          </w:tcPr>
          <w:p>
            <w:pPr>
              <w:spacing w:after="0"/>
              <w:rPr>
                <w:sz w:val="8"/>
                <w:szCs w:val="8"/>
                <w:color w:val="auto"/>
              </w:rPr>
            </w:pPr>
          </w:p>
        </w:tc>
        <w:tc>
          <w:tcPr>
            <w:tcW w:w="3480" w:type="dxa"/>
            <w:vAlign w:val="bottom"/>
            <w:vMerge w:val="restart"/>
            <w:shd w:val="clear" w:color="auto" w:fill="EEEEEF"/>
          </w:tcPr>
          <w:p>
            <w:pPr>
              <w:ind w:left="40"/>
              <w:spacing w:after="0"/>
              <w:rPr>
                <w:sz w:val="20"/>
                <w:szCs w:val="20"/>
                <w:color w:val="auto"/>
              </w:rPr>
            </w:pPr>
            <w:r>
              <w:rPr>
                <w:rFonts w:ascii="Arial" w:cs="Arial" w:eastAsia="Arial" w:hAnsi="Arial"/>
                <w:sz w:val="14"/>
                <w:szCs w:val="14"/>
                <w:color w:val="auto"/>
              </w:rPr>
              <w:t>shareholders and reward exceptional performance</w:t>
            </w:r>
          </w:p>
        </w:tc>
        <w:tc>
          <w:tcPr>
            <w:tcW w:w="1140" w:type="dxa"/>
            <w:vAlign w:val="bottom"/>
            <w:shd w:val="clear" w:color="auto" w:fill="EEEEEF"/>
          </w:tcPr>
          <w:p>
            <w:pPr>
              <w:spacing w:after="0"/>
              <w:rPr>
                <w:sz w:val="8"/>
                <w:szCs w:val="8"/>
                <w:color w:val="auto"/>
              </w:rPr>
            </w:pPr>
          </w:p>
        </w:tc>
        <w:tc>
          <w:tcPr>
            <w:tcW w:w="1120" w:type="dxa"/>
            <w:vAlign w:val="bottom"/>
            <w:vMerge w:val="continue"/>
            <w:shd w:val="clear" w:color="auto" w:fill="EEEEEF"/>
          </w:tcPr>
          <w:p>
            <w:pPr>
              <w:spacing w:after="0"/>
              <w:rPr>
                <w:sz w:val="8"/>
                <w:szCs w:val="8"/>
                <w:color w:val="auto"/>
              </w:rPr>
            </w:pPr>
          </w:p>
        </w:tc>
        <w:tc>
          <w:tcPr>
            <w:tcW w:w="1320" w:type="dxa"/>
            <w:vAlign w:val="bottom"/>
            <w:vMerge w:val="continue"/>
            <w:shd w:val="clear" w:color="auto" w:fill="EEEEEF"/>
          </w:tcPr>
          <w:p>
            <w:pPr>
              <w:spacing w:after="0"/>
              <w:rPr>
                <w:sz w:val="8"/>
                <w:szCs w:val="8"/>
                <w:color w:val="auto"/>
              </w:rPr>
            </w:pPr>
          </w:p>
        </w:tc>
        <w:tc>
          <w:tcPr>
            <w:tcW w:w="1500" w:type="dxa"/>
            <w:vAlign w:val="bottom"/>
            <w:shd w:val="clear" w:color="auto" w:fill="EEEEEF"/>
          </w:tcPr>
          <w:p>
            <w:pPr>
              <w:spacing w:after="0"/>
              <w:rPr>
                <w:sz w:val="8"/>
                <w:szCs w:val="8"/>
                <w:color w:val="auto"/>
              </w:rPr>
            </w:pPr>
          </w:p>
        </w:tc>
        <w:tc>
          <w:tcPr>
            <w:tcW w:w="1600" w:type="dxa"/>
            <w:vAlign w:val="bottom"/>
            <w:shd w:val="clear" w:color="auto" w:fill="EEEEEF"/>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540" w:type="dxa"/>
            <w:vAlign w:val="bottom"/>
          </w:tcPr>
          <w:p>
            <w:pPr>
              <w:spacing w:after="0"/>
              <w:rPr>
                <w:sz w:val="6"/>
                <w:szCs w:val="6"/>
                <w:color w:val="auto"/>
              </w:rPr>
            </w:pPr>
          </w:p>
        </w:tc>
        <w:tc>
          <w:tcPr>
            <w:tcW w:w="3480" w:type="dxa"/>
            <w:vAlign w:val="bottom"/>
            <w:vMerge w:val="continue"/>
            <w:shd w:val="clear" w:color="auto" w:fill="EEEEEF"/>
          </w:tcPr>
          <w:p>
            <w:pPr>
              <w:spacing w:after="0"/>
              <w:rPr>
                <w:sz w:val="6"/>
                <w:szCs w:val="6"/>
                <w:color w:val="auto"/>
              </w:rPr>
            </w:pPr>
          </w:p>
        </w:tc>
        <w:tc>
          <w:tcPr>
            <w:tcW w:w="1140" w:type="dxa"/>
            <w:vAlign w:val="bottom"/>
            <w:shd w:val="clear" w:color="auto" w:fill="EEEEEF"/>
          </w:tcPr>
          <w:p>
            <w:pPr>
              <w:spacing w:after="0"/>
              <w:rPr>
                <w:sz w:val="6"/>
                <w:szCs w:val="6"/>
                <w:color w:val="auto"/>
              </w:rPr>
            </w:pPr>
          </w:p>
        </w:tc>
        <w:tc>
          <w:tcPr>
            <w:tcW w:w="1120" w:type="dxa"/>
            <w:vAlign w:val="bottom"/>
            <w:shd w:val="clear" w:color="auto" w:fill="EEEEEF"/>
          </w:tcPr>
          <w:p>
            <w:pPr>
              <w:spacing w:after="0"/>
              <w:rPr>
                <w:sz w:val="6"/>
                <w:szCs w:val="6"/>
                <w:color w:val="auto"/>
              </w:rPr>
            </w:pPr>
          </w:p>
        </w:tc>
        <w:tc>
          <w:tcPr>
            <w:tcW w:w="1320" w:type="dxa"/>
            <w:vAlign w:val="bottom"/>
            <w:shd w:val="clear" w:color="auto" w:fill="EEEEEF"/>
          </w:tcPr>
          <w:p>
            <w:pPr>
              <w:spacing w:after="0"/>
              <w:rPr>
                <w:sz w:val="6"/>
                <w:szCs w:val="6"/>
                <w:color w:val="auto"/>
              </w:rPr>
            </w:pPr>
          </w:p>
        </w:tc>
        <w:tc>
          <w:tcPr>
            <w:tcW w:w="1500" w:type="dxa"/>
            <w:vAlign w:val="bottom"/>
            <w:shd w:val="clear" w:color="auto" w:fill="EEEEEF"/>
          </w:tcPr>
          <w:p>
            <w:pPr>
              <w:spacing w:after="0"/>
              <w:rPr>
                <w:sz w:val="6"/>
                <w:szCs w:val="6"/>
                <w:color w:val="auto"/>
              </w:rPr>
            </w:pPr>
          </w:p>
        </w:tc>
        <w:tc>
          <w:tcPr>
            <w:tcW w:w="1600" w:type="dxa"/>
            <w:vAlign w:val="bottom"/>
            <w:shd w:val="clear" w:color="auto" w:fill="EEEEEF"/>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540" w:type="dxa"/>
            <w:vAlign w:val="bottom"/>
          </w:tcPr>
          <w:p>
            <w:pPr>
              <w:spacing w:after="0"/>
              <w:rPr>
                <w:sz w:val="5"/>
                <w:szCs w:val="5"/>
                <w:color w:val="auto"/>
              </w:rPr>
            </w:pPr>
          </w:p>
        </w:tc>
        <w:tc>
          <w:tcPr>
            <w:tcW w:w="3480" w:type="dxa"/>
            <w:vAlign w:val="bottom"/>
            <w:tcBorders>
              <w:bottom w:val="single" w:sz="8" w:color="58585A"/>
            </w:tcBorders>
            <w:shd w:val="clear" w:color="auto" w:fill="EEEEEF"/>
          </w:tcPr>
          <w:p>
            <w:pPr>
              <w:spacing w:after="0"/>
              <w:rPr>
                <w:sz w:val="5"/>
                <w:szCs w:val="5"/>
                <w:color w:val="auto"/>
              </w:rPr>
            </w:pPr>
          </w:p>
        </w:tc>
        <w:tc>
          <w:tcPr>
            <w:tcW w:w="1140" w:type="dxa"/>
            <w:vAlign w:val="bottom"/>
            <w:tcBorders>
              <w:bottom w:val="single" w:sz="8" w:color="58585A"/>
            </w:tcBorders>
            <w:shd w:val="clear" w:color="auto" w:fill="EEEEEF"/>
          </w:tcPr>
          <w:p>
            <w:pPr>
              <w:spacing w:after="0"/>
              <w:rPr>
                <w:sz w:val="5"/>
                <w:szCs w:val="5"/>
                <w:color w:val="auto"/>
              </w:rPr>
            </w:pPr>
          </w:p>
        </w:tc>
        <w:tc>
          <w:tcPr>
            <w:tcW w:w="1120" w:type="dxa"/>
            <w:vAlign w:val="bottom"/>
            <w:tcBorders>
              <w:bottom w:val="single" w:sz="8" w:color="58585A"/>
            </w:tcBorders>
            <w:shd w:val="clear" w:color="auto" w:fill="EEEEEF"/>
          </w:tcPr>
          <w:p>
            <w:pPr>
              <w:spacing w:after="0"/>
              <w:rPr>
                <w:sz w:val="5"/>
                <w:szCs w:val="5"/>
                <w:color w:val="auto"/>
              </w:rPr>
            </w:pPr>
          </w:p>
        </w:tc>
        <w:tc>
          <w:tcPr>
            <w:tcW w:w="1320" w:type="dxa"/>
            <w:vAlign w:val="bottom"/>
            <w:tcBorders>
              <w:bottom w:val="single" w:sz="8" w:color="58585A"/>
            </w:tcBorders>
            <w:shd w:val="clear" w:color="auto" w:fill="EEEEEF"/>
          </w:tcPr>
          <w:p>
            <w:pPr>
              <w:spacing w:after="0"/>
              <w:rPr>
                <w:sz w:val="5"/>
                <w:szCs w:val="5"/>
                <w:color w:val="auto"/>
              </w:rPr>
            </w:pPr>
          </w:p>
        </w:tc>
        <w:tc>
          <w:tcPr>
            <w:tcW w:w="1500" w:type="dxa"/>
            <w:vAlign w:val="bottom"/>
            <w:tcBorders>
              <w:bottom w:val="single" w:sz="8" w:color="58585A"/>
            </w:tcBorders>
            <w:shd w:val="clear" w:color="auto" w:fill="EEEEEF"/>
          </w:tcPr>
          <w:p>
            <w:pPr>
              <w:spacing w:after="0"/>
              <w:rPr>
                <w:sz w:val="5"/>
                <w:szCs w:val="5"/>
                <w:color w:val="auto"/>
              </w:rPr>
            </w:pPr>
          </w:p>
        </w:tc>
        <w:tc>
          <w:tcPr>
            <w:tcW w:w="1600" w:type="dxa"/>
            <w:vAlign w:val="bottom"/>
            <w:tcBorders>
              <w:bottom w:val="single" w:sz="8" w:color="58585A"/>
            </w:tcBorders>
            <w:shd w:val="clear" w:color="auto" w:fill="EEEEEF"/>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3480" w:type="dxa"/>
            <w:vAlign w:val="bottom"/>
          </w:tcPr>
          <w:p>
            <w:pPr>
              <w:ind w:left="40"/>
              <w:spacing w:after="0"/>
              <w:rPr>
                <w:sz w:val="20"/>
                <w:szCs w:val="20"/>
                <w:color w:val="auto"/>
              </w:rPr>
            </w:pPr>
            <w:r>
              <w:rPr>
                <w:rFonts w:ascii="Arial" w:cs="Arial" w:eastAsia="Arial" w:hAnsi="Arial"/>
                <w:sz w:val="14"/>
                <w:szCs w:val="14"/>
                <w:color w:val="auto"/>
              </w:rPr>
              <w:t>Promote a culture of scientific innovation,</w:t>
            </w:r>
          </w:p>
        </w:tc>
        <w:tc>
          <w:tcPr>
            <w:tcW w:w="1140" w:type="dxa"/>
            <w:vAlign w:val="bottom"/>
            <w:vMerge w:val="restart"/>
          </w:tcPr>
          <w:p>
            <w:pPr>
              <w:jc w:val="center"/>
              <w:ind w:right="45"/>
              <w:spacing w:after="0"/>
              <w:rPr>
                <w:sz w:val="20"/>
                <w:szCs w:val="20"/>
                <w:color w:val="auto"/>
              </w:rPr>
            </w:pPr>
            <w:r>
              <w:rPr>
                <w:rFonts w:ascii="Arial" w:cs="Arial" w:eastAsia="Arial" w:hAnsi="Arial"/>
                <w:sz w:val="16"/>
                <w:szCs w:val="16"/>
                <w:b w:val="1"/>
                <w:bCs w:val="1"/>
                <w:color w:val="215BA8"/>
              </w:rPr>
              <w:t>●</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215BA8"/>
              </w:rPr>
              <w:t>●</w:t>
            </w: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215BA8"/>
              </w:rPr>
              <w:t>●</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215BA8"/>
              </w:rPr>
              <w:t>●</w:t>
            </w:r>
          </w:p>
        </w:tc>
        <w:tc>
          <w:tcPr>
            <w:tcW w:w="214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215BA8"/>
              </w:rPr>
              <w:t>●</w:t>
            </w:r>
          </w:p>
        </w:tc>
        <w:tc>
          <w:tcPr>
            <w:tcW w:w="0" w:type="dxa"/>
            <w:vAlign w:val="bottom"/>
          </w:tcPr>
          <w:p>
            <w:pPr>
              <w:spacing w:after="0"/>
              <w:rPr>
                <w:sz w:val="1"/>
                <w:szCs w:val="1"/>
                <w:color w:val="auto"/>
              </w:rPr>
            </w:pPr>
          </w:p>
        </w:tc>
      </w:tr>
      <w:tr>
        <w:trPr>
          <w:trHeight w:val="97"/>
        </w:trPr>
        <w:tc>
          <w:tcPr>
            <w:tcW w:w="540" w:type="dxa"/>
            <w:vAlign w:val="bottom"/>
          </w:tcPr>
          <w:p>
            <w:pPr>
              <w:spacing w:after="0"/>
              <w:rPr>
                <w:sz w:val="8"/>
                <w:szCs w:val="8"/>
                <w:color w:val="auto"/>
              </w:rPr>
            </w:pPr>
          </w:p>
        </w:tc>
        <w:tc>
          <w:tcPr>
            <w:tcW w:w="3480" w:type="dxa"/>
            <w:vAlign w:val="bottom"/>
            <w:vMerge w:val="restart"/>
          </w:tcPr>
          <w:p>
            <w:pPr>
              <w:ind w:left="40"/>
              <w:spacing w:after="0"/>
              <w:rPr>
                <w:sz w:val="20"/>
                <w:szCs w:val="20"/>
                <w:color w:val="auto"/>
              </w:rPr>
            </w:pPr>
            <w:r>
              <w:rPr>
                <w:rFonts w:ascii="Arial" w:cs="Arial" w:eastAsia="Arial" w:hAnsi="Arial"/>
                <w:sz w:val="14"/>
                <w:szCs w:val="14"/>
                <w:color w:val="auto"/>
              </w:rPr>
              <w:t>teamwork, and ethical behavior</w:t>
            </w:r>
          </w:p>
        </w:tc>
        <w:tc>
          <w:tcPr>
            <w:tcW w:w="11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540" w:type="dxa"/>
            <w:vAlign w:val="bottom"/>
          </w:tcPr>
          <w:p>
            <w:pPr>
              <w:spacing w:after="0"/>
              <w:rPr>
                <w:sz w:val="6"/>
                <w:szCs w:val="6"/>
                <w:color w:val="auto"/>
              </w:rPr>
            </w:pPr>
          </w:p>
        </w:tc>
        <w:tc>
          <w:tcPr>
            <w:tcW w:w="34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540" w:type="dxa"/>
            <w:vAlign w:val="bottom"/>
          </w:tcPr>
          <w:p>
            <w:pPr>
              <w:spacing w:after="0"/>
              <w:rPr>
                <w:sz w:val="5"/>
                <w:szCs w:val="5"/>
                <w:color w:val="auto"/>
              </w:rPr>
            </w:pPr>
          </w:p>
        </w:tc>
        <w:tc>
          <w:tcPr>
            <w:tcW w:w="3480" w:type="dxa"/>
            <w:vAlign w:val="bottom"/>
            <w:tcBorders>
              <w:bottom w:val="single" w:sz="8" w:color="215AA8"/>
            </w:tcBorders>
          </w:tcPr>
          <w:p>
            <w:pPr>
              <w:spacing w:after="0"/>
              <w:rPr>
                <w:sz w:val="5"/>
                <w:szCs w:val="5"/>
                <w:color w:val="auto"/>
              </w:rPr>
            </w:pPr>
          </w:p>
        </w:tc>
        <w:tc>
          <w:tcPr>
            <w:tcW w:w="1140" w:type="dxa"/>
            <w:vAlign w:val="bottom"/>
            <w:tcBorders>
              <w:bottom w:val="single" w:sz="8" w:color="215AA8"/>
            </w:tcBorders>
          </w:tcPr>
          <w:p>
            <w:pPr>
              <w:spacing w:after="0"/>
              <w:rPr>
                <w:sz w:val="5"/>
                <w:szCs w:val="5"/>
                <w:color w:val="auto"/>
              </w:rPr>
            </w:pPr>
          </w:p>
        </w:tc>
        <w:tc>
          <w:tcPr>
            <w:tcW w:w="5540" w:type="dxa"/>
            <w:vAlign w:val="bottom"/>
            <w:tcBorders>
              <w:bottom w:val="single" w:sz="8" w:color="215AA8"/>
            </w:tcBorders>
            <w:gridSpan w:val="4"/>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62 </w:t>
            </w:r>
            <w:r>
              <w:rPr>
                <w:rFonts w:ascii="Arial" w:cs="Arial" w:eastAsia="Arial" w:hAnsi="Arial"/>
                <w:sz w:val="14"/>
                <w:szCs w:val="14"/>
                <w:b w:val="1"/>
                <w:bCs w:val="1"/>
                <w:color w:val="00ADEE"/>
              </w:rPr>
              <w:t>/</w:t>
            </w:r>
          </w:p>
        </w:tc>
        <w:tc>
          <w:tcPr>
            <w:tcW w:w="3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gridSpan w:val="5"/>
          </w:tcPr>
          <w:p>
            <w:pPr>
              <w:ind w:left="660"/>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0" w:type="dxa"/>
            <w:vAlign w:val="bottom"/>
          </w:tcPr>
          <w:p>
            <w:pPr>
              <w:spacing w:after="0"/>
              <w:rPr>
                <w:sz w:val="1"/>
                <w:szCs w:val="1"/>
                <w:color w:val="auto"/>
              </w:rPr>
            </w:pPr>
          </w:p>
        </w:tc>
      </w:tr>
      <w:tr>
        <w:trPr>
          <w:trHeight w:val="262"/>
        </w:trPr>
        <w:tc>
          <w:tcPr>
            <w:tcW w:w="540" w:type="dxa"/>
            <w:vAlign w:val="bottom"/>
            <w:tcBorders>
              <w:bottom w:val="single" w:sz="8" w:color="C0C0C0"/>
            </w:tcBorders>
          </w:tcPr>
          <w:p>
            <w:pPr>
              <w:spacing w:after="0"/>
              <w:rPr>
                <w:sz w:val="22"/>
                <w:szCs w:val="22"/>
                <w:color w:val="auto"/>
              </w:rPr>
            </w:pPr>
          </w:p>
        </w:tc>
        <w:tc>
          <w:tcPr>
            <w:tcW w:w="3480" w:type="dxa"/>
            <w:vAlign w:val="bottom"/>
            <w:tcBorders>
              <w:bottom w:val="single" w:sz="8" w:color="C0C0C0"/>
            </w:tcBorders>
          </w:tcPr>
          <w:p>
            <w:pPr>
              <w:spacing w:after="0"/>
              <w:rPr>
                <w:sz w:val="22"/>
                <w:szCs w:val="22"/>
                <w:color w:val="auto"/>
              </w:rPr>
            </w:pPr>
          </w:p>
        </w:tc>
        <w:tc>
          <w:tcPr>
            <w:tcW w:w="1140" w:type="dxa"/>
            <w:vAlign w:val="bottom"/>
            <w:tcBorders>
              <w:bottom w:val="single" w:sz="8" w:color="C0C0C0"/>
            </w:tcBorders>
          </w:tcPr>
          <w:p>
            <w:pPr>
              <w:spacing w:after="0"/>
              <w:rPr>
                <w:sz w:val="22"/>
                <w:szCs w:val="22"/>
                <w:color w:val="auto"/>
              </w:rPr>
            </w:pPr>
          </w:p>
        </w:tc>
        <w:tc>
          <w:tcPr>
            <w:tcW w:w="1120" w:type="dxa"/>
            <w:vAlign w:val="bottom"/>
            <w:tcBorders>
              <w:bottom w:val="single" w:sz="8" w:color="C0C0C0"/>
            </w:tcBorders>
          </w:tcPr>
          <w:p>
            <w:pPr>
              <w:spacing w:after="0"/>
              <w:rPr>
                <w:sz w:val="22"/>
                <w:szCs w:val="22"/>
                <w:color w:val="auto"/>
              </w:rPr>
            </w:pPr>
          </w:p>
        </w:tc>
        <w:tc>
          <w:tcPr>
            <w:tcW w:w="1320" w:type="dxa"/>
            <w:vAlign w:val="bottom"/>
            <w:tcBorders>
              <w:bottom w:val="single" w:sz="8" w:color="C0C0C0"/>
            </w:tcBorders>
          </w:tcPr>
          <w:p>
            <w:pPr>
              <w:spacing w:after="0"/>
              <w:rPr>
                <w:sz w:val="22"/>
                <w:szCs w:val="22"/>
                <w:color w:val="auto"/>
              </w:rPr>
            </w:pPr>
          </w:p>
        </w:tc>
        <w:tc>
          <w:tcPr>
            <w:tcW w:w="1500" w:type="dxa"/>
            <w:vAlign w:val="bottom"/>
            <w:tcBorders>
              <w:bottom w:val="single" w:sz="8" w:color="C0C0C0"/>
            </w:tcBorders>
          </w:tcPr>
          <w:p>
            <w:pPr>
              <w:spacing w:after="0"/>
              <w:rPr>
                <w:sz w:val="22"/>
                <w:szCs w:val="22"/>
                <w:color w:val="auto"/>
              </w:rPr>
            </w:pPr>
          </w:p>
        </w:tc>
        <w:tc>
          <w:tcPr>
            <w:tcW w:w="1600" w:type="dxa"/>
            <w:vAlign w:val="bottom"/>
            <w:tcBorders>
              <w:bottom w:val="single" w:sz="8" w:color="C0C0C0"/>
            </w:tcBorders>
          </w:tcPr>
          <w:p>
            <w:pPr>
              <w:spacing w:after="0"/>
              <w:rPr>
                <w:sz w:val="22"/>
                <w:szCs w:val="22"/>
                <w:color w:val="auto"/>
              </w:rPr>
            </w:pPr>
          </w:p>
        </w:tc>
        <w:tc>
          <w:tcPr>
            <w:tcW w:w="540" w:type="dxa"/>
            <w:vAlign w:val="bottom"/>
            <w:tcBorders>
              <w:bottom w:val="single" w:sz="8" w:color="C0C0C0"/>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0" w:right="339" w:bottom="1440" w:gutter="0" w:footer="0" w:header="0"/>
        </w:sectPr>
      </w:pPr>
    </w:p>
    <w:bookmarkStart w:id="77" w:name="page78"/>
    <w:bookmarkEnd w:id="77"/>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1140"/>
        <w:spacing w:after="0" w:line="236" w:lineRule="auto"/>
        <w:rPr>
          <w:sz w:val="20"/>
          <w:szCs w:val="20"/>
          <w:color w:val="auto"/>
        </w:rPr>
      </w:pPr>
      <w:r>
        <w:rPr>
          <w:rFonts w:ascii="Arial" w:cs="Arial" w:eastAsia="Arial" w:hAnsi="Arial"/>
          <w:sz w:val="16"/>
          <w:szCs w:val="16"/>
          <w:color w:val="auto"/>
        </w:rPr>
        <w:t>The base salary component of NEO pay generally comprises a steadily smaller percentage of overall compensation as executives’ level of responsibility rises.</w:t>
      </w:r>
    </w:p>
    <w:p>
      <w:pPr>
        <w:spacing w:after="0" w:line="165" w:lineRule="exact"/>
        <w:rPr>
          <w:sz w:val="20"/>
          <w:szCs w:val="20"/>
          <w:color w:val="auto"/>
        </w:rPr>
      </w:pPr>
    </w:p>
    <w:p>
      <w:pPr>
        <w:ind w:left="540" w:right="700"/>
        <w:spacing w:after="0" w:line="232" w:lineRule="auto"/>
        <w:rPr>
          <w:sz w:val="20"/>
          <w:szCs w:val="20"/>
          <w:color w:val="auto"/>
        </w:rPr>
      </w:pPr>
      <w:r>
        <w:rPr>
          <w:rFonts w:ascii="Arial" w:cs="Arial" w:eastAsia="Arial" w:hAnsi="Arial"/>
          <w:sz w:val="16"/>
          <w:szCs w:val="16"/>
          <w:color w:val="auto"/>
        </w:rPr>
        <w:t>We consider factors including the executive’s scope of responsibilities, experience, and annual performance when setting base salaries. We also consider base salaries of comparable positions in the region, among our peers, and in the broader biopharmaceutical industry. See the subsections “Compensation Processes—Independent Compensation Consultant” and “Compensation Processes—Peer Data” for further information regarding the role of the Compensation Committee’s independent compensation consultant and our use of Peer Group data for purposes of setting compensation of our NEOs.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2021–2022 Base Salaries</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3160" w:type="dxa"/>
            <w:vAlign w:val="bottom"/>
          </w:tcPr>
          <w:p>
            <w:pPr>
              <w:jc w:val="right"/>
              <w:ind w:right="316"/>
              <w:spacing w:after="0"/>
              <w:rPr>
                <w:sz w:val="20"/>
                <w:szCs w:val="20"/>
                <w:color w:val="auto"/>
              </w:rPr>
            </w:pPr>
            <w:r>
              <w:rPr>
                <w:rFonts w:ascii="Arial" w:cs="Arial" w:eastAsia="Arial" w:hAnsi="Arial"/>
                <w:sz w:val="12"/>
                <w:szCs w:val="12"/>
                <w:b w:val="1"/>
                <w:bCs w:val="1"/>
                <w:color w:val="215BA8"/>
              </w:rPr>
              <w:t>2021 Base</w:t>
            </w:r>
          </w:p>
        </w:tc>
        <w:tc>
          <w:tcPr>
            <w:tcW w:w="1440" w:type="dxa"/>
            <w:vAlign w:val="bottom"/>
          </w:tcPr>
          <w:p>
            <w:pPr>
              <w:jc w:val="right"/>
              <w:ind w:right="436"/>
              <w:spacing w:after="0"/>
              <w:rPr>
                <w:sz w:val="20"/>
                <w:szCs w:val="20"/>
                <w:color w:val="auto"/>
              </w:rPr>
            </w:pPr>
            <w:r>
              <w:rPr>
                <w:rFonts w:ascii="Arial" w:cs="Arial" w:eastAsia="Arial" w:hAnsi="Arial"/>
                <w:sz w:val="12"/>
                <w:szCs w:val="12"/>
                <w:b w:val="1"/>
                <w:bCs w:val="1"/>
                <w:color w:val="215BA8"/>
              </w:rPr>
              <w:t>2022 Base</w:t>
            </w:r>
          </w:p>
        </w:tc>
        <w:tc>
          <w:tcPr>
            <w:tcW w:w="1020" w:type="dxa"/>
            <w:vAlign w:val="bottom"/>
            <w:shd w:val="clear" w:color="auto" w:fill="215AA8"/>
          </w:tcPr>
          <w:p>
            <w:pPr>
              <w:jc w:val="center"/>
              <w:spacing w:after="0"/>
              <w:rPr>
                <w:sz w:val="20"/>
                <w:szCs w:val="20"/>
                <w:color w:val="auto"/>
              </w:rPr>
            </w:pPr>
            <w:r>
              <w:rPr>
                <w:rFonts w:ascii="Arial" w:cs="Arial" w:eastAsia="Arial" w:hAnsi="Arial"/>
                <w:sz w:val="12"/>
                <w:szCs w:val="12"/>
                <w:b w:val="1"/>
                <w:bCs w:val="1"/>
                <w:color w:val="FFFFFF"/>
                <w:w w:val="96"/>
              </w:rPr>
              <w:t>2022 vs. 2021</w:t>
            </w:r>
          </w:p>
        </w:tc>
      </w:tr>
      <w:tr>
        <w:trPr>
          <w:trHeight w:val="154"/>
        </w:trPr>
        <w:tc>
          <w:tcPr>
            <w:tcW w:w="4540" w:type="dxa"/>
            <w:vAlign w:val="bottom"/>
          </w:tcPr>
          <w:p>
            <w:pPr>
              <w:ind w:left="40"/>
              <w:spacing w:after="0"/>
              <w:rPr>
                <w:sz w:val="20"/>
                <w:szCs w:val="20"/>
                <w:color w:val="auto"/>
              </w:rPr>
            </w:pPr>
            <w:r>
              <w:rPr>
                <w:rFonts w:ascii="Arial" w:cs="Arial" w:eastAsia="Arial" w:hAnsi="Arial"/>
                <w:sz w:val="12"/>
                <w:szCs w:val="12"/>
                <w:b w:val="1"/>
                <w:bCs w:val="1"/>
                <w:color w:val="215BA8"/>
              </w:rPr>
              <w:t>Named Executive Officer</w:t>
            </w:r>
          </w:p>
        </w:tc>
        <w:tc>
          <w:tcPr>
            <w:tcW w:w="3160" w:type="dxa"/>
            <w:vAlign w:val="bottom"/>
          </w:tcPr>
          <w:p>
            <w:pPr>
              <w:jc w:val="right"/>
              <w:ind w:right="336"/>
              <w:spacing w:after="0"/>
              <w:rPr>
                <w:sz w:val="20"/>
                <w:szCs w:val="20"/>
                <w:color w:val="auto"/>
              </w:rPr>
            </w:pPr>
            <w:r>
              <w:rPr>
                <w:rFonts w:ascii="Arial" w:cs="Arial" w:eastAsia="Arial" w:hAnsi="Arial"/>
                <w:sz w:val="12"/>
                <w:szCs w:val="12"/>
                <w:b w:val="1"/>
                <w:bCs w:val="1"/>
                <w:color w:val="215BA8"/>
              </w:rPr>
              <w:t>Salary ($)</w:t>
            </w:r>
          </w:p>
        </w:tc>
        <w:tc>
          <w:tcPr>
            <w:tcW w:w="1440" w:type="dxa"/>
            <w:vAlign w:val="bottom"/>
          </w:tcPr>
          <w:p>
            <w:pPr>
              <w:jc w:val="right"/>
              <w:ind w:right="456"/>
              <w:spacing w:after="0"/>
              <w:rPr>
                <w:sz w:val="20"/>
                <w:szCs w:val="20"/>
                <w:color w:val="auto"/>
              </w:rPr>
            </w:pPr>
            <w:r>
              <w:rPr>
                <w:rFonts w:ascii="Arial" w:cs="Arial" w:eastAsia="Arial" w:hAnsi="Arial"/>
                <w:sz w:val="12"/>
                <w:szCs w:val="12"/>
                <w:b w:val="1"/>
                <w:bCs w:val="1"/>
                <w:color w:val="215BA8"/>
              </w:rPr>
              <w:t>Salary ($)</w:t>
            </w:r>
          </w:p>
        </w:tc>
        <w:tc>
          <w:tcPr>
            <w:tcW w:w="1020" w:type="dxa"/>
            <w:vAlign w:val="bottom"/>
            <w:shd w:val="clear" w:color="auto" w:fill="215AA8"/>
          </w:tcPr>
          <w:p>
            <w:pPr>
              <w:jc w:val="center"/>
              <w:spacing w:after="0"/>
              <w:rPr>
                <w:sz w:val="20"/>
                <w:szCs w:val="20"/>
                <w:color w:val="auto"/>
              </w:rPr>
            </w:pPr>
            <w:r>
              <w:rPr>
                <w:rFonts w:ascii="Arial" w:cs="Arial" w:eastAsia="Arial" w:hAnsi="Arial"/>
                <w:sz w:val="12"/>
                <w:szCs w:val="12"/>
                <w:b w:val="1"/>
                <w:bCs w:val="1"/>
                <w:color w:val="FFFFFF"/>
                <w:w w:val="96"/>
              </w:rPr>
              <w:t>Change (%)</w:t>
            </w:r>
          </w:p>
        </w:tc>
      </w:tr>
      <w:tr>
        <w:trPr>
          <w:trHeight w:val="54"/>
        </w:trPr>
        <w:tc>
          <w:tcPr>
            <w:tcW w:w="4540" w:type="dxa"/>
            <w:vAlign w:val="bottom"/>
            <w:tcBorders>
              <w:bottom w:val="single" w:sz="8" w:color="215AA8"/>
            </w:tcBorders>
          </w:tcPr>
          <w:p>
            <w:pPr>
              <w:spacing w:after="0"/>
              <w:rPr>
                <w:sz w:val="4"/>
                <w:szCs w:val="4"/>
                <w:color w:val="auto"/>
              </w:rPr>
            </w:pPr>
          </w:p>
        </w:tc>
        <w:tc>
          <w:tcPr>
            <w:tcW w:w="3160" w:type="dxa"/>
            <w:vAlign w:val="bottom"/>
            <w:tcBorders>
              <w:bottom w:val="single" w:sz="8" w:color="215AA8"/>
            </w:tcBorders>
          </w:tcPr>
          <w:p>
            <w:pPr>
              <w:spacing w:after="0"/>
              <w:rPr>
                <w:sz w:val="4"/>
                <w:szCs w:val="4"/>
                <w:color w:val="auto"/>
              </w:rPr>
            </w:pPr>
          </w:p>
        </w:tc>
        <w:tc>
          <w:tcPr>
            <w:tcW w:w="1440" w:type="dxa"/>
            <w:vAlign w:val="bottom"/>
            <w:tcBorders>
              <w:bottom w:val="single" w:sz="8" w:color="215AA8"/>
            </w:tcBorders>
          </w:tcPr>
          <w:p>
            <w:pPr>
              <w:spacing w:after="0"/>
              <w:rPr>
                <w:sz w:val="4"/>
                <w:szCs w:val="4"/>
                <w:color w:val="auto"/>
              </w:rPr>
            </w:pPr>
          </w:p>
        </w:tc>
        <w:tc>
          <w:tcPr>
            <w:tcW w:w="1020" w:type="dxa"/>
            <w:vAlign w:val="bottom"/>
            <w:tcBorders>
              <w:bottom w:val="single" w:sz="8" w:color="215AA8"/>
            </w:tcBorders>
            <w:shd w:val="clear" w:color="auto" w:fill="215AA8"/>
          </w:tcPr>
          <w:p>
            <w:pPr>
              <w:spacing w:after="0"/>
              <w:rPr>
                <w:sz w:val="4"/>
                <w:szCs w:val="4"/>
                <w:color w:val="auto"/>
              </w:rPr>
            </w:pPr>
          </w:p>
        </w:tc>
      </w:tr>
      <w:tr>
        <w:trPr>
          <w:trHeight w:val="229"/>
        </w:trPr>
        <w:tc>
          <w:tcPr>
            <w:tcW w:w="4540" w:type="dxa"/>
            <w:vAlign w:val="bottom"/>
            <w:tcBorders>
              <w:bottom w:val="single" w:sz="8" w:color="58585A"/>
            </w:tcBorders>
          </w:tcPr>
          <w:p>
            <w:pPr>
              <w:ind w:left="40"/>
              <w:spacing w:after="0"/>
              <w:rPr>
                <w:sz w:val="20"/>
                <w:szCs w:val="20"/>
                <w:color w:val="auto"/>
              </w:rPr>
            </w:pPr>
            <w:r>
              <w:rPr>
                <w:rFonts w:ascii="Arial" w:cs="Arial" w:eastAsia="Arial" w:hAnsi="Arial"/>
                <w:sz w:val="13"/>
                <w:szCs w:val="13"/>
                <w:b w:val="1"/>
                <w:bCs w:val="1"/>
                <w:color w:val="D60058"/>
              </w:rPr>
              <w:t>Leonard S. Schleifer, M.D., Ph.D.</w:t>
            </w:r>
          </w:p>
        </w:tc>
        <w:tc>
          <w:tcPr>
            <w:tcW w:w="3160" w:type="dxa"/>
            <w:vAlign w:val="bottom"/>
            <w:tcBorders>
              <w:bottom w:val="single" w:sz="8" w:color="58585A"/>
            </w:tcBorders>
          </w:tcPr>
          <w:p>
            <w:pPr>
              <w:jc w:val="right"/>
              <w:ind w:right="296"/>
              <w:spacing w:after="0"/>
              <w:rPr>
                <w:sz w:val="20"/>
                <w:szCs w:val="20"/>
                <w:color w:val="auto"/>
              </w:rPr>
            </w:pPr>
            <w:r>
              <w:rPr>
                <w:rFonts w:ascii="Arial" w:cs="Arial" w:eastAsia="Arial" w:hAnsi="Arial"/>
                <w:sz w:val="13"/>
                <w:szCs w:val="13"/>
                <w:color w:val="auto"/>
              </w:rPr>
              <w:t>1,767,800</w:t>
            </w:r>
          </w:p>
        </w:tc>
        <w:tc>
          <w:tcPr>
            <w:tcW w:w="1440" w:type="dxa"/>
            <w:vAlign w:val="bottom"/>
            <w:tcBorders>
              <w:bottom w:val="single" w:sz="8" w:color="58585A"/>
            </w:tcBorders>
          </w:tcPr>
          <w:p>
            <w:pPr>
              <w:jc w:val="right"/>
              <w:ind w:right="436"/>
              <w:spacing w:after="0"/>
              <w:rPr>
                <w:sz w:val="20"/>
                <w:szCs w:val="20"/>
                <w:color w:val="auto"/>
              </w:rPr>
            </w:pPr>
            <w:r>
              <w:rPr>
                <w:rFonts w:ascii="Arial" w:cs="Arial" w:eastAsia="Arial" w:hAnsi="Arial"/>
                <w:sz w:val="13"/>
                <w:szCs w:val="13"/>
                <w:color w:val="auto"/>
              </w:rPr>
              <w:t>1,811,995</w:t>
            </w:r>
          </w:p>
        </w:tc>
        <w:tc>
          <w:tcPr>
            <w:tcW w:w="1020" w:type="dxa"/>
            <w:vAlign w:val="bottom"/>
            <w:tcBorders>
              <w:bottom w:val="single" w:sz="8" w:color="58585A"/>
            </w:tcBorders>
            <w:shd w:val="clear" w:color="auto" w:fill="E8ECF5"/>
          </w:tcPr>
          <w:p>
            <w:pPr>
              <w:jc w:val="center"/>
              <w:spacing w:after="0" w:line="230" w:lineRule="exact"/>
              <w:rPr>
                <w:sz w:val="20"/>
                <w:szCs w:val="20"/>
                <w:color w:val="auto"/>
              </w:rPr>
            </w:pPr>
            <w:r>
              <w:rPr>
                <w:rFonts w:ascii="Arial" w:cs="Arial" w:eastAsia="Arial" w:hAnsi="Arial"/>
                <w:sz w:val="13"/>
                <w:szCs w:val="13"/>
                <w:color w:val="auto"/>
                <w:w w:val="92"/>
              </w:rPr>
              <w:t>2.5</w:t>
            </w:r>
            <w:r>
              <w:rPr>
                <w:rFonts w:ascii="Arial" w:cs="Arial" w:eastAsia="Arial" w:hAnsi="Arial"/>
                <w:sz w:val="21"/>
                <w:szCs w:val="21"/>
                <w:color w:val="auto"/>
                <w:w w:val="92"/>
                <w:vertAlign w:val="superscript"/>
              </w:rPr>
              <w:t>1</w:t>
            </w:r>
          </w:p>
        </w:tc>
      </w:tr>
      <w:tr>
        <w:trPr>
          <w:trHeight w:val="223"/>
        </w:trPr>
        <w:tc>
          <w:tcPr>
            <w:tcW w:w="4540" w:type="dxa"/>
            <w:vAlign w:val="bottom"/>
            <w:tcBorders>
              <w:bottom w:val="single" w:sz="8" w:color="58585A"/>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George D. Yancopoulos, M. D., Ph. D.</w:t>
            </w:r>
          </w:p>
        </w:tc>
        <w:tc>
          <w:tcPr>
            <w:tcW w:w="3160" w:type="dxa"/>
            <w:vAlign w:val="bottom"/>
            <w:tcBorders>
              <w:bottom w:val="single" w:sz="8" w:color="58585A"/>
            </w:tcBorders>
            <w:shd w:val="clear" w:color="auto" w:fill="EEEEEF"/>
          </w:tcPr>
          <w:p>
            <w:pPr>
              <w:jc w:val="right"/>
              <w:ind w:right="296"/>
              <w:spacing w:after="0"/>
              <w:rPr>
                <w:sz w:val="20"/>
                <w:szCs w:val="20"/>
                <w:color w:val="auto"/>
              </w:rPr>
            </w:pPr>
            <w:r>
              <w:rPr>
                <w:rFonts w:ascii="Arial" w:cs="Arial" w:eastAsia="Arial" w:hAnsi="Arial"/>
                <w:sz w:val="13"/>
                <w:szCs w:val="13"/>
                <w:color w:val="auto"/>
              </w:rPr>
              <w:t>1,767,800</w:t>
            </w:r>
          </w:p>
        </w:tc>
        <w:tc>
          <w:tcPr>
            <w:tcW w:w="1440" w:type="dxa"/>
            <w:vAlign w:val="bottom"/>
            <w:tcBorders>
              <w:bottom w:val="single" w:sz="8" w:color="58585A"/>
            </w:tcBorders>
            <w:shd w:val="clear" w:color="auto" w:fill="EEEEEF"/>
          </w:tcPr>
          <w:p>
            <w:pPr>
              <w:jc w:val="right"/>
              <w:ind w:right="436"/>
              <w:spacing w:after="0"/>
              <w:rPr>
                <w:sz w:val="20"/>
                <w:szCs w:val="20"/>
                <w:color w:val="auto"/>
              </w:rPr>
            </w:pPr>
            <w:r>
              <w:rPr>
                <w:rFonts w:ascii="Arial" w:cs="Arial" w:eastAsia="Arial" w:hAnsi="Arial"/>
                <w:sz w:val="13"/>
                <w:szCs w:val="13"/>
                <w:color w:val="auto"/>
              </w:rPr>
              <w:t>1,811,995</w:t>
            </w:r>
          </w:p>
        </w:tc>
        <w:tc>
          <w:tcPr>
            <w:tcW w:w="1020" w:type="dxa"/>
            <w:vAlign w:val="bottom"/>
            <w:tcBorders>
              <w:bottom w:val="single" w:sz="8" w:color="58585A"/>
            </w:tcBorders>
            <w:shd w:val="clear" w:color="auto" w:fill="D6DBEE"/>
          </w:tcPr>
          <w:p>
            <w:pPr>
              <w:jc w:val="center"/>
              <w:spacing w:after="0" w:line="223" w:lineRule="exact"/>
              <w:rPr>
                <w:sz w:val="20"/>
                <w:szCs w:val="20"/>
                <w:color w:val="auto"/>
              </w:rPr>
            </w:pPr>
            <w:r>
              <w:rPr>
                <w:rFonts w:ascii="Arial" w:cs="Arial" w:eastAsia="Arial" w:hAnsi="Arial"/>
                <w:sz w:val="13"/>
                <w:szCs w:val="13"/>
                <w:color w:val="auto"/>
                <w:w w:val="92"/>
              </w:rPr>
              <w:t>2.5</w:t>
            </w:r>
            <w:r>
              <w:rPr>
                <w:rFonts w:ascii="Arial" w:cs="Arial" w:eastAsia="Arial" w:hAnsi="Arial"/>
                <w:sz w:val="21"/>
                <w:szCs w:val="21"/>
                <w:color w:val="auto"/>
                <w:w w:val="92"/>
                <w:vertAlign w:val="superscript"/>
              </w:rPr>
              <w:t>1</w:t>
            </w:r>
          </w:p>
        </w:tc>
      </w:tr>
      <w:tr>
        <w:trPr>
          <w:trHeight w:val="223"/>
        </w:trPr>
        <w:tc>
          <w:tcPr>
            <w:tcW w:w="4540" w:type="dxa"/>
            <w:vAlign w:val="bottom"/>
            <w:tcBorders>
              <w:bottom w:val="single" w:sz="8" w:color="58585A"/>
            </w:tcBorders>
          </w:tcPr>
          <w:p>
            <w:pPr>
              <w:ind w:left="40"/>
              <w:spacing w:after="0"/>
              <w:rPr>
                <w:sz w:val="20"/>
                <w:szCs w:val="20"/>
                <w:color w:val="auto"/>
              </w:rPr>
            </w:pPr>
            <w:r>
              <w:rPr>
                <w:rFonts w:ascii="Arial" w:cs="Arial" w:eastAsia="Arial" w:hAnsi="Arial"/>
                <w:sz w:val="13"/>
                <w:szCs w:val="13"/>
                <w:b w:val="1"/>
                <w:bCs w:val="1"/>
                <w:color w:val="D60058"/>
              </w:rPr>
              <w:t>Robert E. Landry</w:t>
            </w:r>
          </w:p>
        </w:tc>
        <w:tc>
          <w:tcPr>
            <w:tcW w:w="3160" w:type="dxa"/>
            <w:vAlign w:val="bottom"/>
            <w:tcBorders>
              <w:bottom w:val="single" w:sz="8" w:color="58585A"/>
            </w:tcBorders>
          </w:tcPr>
          <w:p>
            <w:pPr>
              <w:jc w:val="right"/>
              <w:ind w:right="296"/>
              <w:spacing w:after="0"/>
              <w:rPr>
                <w:sz w:val="20"/>
                <w:szCs w:val="20"/>
                <w:color w:val="auto"/>
              </w:rPr>
            </w:pPr>
            <w:r>
              <w:rPr>
                <w:rFonts w:ascii="Arial" w:cs="Arial" w:eastAsia="Arial" w:hAnsi="Arial"/>
                <w:sz w:val="13"/>
                <w:szCs w:val="13"/>
                <w:color w:val="auto"/>
              </w:rPr>
              <w:t>822,800</w:t>
            </w:r>
          </w:p>
        </w:tc>
        <w:tc>
          <w:tcPr>
            <w:tcW w:w="1440" w:type="dxa"/>
            <w:vAlign w:val="bottom"/>
            <w:tcBorders>
              <w:bottom w:val="single" w:sz="8" w:color="58585A"/>
            </w:tcBorders>
          </w:tcPr>
          <w:p>
            <w:pPr>
              <w:jc w:val="right"/>
              <w:ind w:right="436"/>
              <w:spacing w:after="0"/>
              <w:rPr>
                <w:sz w:val="20"/>
                <w:szCs w:val="20"/>
                <w:color w:val="auto"/>
              </w:rPr>
            </w:pPr>
            <w:r>
              <w:rPr>
                <w:rFonts w:ascii="Arial" w:cs="Arial" w:eastAsia="Arial" w:hAnsi="Arial"/>
                <w:sz w:val="13"/>
                <w:szCs w:val="13"/>
                <w:color w:val="auto"/>
              </w:rPr>
              <w:t>851,600</w:t>
            </w:r>
          </w:p>
        </w:tc>
        <w:tc>
          <w:tcPr>
            <w:tcW w:w="1020" w:type="dxa"/>
            <w:vAlign w:val="bottom"/>
            <w:tcBorders>
              <w:bottom w:val="single" w:sz="8" w:color="58585A"/>
            </w:tcBorders>
            <w:shd w:val="clear" w:color="auto" w:fill="E8ECF5"/>
          </w:tcPr>
          <w:p>
            <w:pPr>
              <w:jc w:val="center"/>
              <w:spacing w:after="0" w:line="223" w:lineRule="exact"/>
              <w:rPr>
                <w:sz w:val="20"/>
                <w:szCs w:val="20"/>
                <w:color w:val="auto"/>
              </w:rPr>
            </w:pPr>
            <w:r>
              <w:rPr>
                <w:rFonts w:ascii="Arial" w:cs="Arial" w:eastAsia="Arial" w:hAnsi="Arial"/>
                <w:sz w:val="13"/>
                <w:szCs w:val="13"/>
                <w:color w:val="auto"/>
                <w:w w:val="92"/>
              </w:rPr>
              <w:t>3.5</w:t>
            </w:r>
            <w:r>
              <w:rPr>
                <w:rFonts w:ascii="Arial" w:cs="Arial" w:eastAsia="Arial" w:hAnsi="Arial"/>
                <w:sz w:val="21"/>
                <w:szCs w:val="21"/>
                <w:color w:val="auto"/>
                <w:w w:val="92"/>
                <w:vertAlign w:val="superscript"/>
              </w:rPr>
              <w:t>2</w:t>
            </w:r>
          </w:p>
        </w:tc>
      </w:tr>
      <w:tr>
        <w:trPr>
          <w:trHeight w:val="223"/>
        </w:trPr>
        <w:tc>
          <w:tcPr>
            <w:tcW w:w="4540" w:type="dxa"/>
            <w:vAlign w:val="bottom"/>
            <w:tcBorders>
              <w:bottom w:val="single" w:sz="8" w:color="58585A"/>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Daniel P. Van Plew</w:t>
            </w:r>
          </w:p>
        </w:tc>
        <w:tc>
          <w:tcPr>
            <w:tcW w:w="3160" w:type="dxa"/>
            <w:vAlign w:val="bottom"/>
            <w:tcBorders>
              <w:bottom w:val="single" w:sz="8" w:color="58585A"/>
            </w:tcBorders>
            <w:shd w:val="clear" w:color="auto" w:fill="EEEEEF"/>
          </w:tcPr>
          <w:p>
            <w:pPr>
              <w:jc w:val="right"/>
              <w:ind w:right="296"/>
              <w:spacing w:after="0"/>
              <w:rPr>
                <w:sz w:val="20"/>
                <w:szCs w:val="20"/>
                <w:color w:val="auto"/>
              </w:rPr>
            </w:pPr>
            <w:r>
              <w:rPr>
                <w:rFonts w:ascii="Arial" w:cs="Arial" w:eastAsia="Arial" w:hAnsi="Arial"/>
                <w:sz w:val="13"/>
                <w:szCs w:val="13"/>
                <w:color w:val="auto"/>
              </w:rPr>
              <w:t>822,800</w:t>
            </w:r>
          </w:p>
        </w:tc>
        <w:tc>
          <w:tcPr>
            <w:tcW w:w="1440" w:type="dxa"/>
            <w:vAlign w:val="bottom"/>
            <w:tcBorders>
              <w:bottom w:val="single" w:sz="8" w:color="58585A"/>
            </w:tcBorders>
            <w:shd w:val="clear" w:color="auto" w:fill="EEEEEF"/>
          </w:tcPr>
          <w:p>
            <w:pPr>
              <w:jc w:val="right"/>
              <w:ind w:right="436"/>
              <w:spacing w:after="0"/>
              <w:rPr>
                <w:sz w:val="20"/>
                <w:szCs w:val="20"/>
                <w:color w:val="auto"/>
              </w:rPr>
            </w:pPr>
            <w:r>
              <w:rPr>
                <w:rFonts w:ascii="Arial" w:cs="Arial" w:eastAsia="Arial" w:hAnsi="Arial"/>
                <w:sz w:val="13"/>
                <w:szCs w:val="13"/>
                <w:color w:val="auto"/>
              </w:rPr>
              <w:t>900,000</w:t>
            </w:r>
          </w:p>
        </w:tc>
        <w:tc>
          <w:tcPr>
            <w:tcW w:w="1020" w:type="dxa"/>
            <w:vAlign w:val="bottom"/>
            <w:tcBorders>
              <w:bottom w:val="single" w:sz="8" w:color="58585A"/>
            </w:tcBorders>
            <w:shd w:val="clear" w:color="auto" w:fill="D6DBEE"/>
          </w:tcPr>
          <w:p>
            <w:pPr>
              <w:jc w:val="center"/>
              <w:spacing w:after="0" w:line="223" w:lineRule="exact"/>
              <w:rPr>
                <w:sz w:val="20"/>
                <w:szCs w:val="20"/>
                <w:color w:val="auto"/>
              </w:rPr>
            </w:pPr>
            <w:r>
              <w:rPr>
                <w:rFonts w:ascii="Arial" w:cs="Arial" w:eastAsia="Arial" w:hAnsi="Arial"/>
                <w:sz w:val="13"/>
                <w:szCs w:val="13"/>
                <w:color w:val="auto"/>
                <w:w w:val="92"/>
              </w:rPr>
              <w:t>9.4</w:t>
            </w:r>
            <w:r>
              <w:rPr>
                <w:rFonts w:ascii="Arial" w:cs="Arial" w:eastAsia="Arial" w:hAnsi="Arial"/>
                <w:sz w:val="21"/>
                <w:szCs w:val="21"/>
                <w:color w:val="auto"/>
                <w:w w:val="92"/>
                <w:vertAlign w:val="superscript"/>
              </w:rPr>
              <w:t>3</w:t>
            </w:r>
          </w:p>
        </w:tc>
      </w:tr>
      <w:tr>
        <w:trPr>
          <w:trHeight w:val="223"/>
        </w:trPr>
        <w:tc>
          <w:tcPr>
            <w:tcW w:w="4540" w:type="dxa"/>
            <w:vAlign w:val="bottom"/>
            <w:tcBorders>
              <w:bottom w:val="single" w:sz="8" w:color="58585A"/>
            </w:tcBorders>
          </w:tcPr>
          <w:p>
            <w:pPr>
              <w:ind w:left="40"/>
              <w:spacing w:after="0"/>
              <w:rPr>
                <w:sz w:val="20"/>
                <w:szCs w:val="20"/>
                <w:color w:val="auto"/>
              </w:rPr>
            </w:pPr>
            <w:r>
              <w:rPr>
                <w:rFonts w:ascii="Arial" w:cs="Arial" w:eastAsia="Arial" w:hAnsi="Arial"/>
                <w:sz w:val="13"/>
                <w:szCs w:val="13"/>
                <w:b w:val="1"/>
                <w:bCs w:val="1"/>
                <w:color w:val="D60058"/>
              </w:rPr>
              <w:t>Andrew J. Murphy, Ph.D.</w:t>
            </w:r>
          </w:p>
        </w:tc>
        <w:tc>
          <w:tcPr>
            <w:tcW w:w="3160" w:type="dxa"/>
            <w:vAlign w:val="bottom"/>
            <w:tcBorders>
              <w:bottom w:val="single" w:sz="8" w:color="58585A"/>
            </w:tcBorders>
          </w:tcPr>
          <w:p>
            <w:pPr>
              <w:jc w:val="right"/>
              <w:ind w:right="296"/>
              <w:spacing w:after="0"/>
              <w:rPr>
                <w:sz w:val="20"/>
                <w:szCs w:val="20"/>
                <w:color w:val="auto"/>
              </w:rPr>
            </w:pPr>
            <w:r>
              <w:rPr>
                <w:rFonts w:ascii="Arial" w:cs="Arial" w:eastAsia="Arial" w:hAnsi="Arial"/>
                <w:sz w:val="13"/>
                <w:szCs w:val="13"/>
                <w:color w:val="auto"/>
              </w:rPr>
              <w:t>724,500</w:t>
            </w:r>
          </w:p>
        </w:tc>
        <w:tc>
          <w:tcPr>
            <w:tcW w:w="1440" w:type="dxa"/>
            <w:vAlign w:val="bottom"/>
            <w:tcBorders>
              <w:bottom w:val="single" w:sz="8" w:color="58585A"/>
            </w:tcBorders>
          </w:tcPr>
          <w:p>
            <w:pPr>
              <w:jc w:val="right"/>
              <w:ind w:right="436"/>
              <w:spacing w:after="0"/>
              <w:rPr>
                <w:sz w:val="20"/>
                <w:szCs w:val="20"/>
                <w:color w:val="auto"/>
              </w:rPr>
            </w:pPr>
            <w:r>
              <w:rPr>
                <w:rFonts w:ascii="Arial" w:cs="Arial" w:eastAsia="Arial" w:hAnsi="Arial"/>
                <w:sz w:val="13"/>
                <w:szCs w:val="13"/>
                <w:color w:val="auto"/>
              </w:rPr>
              <w:t>750,000</w:t>
            </w:r>
          </w:p>
        </w:tc>
        <w:tc>
          <w:tcPr>
            <w:tcW w:w="1020" w:type="dxa"/>
            <w:vAlign w:val="bottom"/>
            <w:tcBorders>
              <w:bottom w:val="single" w:sz="8" w:color="58585A"/>
            </w:tcBorders>
            <w:shd w:val="clear" w:color="auto" w:fill="E8ECF5"/>
          </w:tcPr>
          <w:p>
            <w:pPr>
              <w:jc w:val="center"/>
              <w:spacing w:after="0" w:line="223" w:lineRule="exact"/>
              <w:rPr>
                <w:sz w:val="20"/>
                <w:szCs w:val="20"/>
                <w:color w:val="auto"/>
              </w:rPr>
            </w:pPr>
            <w:r>
              <w:rPr>
                <w:rFonts w:ascii="Arial" w:cs="Arial" w:eastAsia="Arial" w:hAnsi="Arial"/>
                <w:sz w:val="13"/>
                <w:szCs w:val="13"/>
                <w:color w:val="auto"/>
                <w:w w:val="92"/>
              </w:rPr>
              <w:t>3.5</w:t>
            </w:r>
            <w:r>
              <w:rPr>
                <w:rFonts w:ascii="Arial" w:cs="Arial" w:eastAsia="Arial" w:hAnsi="Arial"/>
                <w:sz w:val="21"/>
                <w:szCs w:val="21"/>
                <w:color w:val="auto"/>
                <w:w w:val="92"/>
                <w:vertAlign w:val="superscript"/>
              </w:rPr>
              <w:t>2</w:t>
            </w:r>
          </w:p>
        </w:tc>
      </w:tr>
      <w:tr>
        <w:trPr>
          <w:trHeight w:val="223"/>
        </w:trPr>
        <w:tc>
          <w:tcPr>
            <w:tcW w:w="4540" w:type="dxa"/>
            <w:vAlign w:val="bottom"/>
            <w:tcBorders>
              <w:bottom w:val="single" w:sz="8" w:color="215AA8"/>
            </w:tcBorders>
            <w:shd w:val="clear" w:color="auto" w:fill="EEEEEF"/>
          </w:tcPr>
          <w:p>
            <w:pPr>
              <w:ind w:left="40"/>
              <w:spacing w:after="0"/>
              <w:rPr>
                <w:sz w:val="20"/>
                <w:szCs w:val="20"/>
                <w:color w:val="auto"/>
              </w:rPr>
            </w:pPr>
            <w:r>
              <w:rPr>
                <w:rFonts w:ascii="Arial" w:cs="Arial" w:eastAsia="Arial" w:hAnsi="Arial"/>
                <w:sz w:val="13"/>
                <w:szCs w:val="13"/>
                <w:b w:val="1"/>
                <w:bCs w:val="1"/>
                <w:color w:val="D60058"/>
              </w:rPr>
              <w:t>Joseph J. LaRosa</w:t>
            </w:r>
          </w:p>
        </w:tc>
        <w:tc>
          <w:tcPr>
            <w:tcW w:w="3160" w:type="dxa"/>
            <w:vAlign w:val="bottom"/>
            <w:tcBorders>
              <w:bottom w:val="single" w:sz="8" w:color="215AA8"/>
            </w:tcBorders>
            <w:shd w:val="clear" w:color="auto" w:fill="EEEEEF"/>
          </w:tcPr>
          <w:p>
            <w:pPr>
              <w:jc w:val="right"/>
              <w:ind w:right="296"/>
              <w:spacing w:after="0"/>
              <w:rPr>
                <w:sz w:val="20"/>
                <w:szCs w:val="20"/>
                <w:color w:val="auto"/>
              </w:rPr>
            </w:pPr>
            <w:r>
              <w:rPr>
                <w:rFonts w:ascii="Arial" w:cs="Arial" w:eastAsia="Arial" w:hAnsi="Arial"/>
                <w:sz w:val="13"/>
                <w:szCs w:val="13"/>
                <w:color w:val="auto"/>
              </w:rPr>
              <w:t>810,000</w:t>
            </w:r>
          </w:p>
        </w:tc>
        <w:tc>
          <w:tcPr>
            <w:tcW w:w="1440" w:type="dxa"/>
            <w:vAlign w:val="bottom"/>
            <w:tcBorders>
              <w:bottom w:val="single" w:sz="8" w:color="215AA8"/>
            </w:tcBorders>
            <w:shd w:val="clear" w:color="auto" w:fill="EEEEEF"/>
          </w:tcPr>
          <w:p>
            <w:pPr>
              <w:jc w:val="right"/>
              <w:ind w:right="436"/>
              <w:spacing w:after="0"/>
              <w:rPr>
                <w:sz w:val="20"/>
                <w:szCs w:val="20"/>
                <w:color w:val="auto"/>
              </w:rPr>
            </w:pPr>
            <w:r>
              <w:rPr>
                <w:rFonts w:ascii="Arial" w:cs="Arial" w:eastAsia="Arial" w:hAnsi="Arial"/>
                <w:sz w:val="13"/>
                <w:szCs w:val="13"/>
                <w:color w:val="auto"/>
              </w:rPr>
              <w:t>838,400</w:t>
            </w:r>
          </w:p>
        </w:tc>
        <w:tc>
          <w:tcPr>
            <w:tcW w:w="1020" w:type="dxa"/>
            <w:vAlign w:val="bottom"/>
            <w:tcBorders>
              <w:bottom w:val="single" w:sz="8" w:color="215AA8"/>
            </w:tcBorders>
            <w:shd w:val="clear" w:color="auto" w:fill="D6DBEE"/>
          </w:tcPr>
          <w:p>
            <w:pPr>
              <w:jc w:val="center"/>
              <w:spacing w:after="0" w:line="223" w:lineRule="exact"/>
              <w:rPr>
                <w:sz w:val="20"/>
                <w:szCs w:val="20"/>
                <w:color w:val="auto"/>
              </w:rPr>
            </w:pPr>
            <w:r>
              <w:rPr>
                <w:rFonts w:ascii="Arial" w:cs="Arial" w:eastAsia="Arial" w:hAnsi="Arial"/>
                <w:sz w:val="13"/>
                <w:szCs w:val="13"/>
                <w:color w:val="auto"/>
                <w:w w:val="92"/>
              </w:rPr>
              <w:t>3.5</w:t>
            </w:r>
            <w:r>
              <w:rPr>
                <w:rFonts w:ascii="Arial" w:cs="Arial" w:eastAsia="Arial" w:hAnsi="Arial"/>
                <w:sz w:val="21"/>
                <w:szCs w:val="21"/>
                <w:color w:val="auto"/>
                <w:w w:val="92"/>
                <w:vertAlign w:val="superscript"/>
              </w:rPr>
              <w:t>2</w:t>
            </w:r>
          </w:p>
        </w:tc>
      </w:tr>
    </w:tbl>
    <w:p>
      <w:pPr>
        <w:spacing w:after="0" w:line="167" w:lineRule="exact"/>
        <w:rPr>
          <w:sz w:val="20"/>
          <w:szCs w:val="20"/>
          <w:color w:val="auto"/>
        </w:rPr>
      </w:pPr>
    </w:p>
    <w:p>
      <w:pPr>
        <w:ind w:left="760" w:right="1280" w:hanging="212"/>
        <w:spacing w:after="0" w:line="241" w:lineRule="auto"/>
        <w:tabs>
          <w:tab w:leader="none" w:pos="760" w:val="left"/>
        </w:tabs>
        <w:numPr>
          <w:ilvl w:val="0"/>
          <w:numId w:val="104"/>
        </w:numPr>
        <w:rPr>
          <w:rFonts w:ascii="Arial" w:cs="Arial" w:eastAsia="Arial" w:hAnsi="Arial"/>
          <w:sz w:val="14"/>
          <w:szCs w:val="14"/>
          <w:color w:val="215BA8"/>
        </w:rPr>
      </w:pPr>
      <w:r>
        <w:rPr>
          <w:rFonts w:ascii="Arial" w:cs="Arial" w:eastAsia="Arial" w:hAnsi="Arial"/>
          <w:sz w:val="14"/>
          <w:szCs w:val="14"/>
          <w:color w:val="1A1A1A"/>
        </w:rPr>
        <w:t>Reflects a 2.5% merit increase to maintain market positioning of cash compensation while staying true to our philosophy that performance-based compensation should be the predominant element of pay for our most senior leaders.</w:t>
      </w:r>
    </w:p>
    <w:p>
      <w:pPr>
        <w:spacing w:after="0" w:line="1" w:lineRule="exact"/>
        <w:rPr>
          <w:sz w:val="20"/>
          <w:szCs w:val="20"/>
          <w:color w:val="auto"/>
        </w:rPr>
      </w:pPr>
    </w:p>
    <w:p>
      <w:pPr>
        <w:ind w:left="760" w:hanging="212"/>
        <w:spacing w:after="0"/>
        <w:tabs>
          <w:tab w:leader="none" w:pos="760" w:val="left"/>
        </w:tabs>
        <w:numPr>
          <w:ilvl w:val="0"/>
          <w:numId w:val="105"/>
        </w:numPr>
        <w:rPr>
          <w:rFonts w:ascii="Arial" w:cs="Arial" w:eastAsia="Arial" w:hAnsi="Arial"/>
          <w:sz w:val="14"/>
          <w:szCs w:val="14"/>
          <w:color w:val="215BA8"/>
        </w:rPr>
      </w:pPr>
      <w:r>
        <w:rPr>
          <w:rFonts w:ascii="Arial" w:cs="Arial" w:eastAsia="Arial" w:hAnsi="Arial"/>
          <w:sz w:val="14"/>
          <w:szCs w:val="14"/>
          <w:color w:val="1A1A1A"/>
        </w:rPr>
        <w:t>Reflects a 3.5% merit increase consistent with those for other employees.</w:t>
      </w:r>
    </w:p>
    <w:p>
      <w:pPr>
        <w:spacing w:after="0" w:line="1" w:lineRule="exact"/>
        <w:rPr>
          <w:sz w:val="20"/>
          <w:szCs w:val="20"/>
          <w:color w:val="auto"/>
        </w:rPr>
      </w:pPr>
    </w:p>
    <w:p>
      <w:pPr>
        <w:ind w:left="760" w:right="840" w:hanging="212"/>
        <w:spacing w:after="0" w:line="258" w:lineRule="auto"/>
        <w:tabs>
          <w:tab w:leader="none" w:pos="760" w:val="left"/>
        </w:tabs>
        <w:numPr>
          <w:ilvl w:val="0"/>
          <w:numId w:val="106"/>
        </w:numPr>
        <w:rPr>
          <w:rFonts w:ascii="Arial" w:cs="Arial" w:eastAsia="Arial" w:hAnsi="Arial"/>
          <w:sz w:val="14"/>
          <w:szCs w:val="14"/>
          <w:color w:val="215BA8"/>
        </w:rPr>
      </w:pPr>
      <w:r>
        <w:rPr>
          <w:rFonts w:ascii="Arial" w:cs="Arial" w:eastAsia="Arial" w:hAnsi="Arial"/>
          <w:sz w:val="14"/>
          <w:szCs w:val="14"/>
          <w:color w:val="1A1A1A"/>
        </w:rPr>
        <w:t>Reflects (i) a 3.5% merit increase consistent with those for other employees and (ii) a base salary adjustment of approximately $48,400 in recognition of outstanding 2021 performance and to ensure greater market competitiveness for Mr. Van Plew.</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1100"/>
        <w:spacing w:after="0" w:line="236" w:lineRule="auto"/>
        <w:rPr>
          <w:sz w:val="20"/>
          <w:szCs w:val="20"/>
          <w:color w:val="auto"/>
        </w:rPr>
      </w:pPr>
      <w:r>
        <w:rPr>
          <w:rFonts w:ascii="Arial" w:cs="Arial" w:eastAsia="Arial" w:hAnsi="Arial"/>
          <w:sz w:val="16"/>
          <w:szCs w:val="16"/>
          <w:color w:val="auto"/>
        </w:rPr>
        <w:t>Our NEOs are eligible for cash incentives based on annual performance. We use these annual incentive opportunities to reward short-term achievements and milestones towards our long-term goals.</w:t>
      </w:r>
    </w:p>
    <w:p>
      <w:pPr>
        <w:spacing w:after="0" w:line="165" w:lineRule="exact"/>
        <w:rPr>
          <w:sz w:val="20"/>
          <w:szCs w:val="20"/>
          <w:color w:val="auto"/>
        </w:rPr>
      </w:pPr>
    </w:p>
    <w:p>
      <w:pPr>
        <w:ind w:left="540" w:right="620"/>
        <w:spacing w:after="0" w:line="232" w:lineRule="auto"/>
        <w:rPr>
          <w:sz w:val="20"/>
          <w:szCs w:val="20"/>
          <w:color w:val="auto"/>
        </w:rPr>
      </w:pPr>
      <w:r>
        <w:rPr>
          <w:rFonts w:ascii="Arial" w:cs="Arial" w:eastAsia="Arial" w:hAnsi="Arial"/>
          <w:sz w:val="16"/>
          <w:szCs w:val="16"/>
          <w:color w:val="auto"/>
        </w:rPr>
        <w:t>We focus on our overall corporate performance to determine the cash incentives of our CEO and our CSO. Our other NEOs’ cash incentives are assessed on both our overall corporate performance and on their individual contributions. As shown in the table below, the annual cash incentive opportunity for each NEO in 2021 was a function of the NEO’s cash incentive target (as a percentage of base salary); the weight and multiplier for the corporate performance component; and, if applicable, the weight and multiplier for the individual performance component. Each NEO’s cash incentive target as a percentage of base salary has remained the same for the last three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63</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78" w:name="page79"/>
    <w:bookmarkEnd w:id="78"/>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How We Calculate Our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114300</wp:posOffset>
            </wp:positionV>
            <wp:extent cx="4714875" cy="21856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7148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0" w:right="1040" w:hanging="212"/>
        <w:spacing w:after="0" w:line="258" w:lineRule="auto"/>
        <w:tabs>
          <w:tab w:leader="none" w:pos="760" w:val="left"/>
        </w:tabs>
        <w:numPr>
          <w:ilvl w:val="0"/>
          <w:numId w:val="107"/>
        </w:numPr>
        <w:rPr>
          <w:rFonts w:ascii="Arial" w:cs="Arial" w:eastAsia="Arial" w:hAnsi="Arial"/>
          <w:sz w:val="14"/>
          <w:szCs w:val="14"/>
          <w:color w:val="1A1A1A"/>
        </w:rPr>
      </w:pPr>
      <w:r>
        <w:rPr>
          <w:rFonts w:ascii="Arial" w:cs="Arial" w:eastAsia="Arial" w:hAnsi="Arial"/>
          <w:sz w:val="14"/>
          <w:szCs w:val="14"/>
          <w:color w:val="1A1A1A"/>
        </w:rPr>
        <w:t>Reflects the historical range used by the Compensation Committee. In extraordinary cases, the Committee may exceed this range. The range for the corporate performance multiplier shown above has been exceeded only once in the last decade.</w:t>
      </w:r>
    </w:p>
    <w:p>
      <w:pPr>
        <w:spacing w:after="0" w:line="122" w:lineRule="exact"/>
        <w:rPr>
          <w:sz w:val="20"/>
          <w:szCs w:val="20"/>
          <w:color w:val="auto"/>
        </w:rPr>
      </w:pPr>
    </w:p>
    <w:p>
      <w:pPr>
        <w:ind w:left="540" w:right="660"/>
        <w:spacing w:after="0" w:line="239" w:lineRule="auto"/>
        <w:rPr>
          <w:sz w:val="20"/>
          <w:szCs w:val="20"/>
          <w:color w:val="auto"/>
        </w:rPr>
      </w:pPr>
      <w:r>
        <w:rPr>
          <w:rFonts w:ascii="Arial" w:cs="Arial" w:eastAsia="Arial" w:hAnsi="Arial"/>
          <w:sz w:val="16"/>
          <w:szCs w:val="16"/>
          <w:b w:val="1"/>
          <w:bCs w:val="1"/>
          <w:color w:val="auto"/>
        </w:rPr>
        <w:t xml:space="preserve">Using this formula, cash incentives are typically capped at 200% of target for our CEO and CSO and 180% of target for our other NEOs. </w:t>
      </w:r>
      <w:r>
        <w:rPr>
          <w:rFonts w:ascii="Arial" w:cs="Arial" w:eastAsia="Arial" w:hAnsi="Arial"/>
          <w:sz w:val="16"/>
          <w:szCs w:val="16"/>
          <w:color w:val="auto"/>
        </w:rPr>
        <w:t>In addition, cash incentives for each NEO and certain other senior executives are capped at the amounts previously allocated to such executives by the Compensation Committee when setting up the cash incentive pool under the Cash Incentive Bonus Plan toward the beginning of every calendar year. See “Compensation Dashboard—Additional Compensation Information—Annual Cash Incentives.”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Corporate Performance</w:t>
      </w:r>
    </w:p>
    <w:p>
      <w:pPr>
        <w:spacing w:after="0" w:line="201" w:lineRule="exact"/>
        <w:rPr>
          <w:sz w:val="20"/>
          <w:szCs w:val="20"/>
          <w:color w:val="auto"/>
        </w:rPr>
      </w:pPr>
    </w:p>
    <w:p>
      <w:pPr>
        <w:ind w:left="540" w:right="660"/>
        <w:spacing w:after="0" w:line="232" w:lineRule="auto"/>
        <w:rPr>
          <w:sz w:val="20"/>
          <w:szCs w:val="20"/>
          <w:color w:val="auto"/>
        </w:rPr>
      </w:pPr>
      <w:r>
        <w:rPr>
          <w:rFonts w:ascii="Arial" w:cs="Arial" w:eastAsia="Arial" w:hAnsi="Arial"/>
          <w:sz w:val="16"/>
          <w:szCs w:val="16"/>
          <w:color w:val="auto"/>
        </w:rPr>
        <w:t>As in recent years, the Compensation Committee utilized an enhanced process with greater involvement of all non-employee directors and the Chair of the Board to review the Company’s performance for purposes of determining the Company performance multiplier for 2021 cash incentives. This process involved an assessment of the Company’s performance in the following three categories to provide greater transparency desired by shareholders for the Committee’s decision-making process:</w:t>
      </w:r>
    </w:p>
    <w:p>
      <w:pPr>
        <w:spacing w:after="0" w:line="153" w:lineRule="exact"/>
        <w:rPr>
          <w:sz w:val="20"/>
          <w:szCs w:val="20"/>
          <w:color w:val="auto"/>
        </w:rPr>
      </w:pPr>
    </w:p>
    <w:p>
      <w:pPr>
        <w:ind w:left="760" w:hanging="212"/>
        <w:spacing w:after="0"/>
        <w:tabs>
          <w:tab w:leader="none" w:pos="760" w:val="left"/>
        </w:tabs>
        <w:numPr>
          <w:ilvl w:val="0"/>
          <w:numId w:val="108"/>
        </w:numPr>
        <w:rPr>
          <w:rFonts w:ascii="Arial" w:cs="Arial" w:eastAsia="Arial" w:hAnsi="Arial"/>
          <w:sz w:val="16"/>
          <w:szCs w:val="16"/>
          <w:b w:val="1"/>
          <w:bCs w:val="1"/>
          <w:color w:val="215BA8"/>
        </w:rPr>
      </w:pPr>
      <w:r>
        <w:rPr>
          <w:rFonts w:ascii="Arial" w:cs="Arial" w:eastAsia="Arial" w:hAnsi="Arial"/>
          <w:sz w:val="16"/>
          <w:szCs w:val="16"/>
          <w:color w:val="auto"/>
        </w:rPr>
        <w:t>factors related to our product pipeline and development for both the near- and long-term;</w:t>
      </w:r>
    </w:p>
    <w:p>
      <w:pPr>
        <w:spacing w:after="0" w:line="52" w:lineRule="exact"/>
        <w:rPr>
          <w:rFonts w:ascii="Arial" w:cs="Arial" w:eastAsia="Arial" w:hAnsi="Arial"/>
          <w:sz w:val="16"/>
          <w:szCs w:val="16"/>
          <w:b w:val="1"/>
          <w:bCs w:val="1"/>
          <w:color w:val="215BA8"/>
        </w:rPr>
      </w:pPr>
    </w:p>
    <w:p>
      <w:pPr>
        <w:jc w:val="both"/>
        <w:ind w:left="540" w:right="6020"/>
        <w:spacing w:after="0" w:line="405" w:lineRule="auto"/>
        <w:rPr>
          <w:rFonts w:ascii="Arial" w:cs="Arial" w:eastAsia="Arial" w:hAnsi="Arial"/>
          <w:sz w:val="16"/>
          <w:szCs w:val="16"/>
          <w:b w:val="1"/>
          <w:bCs w:val="1"/>
          <w:color w:val="215BA8"/>
        </w:rPr>
      </w:pPr>
      <w:r>
        <w:rPr>
          <w:rFonts w:ascii="Arial" w:cs="Arial" w:eastAsia="Arial" w:hAnsi="Arial"/>
          <w:sz w:val="15"/>
          <w:szCs w:val="15"/>
          <w:b w:val="1"/>
          <w:bCs w:val="1"/>
          <w:color w:val="215BA8"/>
        </w:rPr>
        <w:t xml:space="preserve">2 </w:t>
      </w:r>
      <w:r>
        <w:rPr>
          <w:rFonts w:ascii="Arial" w:cs="Arial" w:eastAsia="Arial" w:hAnsi="Arial"/>
          <w:sz w:val="15"/>
          <w:szCs w:val="15"/>
          <w:color w:val="000000"/>
        </w:rPr>
        <w:t>factors regarding our financial performance and operations; and</w:t>
      </w:r>
      <w:r>
        <w:rPr>
          <w:rFonts w:ascii="Arial" w:cs="Arial" w:eastAsia="Arial" w:hAnsi="Arial"/>
          <w:sz w:val="15"/>
          <w:szCs w:val="15"/>
          <w:b w:val="1"/>
          <w:bCs w:val="1"/>
          <w:color w:val="215BA8"/>
        </w:rPr>
        <w:t xml:space="preserve"> 3 </w:t>
      </w:r>
      <w:r>
        <w:rPr>
          <w:rFonts w:ascii="Arial" w:cs="Arial" w:eastAsia="Arial" w:hAnsi="Arial"/>
          <w:sz w:val="15"/>
          <w:szCs w:val="15"/>
          <w:color w:val="000000"/>
        </w:rPr>
        <w:t>factors related to our talent, culture, and corporate responsibility.</w:t>
      </w:r>
    </w:p>
    <w:p>
      <w:pPr>
        <w:spacing w:after="0" w:line="32" w:lineRule="exact"/>
        <w:rPr>
          <w:sz w:val="20"/>
          <w:szCs w:val="20"/>
          <w:color w:val="auto"/>
        </w:rPr>
      </w:pPr>
    </w:p>
    <w:p>
      <w:pPr>
        <w:jc w:val="both"/>
        <w:ind w:left="540" w:right="980"/>
        <w:spacing w:after="0" w:line="234" w:lineRule="auto"/>
        <w:rPr>
          <w:sz w:val="20"/>
          <w:szCs w:val="20"/>
          <w:color w:val="auto"/>
        </w:rPr>
      </w:pPr>
      <w:r>
        <w:rPr>
          <w:rFonts w:ascii="Arial" w:cs="Arial" w:eastAsia="Arial" w:hAnsi="Arial"/>
          <w:sz w:val="16"/>
          <w:szCs w:val="16"/>
          <w:color w:val="auto"/>
        </w:rPr>
        <w:t>The factors analyzed under category (1) continued to be a key measure for the Compensation Committee’s assessment and calculating the Company performance multiplier. This recognizes the importance of innovation as a key component of the Company’s business strategy and valuation, as well as the critical role of the development pipeline in the Company’s long-term success.</w:t>
      </w:r>
    </w:p>
    <w:p>
      <w:pPr>
        <w:spacing w:after="0" w:line="17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64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79" w:name="page80"/>
    <w:bookmarkEnd w:id="79"/>
    <w:p>
      <w:pPr>
        <w:ind w:left="470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446520"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(1) PRODUCT PIPELINE AND DEVELOPMENT (PRIMARY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46990</wp:posOffset>
            </wp:positionV>
            <wp:extent cx="6446520" cy="6940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46520" cy="694055"/>
                    </a:xfrm>
                    <a:prstGeom prst="rect">
                      <a:avLst/>
                    </a:prstGeom>
                    <a:noFill/>
                  </pic:spPr>
                </pic:pic>
              </a:graphicData>
            </a:graphic>
          </wp:anchor>
        </w:drawing>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15BA8"/>
        </w:rPr>
        <w:t>Regulatory &amp; Clinical Milestones; Commercial Support</w:t>
      </w:r>
    </w:p>
    <w:p>
      <w:pPr>
        <w:spacing w:after="0" w:line="63" w:lineRule="exact"/>
        <w:rPr>
          <w:sz w:val="20"/>
          <w:szCs w:val="20"/>
          <w:color w:val="auto"/>
        </w:rPr>
      </w:pPr>
    </w:p>
    <w:p>
      <w:pPr>
        <w:ind w:left="760" w:hanging="158"/>
        <w:spacing w:after="0"/>
        <w:tabs>
          <w:tab w:leader="none" w:pos="760" w:val="left"/>
        </w:tabs>
        <w:numPr>
          <w:ilvl w:val="0"/>
          <w:numId w:val="109"/>
        </w:numPr>
        <w:rPr>
          <w:rFonts w:ascii="Arial" w:cs="Arial" w:eastAsia="Arial" w:hAnsi="Arial"/>
          <w:sz w:val="13"/>
          <w:szCs w:val="13"/>
          <w:b w:val="1"/>
          <w:bCs w:val="1"/>
          <w:color w:val="215BA8"/>
        </w:rPr>
      </w:pPr>
      <w:r>
        <w:rPr>
          <w:rFonts w:ascii="Arial" w:cs="Arial" w:eastAsia="Arial" w:hAnsi="Arial"/>
          <w:sz w:val="13"/>
          <w:szCs w:val="13"/>
          <w:i w:val="1"/>
          <w:iCs w:val="1"/>
          <w:color w:val="215BA8"/>
        </w:rPr>
        <w:t>Approval of new products or indications by the FDA or applicable regulatory authorities outside the United States</w:t>
      </w:r>
    </w:p>
    <w:p>
      <w:pPr>
        <w:spacing w:after="0" w:line="13" w:lineRule="exact"/>
        <w:rPr>
          <w:rFonts w:ascii="Arial" w:cs="Arial" w:eastAsia="Arial" w:hAnsi="Arial"/>
          <w:sz w:val="13"/>
          <w:szCs w:val="13"/>
          <w:b w:val="1"/>
          <w:bCs w:val="1"/>
          <w:color w:val="215BA8"/>
        </w:rPr>
      </w:pPr>
    </w:p>
    <w:p>
      <w:pPr>
        <w:ind w:left="760" w:hanging="158"/>
        <w:spacing w:after="0"/>
        <w:tabs>
          <w:tab w:leader="none" w:pos="760" w:val="left"/>
        </w:tabs>
        <w:numPr>
          <w:ilvl w:val="0"/>
          <w:numId w:val="109"/>
        </w:numPr>
        <w:rPr>
          <w:rFonts w:ascii="Arial" w:cs="Arial" w:eastAsia="Arial" w:hAnsi="Arial"/>
          <w:sz w:val="13"/>
          <w:szCs w:val="13"/>
          <w:b w:val="1"/>
          <w:bCs w:val="1"/>
          <w:color w:val="215BA8"/>
        </w:rPr>
      </w:pPr>
      <w:r>
        <w:rPr>
          <w:rFonts w:ascii="Arial" w:cs="Arial" w:eastAsia="Arial" w:hAnsi="Arial"/>
          <w:sz w:val="13"/>
          <w:szCs w:val="13"/>
          <w:i w:val="1"/>
          <w:iCs w:val="1"/>
          <w:color w:val="215BA8"/>
        </w:rPr>
        <w:t>Regulatory submissions for new products and new indications</w:t>
      </w:r>
    </w:p>
    <w:p>
      <w:pPr>
        <w:ind w:left="760" w:hanging="158"/>
        <w:spacing w:after="0"/>
        <w:tabs>
          <w:tab w:leader="none" w:pos="760" w:val="left"/>
        </w:tabs>
        <w:numPr>
          <w:ilvl w:val="0"/>
          <w:numId w:val="109"/>
        </w:numPr>
        <w:rPr>
          <w:rFonts w:ascii="Arial" w:cs="Arial" w:eastAsia="Arial" w:hAnsi="Arial"/>
          <w:sz w:val="13"/>
          <w:szCs w:val="13"/>
          <w:b w:val="1"/>
          <w:bCs w:val="1"/>
          <w:color w:val="215BA8"/>
        </w:rPr>
      </w:pPr>
      <w:r>
        <w:rPr>
          <w:rFonts w:ascii="Arial" w:cs="Arial" w:eastAsia="Arial" w:hAnsi="Arial"/>
          <w:sz w:val="13"/>
          <w:szCs w:val="13"/>
          <w:i w:val="1"/>
          <w:iCs w:val="1"/>
          <w:color w:val="215BA8"/>
        </w:rPr>
        <w:t>Breakthrough Therapy or orphan drug designations by the FDA (or its equivalent outside the United States)</w:t>
      </w:r>
    </w:p>
    <w:p>
      <w:pPr>
        <w:ind w:left="760" w:hanging="158"/>
        <w:spacing w:after="0"/>
        <w:tabs>
          <w:tab w:leader="none" w:pos="760" w:val="left"/>
        </w:tabs>
        <w:numPr>
          <w:ilvl w:val="0"/>
          <w:numId w:val="109"/>
        </w:numPr>
        <w:rPr>
          <w:rFonts w:ascii="Arial" w:cs="Arial" w:eastAsia="Arial" w:hAnsi="Arial"/>
          <w:sz w:val="13"/>
          <w:szCs w:val="13"/>
          <w:b w:val="1"/>
          <w:bCs w:val="1"/>
          <w:color w:val="215BA8"/>
        </w:rPr>
      </w:pPr>
      <w:r>
        <w:rPr>
          <w:rFonts w:ascii="Arial" w:cs="Arial" w:eastAsia="Arial" w:hAnsi="Arial"/>
          <w:sz w:val="13"/>
          <w:szCs w:val="13"/>
          <w:i w:val="1"/>
          <w:iCs w:val="1"/>
          <w:color w:val="215BA8"/>
        </w:rPr>
        <w:t>Data readouts and key publications from potentially pivotal/registrational studies</w:t>
      </w:r>
    </w:p>
    <w:p>
      <w:pPr>
        <w:ind w:left="760" w:hanging="158"/>
        <w:spacing w:after="0"/>
        <w:tabs>
          <w:tab w:leader="none" w:pos="760" w:val="left"/>
        </w:tabs>
        <w:numPr>
          <w:ilvl w:val="0"/>
          <w:numId w:val="109"/>
        </w:numPr>
        <w:rPr>
          <w:rFonts w:ascii="Arial" w:cs="Arial" w:eastAsia="Arial" w:hAnsi="Arial"/>
          <w:sz w:val="13"/>
          <w:szCs w:val="13"/>
          <w:b w:val="1"/>
          <w:bCs w:val="1"/>
          <w:color w:val="215BA8"/>
        </w:rPr>
      </w:pPr>
      <w:r>
        <w:rPr>
          <w:rFonts w:ascii="Arial" w:cs="Arial" w:eastAsia="Arial" w:hAnsi="Arial"/>
          <w:sz w:val="13"/>
          <w:szCs w:val="13"/>
          <w:i w:val="1"/>
          <w:iCs w:val="1"/>
          <w:color w:val="215BA8"/>
        </w:rPr>
        <w:t>Initiation of new Phase 3 or Phase 2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30600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46520" cy="3060065"/>
                    </a:xfrm>
                    <a:prstGeom prst="rect">
                      <a:avLst/>
                    </a:prstGeom>
                    <a:noFill/>
                  </pic:spPr>
                </pic:pic>
              </a:graphicData>
            </a:graphic>
          </wp:anchor>
        </w:drawing>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Achievements/Relevant Developments in 2021:*</w:t>
      </w:r>
    </w:p>
    <w:p>
      <w:pPr>
        <w:sectPr>
          <w:pgSz w:w="11900" w:h="16838" w:orient="portrait"/>
          <w:cols w:equalWidth="0" w:num="1">
            <w:col w:w="11240"/>
          </w:cols>
          <w:pgMar w:left="320" w:top="410" w:right="339" w:bottom="1440" w:gutter="0" w:footer="0" w:header="0"/>
          <w:type w:val="continuous"/>
        </w:sectPr>
      </w:pPr>
    </w:p>
    <w:p>
      <w:pPr>
        <w:spacing w:after="0" w:line="60"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auto"/>
        </w:rPr>
        <w:t>EYLEA</w:t>
      </w:r>
    </w:p>
    <w:p>
      <w:pPr>
        <w:spacing w:after="0" w:line="15" w:lineRule="exact"/>
        <w:rPr>
          <w:sz w:val="20"/>
          <w:szCs w:val="20"/>
          <w:color w:val="auto"/>
        </w:rPr>
      </w:pPr>
    </w:p>
    <w:p>
      <w:pPr>
        <w:ind w:left="780" w:right="340" w:hanging="160"/>
        <w:spacing w:after="0" w:line="238" w:lineRule="auto"/>
        <w:tabs>
          <w:tab w:leader="none" w:pos="772" w:val="left"/>
        </w:tabs>
        <w:numPr>
          <w:ilvl w:val="0"/>
          <w:numId w:val="110"/>
        </w:numPr>
        <w:rPr>
          <w:rFonts w:ascii="Arial" w:cs="Arial" w:eastAsia="Arial" w:hAnsi="Arial"/>
          <w:sz w:val="13"/>
          <w:szCs w:val="13"/>
          <w:b w:val="1"/>
          <w:bCs w:val="1"/>
          <w:color w:val="215AA8"/>
        </w:rPr>
      </w:pPr>
      <w:r>
        <w:rPr>
          <w:rFonts w:ascii="Arial" w:cs="Arial" w:eastAsia="Arial" w:hAnsi="Arial"/>
          <w:sz w:val="13"/>
          <w:szCs w:val="13"/>
          <w:color w:val="auto"/>
        </w:rPr>
        <w:t>New dosage form for pre-filled syringe (“PFS”) approved in U.S. and EU</w:t>
      </w:r>
    </w:p>
    <w:p>
      <w:pPr>
        <w:ind w:left="780" w:hanging="160"/>
        <w:spacing w:after="0" w:line="238" w:lineRule="auto"/>
        <w:tabs>
          <w:tab w:leader="none" w:pos="772" w:val="left"/>
        </w:tabs>
        <w:numPr>
          <w:ilvl w:val="0"/>
          <w:numId w:val="110"/>
        </w:numPr>
        <w:rPr>
          <w:rFonts w:ascii="Arial" w:cs="Arial" w:eastAsia="Arial" w:hAnsi="Arial"/>
          <w:sz w:val="13"/>
          <w:szCs w:val="13"/>
          <w:b w:val="1"/>
          <w:bCs w:val="1"/>
          <w:color w:val="215AA8"/>
        </w:rPr>
      </w:pPr>
      <w:r>
        <w:rPr>
          <w:rFonts w:ascii="Arial" w:cs="Arial" w:eastAsia="Arial" w:hAnsi="Arial"/>
          <w:sz w:val="13"/>
          <w:szCs w:val="13"/>
          <w:color w:val="auto"/>
        </w:rPr>
        <w:t>Initial results from the National Institutes of Health-sponsored Protocol W trial evaluating EYLEA in patients with moderate to severe non-proliferative diabetic retinopathy were announced; two-year data confirmed results from the Company-sponsored PANORAMA trial and demonstrated reduced risk of developing vision threatening complications with an every 16-weeks dosing regimen</w:t>
      </w:r>
    </w:p>
    <w:p>
      <w:pPr>
        <w:spacing w:after="0" w:line="2" w:lineRule="exact"/>
        <w:rPr>
          <w:rFonts w:ascii="Arial" w:cs="Arial" w:eastAsia="Arial" w:hAnsi="Arial"/>
          <w:sz w:val="13"/>
          <w:szCs w:val="13"/>
          <w:b w:val="1"/>
          <w:bCs w:val="1"/>
          <w:color w:val="215AA8"/>
        </w:rPr>
      </w:pPr>
    </w:p>
    <w:p>
      <w:pPr>
        <w:ind w:left="780" w:right="80" w:hanging="160"/>
        <w:spacing w:after="0" w:line="238" w:lineRule="auto"/>
        <w:tabs>
          <w:tab w:leader="none" w:pos="772" w:val="left"/>
        </w:tabs>
        <w:numPr>
          <w:ilvl w:val="0"/>
          <w:numId w:val="110"/>
        </w:numPr>
        <w:rPr>
          <w:rFonts w:ascii="Arial" w:cs="Arial" w:eastAsia="Arial" w:hAnsi="Arial"/>
          <w:sz w:val="13"/>
          <w:szCs w:val="13"/>
          <w:b w:val="1"/>
          <w:bCs w:val="1"/>
          <w:color w:val="215AA8"/>
        </w:rPr>
      </w:pPr>
      <w:r>
        <w:rPr>
          <w:rFonts w:ascii="Arial" w:cs="Arial" w:eastAsia="Arial" w:hAnsi="Arial"/>
          <w:sz w:val="13"/>
          <w:szCs w:val="13"/>
          <w:color w:val="auto"/>
        </w:rPr>
        <w:t>Filed Marketing Authorization Application (“MAA”) with the European Medicines Agency (“EMA”) for the treatment of retinopathy of prematurity (“ROP”)</w:t>
      </w:r>
    </w:p>
    <w:p>
      <w:pPr>
        <w:jc w:val="both"/>
        <w:ind w:left="780" w:right="180" w:hanging="160"/>
        <w:spacing w:after="0" w:line="243" w:lineRule="auto"/>
        <w:tabs>
          <w:tab w:leader="none" w:pos="772" w:val="left"/>
        </w:tabs>
        <w:numPr>
          <w:ilvl w:val="0"/>
          <w:numId w:val="110"/>
        </w:numPr>
        <w:rPr>
          <w:rFonts w:ascii="Arial" w:cs="Arial" w:eastAsia="Arial" w:hAnsi="Arial"/>
          <w:sz w:val="13"/>
          <w:szCs w:val="13"/>
          <w:b w:val="1"/>
          <w:bCs w:val="1"/>
          <w:color w:val="215AA8"/>
        </w:rPr>
      </w:pPr>
      <w:r>
        <w:rPr>
          <w:rFonts w:ascii="Arial" w:cs="Arial" w:eastAsia="Arial" w:hAnsi="Arial"/>
          <w:sz w:val="13"/>
          <w:szCs w:val="13"/>
          <w:color w:val="auto"/>
        </w:rPr>
        <w:t>Filed supplemental new drug application with the Pharmaceuticals and Medical Devices Agency in Japan for ROP</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Aflibercept 8 mg</w:t>
      </w:r>
    </w:p>
    <w:p>
      <w:pPr>
        <w:spacing w:after="0" w:line="15" w:lineRule="exact"/>
        <w:rPr>
          <w:sz w:val="20"/>
          <w:szCs w:val="20"/>
          <w:color w:val="auto"/>
        </w:rPr>
      </w:pPr>
    </w:p>
    <w:p>
      <w:pPr>
        <w:ind w:left="780" w:right="300" w:hanging="160"/>
        <w:spacing w:after="0" w:line="238" w:lineRule="auto"/>
        <w:tabs>
          <w:tab w:leader="none" w:pos="772" w:val="left"/>
        </w:tabs>
        <w:numPr>
          <w:ilvl w:val="0"/>
          <w:numId w:val="111"/>
        </w:numPr>
        <w:rPr>
          <w:rFonts w:ascii="Arial" w:cs="Arial" w:eastAsia="Arial" w:hAnsi="Arial"/>
          <w:sz w:val="13"/>
          <w:szCs w:val="13"/>
          <w:b w:val="1"/>
          <w:bCs w:val="1"/>
          <w:color w:val="215AA8"/>
        </w:rPr>
      </w:pPr>
      <w:r>
        <w:rPr>
          <w:rFonts w:ascii="Arial" w:cs="Arial" w:eastAsia="Arial" w:hAnsi="Arial"/>
          <w:sz w:val="13"/>
          <w:szCs w:val="13"/>
          <w:color w:val="auto"/>
        </w:rPr>
        <w:t>Announced that an ongoing Phase 2 proof-of-concept trial met its primary safety and efficacy endpoints</w:t>
      </w:r>
    </w:p>
    <w:p>
      <w:pPr>
        <w:ind w:left="780" w:right="260" w:hanging="160"/>
        <w:spacing w:after="0" w:line="248" w:lineRule="auto"/>
        <w:tabs>
          <w:tab w:leader="none" w:pos="772" w:val="left"/>
        </w:tabs>
        <w:numPr>
          <w:ilvl w:val="0"/>
          <w:numId w:val="111"/>
        </w:numPr>
        <w:rPr>
          <w:rFonts w:ascii="Arial" w:cs="Arial" w:eastAsia="Arial" w:hAnsi="Arial"/>
          <w:sz w:val="13"/>
          <w:szCs w:val="13"/>
          <w:b w:val="1"/>
          <w:bCs w:val="1"/>
          <w:color w:val="215AA8"/>
        </w:rPr>
      </w:pPr>
      <w:r>
        <w:rPr>
          <w:rFonts w:ascii="Arial" w:cs="Arial" w:eastAsia="Arial" w:hAnsi="Arial"/>
          <w:sz w:val="13"/>
          <w:szCs w:val="13"/>
          <w:color w:val="auto"/>
        </w:rPr>
        <w:t>Completed enrollment in Phase 3 studies in wet AMD and DME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Dupixent</w:t>
      </w:r>
    </w:p>
    <w:p>
      <w:pPr>
        <w:spacing w:after="0" w:line="15" w:lineRule="exact"/>
        <w:rPr>
          <w:sz w:val="20"/>
          <w:szCs w:val="20"/>
          <w:color w:val="auto"/>
        </w:rPr>
      </w:pPr>
    </w:p>
    <w:p>
      <w:pPr>
        <w:ind w:left="180" w:right="16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FDA approval of Dupixent as add-on maintenance treatment for patients aged 6 to 11 years with moderate-to-severe asthma and new pediatric device (100 mg PFS-S)</w:t>
      </w:r>
    </w:p>
    <w:p>
      <w:pPr>
        <w:spacing w:after="0" w:line="1" w:lineRule="exact"/>
        <w:rPr>
          <w:rFonts w:ascii="Arial" w:cs="Arial" w:eastAsia="Arial" w:hAnsi="Arial"/>
          <w:sz w:val="13"/>
          <w:szCs w:val="13"/>
          <w:b w:val="1"/>
          <w:bCs w:val="1"/>
          <w:color w:val="215AA8"/>
        </w:rPr>
      </w:pPr>
    </w:p>
    <w:p>
      <w:pPr>
        <w:ind w:left="180" w:right="14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FDA approval of 300 mg single-dose pre-filled pen for use in patients 12 years and older</w:t>
      </w:r>
    </w:p>
    <w:p>
      <w:pPr>
        <w:ind w:left="180" w:right="24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Filed supplemental Biologics License Application (“sBLA”) with FDA and MAA with EMA with additional long-term safety data for patients with atopic dermatitis</w:t>
      </w:r>
    </w:p>
    <w:p>
      <w:pPr>
        <w:spacing w:after="0" w:line="1" w:lineRule="exact"/>
        <w:rPr>
          <w:rFonts w:ascii="Arial" w:cs="Arial" w:eastAsia="Arial" w:hAnsi="Arial"/>
          <w:sz w:val="13"/>
          <w:szCs w:val="13"/>
          <w:b w:val="1"/>
          <w:bCs w:val="1"/>
          <w:color w:val="215AA8"/>
        </w:rPr>
      </w:pPr>
    </w:p>
    <w:p>
      <w:pPr>
        <w:jc w:val="both"/>
        <w:ind w:left="180" w:right="38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Filed MAA with EMA for use of Dupixent in the treatment of asthma in patients 6-11 years old</w:t>
      </w:r>
    </w:p>
    <w:p>
      <w:pPr>
        <w:ind w:left="180" w:right="4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Filed combined MAA Access Procedure for the use of Dupixent in the treatment of asthma in patients 6-11 years old in Australia, Canada, Switzerland and Singapore</w:t>
      </w:r>
    </w:p>
    <w:p>
      <w:pPr>
        <w:spacing w:after="0" w:line="1" w:lineRule="exact"/>
        <w:rPr>
          <w:rFonts w:ascii="Arial" w:cs="Arial" w:eastAsia="Arial" w:hAnsi="Arial"/>
          <w:sz w:val="13"/>
          <w:szCs w:val="13"/>
          <w:b w:val="1"/>
          <w:bCs w:val="1"/>
          <w:color w:val="215AA8"/>
        </w:rPr>
      </w:pPr>
    </w:p>
    <w:p>
      <w:pPr>
        <w:jc w:val="both"/>
        <w:ind w:left="18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Announced that a second Phase 3 trial in patients 12 years and older with eosinophilic esophagitis met its co-primary endpoints</w:t>
      </w:r>
    </w:p>
    <w:p>
      <w:pPr>
        <w:ind w:left="180" w:right="16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Announced positive pivotal Phase 3 results from a trial in adults with uncontrolled prurigo nodularis</w:t>
      </w:r>
    </w:p>
    <w:p>
      <w:pPr>
        <w:ind w:left="180" w:hanging="165"/>
        <w:spacing w:after="0" w:line="238"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Announced that pivotal Phase 3 trial in children aged 6 months to 5 years with moderate-to-severe atopic dermatitis met its primary and secondary endpoints</w:t>
      </w:r>
    </w:p>
    <w:p>
      <w:pPr>
        <w:ind w:left="180" w:right="220" w:hanging="165"/>
        <w:spacing w:after="0" w:line="241" w:lineRule="auto"/>
        <w:tabs>
          <w:tab w:leader="none" w:pos="172" w:val="left"/>
        </w:tabs>
        <w:numPr>
          <w:ilvl w:val="0"/>
          <w:numId w:val="112"/>
        </w:numPr>
        <w:rPr>
          <w:rFonts w:ascii="Arial" w:cs="Arial" w:eastAsia="Arial" w:hAnsi="Arial"/>
          <w:sz w:val="13"/>
          <w:szCs w:val="13"/>
          <w:b w:val="1"/>
          <w:bCs w:val="1"/>
          <w:color w:val="215AA8"/>
        </w:rPr>
      </w:pPr>
      <w:r>
        <w:rPr>
          <w:rFonts w:ascii="Arial" w:cs="Arial" w:eastAsia="Arial" w:hAnsi="Arial"/>
          <w:sz w:val="13"/>
          <w:szCs w:val="13"/>
          <w:color w:val="auto"/>
        </w:rPr>
        <w:t>Announced that a pivotal Phase 3 trial in patients with moderate-to-severe chronic spontaneous urticaria met its primary and all key secondary endpoints at 24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122555</wp:posOffset>
            </wp:positionV>
            <wp:extent cx="6446520" cy="514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446520" cy="514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REGEN-COV</w:t>
      </w:r>
    </w:p>
    <w:p>
      <w:pPr>
        <w:spacing w:after="0" w:line="15" w:lineRule="exact"/>
        <w:rPr>
          <w:sz w:val="20"/>
          <w:szCs w:val="20"/>
          <w:color w:val="auto"/>
        </w:rPr>
      </w:pPr>
    </w:p>
    <w:p>
      <w:pPr>
        <w:ind w:left="180" w:right="1040" w:hanging="162"/>
        <w:spacing w:after="0" w:line="238" w:lineRule="auto"/>
        <w:tabs>
          <w:tab w:leader="none" w:pos="172" w:val="left"/>
        </w:tabs>
        <w:numPr>
          <w:ilvl w:val="0"/>
          <w:numId w:val="113"/>
        </w:numPr>
        <w:rPr>
          <w:rFonts w:ascii="Arial" w:cs="Arial" w:eastAsia="Arial" w:hAnsi="Arial"/>
          <w:sz w:val="13"/>
          <w:szCs w:val="13"/>
          <w:b w:val="1"/>
          <w:bCs w:val="1"/>
          <w:color w:val="215AA8"/>
        </w:rPr>
      </w:pPr>
      <w:r>
        <w:rPr>
          <w:rFonts w:ascii="Arial" w:cs="Arial" w:eastAsia="Arial" w:hAnsi="Arial"/>
          <w:sz w:val="13"/>
          <w:szCs w:val="13"/>
          <w:color w:val="auto"/>
        </w:rPr>
        <w:t>EC approval for COVID-19 treatment of non-hospitalized patients and prevention</w:t>
      </w:r>
    </w:p>
    <w:p>
      <w:pPr>
        <w:ind w:left="180" w:right="1000" w:hanging="162"/>
        <w:spacing w:after="0" w:line="258" w:lineRule="auto"/>
        <w:tabs>
          <w:tab w:leader="none" w:pos="172" w:val="left"/>
        </w:tabs>
        <w:numPr>
          <w:ilvl w:val="0"/>
          <w:numId w:val="113"/>
        </w:numPr>
        <w:rPr>
          <w:rFonts w:ascii="Arial" w:cs="Arial" w:eastAsia="Arial" w:hAnsi="Arial"/>
          <w:sz w:val="12"/>
          <w:szCs w:val="12"/>
          <w:b w:val="1"/>
          <w:bCs w:val="1"/>
          <w:color w:val="215AA8"/>
        </w:rPr>
      </w:pPr>
      <w:r>
        <w:rPr>
          <w:rFonts w:ascii="Arial" w:cs="Arial" w:eastAsia="Arial" w:hAnsi="Arial"/>
          <w:sz w:val="12"/>
          <w:szCs w:val="12"/>
          <w:color w:val="auto"/>
        </w:rPr>
        <w:t>Approval for treatment of patients with mild to moderate COVID-19 by the MHLW in Japan</w:t>
      </w:r>
    </w:p>
    <w:p>
      <w:pPr>
        <w:ind w:left="180" w:right="600" w:hanging="162"/>
        <w:spacing w:after="0" w:line="238" w:lineRule="auto"/>
        <w:tabs>
          <w:tab w:leader="none" w:pos="172" w:val="left"/>
        </w:tabs>
        <w:numPr>
          <w:ilvl w:val="0"/>
          <w:numId w:val="113"/>
        </w:numPr>
        <w:rPr>
          <w:rFonts w:ascii="Arial" w:cs="Arial" w:eastAsia="Arial" w:hAnsi="Arial"/>
          <w:sz w:val="13"/>
          <w:szCs w:val="13"/>
          <w:b w:val="1"/>
          <w:bCs w:val="1"/>
          <w:color w:val="215AA8"/>
        </w:rPr>
      </w:pPr>
      <w:r>
        <w:rPr>
          <w:rFonts w:ascii="Arial" w:cs="Arial" w:eastAsia="Arial" w:hAnsi="Arial"/>
          <w:sz w:val="13"/>
          <w:szCs w:val="13"/>
          <w:color w:val="auto"/>
        </w:rPr>
        <w:t>Approval by the United Kingdom’s Medicines and Healthcare products Regulatory Agency (“MHRA”) for the treatment and prevention of acute COVID-19</w:t>
      </w:r>
    </w:p>
    <w:p>
      <w:pPr>
        <w:ind w:left="180" w:right="780" w:hanging="162"/>
        <w:spacing w:after="0" w:line="238" w:lineRule="auto"/>
        <w:tabs>
          <w:tab w:leader="none" w:pos="172" w:val="left"/>
        </w:tabs>
        <w:numPr>
          <w:ilvl w:val="0"/>
          <w:numId w:val="113"/>
        </w:numPr>
        <w:rPr>
          <w:rFonts w:ascii="Arial" w:cs="Arial" w:eastAsia="Arial" w:hAnsi="Arial"/>
          <w:sz w:val="13"/>
          <w:szCs w:val="13"/>
          <w:b w:val="1"/>
          <w:bCs w:val="1"/>
          <w:color w:val="215AA8"/>
        </w:rPr>
      </w:pPr>
      <w:r>
        <w:rPr>
          <w:rFonts w:ascii="Arial" w:cs="Arial" w:eastAsia="Arial" w:hAnsi="Arial"/>
          <w:sz w:val="13"/>
          <w:szCs w:val="13"/>
          <w:color w:val="auto"/>
        </w:rPr>
        <w:t>EUA updated by FDA to lower dose to 1,200 mg, allow for subcutaneous injections in certain circumstances, and include post-exposure prophylaxis**</w:t>
      </w:r>
    </w:p>
    <w:p>
      <w:pPr>
        <w:spacing w:after="0" w:line="1" w:lineRule="exact"/>
        <w:rPr>
          <w:rFonts w:ascii="Arial" w:cs="Arial" w:eastAsia="Arial" w:hAnsi="Arial"/>
          <w:sz w:val="13"/>
          <w:szCs w:val="13"/>
          <w:b w:val="1"/>
          <w:bCs w:val="1"/>
          <w:color w:val="215AA8"/>
        </w:rPr>
      </w:pPr>
    </w:p>
    <w:p>
      <w:pPr>
        <w:ind w:left="180" w:hanging="162"/>
        <w:spacing w:after="0"/>
        <w:tabs>
          <w:tab w:leader="none" w:pos="180" w:val="left"/>
        </w:tabs>
        <w:numPr>
          <w:ilvl w:val="0"/>
          <w:numId w:val="113"/>
        </w:numPr>
        <w:rPr>
          <w:rFonts w:ascii="Arial" w:cs="Arial" w:eastAsia="Arial" w:hAnsi="Arial"/>
          <w:sz w:val="13"/>
          <w:szCs w:val="13"/>
          <w:b w:val="1"/>
          <w:bCs w:val="1"/>
          <w:color w:val="215AA8"/>
        </w:rPr>
      </w:pPr>
      <w:r>
        <w:rPr>
          <w:rFonts w:ascii="Arial" w:cs="Arial" w:eastAsia="Arial" w:hAnsi="Arial"/>
          <w:sz w:val="13"/>
          <w:szCs w:val="13"/>
          <w:color w:val="auto"/>
        </w:rPr>
        <w:t>Submitted Biologics License Application to FDA</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Libtayo</w:t>
      </w:r>
    </w:p>
    <w:p>
      <w:pPr>
        <w:spacing w:after="0" w:line="15" w:lineRule="exact"/>
        <w:rPr>
          <w:sz w:val="20"/>
          <w:szCs w:val="20"/>
          <w:color w:val="auto"/>
        </w:rPr>
      </w:pPr>
    </w:p>
    <w:p>
      <w:pPr>
        <w:ind w:left="180" w:right="1120" w:hanging="162"/>
        <w:spacing w:after="0" w:line="238" w:lineRule="auto"/>
        <w:tabs>
          <w:tab w:leader="none" w:pos="172" w:val="left"/>
        </w:tabs>
        <w:numPr>
          <w:ilvl w:val="0"/>
          <w:numId w:val="114"/>
        </w:numPr>
        <w:rPr>
          <w:rFonts w:ascii="Arial" w:cs="Arial" w:eastAsia="Arial" w:hAnsi="Arial"/>
          <w:sz w:val="13"/>
          <w:szCs w:val="13"/>
          <w:b w:val="1"/>
          <w:bCs w:val="1"/>
          <w:color w:val="215AA8"/>
        </w:rPr>
      </w:pPr>
      <w:r>
        <w:rPr>
          <w:rFonts w:ascii="Arial" w:cs="Arial" w:eastAsia="Arial" w:hAnsi="Arial"/>
          <w:sz w:val="13"/>
          <w:szCs w:val="13"/>
          <w:color w:val="auto"/>
        </w:rPr>
        <w:t>FDA, EC, and MHRA approvals as first-line treatment of NSCLC</w:t>
      </w:r>
    </w:p>
    <w:p>
      <w:pPr>
        <w:ind w:left="180" w:hanging="162"/>
        <w:spacing w:after="0"/>
        <w:tabs>
          <w:tab w:leader="none" w:pos="180" w:val="left"/>
        </w:tabs>
        <w:numPr>
          <w:ilvl w:val="0"/>
          <w:numId w:val="114"/>
        </w:numPr>
        <w:rPr>
          <w:rFonts w:ascii="Arial" w:cs="Arial" w:eastAsia="Arial" w:hAnsi="Arial"/>
          <w:sz w:val="13"/>
          <w:szCs w:val="13"/>
          <w:b w:val="1"/>
          <w:bCs w:val="1"/>
          <w:color w:val="215AA8"/>
        </w:rPr>
      </w:pPr>
      <w:r>
        <w:rPr>
          <w:rFonts w:ascii="Arial" w:cs="Arial" w:eastAsia="Arial" w:hAnsi="Arial"/>
          <w:sz w:val="13"/>
          <w:szCs w:val="13"/>
          <w:color w:val="auto"/>
        </w:rPr>
        <w:t>FDA, EC, and MHRA approvals for the treatment of</w:t>
      </w:r>
    </w:p>
    <w:p>
      <w:pPr>
        <w:ind w:left="180"/>
        <w:spacing w:after="0"/>
        <w:rPr>
          <w:rFonts w:ascii="Arial" w:cs="Arial" w:eastAsia="Arial" w:hAnsi="Arial"/>
          <w:sz w:val="13"/>
          <w:szCs w:val="13"/>
          <w:b w:val="1"/>
          <w:bCs w:val="1"/>
          <w:color w:val="215AA8"/>
        </w:rPr>
      </w:pPr>
      <w:r>
        <w:rPr>
          <w:rFonts w:ascii="Arial" w:cs="Arial" w:eastAsia="Arial" w:hAnsi="Arial"/>
          <w:sz w:val="13"/>
          <w:szCs w:val="13"/>
          <w:color w:val="auto"/>
        </w:rPr>
        <w:t>BCC</w:t>
      </w:r>
    </w:p>
    <w:p>
      <w:pPr>
        <w:ind w:left="180" w:right="800" w:hanging="162"/>
        <w:spacing w:after="0" w:line="248" w:lineRule="auto"/>
        <w:tabs>
          <w:tab w:leader="none" w:pos="172" w:val="left"/>
        </w:tabs>
        <w:numPr>
          <w:ilvl w:val="0"/>
          <w:numId w:val="114"/>
        </w:numPr>
        <w:rPr>
          <w:rFonts w:ascii="Arial" w:cs="Arial" w:eastAsia="Arial" w:hAnsi="Arial"/>
          <w:sz w:val="13"/>
          <w:szCs w:val="13"/>
          <w:b w:val="1"/>
          <w:bCs w:val="1"/>
          <w:color w:val="215AA8"/>
        </w:rPr>
      </w:pPr>
      <w:r>
        <w:rPr>
          <w:rFonts w:ascii="Arial" w:cs="Arial" w:eastAsia="Arial" w:hAnsi="Arial"/>
          <w:sz w:val="13"/>
          <w:szCs w:val="13"/>
          <w:color w:val="auto"/>
        </w:rPr>
        <w:t>Filed sBLA with FDA for the treatment of cervical cancer</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Evkeeza</w:t>
      </w:r>
    </w:p>
    <w:p>
      <w:pPr>
        <w:spacing w:after="0" w:line="15" w:lineRule="exact"/>
        <w:rPr>
          <w:sz w:val="20"/>
          <w:szCs w:val="20"/>
          <w:color w:val="auto"/>
        </w:rPr>
      </w:pPr>
    </w:p>
    <w:p>
      <w:pPr>
        <w:ind w:left="180" w:right="860" w:hanging="162"/>
        <w:spacing w:after="0" w:line="248" w:lineRule="auto"/>
        <w:tabs>
          <w:tab w:leader="none" w:pos="172" w:val="left"/>
        </w:tabs>
        <w:numPr>
          <w:ilvl w:val="0"/>
          <w:numId w:val="115"/>
        </w:numPr>
        <w:rPr>
          <w:rFonts w:ascii="Arial" w:cs="Arial" w:eastAsia="Arial" w:hAnsi="Arial"/>
          <w:sz w:val="13"/>
          <w:szCs w:val="13"/>
          <w:b w:val="1"/>
          <w:bCs w:val="1"/>
          <w:color w:val="215AA8"/>
        </w:rPr>
      </w:pPr>
      <w:r>
        <w:rPr>
          <w:rFonts w:ascii="Arial" w:cs="Arial" w:eastAsia="Arial" w:hAnsi="Arial"/>
          <w:sz w:val="13"/>
          <w:szCs w:val="13"/>
          <w:color w:val="auto"/>
        </w:rPr>
        <w:t>FDA and EC approvals for homozygous familial hypercholesterolemia</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REGN1908-1909</w:t>
      </w:r>
    </w:p>
    <w:p>
      <w:pPr>
        <w:spacing w:after="0" w:line="15" w:lineRule="exact"/>
        <w:rPr>
          <w:sz w:val="20"/>
          <w:szCs w:val="20"/>
          <w:color w:val="auto"/>
        </w:rPr>
      </w:pPr>
    </w:p>
    <w:p>
      <w:pPr>
        <w:ind w:left="180" w:right="600" w:hanging="162"/>
        <w:spacing w:after="0" w:line="243" w:lineRule="auto"/>
        <w:tabs>
          <w:tab w:leader="none" w:pos="172" w:val="left"/>
        </w:tabs>
        <w:numPr>
          <w:ilvl w:val="0"/>
          <w:numId w:val="116"/>
        </w:numPr>
        <w:rPr>
          <w:rFonts w:ascii="Arial" w:cs="Arial" w:eastAsia="Arial" w:hAnsi="Arial"/>
          <w:sz w:val="13"/>
          <w:szCs w:val="13"/>
          <w:b w:val="1"/>
          <w:bCs w:val="1"/>
          <w:color w:val="215AA8"/>
        </w:rPr>
      </w:pPr>
      <w:r>
        <w:rPr>
          <w:rFonts w:ascii="Arial" w:cs="Arial" w:eastAsia="Arial" w:hAnsi="Arial"/>
          <w:sz w:val="13"/>
          <w:szCs w:val="13"/>
          <w:color w:val="auto"/>
        </w:rPr>
        <w:t>Reported that Phase 2 study in cat allergic patients with mild asthma met its primary and key secondary endpoints</w:t>
      </w:r>
    </w:p>
    <w:p>
      <w:pPr>
        <w:spacing w:after="0" w:line="83" w:lineRule="exact"/>
        <w:rPr>
          <w:sz w:val="20"/>
          <w:szCs w:val="20"/>
          <w:color w:val="auto"/>
        </w:rPr>
      </w:pPr>
    </w:p>
    <w:p>
      <w:pPr>
        <w:sectPr>
          <w:pgSz w:w="11900" w:h="16838" w:orient="portrait"/>
          <w:cols w:equalWidth="0" w:num="3">
            <w:col w:w="3780" w:space="240"/>
            <w:col w:w="3220" w:space="220"/>
            <w:col w:w="3780"/>
          </w:cols>
          <w:pgMar w:left="320" w:top="410" w:right="339" w:bottom="1440" w:gutter="0" w:footer="0" w:header="0"/>
          <w:type w:val="continuous"/>
        </w:sectPr>
      </w:pPr>
    </w:p>
    <w:p>
      <w:pPr>
        <w:ind w:left="600"/>
        <w:spacing w:after="0"/>
        <w:rPr>
          <w:sz w:val="20"/>
          <w:szCs w:val="20"/>
          <w:color w:val="auto"/>
        </w:rPr>
      </w:pPr>
      <w:r>
        <w:rPr>
          <w:rFonts w:ascii="Arial" w:cs="Arial" w:eastAsia="Arial" w:hAnsi="Arial"/>
          <w:sz w:val="17"/>
          <w:szCs w:val="17"/>
          <w:b w:val="1"/>
          <w:bCs w:val="1"/>
          <w:color w:val="215BA8"/>
        </w:rPr>
        <w:t>Progress in Earlier-Stage Clinical Programs; New Candidates Advanced into Clinical Development</w:t>
      </w:r>
    </w:p>
    <w:p>
      <w:pPr>
        <w:spacing w:after="0" w:line="63" w:lineRule="exact"/>
        <w:rPr>
          <w:sz w:val="20"/>
          <w:szCs w:val="20"/>
          <w:color w:val="auto"/>
        </w:rPr>
      </w:pPr>
    </w:p>
    <w:p>
      <w:pPr>
        <w:ind w:left="760" w:hanging="158"/>
        <w:spacing w:after="0"/>
        <w:tabs>
          <w:tab w:leader="none" w:pos="760" w:val="left"/>
        </w:tabs>
        <w:numPr>
          <w:ilvl w:val="0"/>
          <w:numId w:val="117"/>
        </w:numPr>
        <w:rPr>
          <w:rFonts w:ascii="Arial" w:cs="Arial" w:eastAsia="Arial" w:hAnsi="Arial"/>
          <w:sz w:val="13"/>
          <w:szCs w:val="13"/>
          <w:b w:val="1"/>
          <w:bCs w:val="1"/>
          <w:color w:val="215AA8"/>
        </w:rPr>
      </w:pPr>
      <w:r>
        <w:rPr>
          <w:rFonts w:ascii="Arial" w:cs="Arial" w:eastAsia="Arial" w:hAnsi="Arial"/>
          <w:sz w:val="13"/>
          <w:szCs w:val="13"/>
          <w:i w:val="1"/>
          <w:iCs w:val="1"/>
          <w:color w:val="215BA8"/>
        </w:rPr>
        <w:t>Data readouts and key publications from existing Phase 1 studies</w:t>
      </w:r>
    </w:p>
    <w:p>
      <w:pPr>
        <w:spacing w:after="0" w:line="13" w:lineRule="exact"/>
        <w:rPr>
          <w:rFonts w:ascii="Arial" w:cs="Arial" w:eastAsia="Arial" w:hAnsi="Arial"/>
          <w:sz w:val="13"/>
          <w:szCs w:val="13"/>
          <w:b w:val="1"/>
          <w:bCs w:val="1"/>
          <w:color w:val="215AA8"/>
        </w:rPr>
      </w:pPr>
    </w:p>
    <w:p>
      <w:pPr>
        <w:ind w:left="760" w:hanging="158"/>
        <w:spacing w:after="0"/>
        <w:tabs>
          <w:tab w:leader="none" w:pos="760" w:val="left"/>
        </w:tabs>
        <w:numPr>
          <w:ilvl w:val="0"/>
          <w:numId w:val="117"/>
        </w:numPr>
        <w:rPr>
          <w:rFonts w:ascii="Arial" w:cs="Arial" w:eastAsia="Arial" w:hAnsi="Arial"/>
          <w:sz w:val="13"/>
          <w:szCs w:val="13"/>
          <w:b w:val="1"/>
          <w:bCs w:val="1"/>
          <w:color w:val="215AA8"/>
        </w:rPr>
      </w:pPr>
      <w:r>
        <w:rPr>
          <w:rFonts w:ascii="Arial" w:cs="Arial" w:eastAsia="Arial" w:hAnsi="Arial"/>
          <w:sz w:val="13"/>
          <w:szCs w:val="13"/>
          <w:i w:val="1"/>
          <w:iCs w:val="1"/>
          <w:color w:val="215BA8"/>
        </w:rPr>
        <w:t>Initiation of new Phase 1 studies</w:t>
      </w:r>
    </w:p>
    <w:p>
      <w:pPr>
        <w:ind w:left="760" w:hanging="158"/>
        <w:spacing w:after="0"/>
        <w:tabs>
          <w:tab w:leader="none" w:pos="760" w:val="left"/>
        </w:tabs>
        <w:numPr>
          <w:ilvl w:val="0"/>
          <w:numId w:val="117"/>
        </w:numPr>
        <w:rPr>
          <w:rFonts w:ascii="Arial" w:cs="Arial" w:eastAsia="Arial" w:hAnsi="Arial"/>
          <w:sz w:val="13"/>
          <w:szCs w:val="13"/>
          <w:b w:val="1"/>
          <w:bCs w:val="1"/>
          <w:color w:val="215AA8"/>
        </w:rPr>
      </w:pPr>
      <w:r>
        <w:rPr>
          <w:rFonts w:ascii="Arial" w:cs="Arial" w:eastAsia="Arial" w:hAnsi="Arial"/>
          <w:sz w:val="13"/>
          <w:szCs w:val="13"/>
          <w:i w:val="1"/>
          <w:iCs w:val="1"/>
          <w:color w:val="215BA8"/>
        </w:rPr>
        <w:t>Notable early research milestones and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10801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446520" cy="1080135"/>
                    </a:xfrm>
                    <a:prstGeom prst="rect">
                      <a:avLst/>
                    </a:prstGeom>
                    <a:noFill/>
                  </pic:spPr>
                </pic:pic>
              </a:graphicData>
            </a:graphic>
          </wp:anchor>
        </w:drawing>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Achievements/Relevant Developments in 2021:</w:t>
      </w:r>
    </w:p>
    <w:p>
      <w:pPr>
        <w:sectPr>
          <w:pgSz w:w="11900" w:h="16838" w:orient="portrait"/>
          <w:cols w:equalWidth="0" w:num="1">
            <w:col w:w="11240"/>
          </w:cols>
          <w:pgMar w:left="320" w:top="410" w:right="339" w:bottom="1440" w:gutter="0" w:footer="0" w:header="0"/>
          <w:type w:val="continuous"/>
        </w:sectPr>
      </w:pPr>
    </w:p>
    <w:p>
      <w:pPr>
        <w:spacing w:after="0" w:line="76" w:lineRule="exact"/>
        <w:rPr>
          <w:sz w:val="20"/>
          <w:szCs w:val="20"/>
          <w:color w:val="auto"/>
        </w:rPr>
      </w:pPr>
    </w:p>
    <w:p>
      <w:pPr>
        <w:ind w:left="780" w:right="220" w:hanging="160"/>
        <w:spacing w:after="0" w:line="238" w:lineRule="auto"/>
        <w:tabs>
          <w:tab w:leader="none" w:pos="772" w:val="left"/>
        </w:tabs>
        <w:numPr>
          <w:ilvl w:val="0"/>
          <w:numId w:val="118"/>
        </w:numPr>
        <w:rPr>
          <w:rFonts w:ascii="Arial" w:cs="Arial" w:eastAsia="Arial" w:hAnsi="Arial"/>
          <w:sz w:val="13"/>
          <w:szCs w:val="13"/>
          <w:b w:val="1"/>
          <w:bCs w:val="1"/>
          <w:color w:val="215AA8"/>
        </w:rPr>
      </w:pPr>
      <w:r>
        <w:rPr>
          <w:rFonts w:ascii="Arial" w:cs="Arial" w:eastAsia="Arial" w:hAnsi="Arial"/>
          <w:sz w:val="13"/>
          <w:szCs w:val="13"/>
          <w:color w:val="auto"/>
        </w:rPr>
        <w:t>Advanced multiple new product candidates into clinical development, including REGN4336 for prostate cancer and REGN9933 for thrombosis</w:t>
      </w:r>
    </w:p>
    <w:p>
      <w:pPr>
        <w:ind w:left="780" w:hanging="160"/>
        <w:spacing w:after="0"/>
        <w:tabs>
          <w:tab w:leader="none" w:pos="772" w:val="left"/>
        </w:tabs>
        <w:numPr>
          <w:ilvl w:val="0"/>
          <w:numId w:val="118"/>
        </w:numPr>
        <w:rPr>
          <w:rFonts w:ascii="Arial" w:cs="Arial" w:eastAsia="Arial" w:hAnsi="Arial"/>
          <w:sz w:val="13"/>
          <w:szCs w:val="13"/>
          <w:b w:val="1"/>
          <w:bCs w:val="1"/>
          <w:color w:val="215AA8"/>
        </w:rPr>
      </w:pPr>
      <w:r>
        <w:rPr>
          <w:rFonts w:ascii="Arial" w:cs="Arial" w:eastAsia="Arial" w:hAnsi="Arial"/>
          <w:sz w:val="13"/>
          <w:szCs w:val="13"/>
          <w:color w:val="auto"/>
        </w:rPr>
        <w:t>Announced positive interim data from an ongoing Phase 1 clinical study of in vivo genome editing candidate, NTLA-2001, which is being developed as a single-dose treatment for transthyretin (ATTR) amyloidosis (in collaboration with Intellia Therapeutics, Inc.)</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71" w:hanging="171"/>
        <w:spacing w:after="0"/>
        <w:tabs>
          <w:tab w:leader="none" w:pos="163" w:val="left"/>
        </w:tabs>
        <w:numPr>
          <w:ilvl w:val="0"/>
          <w:numId w:val="119"/>
        </w:numPr>
        <w:rPr>
          <w:rFonts w:ascii="Arial" w:cs="Arial" w:eastAsia="Arial" w:hAnsi="Arial"/>
          <w:sz w:val="13"/>
          <w:szCs w:val="13"/>
          <w:b w:val="1"/>
          <w:bCs w:val="1"/>
          <w:color w:val="215AA8"/>
        </w:rPr>
      </w:pPr>
      <w:r>
        <w:rPr>
          <w:rFonts w:ascii="Arial" w:cs="Arial" w:eastAsia="Arial" w:hAnsi="Arial"/>
          <w:sz w:val="13"/>
          <w:szCs w:val="13"/>
          <w:color w:val="auto"/>
        </w:rPr>
        <w:t>Presented positive data from Phase 1 trial of fianlimab (REGN3767), an antibody to LAG-3, in combination with Libtayo in advanced melanoma at American Society of Clinical Oncology Annual Meeting</w:t>
      </w:r>
    </w:p>
    <w:p>
      <w:pPr>
        <w:spacing w:after="0" w:line="2" w:lineRule="exact"/>
        <w:rPr>
          <w:rFonts w:ascii="Arial" w:cs="Arial" w:eastAsia="Arial" w:hAnsi="Arial"/>
          <w:sz w:val="13"/>
          <w:szCs w:val="13"/>
          <w:b w:val="1"/>
          <w:bCs w:val="1"/>
          <w:color w:val="215AA8"/>
        </w:rPr>
      </w:pPr>
    </w:p>
    <w:p>
      <w:pPr>
        <w:jc w:val="both"/>
        <w:ind w:left="171" w:right="180" w:hanging="171"/>
        <w:spacing w:after="0" w:line="209" w:lineRule="auto"/>
        <w:tabs>
          <w:tab w:leader="none" w:pos="163" w:val="left"/>
        </w:tabs>
        <w:numPr>
          <w:ilvl w:val="0"/>
          <w:numId w:val="119"/>
        </w:numPr>
        <w:rPr>
          <w:rFonts w:ascii="Arial" w:cs="Arial" w:eastAsia="Arial" w:hAnsi="Arial"/>
          <w:sz w:val="13"/>
          <w:szCs w:val="13"/>
          <w:b w:val="1"/>
          <w:bCs w:val="1"/>
          <w:color w:val="215AA8"/>
        </w:rPr>
      </w:pPr>
      <w:r>
        <w:rPr>
          <w:rFonts w:ascii="Arial" w:cs="Arial" w:eastAsia="Arial" w:hAnsi="Arial"/>
          <w:sz w:val="13"/>
          <w:szCs w:val="13"/>
          <w:color w:val="auto"/>
        </w:rPr>
        <w:t>The Regeneron Genetics Center</w:t>
      </w:r>
      <w:r>
        <w:rPr>
          <w:rFonts w:ascii="Arial" w:cs="Arial" w:eastAsia="Arial" w:hAnsi="Arial"/>
          <w:sz w:val="21"/>
          <w:szCs w:val="21"/>
          <w:color w:val="auto"/>
          <w:vertAlign w:val="superscript"/>
        </w:rPr>
        <w:t>®</w:t>
      </w:r>
      <w:r>
        <w:rPr>
          <w:rFonts w:ascii="Arial" w:cs="Arial" w:eastAsia="Arial" w:hAnsi="Arial"/>
          <w:sz w:val="13"/>
          <w:szCs w:val="13"/>
          <w:color w:val="auto"/>
        </w:rPr>
        <w:t xml:space="preserve"> published the discovery of </w:t>
      </w:r>
      <w:r>
        <w:rPr>
          <w:rFonts w:ascii="Arial" w:cs="Arial" w:eastAsia="Arial" w:hAnsi="Arial"/>
          <w:sz w:val="13"/>
          <w:szCs w:val="13"/>
          <w:i w:val="1"/>
          <w:iCs w:val="1"/>
          <w:color w:val="auto"/>
        </w:rPr>
        <w:t>GPR75</w:t>
      </w:r>
      <w:r>
        <w:rPr>
          <w:rFonts w:ascii="Arial" w:cs="Arial" w:eastAsia="Arial" w:hAnsi="Arial"/>
          <w:sz w:val="13"/>
          <w:szCs w:val="13"/>
          <w:color w:val="auto"/>
        </w:rPr>
        <w:t xml:space="preserve"> gene mutations that protect against obesity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-2222500</wp:posOffset>
            </wp:positionH>
            <wp:positionV relativeFrom="paragraph">
              <wp:posOffset>200025</wp:posOffset>
            </wp:positionV>
            <wp:extent cx="64465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69" w:right="680" w:hanging="169"/>
        <w:spacing w:after="0" w:line="241" w:lineRule="auto"/>
        <w:tabs>
          <w:tab w:leader="none" w:pos="161" w:val="left"/>
        </w:tabs>
        <w:numPr>
          <w:ilvl w:val="0"/>
          <w:numId w:val="120"/>
        </w:numPr>
        <w:rPr>
          <w:rFonts w:ascii="Arial" w:cs="Arial" w:eastAsia="Arial" w:hAnsi="Arial"/>
          <w:sz w:val="13"/>
          <w:szCs w:val="13"/>
          <w:b w:val="1"/>
          <w:bCs w:val="1"/>
          <w:color w:val="215AA8"/>
        </w:rPr>
      </w:pPr>
      <w:r>
        <w:rPr>
          <w:rFonts w:ascii="Arial" w:cs="Arial" w:eastAsia="Arial" w:hAnsi="Arial"/>
          <w:sz w:val="13"/>
          <w:szCs w:val="13"/>
          <w:color w:val="auto"/>
        </w:rPr>
        <w:t xml:space="preserve">Published several notable papers, including in </w:t>
      </w:r>
      <w:r>
        <w:rPr>
          <w:rFonts w:ascii="Arial" w:cs="Arial" w:eastAsia="Arial" w:hAnsi="Arial"/>
          <w:sz w:val="13"/>
          <w:szCs w:val="13"/>
          <w:i w:val="1"/>
          <w:iCs w:val="1"/>
          <w:color w:val="auto"/>
        </w:rPr>
        <w:t xml:space="preserve">Science Translational Medicine, Nature—Scientific Reports, Science Advances, </w:t>
      </w:r>
      <w:r>
        <w:rPr>
          <w:rFonts w:ascii="Arial" w:cs="Arial" w:eastAsia="Arial" w:hAnsi="Arial"/>
          <w:sz w:val="13"/>
          <w:szCs w:val="13"/>
          <w:color w:val="auto"/>
        </w:rPr>
        <w:t>and</w:t>
      </w:r>
      <w:r>
        <w:rPr>
          <w:rFonts w:ascii="Arial" w:cs="Arial" w:eastAsia="Arial" w:hAnsi="Arial"/>
          <w:sz w:val="13"/>
          <w:szCs w:val="13"/>
          <w:i w:val="1"/>
          <w:iCs w:val="1"/>
          <w:color w:val="auto"/>
        </w:rPr>
        <w:t xml:space="preserve"> Nature Communications</w:t>
      </w:r>
    </w:p>
    <w:p>
      <w:pPr>
        <w:spacing w:after="0" w:line="928" w:lineRule="exact"/>
        <w:rPr>
          <w:sz w:val="20"/>
          <w:szCs w:val="20"/>
          <w:color w:val="auto"/>
        </w:rPr>
      </w:pPr>
    </w:p>
    <w:p>
      <w:pPr>
        <w:sectPr>
          <w:pgSz w:w="11900" w:h="16838" w:orient="portrait"/>
          <w:cols w:equalWidth="0" w:num="3">
            <w:col w:w="3720" w:space="329"/>
            <w:col w:w="3111" w:space="331"/>
            <w:col w:w="3749"/>
          </w:cols>
          <w:pgMar w:left="320" w:top="410" w:right="339" w:bottom="1440" w:gutter="0" w:footer="0" w:header="0"/>
          <w:type w:val="continuous"/>
        </w:sectPr>
      </w:pPr>
    </w:p>
    <w:p>
      <w:pPr>
        <w:spacing w:after="0" w:line="173" w:lineRule="exact"/>
        <w:rPr>
          <w:sz w:val="20"/>
          <w:szCs w:val="20"/>
          <w:color w:val="auto"/>
        </w:rPr>
      </w:pPr>
    </w:p>
    <w:p>
      <w:pPr>
        <w:ind w:left="760" w:hanging="212"/>
        <w:spacing w:after="0"/>
        <w:tabs>
          <w:tab w:leader="none" w:pos="760" w:val="left"/>
        </w:tabs>
        <w:numPr>
          <w:ilvl w:val="0"/>
          <w:numId w:val="121"/>
        </w:numPr>
        <w:rPr>
          <w:rFonts w:ascii="Arial" w:cs="Arial" w:eastAsia="Arial" w:hAnsi="Arial"/>
          <w:sz w:val="14"/>
          <w:szCs w:val="14"/>
          <w:color w:val="1A1A1A"/>
        </w:rPr>
      </w:pPr>
      <w:r>
        <w:rPr>
          <w:rFonts w:ascii="Arial" w:cs="Arial" w:eastAsia="Arial" w:hAnsi="Arial"/>
          <w:sz w:val="14"/>
          <w:szCs w:val="14"/>
          <w:color w:val="1A1A1A"/>
        </w:rPr>
        <w:t>Descriptions are based on information available to the Committee when setting the Company performance multiplier for 2021.</w:t>
      </w:r>
    </w:p>
    <w:p>
      <w:pPr>
        <w:spacing w:after="0" w:line="1" w:lineRule="exact"/>
        <w:rPr>
          <w:sz w:val="20"/>
          <w:szCs w:val="20"/>
          <w:color w:val="auto"/>
        </w:rPr>
      </w:pPr>
    </w:p>
    <w:p>
      <w:pPr>
        <w:ind w:left="760" w:right="580" w:hanging="212"/>
        <w:spacing w:after="0" w:line="247" w:lineRule="auto"/>
        <w:tabs>
          <w:tab w:leader="none" w:pos="760" w:val="left"/>
        </w:tabs>
        <w:numPr>
          <w:ilvl w:val="0"/>
          <w:numId w:val="122"/>
        </w:numPr>
        <w:rPr>
          <w:rFonts w:ascii="Arial" w:cs="Arial" w:eastAsia="Arial" w:hAnsi="Arial"/>
          <w:sz w:val="14"/>
          <w:szCs w:val="14"/>
          <w:color w:val="1A1A1A"/>
        </w:rPr>
      </w:pPr>
      <w:r>
        <w:rPr>
          <w:rFonts w:ascii="Arial" w:cs="Arial" w:eastAsia="Arial" w:hAnsi="Arial"/>
          <w:sz w:val="14"/>
          <w:szCs w:val="14"/>
          <w:color w:val="1A1A1A"/>
        </w:rPr>
        <w:t>In January 2022, the FDA revised the EUA for REGEN-COV to exclude its use in geographic regions where, based on available information including variant susceptibility and regional variant frequency, infection or exposure is likely due to a variant such as Omicron (B.1.1.529) that is not susceptible to the treatment. With this EUA revision, REGEN-COV is not currently authorized for use in any U.S. states, territories, or jurisdictions, since Omicron is currently the dominant variant across the United States.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65</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80" w:name="page81"/>
    <w:bookmarkEnd w:id="80"/>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446520"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(2) FINANCE AND OPERATIONS (SECONDARY FACTORS)</w:t>
      </w:r>
    </w:p>
    <w:p>
      <w:pPr>
        <w:spacing w:after="0" w:line="74"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4260" w:type="dxa"/>
            <w:vAlign w:val="bottom"/>
            <w:gridSpan w:val="2"/>
            <w:shd w:val="clear" w:color="auto" w:fill="AAE1FA"/>
          </w:tcPr>
          <w:p>
            <w:pPr>
              <w:ind w:left="60"/>
              <w:spacing w:after="0"/>
              <w:rPr>
                <w:sz w:val="20"/>
                <w:szCs w:val="20"/>
                <w:color w:val="auto"/>
              </w:rPr>
            </w:pPr>
            <w:r>
              <w:rPr>
                <w:rFonts w:ascii="Arial" w:cs="Arial" w:eastAsia="Arial" w:hAnsi="Arial"/>
                <w:sz w:val="17"/>
                <w:szCs w:val="17"/>
                <w:b w:val="1"/>
                <w:bCs w:val="1"/>
                <w:color w:val="215BA8"/>
              </w:rPr>
              <w:t>Financial Metrics; Capital Structure</w:t>
            </w:r>
          </w:p>
        </w:tc>
        <w:tc>
          <w:tcPr>
            <w:tcW w:w="5900" w:type="dxa"/>
            <w:vAlign w:val="bottom"/>
            <w:shd w:val="clear" w:color="auto" w:fill="AAE1FA"/>
          </w:tcPr>
          <w:p>
            <w:pPr>
              <w:ind w:left="940"/>
              <w:spacing w:after="0"/>
              <w:rPr>
                <w:sz w:val="20"/>
                <w:szCs w:val="20"/>
                <w:color w:val="auto"/>
              </w:rPr>
            </w:pPr>
            <w:r>
              <w:rPr>
                <w:rFonts w:ascii="Arial" w:cs="Arial" w:eastAsia="Arial" w:hAnsi="Arial"/>
                <w:sz w:val="17"/>
                <w:szCs w:val="17"/>
                <w:b w:val="1"/>
                <w:bCs w:val="1"/>
                <w:color w:val="215BA8"/>
              </w:rPr>
              <w:t>Operational &amp; Manufacturing</w:t>
            </w:r>
          </w:p>
        </w:tc>
      </w:tr>
      <w:tr>
        <w:trPr>
          <w:trHeight w:val="148"/>
        </w:trPr>
        <w:tc>
          <w:tcPr>
            <w:tcW w:w="4260" w:type="dxa"/>
            <w:vAlign w:val="bottom"/>
            <w:gridSpan w:val="2"/>
            <w:shd w:val="clear" w:color="auto" w:fill="AAE1FA"/>
          </w:tcPr>
          <w:p>
            <w:pPr>
              <w:ind w:left="6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Growth in total revenues</w:t>
            </w:r>
          </w:p>
        </w:tc>
        <w:tc>
          <w:tcPr>
            <w:tcW w:w="5900" w:type="dxa"/>
            <w:vAlign w:val="bottom"/>
            <w:shd w:val="clear" w:color="auto" w:fill="AAE1FA"/>
          </w:tcPr>
          <w:p>
            <w:pPr>
              <w:ind w:left="94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Marketing structure &amp; strategy</w:t>
            </w:r>
          </w:p>
        </w:tc>
      </w:tr>
      <w:tr>
        <w:trPr>
          <w:trHeight w:val="148"/>
        </w:trPr>
        <w:tc>
          <w:tcPr>
            <w:tcW w:w="4260" w:type="dxa"/>
            <w:vAlign w:val="bottom"/>
            <w:gridSpan w:val="2"/>
            <w:shd w:val="clear" w:color="auto" w:fill="AAE1FA"/>
          </w:tcPr>
          <w:p>
            <w:pPr>
              <w:ind w:left="6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Growth in net product sales for key marketed products</w:t>
            </w:r>
          </w:p>
        </w:tc>
        <w:tc>
          <w:tcPr>
            <w:tcW w:w="5900" w:type="dxa"/>
            <w:vAlign w:val="bottom"/>
            <w:shd w:val="clear" w:color="auto" w:fill="AAE1FA"/>
          </w:tcPr>
          <w:p>
            <w:pPr>
              <w:ind w:left="94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Pricing, policy &amp; legal developments</w:t>
            </w:r>
          </w:p>
        </w:tc>
      </w:tr>
      <w:tr>
        <w:trPr>
          <w:trHeight w:val="148"/>
        </w:trPr>
        <w:tc>
          <w:tcPr>
            <w:tcW w:w="4260" w:type="dxa"/>
            <w:vAlign w:val="bottom"/>
            <w:gridSpan w:val="2"/>
            <w:shd w:val="clear" w:color="auto" w:fill="AAE1FA"/>
          </w:tcPr>
          <w:p>
            <w:pPr>
              <w:ind w:left="6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Growth in profitability metrics</w:t>
            </w:r>
          </w:p>
        </w:tc>
        <w:tc>
          <w:tcPr>
            <w:tcW w:w="5900" w:type="dxa"/>
            <w:vAlign w:val="bottom"/>
            <w:shd w:val="clear" w:color="auto" w:fill="AAE1FA"/>
          </w:tcPr>
          <w:p>
            <w:pPr>
              <w:ind w:left="94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Successful completion of audits</w:t>
            </w:r>
          </w:p>
        </w:tc>
      </w:tr>
      <w:tr>
        <w:trPr>
          <w:trHeight w:val="148"/>
        </w:trPr>
        <w:tc>
          <w:tcPr>
            <w:tcW w:w="160" w:type="dxa"/>
            <w:vAlign w:val="bottom"/>
            <w:shd w:val="clear" w:color="auto" w:fill="AAE1FA"/>
          </w:tcPr>
          <w:p>
            <w:pPr>
              <w:ind w:left="60"/>
              <w:spacing w:after="0"/>
              <w:rPr>
                <w:sz w:val="20"/>
                <w:szCs w:val="20"/>
                <w:color w:val="auto"/>
              </w:rPr>
            </w:pPr>
            <w:r>
              <w:rPr>
                <w:rFonts w:ascii="Arial" w:cs="Arial" w:eastAsia="Arial" w:hAnsi="Arial"/>
                <w:sz w:val="13"/>
                <w:szCs w:val="13"/>
                <w:b w:val="1"/>
                <w:bCs w:val="1"/>
                <w:color w:val="215AA8"/>
              </w:rPr>
              <w:t>•</w:t>
            </w:r>
          </w:p>
        </w:tc>
        <w:tc>
          <w:tcPr>
            <w:tcW w:w="4100" w:type="dxa"/>
            <w:vAlign w:val="bottom"/>
            <w:shd w:val="clear" w:color="auto" w:fill="AAE1FA"/>
          </w:tcPr>
          <w:p>
            <w:pPr>
              <w:ind w:left="60"/>
              <w:spacing w:after="0"/>
              <w:rPr>
                <w:sz w:val="20"/>
                <w:szCs w:val="20"/>
                <w:color w:val="auto"/>
              </w:rPr>
            </w:pPr>
            <w:r>
              <w:rPr>
                <w:rFonts w:ascii="Arial" w:cs="Arial" w:eastAsia="Arial" w:hAnsi="Arial"/>
                <w:sz w:val="13"/>
                <w:szCs w:val="13"/>
                <w:i w:val="1"/>
                <w:iCs w:val="1"/>
                <w:color w:val="215BA8"/>
              </w:rPr>
              <w:t>Collaboration agreements</w:t>
            </w:r>
          </w:p>
        </w:tc>
        <w:tc>
          <w:tcPr>
            <w:tcW w:w="5900" w:type="dxa"/>
            <w:vAlign w:val="bottom"/>
            <w:shd w:val="clear" w:color="auto" w:fill="AAE1FA"/>
          </w:tcPr>
          <w:p>
            <w:pPr>
              <w:ind w:left="94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Expansion of facilities</w:t>
            </w:r>
          </w:p>
        </w:tc>
      </w:tr>
      <w:tr>
        <w:trPr>
          <w:trHeight w:val="172"/>
        </w:trPr>
        <w:tc>
          <w:tcPr>
            <w:tcW w:w="160" w:type="dxa"/>
            <w:vAlign w:val="bottom"/>
            <w:shd w:val="clear" w:color="auto" w:fill="AAE1FA"/>
          </w:tcPr>
          <w:p>
            <w:pPr>
              <w:ind w:left="60"/>
              <w:spacing w:after="0"/>
              <w:rPr>
                <w:sz w:val="20"/>
                <w:szCs w:val="20"/>
                <w:color w:val="auto"/>
              </w:rPr>
            </w:pPr>
            <w:r>
              <w:rPr>
                <w:rFonts w:ascii="Arial" w:cs="Arial" w:eastAsia="Arial" w:hAnsi="Arial"/>
                <w:sz w:val="13"/>
                <w:szCs w:val="13"/>
                <w:b w:val="1"/>
                <w:bCs w:val="1"/>
                <w:color w:val="215AA8"/>
              </w:rPr>
              <w:t>•</w:t>
            </w:r>
          </w:p>
        </w:tc>
        <w:tc>
          <w:tcPr>
            <w:tcW w:w="4100" w:type="dxa"/>
            <w:vAlign w:val="bottom"/>
            <w:shd w:val="clear" w:color="auto" w:fill="AAE1FA"/>
          </w:tcPr>
          <w:p>
            <w:pPr>
              <w:ind w:left="60"/>
              <w:spacing w:after="0"/>
              <w:rPr>
                <w:sz w:val="20"/>
                <w:szCs w:val="20"/>
                <w:color w:val="auto"/>
              </w:rPr>
            </w:pPr>
            <w:r>
              <w:rPr>
                <w:rFonts w:ascii="Arial" w:cs="Arial" w:eastAsia="Arial" w:hAnsi="Arial"/>
                <w:sz w:val="13"/>
                <w:szCs w:val="13"/>
                <w:i w:val="1"/>
                <w:iCs w:val="1"/>
                <w:color w:val="215BA8"/>
              </w:rPr>
              <w:t>Finance projects</w:t>
            </w:r>
          </w:p>
        </w:tc>
        <w:tc>
          <w:tcPr>
            <w:tcW w:w="5900" w:type="dxa"/>
            <w:vAlign w:val="bottom"/>
            <w:shd w:val="clear" w:color="auto" w:fill="AAE1FA"/>
          </w:tcPr>
          <w:p>
            <w:pPr>
              <w:ind w:left="940"/>
              <w:spacing w:after="0"/>
              <w:rPr>
                <w:sz w:val="20"/>
                <w:szCs w:val="20"/>
                <w:color w:val="auto"/>
              </w:rPr>
            </w:pPr>
            <w:r>
              <w:rPr>
                <w:rFonts w:ascii="Arial" w:cs="Arial" w:eastAsia="Arial" w:hAnsi="Arial"/>
                <w:sz w:val="13"/>
                <w:szCs w:val="13"/>
                <w:b w:val="1"/>
                <w:bCs w:val="1"/>
                <w:color w:val="215AA8"/>
              </w:rPr>
              <w:t xml:space="preserve">•  </w:t>
            </w:r>
            <w:r>
              <w:rPr>
                <w:rFonts w:ascii="Arial" w:cs="Arial" w:eastAsia="Arial" w:hAnsi="Arial"/>
                <w:sz w:val="13"/>
                <w:szCs w:val="13"/>
                <w:i w:val="1"/>
                <w:iCs w:val="1"/>
                <w:color w:val="215BA8"/>
              </w:rPr>
              <w:t>Increase in manufacturing capabilities</w:t>
            </w:r>
          </w:p>
        </w:tc>
      </w:tr>
      <w:tr>
        <w:trPr>
          <w:trHeight w:val="43"/>
        </w:trPr>
        <w:tc>
          <w:tcPr>
            <w:tcW w:w="160" w:type="dxa"/>
            <w:vAlign w:val="bottom"/>
            <w:shd w:val="clear" w:color="auto" w:fill="AAE1FA"/>
          </w:tcPr>
          <w:p>
            <w:pPr>
              <w:spacing w:after="0"/>
              <w:rPr>
                <w:sz w:val="3"/>
                <w:szCs w:val="3"/>
                <w:color w:val="auto"/>
              </w:rPr>
            </w:pPr>
          </w:p>
        </w:tc>
        <w:tc>
          <w:tcPr>
            <w:tcW w:w="4100" w:type="dxa"/>
            <w:vAlign w:val="bottom"/>
            <w:shd w:val="clear" w:color="auto" w:fill="AAE1FA"/>
          </w:tcPr>
          <w:p>
            <w:pPr>
              <w:spacing w:after="0"/>
              <w:rPr>
                <w:sz w:val="3"/>
                <w:szCs w:val="3"/>
                <w:color w:val="auto"/>
              </w:rPr>
            </w:pPr>
          </w:p>
        </w:tc>
        <w:tc>
          <w:tcPr>
            <w:tcW w:w="5900" w:type="dxa"/>
            <w:vAlign w:val="bottom"/>
            <w:shd w:val="clear" w:color="auto" w:fill="AAE1FA"/>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0</wp:posOffset>
            </wp:positionV>
            <wp:extent cx="6446520" cy="19634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446520" cy="1963420"/>
                    </a:xfrm>
                    <a:prstGeom prst="rect">
                      <a:avLst/>
                    </a:prstGeom>
                    <a:noFill/>
                  </pic:spPr>
                </pic:pic>
              </a:graphicData>
            </a:graphic>
          </wp:anchor>
        </w:drawing>
      </w:r>
    </w:p>
    <w:p>
      <w:pPr>
        <w:spacing w:after="0" w:line="1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Achievements/Relevant Developments in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20" w:type="dxa"/>
            <w:vAlign w:val="bottom"/>
          </w:tcPr>
          <w:p>
            <w:pPr>
              <w:ind w:left="6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Total revenue for the first nine months of 2021 was</w:t>
            </w:r>
          </w:p>
        </w:tc>
        <w:tc>
          <w:tcPr>
            <w:tcW w:w="3440" w:type="dxa"/>
            <w:vAlign w:val="bottom"/>
          </w:tcPr>
          <w:p>
            <w:pPr>
              <w:ind w:left="1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Completed $802.7 million of share repurchases in</w:t>
            </w:r>
          </w:p>
        </w:tc>
        <w:tc>
          <w:tcPr>
            <w:tcW w:w="3880" w:type="dxa"/>
            <w:vAlign w:val="bottom"/>
          </w:tcPr>
          <w:p>
            <w:pPr>
              <w:ind w:left="1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Fulfilled REGEN-COV supply agreement with the</w:t>
            </w:r>
          </w:p>
        </w:tc>
      </w:tr>
      <w:tr>
        <w:trPr>
          <w:trHeight w:val="148"/>
        </w:trPr>
        <w:tc>
          <w:tcPr>
            <w:tcW w:w="3920" w:type="dxa"/>
            <w:vAlign w:val="bottom"/>
          </w:tcPr>
          <w:p>
            <w:pPr>
              <w:ind w:left="780"/>
              <w:spacing w:after="0"/>
              <w:rPr>
                <w:sz w:val="20"/>
                <w:szCs w:val="20"/>
                <w:color w:val="auto"/>
              </w:rPr>
            </w:pPr>
            <w:r>
              <w:rPr>
                <w:rFonts w:ascii="Arial" w:cs="Arial" w:eastAsia="Arial" w:hAnsi="Arial"/>
                <w:sz w:val="13"/>
                <w:szCs w:val="13"/>
                <w:color w:val="auto"/>
              </w:rPr>
              <w:t>$11.120 billion, a 83.1% increase over the same</w:t>
            </w:r>
          </w:p>
        </w:tc>
        <w:tc>
          <w:tcPr>
            <w:tcW w:w="3440" w:type="dxa"/>
            <w:vAlign w:val="bottom"/>
          </w:tcPr>
          <w:p>
            <w:pPr>
              <w:ind w:left="280"/>
              <w:spacing w:after="0"/>
              <w:rPr>
                <w:sz w:val="20"/>
                <w:szCs w:val="20"/>
                <w:color w:val="auto"/>
              </w:rPr>
            </w:pPr>
            <w:r>
              <w:rPr>
                <w:rFonts w:ascii="Arial" w:cs="Arial" w:eastAsia="Arial" w:hAnsi="Arial"/>
                <w:sz w:val="13"/>
                <w:szCs w:val="13"/>
                <w:color w:val="auto"/>
              </w:rPr>
              <w:t>the first nine months of 2021 and announced a new</w:t>
            </w:r>
          </w:p>
        </w:tc>
        <w:tc>
          <w:tcPr>
            <w:tcW w:w="3880" w:type="dxa"/>
            <w:vAlign w:val="bottom"/>
          </w:tcPr>
          <w:p>
            <w:pPr>
              <w:ind w:left="280"/>
              <w:spacing w:after="0"/>
              <w:rPr>
                <w:sz w:val="20"/>
                <w:szCs w:val="20"/>
                <w:color w:val="auto"/>
              </w:rPr>
            </w:pPr>
            <w:r>
              <w:rPr>
                <w:rFonts w:ascii="Arial" w:cs="Arial" w:eastAsia="Arial" w:hAnsi="Arial"/>
                <w:sz w:val="13"/>
                <w:szCs w:val="13"/>
                <w:color w:val="auto"/>
              </w:rPr>
              <w:t>U.S. government, successfully prepared for new</w:t>
            </w:r>
          </w:p>
        </w:tc>
      </w:tr>
      <w:tr>
        <w:trPr>
          <w:trHeight w:val="133"/>
        </w:trPr>
        <w:tc>
          <w:tcPr>
            <w:tcW w:w="3920" w:type="dxa"/>
            <w:vAlign w:val="bottom"/>
          </w:tcPr>
          <w:p>
            <w:pPr>
              <w:ind w:left="780"/>
              <w:spacing w:after="0" w:line="133" w:lineRule="exact"/>
              <w:rPr>
                <w:sz w:val="20"/>
                <w:szCs w:val="20"/>
                <w:color w:val="auto"/>
              </w:rPr>
            </w:pPr>
            <w:r>
              <w:rPr>
                <w:rFonts w:ascii="Arial" w:cs="Arial" w:eastAsia="Arial" w:hAnsi="Arial"/>
                <w:sz w:val="13"/>
                <w:szCs w:val="13"/>
                <w:color w:val="auto"/>
              </w:rPr>
              <w:t>period in 2020 ($6.074 billion)</w:t>
            </w:r>
          </w:p>
        </w:tc>
        <w:tc>
          <w:tcPr>
            <w:tcW w:w="3440" w:type="dxa"/>
            <w:vAlign w:val="bottom"/>
          </w:tcPr>
          <w:p>
            <w:pPr>
              <w:ind w:left="280"/>
              <w:spacing w:after="0" w:line="133" w:lineRule="exact"/>
              <w:rPr>
                <w:sz w:val="20"/>
                <w:szCs w:val="20"/>
                <w:color w:val="auto"/>
              </w:rPr>
            </w:pPr>
            <w:r>
              <w:rPr>
                <w:rFonts w:ascii="Arial" w:cs="Arial" w:eastAsia="Arial" w:hAnsi="Arial"/>
                <w:sz w:val="13"/>
                <w:szCs w:val="13"/>
                <w:color w:val="auto"/>
              </w:rPr>
              <w:t>$3 billion share repurchase program in November</w:t>
            </w:r>
          </w:p>
        </w:tc>
        <w:tc>
          <w:tcPr>
            <w:tcW w:w="3880" w:type="dxa"/>
            <w:vAlign w:val="bottom"/>
          </w:tcPr>
          <w:p>
            <w:pPr>
              <w:ind w:left="280"/>
              <w:spacing w:after="0" w:line="133" w:lineRule="exact"/>
              <w:rPr>
                <w:sz w:val="20"/>
                <w:szCs w:val="20"/>
                <w:color w:val="auto"/>
              </w:rPr>
            </w:pPr>
            <w:r>
              <w:rPr>
                <w:rFonts w:ascii="Arial" w:cs="Arial" w:eastAsia="Arial" w:hAnsi="Arial"/>
                <w:sz w:val="13"/>
                <w:szCs w:val="13"/>
                <w:color w:val="auto"/>
              </w:rPr>
              <w:t>product launches, and made progress toward the</w:t>
            </w:r>
          </w:p>
        </w:tc>
      </w:tr>
      <w:tr>
        <w:trPr>
          <w:trHeight w:val="148"/>
        </w:trPr>
        <w:tc>
          <w:tcPr>
            <w:tcW w:w="3920" w:type="dxa"/>
            <w:vAlign w:val="bottom"/>
          </w:tcPr>
          <w:p>
            <w:pPr>
              <w:ind w:left="6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Full-year non-GAAP net income and diluted non-</w:t>
            </w:r>
          </w:p>
        </w:tc>
        <w:tc>
          <w:tcPr>
            <w:tcW w:w="3440" w:type="dxa"/>
            <w:vAlign w:val="bottom"/>
          </w:tcPr>
          <w:p>
            <w:pPr>
              <w:ind w:left="280"/>
              <w:spacing w:after="0"/>
              <w:rPr>
                <w:sz w:val="20"/>
                <w:szCs w:val="20"/>
                <w:color w:val="auto"/>
              </w:rPr>
            </w:pPr>
            <w:r>
              <w:rPr>
                <w:rFonts w:ascii="Arial" w:cs="Arial" w:eastAsia="Arial" w:hAnsi="Arial"/>
                <w:sz w:val="13"/>
                <w:szCs w:val="13"/>
                <w:color w:val="auto"/>
              </w:rPr>
              <w:t>2021</w:t>
            </w:r>
          </w:p>
        </w:tc>
        <w:tc>
          <w:tcPr>
            <w:tcW w:w="3880" w:type="dxa"/>
            <w:vAlign w:val="bottom"/>
          </w:tcPr>
          <w:p>
            <w:pPr>
              <w:ind w:left="280"/>
              <w:spacing w:after="0"/>
              <w:rPr>
                <w:sz w:val="20"/>
                <w:szCs w:val="20"/>
                <w:color w:val="auto"/>
              </w:rPr>
            </w:pPr>
            <w:r>
              <w:rPr>
                <w:rFonts w:ascii="Arial" w:cs="Arial" w:eastAsia="Arial" w:hAnsi="Arial"/>
                <w:sz w:val="13"/>
                <w:szCs w:val="13"/>
                <w:color w:val="auto"/>
              </w:rPr>
              <w:t>establishment of fill/finish facilities</w:t>
            </w:r>
          </w:p>
        </w:tc>
      </w:tr>
      <w:tr>
        <w:trPr>
          <w:trHeight w:val="165"/>
        </w:trPr>
        <w:tc>
          <w:tcPr>
            <w:tcW w:w="3920" w:type="dxa"/>
            <w:vAlign w:val="bottom"/>
          </w:tcPr>
          <w:p>
            <w:pPr>
              <w:ind w:left="780"/>
              <w:spacing w:after="0"/>
              <w:rPr>
                <w:sz w:val="20"/>
                <w:szCs w:val="20"/>
                <w:color w:val="auto"/>
              </w:rPr>
            </w:pPr>
            <w:r>
              <w:rPr>
                <w:rFonts w:ascii="Arial" w:cs="Arial" w:eastAsia="Arial" w:hAnsi="Arial"/>
                <w:sz w:val="13"/>
                <w:szCs w:val="13"/>
                <w:color w:val="auto"/>
              </w:rPr>
              <w:t>GAAP EPS forecast each projected to significantly</w:t>
            </w:r>
          </w:p>
        </w:tc>
        <w:tc>
          <w:tcPr>
            <w:tcW w:w="3440" w:type="dxa"/>
            <w:vAlign w:val="bottom"/>
          </w:tcPr>
          <w:p>
            <w:pPr>
              <w:ind w:left="1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Achieved favorable rulings with respect to, among</w:t>
            </w:r>
          </w:p>
        </w:tc>
        <w:tc>
          <w:tcPr>
            <w:tcW w:w="3880" w:type="dxa"/>
            <w:vAlign w:val="bottom"/>
          </w:tcPr>
          <w:p>
            <w:pPr>
              <w:ind w:left="1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Successfully completed transfer of products to, and</w:t>
            </w:r>
          </w:p>
        </w:tc>
      </w:tr>
      <w:tr>
        <w:trPr>
          <w:trHeight w:val="133"/>
        </w:trPr>
        <w:tc>
          <w:tcPr>
            <w:tcW w:w="3920" w:type="dxa"/>
            <w:vAlign w:val="bottom"/>
          </w:tcPr>
          <w:p>
            <w:pPr>
              <w:ind w:left="780"/>
              <w:spacing w:after="0" w:line="133" w:lineRule="exact"/>
              <w:rPr>
                <w:sz w:val="20"/>
                <w:szCs w:val="20"/>
                <w:color w:val="auto"/>
              </w:rPr>
            </w:pPr>
            <w:r>
              <w:rPr>
                <w:rFonts w:ascii="Arial" w:cs="Arial" w:eastAsia="Arial" w:hAnsi="Arial"/>
                <w:sz w:val="13"/>
                <w:szCs w:val="13"/>
                <w:color w:val="auto"/>
              </w:rPr>
              <w:t>exceed the 2021 board-approved plan</w:t>
            </w:r>
          </w:p>
        </w:tc>
        <w:tc>
          <w:tcPr>
            <w:tcW w:w="3440" w:type="dxa"/>
            <w:vAlign w:val="bottom"/>
          </w:tcPr>
          <w:p>
            <w:pPr>
              <w:ind w:left="280"/>
              <w:spacing w:after="0" w:line="133" w:lineRule="exact"/>
              <w:rPr>
                <w:sz w:val="20"/>
                <w:szCs w:val="20"/>
                <w:color w:val="auto"/>
              </w:rPr>
            </w:pPr>
            <w:r>
              <w:rPr>
                <w:rFonts w:ascii="Arial" w:cs="Arial" w:eastAsia="Arial" w:hAnsi="Arial"/>
                <w:sz w:val="13"/>
                <w:szCs w:val="13"/>
                <w:color w:val="auto"/>
              </w:rPr>
              <w:t>other matters, patent infringement proceedings in</w:t>
            </w:r>
          </w:p>
        </w:tc>
        <w:tc>
          <w:tcPr>
            <w:tcW w:w="3880" w:type="dxa"/>
            <w:vAlign w:val="bottom"/>
          </w:tcPr>
          <w:p>
            <w:pPr>
              <w:ind w:left="280"/>
              <w:spacing w:after="0" w:line="133" w:lineRule="exact"/>
              <w:rPr>
                <w:sz w:val="20"/>
                <w:szCs w:val="20"/>
                <w:color w:val="auto"/>
              </w:rPr>
            </w:pPr>
            <w:r>
              <w:rPr>
                <w:rFonts w:ascii="Arial" w:cs="Arial" w:eastAsia="Arial" w:hAnsi="Arial"/>
                <w:sz w:val="13"/>
                <w:szCs w:val="13"/>
                <w:color w:val="auto"/>
              </w:rPr>
              <w:t>inspection of, manufacturing facilities in Ireland</w:t>
            </w:r>
          </w:p>
        </w:tc>
      </w:tr>
      <w:tr>
        <w:trPr>
          <w:trHeight w:val="164"/>
        </w:trPr>
        <w:tc>
          <w:tcPr>
            <w:tcW w:w="3920" w:type="dxa"/>
            <w:vAlign w:val="bottom"/>
          </w:tcPr>
          <w:p>
            <w:pPr>
              <w:ind w:left="6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EYLEA global net product sales of $6.904 billion in</w:t>
            </w:r>
          </w:p>
        </w:tc>
        <w:tc>
          <w:tcPr>
            <w:tcW w:w="3440" w:type="dxa"/>
            <w:vAlign w:val="bottom"/>
          </w:tcPr>
          <w:p>
            <w:pPr>
              <w:ind w:left="280"/>
              <w:spacing w:after="0"/>
              <w:rPr>
                <w:sz w:val="20"/>
                <w:szCs w:val="20"/>
                <w:color w:val="auto"/>
              </w:rPr>
            </w:pPr>
            <w:r>
              <w:rPr>
                <w:rFonts w:ascii="Arial" w:cs="Arial" w:eastAsia="Arial" w:hAnsi="Arial"/>
                <w:sz w:val="13"/>
                <w:szCs w:val="13"/>
                <w:color w:val="auto"/>
              </w:rPr>
              <w:t xml:space="preserve">U.S. federal courts,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proceedings</w:t>
            </w:r>
          </w:p>
        </w:tc>
        <w:tc>
          <w:tcPr>
            <w:tcW w:w="3880" w:type="dxa"/>
            <w:vAlign w:val="bottom"/>
          </w:tcPr>
          <w:p>
            <w:pPr>
              <w:ind w:left="1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Established commercial capabilities in certain</w:t>
            </w:r>
          </w:p>
        </w:tc>
      </w:tr>
      <w:tr>
        <w:trPr>
          <w:trHeight w:val="148"/>
        </w:trPr>
        <w:tc>
          <w:tcPr>
            <w:tcW w:w="3920" w:type="dxa"/>
            <w:vAlign w:val="bottom"/>
          </w:tcPr>
          <w:p>
            <w:pPr>
              <w:ind w:left="780"/>
              <w:spacing w:after="0"/>
              <w:rPr>
                <w:sz w:val="20"/>
                <w:szCs w:val="20"/>
                <w:color w:val="auto"/>
              </w:rPr>
            </w:pPr>
            <w:r>
              <w:rPr>
                <w:rFonts w:ascii="Arial" w:cs="Arial" w:eastAsia="Arial" w:hAnsi="Arial"/>
                <w:sz w:val="13"/>
                <w:szCs w:val="13"/>
                <w:color w:val="auto"/>
              </w:rPr>
              <w:t>the first nine months of 2021 (representing 21.0%</w:t>
            </w:r>
          </w:p>
        </w:tc>
        <w:tc>
          <w:tcPr>
            <w:tcW w:w="3440" w:type="dxa"/>
            <w:vAlign w:val="bottom"/>
          </w:tcPr>
          <w:p>
            <w:pPr>
              <w:ind w:left="280"/>
              <w:spacing w:after="0"/>
              <w:rPr>
                <w:sz w:val="20"/>
                <w:szCs w:val="20"/>
                <w:color w:val="auto"/>
              </w:rPr>
            </w:pPr>
            <w:r>
              <w:rPr>
                <w:rFonts w:ascii="Arial" w:cs="Arial" w:eastAsia="Arial" w:hAnsi="Arial"/>
                <w:sz w:val="13"/>
                <w:szCs w:val="13"/>
                <w:color w:val="auto"/>
              </w:rPr>
              <w:t>before the U.S. Patent and Trademark Office,</w:t>
            </w:r>
          </w:p>
        </w:tc>
        <w:tc>
          <w:tcPr>
            <w:tcW w:w="3880" w:type="dxa"/>
            <w:vAlign w:val="bottom"/>
          </w:tcPr>
          <w:p>
            <w:pPr>
              <w:ind w:left="280"/>
              <w:spacing w:after="0"/>
              <w:rPr>
                <w:sz w:val="20"/>
                <w:szCs w:val="20"/>
                <w:color w:val="auto"/>
              </w:rPr>
            </w:pPr>
            <w:r>
              <w:rPr>
                <w:rFonts w:ascii="Arial" w:cs="Arial" w:eastAsia="Arial" w:hAnsi="Arial"/>
                <w:sz w:val="13"/>
                <w:szCs w:val="13"/>
                <w:color w:val="auto"/>
              </w:rPr>
              <w:t>jurisdictions outside the United States</w:t>
            </w:r>
          </w:p>
        </w:tc>
      </w:tr>
      <w:tr>
        <w:trPr>
          <w:trHeight w:val="133"/>
        </w:trPr>
        <w:tc>
          <w:tcPr>
            <w:tcW w:w="3920" w:type="dxa"/>
            <w:vAlign w:val="bottom"/>
          </w:tcPr>
          <w:p>
            <w:pPr>
              <w:ind w:left="780"/>
              <w:spacing w:after="0" w:line="133" w:lineRule="exact"/>
              <w:rPr>
                <w:sz w:val="20"/>
                <w:szCs w:val="20"/>
                <w:color w:val="auto"/>
              </w:rPr>
            </w:pPr>
            <w:r>
              <w:rPr>
                <w:rFonts w:ascii="Arial" w:cs="Arial" w:eastAsia="Arial" w:hAnsi="Arial"/>
                <w:sz w:val="13"/>
                <w:szCs w:val="13"/>
                <w:color w:val="auto"/>
              </w:rPr>
              <w:t>growth vs. the first nine months of 2020)</w:t>
            </w:r>
          </w:p>
        </w:tc>
        <w:tc>
          <w:tcPr>
            <w:tcW w:w="3440" w:type="dxa"/>
            <w:vAlign w:val="bottom"/>
          </w:tcPr>
          <w:p>
            <w:pPr>
              <w:ind w:left="280"/>
              <w:spacing w:after="0" w:line="133" w:lineRule="exact"/>
              <w:rPr>
                <w:sz w:val="20"/>
                <w:szCs w:val="20"/>
                <w:color w:val="auto"/>
              </w:rPr>
            </w:pPr>
            <w:r>
              <w:rPr>
                <w:rFonts w:ascii="Arial" w:cs="Arial" w:eastAsia="Arial" w:hAnsi="Arial"/>
                <w:sz w:val="13"/>
                <w:szCs w:val="13"/>
                <w:color w:val="auto"/>
              </w:rPr>
              <w:t>opposition proceedings before the European Patent</w:t>
            </w:r>
          </w:p>
        </w:tc>
        <w:tc>
          <w:tcPr>
            <w:tcW w:w="3880" w:type="dxa"/>
            <w:vAlign w:val="bottom"/>
          </w:tcPr>
          <w:p>
            <w:pPr>
              <w:spacing w:after="0"/>
              <w:rPr>
                <w:sz w:val="11"/>
                <w:szCs w:val="11"/>
                <w:color w:val="auto"/>
              </w:rPr>
            </w:pPr>
          </w:p>
        </w:tc>
      </w:tr>
      <w:tr>
        <w:trPr>
          <w:trHeight w:val="165"/>
        </w:trPr>
        <w:tc>
          <w:tcPr>
            <w:tcW w:w="3920" w:type="dxa"/>
            <w:vAlign w:val="bottom"/>
          </w:tcPr>
          <w:p>
            <w:pPr>
              <w:ind w:left="6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Latest full year U.S. EYLEA net product sales</w:t>
            </w:r>
          </w:p>
        </w:tc>
        <w:tc>
          <w:tcPr>
            <w:tcW w:w="3440" w:type="dxa"/>
            <w:vAlign w:val="bottom"/>
          </w:tcPr>
          <w:p>
            <w:pPr>
              <w:ind w:left="280"/>
              <w:spacing w:after="0"/>
              <w:rPr>
                <w:sz w:val="20"/>
                <w:szCs w:val="20"/>
                <w:color w:val="auto"/>
              </w:rPr>
            </w:pPr>
            <w:r>
              <w:rPr>
                <w:rFonts w:ascii="Arial" w:cs="Arial" w:eastAsia="Arial" w:hAnsi="Arial"/>
                <w:sz w:val="13"/>
                <w:szCs w:val="13"/>
                <w:color w:val="auto"/>
              </w:rPr>
              <w:t>Office, and proceedings before the U.S. International</w:t>
            </w:r>
          </w:p>
        </w:tc>
        <w:tc>
          <w:tcPr>
            <w:tcW w:w="3880" w:type="dxa"/>
            <w:vAlign w:val="bottom"/>
          </w:tcPr>
          <w:p>
            <w:pPr>
              <w:spacing w:after="0"/>
              <w:rPr>
                <w:sz w:val="14"/>
                <w:szCs w:val="14"/>
                <w:color w:val="auto"/>
              </w:rPr>
            </w:pPr>
          </w:p>
        </w:tc>
      </w:tr>
      <w:tr>
        <w:trPr>
          <w:trHeight w:val="148"/>
        </w:trPr>
        <w:tc>
          <w:tcPr>
            <w:tcW w:w="3920" w:type="dxa"/>
            <w:vAlign w:val="bottom"/>
          </w:tcPr>
          <w:p>
            <w:pPr>
              <w:ind w:left="780"/>
              <w:spacing w:after="0"/>
              <w:rPr>
                <w:sz w:val="20"/>
                <w:szCs w:val="20"/>
                <w:color w:val="auto"/>
              </w:rPr>
            </w:pPr>
            <w:r>
              <w:rPr>
                <w:rFonts w:ascii="Arial" w:cs="Arial" w:eastAsia="Arial" w:hAnsi="Arial"/>
                <w:sz w:val="13"/>
                <w:szCs w:val="13"/>
                <w:color w:val="auto"/>
              </w:rPr>
              <w:t>projected to increase for the ninth straight year</w:t>
            </w:r>
          </w:p>
        </w:tc>
        <w:tc>
          <w:tcPr>
            <w:tcW w:w="3440" w:type="dxa"/>
            <w:vAlign w:val="bottom"/>
          </w:tcPr>
          <w:p>
            <w:pPr>
              <w:ind w:left="280"/>
              <w:spacing w:after="0"/>
              <w:rPr>
                <w:sz w:val="20"/>
                <w:szCs w:val="20"/>
                <w:color w:val="auto"/>
              </w:rPr>
            </w:pPr>
            <w:r>
              <w:rPr>
                <w:rFonts w:ascii="Arial" w:cs="Arial" w:eastAsia="Arial" w:hAnsi="Arial"/>
                <w:sz w:val="13"/>
                <w:szCs w:val="13"/>
                <w:color w:val="auto"/>
              </w:rPr>
              <w:t>Trade Commission</w:t>
            </w:r>
          </w:p>
        </w:tc>
        <w:tc>
          <w:tcPr>
            <w:tcW w:w="3880" w:type="dxa"/>
            <w:vAlign w:val="bottom"/>
          </w:tcPr>
          <w:p>
            <w:pPr>
              <w:spacing w:after="0"/>
              <w:rPr>
                <w:sz w:val="12"/>
                <w:szCs w:val="12"/>
                <w:color w:val="auto"/>
              </w:rPr>
            </w:pPr>
          </w:p>
        </w:tc>
      </w:tr>
      <w:tr>
        <w:trPr>
          <w:trHeight w:val="133"/>
        </w:trPr>
        <w:tc>
          <w:tcPr>
            <w:tcW w:w="3920" w:type="dxa"/>
            <w:vAlign w:val="bottom"/>
          </w:tcPr>
          <w:p>
            <w:pPr>
              <w:ind w:left="780"/>
              <w:spacing w:after="0" w:line="133" w:lineRule="exact"/>
              <w:rPr>
                <w:sz w:val="20"/>
                <w:szCs w:val="20"/>
                <w:color w:val="auto"/>
              </w:rPr>
            </w:pPr>
            <w:r>
              <w:rPr>
                <w:rFonts w:ascii="Arial" w:cs="Arial" w:eastAsia="Arial" w:hAnsi="Arial"/>
                <w:sz w:val="13"/>
                <w:szCs w:val="13"/>
                <w:color w:val="auto"/>
              </w:rPr>
              <w:t>without a price increase</w:t>
            </w:r>
          </w:p>
        </w:tc>
        <w:tc>
          <w:tcPr>
            <w:tcW w:w="3440" w:type="dxa"/>
            <w:vAlign w:val="bottom"/>
          </w:tcPr>
          <w:p>
            <w:pPr>
              <w:spacing w:after="0"/>
              <w:rPr>
                <w:sz w:val="11"/>
                <w:szCs w:val="11"/>
                <w:color w:val="auto"/>
              </w:rPr>
            </w:pPr>
          </w:p>
        </w:tc>
        <w:tc>
          <w:tcPr>
            <w:tcW w:w="3880" w:type="dxa"/>
            <w:vAlign w:val="bottom"/>
          </w:tcPr>
          <w:p>
            <w:pPr>
              <w:spacing w:after="0"/>
              <w:rPr>
                <w:sz w:val="11"/>
                <w:szCs w:val="11"/>
                <w:color w:val="auto"/>
              </w:rPr>
            </w:pPr>
          </w:p>
        </w:tc>
      </w:tr>
      <w:tr>
        <w:trPr>
          <w:trHeight w:val="164"/>
        </w:trPr>
        <w:tc>
          <w:tcPr>
            <w:tcW w:w="3920" w:type="dxa"/>
            <w:vAlign w:val="bottom"/>
          </w:tcPr>
          <w:p>
            <w:pPr>
              <w:ind w:left="6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Dupixent global net product sales of $4.425 billion in</w:t>
            </w: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48"/>
        </w:trPr>
        <w:tc>
          <w:tcPr>
            <w:tcW w:w="3920" w:type="dxa"/>
            <w:vAlign w:val="bottom"/>
          </w:tcPr>
          <w:p>
            <w:pPr>
              <w:ind w:left="780"/>
              <w:spacing w:after="0"/>
              <w:rPr>
                <w:sz w:val="20"/>
                <w:szCs w:val="20"/>
                <w:color w:val="auto"/>
              </w:rPr>
            </w:pPr>
            <w:r>
              <w:rPr>
                <w:rFonts w:ascii="Arial" w:cs="Arial" w:eastAsia="Arial" w:hAnsi="Arial"/>
                <w:sz w:val="13"/>
                <w:szCs w:val="13"/>
                <w:color w:val="auto"/>
              </w:rPr>
              <w:t>the first nine months of 2021 (representing 54.0%</w:t>
            </w:r>
          </w:p>
        </w:tc>
        <w:tc>
          <w:tcPr>
            <w:tcW w:w="344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33"/>
        </w:trPr>
        <w:tc>
          <w:tcPr>
            <w:tcW w:w="3920" w:type="dxa"/>
            <w:vAlign w:val="bottom"/>
          </w:tcPr>
          <w:p>
            <w:pPr>
              <w:ind w:left="780"/>
              <w:spacing w:after="0" w:line="133" w:lineRule="exact"/>
              <w:rPr>
                <w:sz w:val="20"/>
                <w:szCs w:val="20"/>
                <w:color w:val="auto"/>
              </w:rPr>
            </w:pPr>
            <w:r>
              <w:rPr>
                <w:rFonts w:ascii="Arial" w:cs="Arial" w:eastAsia="Arial" w:hAnsi="Arial"/>
                <w:sz w:val="13"/>
                <w:szCs w:val="13"/>
                <w:color w:val="auto"/>
              </w:rPr>
              <w:t>growth vs. the first nine months of 2020)</w:t>
            </w:r>
          </w:p>
        </w:tc>
        <w:tc>
          <w:tcPr>
            <w:tcW w:w="3440" w:type="dxa"/>
            <w:vAlign w:val="bottom"/>
          </w:tcPr>
          <w:p>
            <w:pPr>
              <w:spacing w:after="0"/>
              <w:rPr>
                <w:sz w:val="11"/>
                <w:szCs w:val="11"/>
                <w:color w:val="auto"/>
              </w:rPr>
            </w:pPr>
          </w:p>
        </w:tc>
        <w:tc>
          <w:tcPr>
            <w:tcW w:w="3880" w:type="dxa"/>
            <w:vAlign w:val="bottom"/>
          </w:tcPr>
          <w:p>
            <w:pPr>
              <w:spacing w:after="0"/>
              <w:rPr>
                <w:sz w:val="11"/>
                <w:szCs w:val="11"/>
                <w:color w:val="auto"/>
              </w:rPr>
            </w:pPr>
          </w:p>
        </w:tc>
      </w:tr>
      <w:tr>
        <w:trPr>
          <w:trHeight w:val="165"/>
        </w:trPr>
        <w:tc>
          <w:tcPr>
            <w:tcW w:w="3920" w:type="dxa"/>
            <w:vAlign w:val="bottom"/>
          </w:tcPr>
          <w:p>
            <w:pPr>
              <w:ind w:left="6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Libtayo global net product sales of $337.2 million in</w:t>
            </w:r>
          </w:p>
        </w:tc>
        <w:tc>
          <w:tcPr>
            <w:tcW w:w="344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48"/>
        </w:trPr>
        <w:tc>
          <w:tcPr>
            <w:tcW w:w="3920" w:type="dxa"/>
            <w:vAlign w:val="bottom"/>
          </w:tcPr>
          <w:p>
            <w:pPr>
              <w:ind w:left="780"/>
              <w:spacing w:after="0"/>
              <w:rPr>
                <w:sz w:val="20"/>
                <w:szCs w:val="20"/>
                <w:color w:val="auto"/>
              </w:rPr>
            </w:pPr>
            <w:r>
              <w:rPr>
                <w:rFonts w:ascii="Arial" w:cs="Arial" w:eastAsia="Arial" w:hAnsi="Arial"/>
                <w:sz w:val="13"/>
                <w:szCs w:val="13"/>
                <w:color w:val="auto"/>
              </w:rPr>
              <w:t>the first nine months of 2021 (representing 34.4%</w:t>
            </w:r>
          </w:p>
        </w:tc>
        <w:tc>
          <w:tcPr>
            <w:tcW w:w="3440" w:type="dxa"/>
            <w:vAlign w:val="bottom"/>
          </w:tcPr>
          <w:p>
            <w:pPr>
              <w:spacing w:after="0"/>
              <w:rPr>
                <w:sz w:val="12"/>
                <w:szCs w:val="12"/>
                <w:color w:val="auto"/>
              </w:rPr>
            </w:pPr>
          </w:p>
        </w:tc>
        <w:tc>
          <w:tcPr>
            <w:tcW w:w="3880" w:type="dxa"/>
            <w:vAlign w:val="bottom"/>
          </w:tcPr>
          <w:p>
            <w:pPr>
              <w:spacing w:after="0"/>
              <w:rPr>
                <w:sz w:val="12"/>
                <w:szCs w:val="12"/>
                <w:color w:val="auto"/>
              </w:rPr>
            </w:pPr>
          </w:p>
        </w:tc>
      </w:tr>
      <w:tr>
        <w:trPr>
          <w:trHeight w:val="156"/>
        </w:trPr>
        <w:tc>
          <w:tcPr>
            <w:tcW w:w="3920" w:type="dxa"/>
            <w:vAlign w:val="bottom"/>
          </w:tcPr>
          <w:p>
            <w:pPr>
              <w:ind w:left="780"/>
              <w:spacing w:after="0"/>
              <w:rPr>
                <w:sz w:val="20"/>
                <w:szCs w:val="20"/>
                <w:color w:val="auto"/>
              </w:rPr>
            </w:pPr>
            <w:r>
              <w:rPr>
                <w:rFonts w:ascii="Arial" w:cs="Arial" w:eastAsia="Arial" w:hAnsi="Arial"/>
                <w:sz w:val="13"/>
                <w:szCs w:val="13"/>
                <w:color w:val="auto"/>
              </w:rPr>
              <w:t>growth vs. the first nine months of 2020)</w:t>
            </w:r>
          </w:p>
        </w:tc>
        <w:tc>
          <w:tcPr>
            <w:tcW w:w="3440" w:type="dxa"/>
            <w:vAlign w:val="bottom"/>
          </w:tcPr>
          <w:p>
            <w:pPr>
              <w:spacing w:after="0"/>
              <w:rPr>
                <w:sz w:val="13"/>
                <w:szCs w:val="13"/>
                <w:color w:val="auto"/>
              </w:rPr>
            </w:pPr>
          </w:p>
        </w:tc>
        <w:tc>
          <w:tcPr>
            <w:tcW w:w="3880" w:type="dxa"/>
            <w:vAlign w:val="bottom"/>
          </w:tcPr>
          <w:p>
            <w:pPr>
              <w:spacing w:after="0"/>
              <w:rPr>
                <w:sz w:val="13"/>
                <w:szCs w:val="13"/>
                <w:color w:val="auto"/>
              </w:rPr>
            </w:pPr>
          </w:p>
        </w:tc>
      </w:tr>
      <w:tr>
        <w:trPr>
          <w:trHeight w:val="422"/>
        </w:trPr>
        <w:tc>
          <w:tcPr>
            <w:tcW w:w="3920" w:type="dxa"/>
            <w:vAlign w:val="bottom"/>
          </w:tcPr>
          <w:p>
            <w:pPr>
              <w:spacing w:after="0"/>
              <w:rPr>
                <w:sz w:val="20"/>
                <w:szCs w:val="20"/>
                <w:color w:val="auto"/>
              </w:rPr>
            </w:pPr>
            <w:r>
              <w:rPr>
                <w:rFonts w:ascii="Arial" w:cs="Arial" w:eastAsia="Arial" w:hAnsi="Arial"/>
                <w:sz w:val="14"/>
                <w:szCs w:val="14"/>
                <w:b w:val="1"/>
                <w:bCs w:val="1"/>
                <w:color w:val="auto"/>
              </w:rPr>
              <w:t xml:space="preserve">66 </w:t>
            </w:r>
            <w:r>
              <w:rPr>
                <w:rFonts w:ascii="Arial" w:cs="Arial" w:eastAsia="Arial" w:hAnsi="Arial"/>
                <w:sz w:val="14"/>
                <w:szCs w:val="14"/>
                <w:b w:val="1"/>
                <w:bCs w:val="1"/>
                <w:color w:val="00ADEE"/>
              </w:rPr>
              <w:t>/</w:t>
            </w:r>
          </w:p>
        </w:tc>
        <w:tc>
          <w:tcPr>
            <w:tcW w:w="7320" w:type="dxa"/>
            <w:vAlign w:val="bottom"/>
            <w:gridSpan w:val="2"/>
          </w:tcPr>
          <w:p>
            <w:pPr>
              <w:ind w:left="1900"/>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r>
      <w:tr>
        <w:trPr>
          <w:trHeight w:val="262"/>
        </w:trPr>
        <w:tc>
          <w:tcPr>
            <w:tcW w:w="3920" w:type="dxa"/>
            <w:vAlign w:val="bottom"/>
            <w:tcBorders>
              <w:bottom w:val="single" w:sz="8" w:color="C0C0C0"/>
            </w:tcBorders>
          </w:tcPr>
          <w:p>
            <w:pPr>
              <w:spacing w:after="0"/>
              <w:rPr>
                <w:sz w:val="22"/>
                <w:szCs w:val="22"/>
                <w:color w:val="auto"/>
              </w:rPr>
            </w:pPr>
          </w:p>
        </w:tc>
        <w:tc>
          <w:tcPr>
            <w:tcW w:w="3440" w:type="dxa"/>
            <w:vAlign w:val="bottom"/>
            <w:tcBorders>
              <w:bottom w:val="single" w:sz="8" w:color="C0C0C0"/>
            </w:tcBorders>
          </w:tcPr>
          <w:p>
            <w:pPr>
              <w:spacing w:after="0"/>
              <w:rPr>
                <w:sz w:val="22"/>
                <w:szCs w:val="22"/>
                <w:color w:val="auto"/>
              </w:rPr>
            </w:pPr>
          </w:p>
        </w:tc>
        <w:tc>
          <w:tcPr>
            <w:tcW w:w="38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81" w:name="page82"/>
    <w:bookmarkEnd w:id="81"/>
    <w:p>
      <w:pPr>
        <w:ind w:left="470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446520" cy="1885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446520" cy="18859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FFFFFF"/>
        </w:rPr>
        <w:t>(3) TALENT, CULTURE, AND CORPORATE RESPONSIBILITY (SECONDARY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46990</wp:posOffset>
            </wp:positionV>
            <wp:extent cx="6446520" cy="5060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46520" cy="506095"/>
                    </a:xfrm>
                    <a:prstGeom prst="rect">
                      <a:avLst/>
                    </a:prstGeom>
                    <a:noFill/>
                  </pic:spPr>
                </pic:pic>
              </a:graphicData>
            </a:graphic>
          </wp:anchor>
        </w:drawing>
      </w:r>
    </w:p>
    <w:p>
      <w:pPr>
        <w:spacing w:after="0" w:line="8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15BA8"/>
        </w:rPr>
        <w:t>Talent Management &amp; Retention</w:t>
      </w:r>
    </w:p>
    <w:p>
      <w:pPr>
        <w:spacing w:after="0" w:line="63" w:lineRule="exact"/>
        <w:rPr>
          <w:sz w:val="20"/>
          <w:szCs w:val="20"/>
          <w:color w:val="auto"/>
        </w:rPr>
      </w:pPr>
    </w:p>
    <w:p>
      <w:pPr>
        <w:ind w:left="760" w:hanging="158"/>
        <w:spacing w:after="0"/>
        <w:tabs>
          <w:tab w:leader="none" w:pos="760" w:val="left"/>
        </w:tabs>
        <w:numPr>
          <w:ilvl w:val="0"/>
          <w:numId w:val="123"/>
        </w:numPr>
        <w:rPr>
          <w:rFonts w:ascii="Arial" w:cs="Arial" w:eastAsia="Arial" w:hAnsi="Arial"/>
          <w:sz w:val="13"/>
          <w:szCs w:val="13"/>
          <w:b w:val="1"/>
          <w:bCs w:val="1"/>
          <w:color w:val="215BA8"/>
        </w:rPr>
      </w:pPr>
      <w:r>
        <w:rPr>
          <w:rFonts w:ascii="Arial" w:cs="Arial" w:eastAsia="Arial" w:hAnsi="Arial"/>
          <w:sz w:val="13"/>
          <w:szCs w:val="13"/>
          <w:i w:val="1"/>
          <w:iCs w:val="1"/>
          <w:color w:val="215BA8"/>
        </w:rPr>
        <w:t>Growth of global workforce to support our long-term strategic objectives</w:t>
      </w:r>
    </w:p>
    <w:p>
      <w:pPr>
        <w:spacing w:after="0" w:line="13" w:lineRule="exact"/>
        <w:rPr>
          <w:rFonts w:ascii="Arial" w:cs="Arial" w:eastAsia="Arial" w:hAnsi="Arial"/>
          <w:sz w:val="13"/>
          <w:szCs w:val="13"/>
          <w:b w:val="1"/>
          <w:bCs w:val="1"/>
          <w:color w:val="215BA8"/>
        </w:rPr>
      </w:pPr>
    </w:p>
    <w:p>
      <w:pPr>
        <w:ind w:left="760" w:hanging="158"/>
        <w:spacing w:after="0"/>
        <w:tabs>
          <w:tab w:leader="none" w:pos="760" w:val="left"/>
        </w:tabs>
        <w:numPr>
          <w:ilvl w:val="0"/>
          <w:numId w:val="123"/>
        </w:numPr>
        <w:rPr>
          <w:rFonts w:ascii="Arial" w:cs="Arial" w:eastAsia="Arial" w:hAnsi="Arial"/>
          <w:sz w:val="13"/>
          <w:szCs w:val="13"/>
          <w:b w:val="1"/>
          <w:bCs w:val="1"/>
          <w:color w:val="215BA8"/>
        </w:rPr>
      </w:pPr>
      <w:r>
        <w:rPr>
          <w:rFonts w:ascii="Arial" w:cs="Arial" w:eastAsia="Arial" w:hAnsi="Arial"/>
          <w:sz w:val="13"/>
          <w:szCs w:val="13"/>
          <w:i w:val="1"/>
          <w:iCs w:val="1"/>
          <w:color w:val="215BA8"/>
        </w:rPr>
        <w:t>Employee retention and below-industry attrition rate</w:t>
      </w:r>
    </w:p>
    <w:p>
      <w:pPr>
        <w:ind w:left="760" w:hanging="158"/>
        <w:spacing w:after="0"/>
        <w:tabs>
          <w:tab w:leader="none" w:pos="760" w:val="left"/>
        </w:tabs>
        <w:numPr>
          <w:ilvl w:val="0"/>
          <w:numId w:val="123"/>
        </w:numPr>
        <w:rPr>
          <w:rFonts w:ascii="Arial" w:cs="Arial" w:eastAsia="Arial" w:hAnsi="Arial"/>
          <w:sz w:val="13"/>
          <w:szCs w:val="13"/>
          <w:b w:val="1"/>
          <w:bCs w:val="1"/>
          <w:color w:val="215BA8"/>
        </w:rPr>
      </w:pPr>
      <w:r>
        <w:rPr>
          <w:rFonts w:ascii="Arial" w:cs="Arial" w:eastAsia="Arial" w:hAnsi="Arial"/>
          <w:sz w:val="13"/>
          <w:szCs w:val="13"/>
          <w:i w:val="1"/>
          <w:iCs w:val="1"/>
          <w:color w:val="215BA8"/>
        </w:rPr>
        <w:t>Outside recognition and employee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1551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446520" cy="1551305"/>
                    </a:xfrm>
                    <a:prstGeom prst="rect">
                      <a:avLst/>
                    </a:prstGeom>
                    <a:noFill/>
                  </pic:spPr>
                </pic:pic>
              </a:graphicData>
            </a:graphic>
          </wp:anchor>
        </w:drawing>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Achievements/Relevant Developments in 2021:</w:t>
      </w:r>
    </w:p>
    <w:p>
      <w:pPr>
        <w:spacing w:after="0" w:line="60" w:lineRule="exact"/>
        <w:rPr>
          <w:sz w:val="20"/>
          <w:szCs w:val="20"/>
          <w:color w:val="auto"/>
        </w:rPr>
      </w:pPr>
    </w:p>
    <w:p>
      <w:pPr>
        <w:ind w:left="560"/>
        <w:spacing w:after="0"/>
        <w:tabs>
          <w:tab w:leader="none" w:pos="4020" w:val="left"/>
          <w:tab w:leader="none" w:pos="7460" w:val="left"/>
        </w:tabs>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Global company growth continued, with headcount</w:t>
      </w:r>
      <w:r>
        <w:rPr>
          <w:sz w:val="20"/>
          <w:szCs w:val="20"/>
          <w:color w:val="auto"/>
        </w:rPr>
        <w:tab/>
      </w:r>
      <w:r>
        <w:rPr>
          <w:rFonts w:ascii="Arial" w:cs="Arial" w:eastAsia="Arial" w:hAnsi="Arial"/>
          <w:sz w:val="13"/>
          <w:szCs w:val="13"/>
          <w:b w:val="1"/>
          <w:bCs w:val="1"/>
          <w:color w:val="215BA8"/>
        </w:rPr>
        <w:t xml:space="preserve">•  </w:t>
      </w:r>
      <w:r>
        <w:rPr>
          <w:rFonts w:ascii="Arial" w:cs="Arial" w:eastAsia="Arial" w:hAnsi="Arial"/>
          <w:sz w:val="13"/>
          <w:szCs w:val="13"/>
          <w:color w:val="000000"/>
        </w:rPr>
        <w:t>Earned the following accolades and rankings from</w:t>
      </w:r>
      <w:r>
        <w:rPr>
          <w:sz w:val="20"/>
          <w:szCs w:val="20"/>
          <w:color w:val="auto"/>
        </w:rPr>
        <w:tab/>
      </w:r>
      <w:r>
        <w:rPr>
          <w:rFonts w:ascii="Arial" w:cs="Arial" w:eastAsia="Arial" w:hAnsi="Arial"/>
          <w:sz w:val="13"/>
          <w:szCs w:val="13"/>
          <w:b w:val="1"/>
          <w:bCs w:val="1"/>
          <w:color w:val="215BA8"/>
        </w:rPr>
        <w:t xml:space="preserve">•  </w:t>
      </w:r>
      <w:r>
        <w:rPr>
          <w:rFonts w:ascii="Arial" w:cs="Arial" w:eastAsia="Arial" w:hAnsi="Arial"/>
          <w:sz w:val="13"/>
          <w:szCs w:val="13"/>
          <w:color w:val="000000"/>
        </w:rPr>
        <w:t>Affirmed organizational commitment to DEI by,</w:t>
      </w:r>
    </w:p>
    <w:p>
      <w:pPr>
        <w:spacing w:after="0" w:line="14" w:lineRule="exact"/>
        <w:rPr>
          <w:sz w:val="20"/>
          <w:szCs w:val="20"/>
          <w:color w:val="auto"/>
        </w:rPr>
      </w:pPr>
    </w:p>
    <w:p>
      <w:pPr>
        <w:ind w:left="720"/>
        <w:spacing w:after="0"/>
        <w:tabs>
          <w:tab w:leader="none" w:pos="4180" w:val="left"/>
          <w:tab w:leader="none" w:pos="7620" w:val="left"/>
        </w:tabs>
        <w:rPr>
          <w:sz w:val="20"/>
          <w:szCs w:val="20"/>
          <w:color w:val="auto"/>
        </w:rPr>
      </w:pPr>
      <w:r>
        <w:rPr>
          <w:rFonts w:ascii="Arial" w:cs="Arial" w:eastAsia="Arial" w:hAnsi="Arial"/>
          <w:sz w:val="13"/>
          <w:szCs w:val="13"/>
          <w:color w:val="auto"/>
        </w:rPr>
        <w:t>exceeding 10,000 employees, up 14% year-over-</w:t>
      </w:r>
      <w:r>
        <w:rPr>
          <w:sz w:val="20"/>
          <w:szCs w:val="20"/>
          <w:color w:val="auto"/>
        </w:rPr>
        <w:tab/>
      </w:r>
      <w:r>
        <w:rPr>
          <w:rFonts w:ascii="Arial" w:cs="Arial" w:eastAsia="Arial" w:hAnsi="Arial"/>
          <w:sz w:val="13"/>
          <w:szCs w:val="13"/>
          <w:color w:val="auto"/>
        </w:rPr>
        <w:t>independent organizations:</w:t>
      </w:r>
      <w:r>
        <w:rPr>
          <w:sz w:val="20"/>
          <w:szCs w:val="20"/>
          <w:color w:val="auto"/>
        </w:rPr>
        <w:tab/>
      </w:r>
      <w:r>
        <w:rPr>
          <w:rFonts w:ascii="Arial" w:cs="Arial" w:eastAsia="Arial" w:hAnsi="Arial"/>
          <w:sz w:val="13"/>
          <w:szCs w:val="13"/>
          <w:color w:val="auto"/>
        </w:rPr>
        <w:t>among other things, hiring first Chief DEI Officer and</w:t>
      </w:r>
    </w:p>
    <w:p>
      <w:pPr>
        <w:ind w:left="720"/>
        <w:spacing w:after="0"/>
        <w:tabs>
          <w:tab w:leader="none" w:pos="4200" w:val="left"/>
          <w:tab w:leader="none" w:pos="7620" w:val="left"/>
        </w:tabs>
        <w:rPr>
          <w:sz w:val="20"/>
          <w:szCs w:val="20"/>
          <w:color w:val="auto"/>
        </w:rPr>
      </w:pPr>
      <w:r>
        <w:rPr>
          <w:rFonts w:ascii="Arial" w:cs="Arial" w:eastAsia="Arial" w:hAnsi="Arial"/>
          <w:sz w:val="13"/>
          <w:szCs w:val="13"/>
          <w:color w:val="auto"/>
        </w:rPr>
        <w:t>year, while maintaining a turnover rate of less than</w:t>
      </w:r>
      <w:r>
        <w:rPr>
          <w:sz w:val="20"/>
          <w:szCs w:val="20"/>
          <w:color w:val="auto"/>
        </w:rPr>
        <w:tab/>
      </w:r>
      <w:r>
        <w:rPr>
          <w:rFonts w:ascii="Arial" w:cs="Arial" w:eastAsia="Arial" w:hAnsi="Arial"/>
          <w:sz w:val="13"/>
          <w:szCs w:val="13"/>
          <w:b w:val="1"/>
          <w:bCs w:val="1"/>
          <w:color w:val="215BA8"/>
        </w:rPr>
        <w:t xml:space="preserve">•  </w:t>
      </w:r>
      <w:r>
        <w:rPr>
          <w:rFonts w:ascii="Arial" w:cs="Arial" w:eastAsia="Arial" w:hAnsi="Arial"/>
          <w:sz w:val="13"/>
          <w:szCs w:val="13"/>
          <w:color w:val="000000"/>
        </w:rPr>
        <w:t>#4 ranking in</w:t>
      </w: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Science Magazine’s</w:t>
      </w:r>
      <w:r>
        <w:rPr>
          <w:rFonts w:ascii="Arial" w:cs="Arial" w:eastAsia="Arial" w:hAnsi="Arial"/>
          <w:sz w:val="13"/>
          <w:szCs w:val="13"/>
          <w:b w:val="1"/>
          <w:bCs w:val="1"/>
          <w:color w:val="215BA8"/>
        </w:rPr>
        <w:t xml:space="preserve"> </w:t>
      </w:r>
      <w:r>
        <w:rPr>
          <w:rFonts w:ascii="Arial" w:cs="Arial" w:eastAsia="Arial" w:hAnsi="Arial"/>
          <w:sz w:val="13"/>
          <w:szCs w:val="13"/>
          <w:color w:val="000000"/>
        </w:rPr>
        <w:t>‘Top Biopharma</w:t>
      </w:r>
      <w:r>
        <w:rPr>
          <w:sz w:val="20"/>
          <w:szCs w:val="20"/>
          <w:color w:val="auto"/>
        </w:rPr>
        <w:tab/>
      </w:r>
      <w:r>
        <w:rPr>
          <w:rFonts w:ascii="Arial" w:cs="Arial" w:eastAsia="Arial" w:hAnsi="Arial"/>
          <w:sz w:val="12"/>
          <w:szCs w:val="12"/>
          <w:color w:val="auto"/>
        </w:rPr>
        <w:t>launching first-ever DEI strategy.</w:t>
      </w:r>
    </w:p>
    <w:p>
      <w:pPr>
        <w:ind w:left="720"/>
        <w:spacing w:after="0"/>
        <w:tabs>
          <w:tab w:leader="none" w:pos="4360" w:val="left"/>
          <w:tab w:leader="none" w:pos="7460" w:val="left"/>
        </w:tabs>
        <w:rPr>
          <w:sz w:val="20"/>
          <w:szCs w:val="20"/>
          <w:color w:val="auto"/>
        </w:rPr>
      </w:pPr>
      <w:r>
        <w:rPr>
          <w:rFonts w:ascii="Arial" w:cs="Arial" w:eastAsia="Arial" w:hAnsi="Arial"/>
          <w:sz w:val="13"/>
          <w:szCs w:val="13"/>
          <w:color w:val="auto"/>
        </w:rPr>
        <w:t>half the industry average</w:t>
      </w:r>
      <w:r>
        <w:rPr>
          <w:sz w:val="20"/>
          <w:szCs w:val="20"/>
          <w:color w:val="auto"/>
        </w:rPr>
        <w:tab/>
      </w:r>
      <w:r>
        <w:rPr>
          <w:rFonts w:ascii="Arial" w:cs="Arial" w:eastAsia="Arial" w:hAnsi="Arial"/>
          <w:sz w:val="13"/>
          <w:szCs w:val="13"/>
          <w:color w:val="auto"/>
        </w:rPr>
        <w:t>Companies to Work For’</w:t>
      </w:r>
      <w:r>
        <w:rPr>
          <w:sz w:val="20"/>
          <w:szCs w:val="20"/>
          <w:color w:val="auto"/>
        </w:rPr>
        <w:tab/>
      </w:r>
      <w:r>
        <w:rPr>
          <w:rFonts w:ascii="Arial" w:cs="Arial" w:eastAsia="Arial" w:hAnsi="Arial"/>
          <w:sz w:val="13"/>
          <w:szCs w:val="13"/>
          <w:b w:val="1"/>
          <w:bCs w:val="1"/>
          <w:color w:val="215BA8"/>
        </w:rPr>
        <w:t xml:space="preserve">•  </w:t>
      </w:r>
      <w:r>
        <w:rPr>
          <w:rFonts w:ascii="Arial" w:cs="Arial" w:eastAsia="Arial" w:hAnsi="Arial"/>
          <w:sz w:val="13"/>
          <w:szCs w:val="13"/>
          <w:color w:val="000000"/>
        </w:rPr>
        <w:t>Obtained favorable results from employee</w:t>
      </w:r>
    </w:p>
    <w:p>
      <w:pPr>
        <w:ind w:left="560"/>
        <w:spacing w:after="0"/>
        <w:tabs>
          <w:tab w:leader="none" w:pos="4200" w:val="left"/>
          <w:tab w:leader="none" w:pos="7620" w:val="left"/>
        </w:tabs>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color w:val="000000"/>
        </w:rPr>
        <w:t>Hired key leadership positions for the establishment</w:t>
      </w:r>
      <w:r>
        <w:rPr>
          <w:sz w:val="20"/>
          <w:szCs w:val="20"/>
          <w:color w:val="auto"/>
        </w:rPr>
        <w:tab/>
      </w: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Fast Company’s</w:t>
      </w:r>
      <w:r>
        <w:rPr>
          <w:rFonts w:ascii="Arial" w:cs="Arial" w:eastAsia="Arial" w:hAnsi="Arial"/>
          <w:sz w:val="13"/>
          <w:szCs w:val="13"/>
          <w:b w:val="1"/>
          <w:bCs w:val="1"/>
          <w:color w:val="215BA8"/>
        </w:rPr>
        <w:t xml:space="preserve"> </w:t>
      </w:r>
      <w:r>
        <w:rPr>
          <w:rFonts w:ascii="Arial" w:cs="Arial" w:eastAsia="Arial" w:hAnsi="Arial"/>
          <w:sz w:val="13"/>
          <w:szCs w:val="13"/>
          <w:color w:val="000000"/>
        </w:rPr>
        <w:t>list of ‘Best Workplaces for</w:t>
      </w:r>
      <w:r>
        <w:rPr>
          <w:sz w:val="20"/>
          <w:szCs w:val="20"/>
          <w:color w:val="auto"/>
        </w:rPr>
        <w:tab/>
      </w:r>
      <w:r>
        <w:rPr>
          <w:rFonts w:ascii="Arial" w:cs="Arial" w:eastAsia="Arial" w:hAnsi="Arial"/>
          <w:sz w:val="13"/>
          <w:szCs w:val="13"/>
          <w:color w:val="auto"/>
        </w:rPr>
        <w:t>engagement survey, which exceeded certain</w:t>
      </w:r>
    </w:p>
    <w:p>
      <w:pPr>
        <w:ind w:left="720"/>
        <w:spacing w:after="0"/>
        <w:tabs>
          <w:tab w:leader="none" w:pos="4360" w:val="left"/>
          <w:tab w:leader="none" w:pos="7620" w:val="left"/>
        </w:tabs>
        <w:rPr>
          <w:sz w:val="20"/>
          <w:szCs w:val="20"/>
          <w:color w:val="auto"/>
        </w:rPr>
      </w:pPr>
      <w:r>
        <w:rPr>
          <w:rFonts w:ascii="Arial" w:cs="Arial" w:eastAsia="Arial" w:hAnsi="Arial"/>
          <w:sz w:val="13"/>
          <w:szCs w:val="13"/>
          <w:color w:val="auto"/>
        </w:rPr>
        <w:t>of commercial capabilities in certain jurisdictions</w:t>
      </w:r>
      <w:r>
        <w:rPr>
          <w:sz w:val="20"/>
          <w:szCs w:val="20"/>
          <w:color w:val="auto"/>
        </w:rPr>
        <w:tab/>
      </w:r>
      <w:r>
        <w:rPr>
          <w:rFonts w:ascii="Arial" w:cs="Arial" w:eastAsia="Arial" w:hAnsi="Arial"/>
          <w:sz w:val="13"/>
          <w:szCs w:val="13"/>
          <w:color w:val="auto"/>
        </w:rPr>
        <w:t>Innovators’</w:t>
      </w:r>
      <w:r>
        <w:rPr>
          <w:sz w:val="20"/>
          <w:szCs w:val="20"/>
          <w:color w:val="auto"/>
        </w:rPr>
        <w:tab/>
      </w:r>
      <w:r>
        <w:rPr>
          <w:rFonts w:ascii="Arial" w:cs="Arial" w:eastAsia="Arial" w:hAnsi="Arial"/>
          <w:sz w:val="13"/>
          <w:szCs w:val="13"/>
          <w:color w:val="auto"/>
        </w:rPr>
        <w:t>pharmaceutical industry benchmarks.</w:t>
      </w:r>
    </w:p>
    <w:p>
      <w:pPr>
        <w:ind w:left="720"/>
        <w:spacing w:after="0"/>
        <w:tabs>
          <w:tab w:leader="none" w:pos="4200" w:val="left"/>
        </w:tabs>
        <w:rPr>
          <w:sz w:val="20"/>
          <w:szCs w:val="20"/>
          <w:color w:val="auto"/>
        </w:rPr>
      </w:pPr>
      <w:r>
        <w:rPr>
          <w:rFonts w:ascii="Arial" w:cs="Arial" w:eastAsia="Arial" w:hAnsi="Arial"/>
          <w:sz w:val="13"/>
          <w:szCs w:val="13"/>
          <w:color w:val="auto"/>
        </w:rPr>
        <w:t>outside the United States</w:t>
      </w:r>
      <w:r>
        <w:rPr>
          <w:sz w:val="20"/>
          <w:szCs w:val="20"/>
          <w:color w:val="auto"/>
        </w:rPr>
        <w:tab/>
      </w: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Fortune magazine’s</w:t>
      </w:r>
      <w:r>
        <w:rPr>
          <w:rFonts w:ascii="Arial" w:cs="Arial" w:eastAsia="Arial" w:hAnsi="Arial"/>
          <w:sz w:val="13"/>
          <w:szCs w:val="13"/>
          <w:b w:val="1"/>
          <w:bCs w:val="1"/>
          <w:color w:val="215BA8"/>
        </w:rPr>
        <w:t xml:space="preserve"> </w:t>
      </w:r>
      <w:r>
        <w:rPr>
          <w:rFonts w:ascii="Arial" w:cs="Arial" w:eastAsia="Arial" w:hAnsi="Arial"/>
          <w:sz w:val="13"/>
          <w:szCs w:val="13"/>
          <w:color w:val="000000"/>
        </w:rPr>
        <w:t>list of ‘Best Companies to</w:t>
      </w:r>
    </w:p>
    <w:p>
      <w:pPr>
        <w:ind w:left="4380"/>
        <w:spacing w:after="0"/>
        <w:rPr>
          <w:sz w:val="20"/>
          <w:szCs w:val="20"/>
          <w:color w:val="auto"/>
        </w:rPr>
      </w:pPr>
      <w:r>
        <w:rPr>
          <w:rFonts w:ascii="Arial" w:cs="Arial" w:eastAsia="Arial" w:hAnsi="Arial"/>
          <w:sz w:val="13"/>
          <w:szCs w:val="13"/>
          <w:color w:val="auto"/>
        </w:rPr>
        <w:t>Work For’</w:t>
      </w:r>
    </w:p>
    <w:p>
      <w:pPr>
        <w:ind w:left="42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Great Places to Work</w:t>
      </w:r>
      <w:r>
        <w:rPr>
          <w:rFonts w:ascii="Arial" w:cs="Arial" w:eastAsia="Arial" w:hAnsi="Arial"/>
          <w:sz w:val="13"/>
          <w:szCs w:val="13"/>
          <w:color w:val="000000"/>
        </w:rPr>
        <w:t>: ‘Best Workplaces in</w:t>
      </w:r>
    </w:p>
    <w:p>
      <w:pPr>
        <w:ind w:left="4380"/>
        <w:spacing w:after="0"/>
        <w:rPr>
          <w:sz w:val="20"/>
          <w:szCs w:val="20"/>
          <w:color w:val="auto"/>
        </w:rPr>
      </w:pPr>
      <w:r>
        <w:rPr>
          <w:rFonts w:ascii="Arial" w:cs="Arial" w:eastAsia="Arial" w:hAnsi="Arial"/>
          <w:sz w:val="13"/>
          <w:szCs w:val="13"/>
          <w:color w:val="auto"/>
        </w:rPr>
        <w:t>Ireland’</w:t>
      </w:r>
    </w:p>
    <w:p>
      <w:pPr>
        <w:ind w:left="42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Forbes</w:t>
      </w:r>
      <w:r>
        <w:rPr>
          <w:rFonts w:ascii="Arial" w:cs="Arial" w:eastAsia="Arial" w:hAnsi="Arial"/>
          <w:sz w:val="13"/>
          <w:szCs w:val="13"/>
          <w:color w:val="000000"/>
        </w:rPr>
        <w:t>: America’s Best-in-State Employers, New</w:t>
      </w:r>
    </w:p>
    <w:p>
      <w:pPr>
        <w:ind w:left="4380"/>
        <w:spacing w:after="0"/>
        <w:rPr>
          <w:sz w:val="20"/>
          <w:szCs w:val="20"/>
          <w:color w:val="auto"/>
        </w:rPr>
      </w:pPr>
      <w:r>
        <w:rPr>
          <w:rFonts w:ascii="Arial" w:cs="Arial" w:eastAsia="Arial" w:hAnsi="Arial"/>
          <w:sz w:val="13"/>
          <w:szCs w:val="13"/>
          <w:color w:val="auto"/>
        </w:rPr>
        <w:t>York</w:t>
      </w:r>
    </w:p>
    <w:p>
      <w:pPr>
        <w:ind w:left="42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IDEA Pharma</w:t>
      </w:r>
      <w:r>
        <w:rPr>
          <w:rFonts w:ascii="Arial" w:cs="Arial" w:eastAsia="Arial" w:hAnsi="Arial"/>
          <w:sz w:val="13"/>
          <w:szCs w:val="13"/>
          <w:color w:val="000000"/>
        </w:rPr>
        <w:t>: Pharmaceutical Invention Index</w:t>
      </w:r>
    </w:p>
    <w:p>
      <w:pPr>
        <w:ind w:left="4220"/>
        <w:spacing w:after="0"/>
        <w:rPr>
          <w:sz w:val="20"/>
          <w:szCs w:val="20"/>
          <w:color w:val="auto"/>
        </w:rPr>
      </w:pPr>
      <w:r>
        <w:rPr>
          <w:rFonts w:ascii="Arial" w:cs="Arial" w:eastAsia="Arial" w:hAnsi="Arial"/>
          <w:sz w:val="13"/>
          <w:szCs w:val="13"/>
          <w:b w:val="1"/>
          <w:bCs w:val="1"/>
          <w:color w:val="215BA8"/>
        </w:rPr>
        <w:t xml:space="preserve">•  </w:t>
      </w:r>
      <w:r>
        <w:rPr>
          <w:rFonts w:ascii="Arial" w:cs="Arial" w:eastAsia="Arial" w:hAnsi="Arial"/>
          <w:sz w:val="13"/>
          <w:szCs w:val="13"/>
          <w:i w:val="1"/>
          <w:iCs w:val="1"/>
          <w:color w:val="000000"/>
        </w:rPr>
        <w:t>Bio-IT World</w:t>
      </w:r>
      <w:r>
        <w:rPr>
          <w:rFonts w:ascii="Arial" w:cs="Arial" w:eastAsia="Arial" w:hAnsi="Arial"/>
          <w:sz w:val="13"/>
          <w:szCs w:val="13"/>
          <w:color w:val="000000"/>
        </w:rPr>
        <w:t>: Innovative Practices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514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46520" cy="514350"/>
                    </a:xfrm>
                    <a:prstGeom prst="rect">
                      <a:avLst/>
                    </a:prstGeom>
                    <a:noFill/>
                  </pic:spPr>
                </pic:pic>
              </a:graphicData>
            </a:graphic>
          </wp:anchor>
        </w:drawing>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215BA8"/>
        </w:rPr>
        <w:t>Corporate Responsibility</w:t>
      </w:r>
    </w:p>
    <w:p>
      <w:pPr>
        <w:spacing w:after="0" w:line="63" w:lineRule="exact"/>
        <w:rPr>
          <w:sz w:val="20"/>
          <w:szCs w:val="20"/>
          <w:color w:val="auto"/>
        </w:rPr>
      </w:pPr>
    </w:p>
    <w:p>
      <w:pPr>
        <w:ind w:left="760" w:hanging="158"/>
        <w:spacing w:after="0"/>
        <w:tabs>
          <w:tab w:leader="none" w:pos="760" w:val="left"/>
        </w:tabs>
        <w:numPr>
          <w:ilvl w:val="0"/>
          <w:numId w:val="124"/>
        </w:numPr>
        <w:rPr>
          <w:rFonts w:ascii="Arial" w:cs="Arial" w:eastAsia="Arial" w:hAnsi="Arial"/>
          <w:sz w:val="13"/>
          <w:szCs w:val="13"/>
          <w:b w:val="1"/>
          <w:bCs w:val="1"/>
          <w:color w:val="215BA8"/>
        </w:rPr>
      </w:pPr>
      <w:r>
        <w:rPr>
          <w:rFonts w:ascii="Arial" w:cs="Arial" w:eastAsia="Arial" w:hAnsi="Arial"/>
          <w:sz w:val="13"/>
          <w:szCs w:val="13"/>
          <w:i w:val="1"/>
          <w:iCs w:val="1"/>
          <w:color w:val="215BA8"/>
        </w:rPr>
        <w:t>ESG activities, reporting, ratings, and rankings</w:t>
      </w:r>
    </w:p>
    <w:p>
      <w:pPr>
        <w:spacing w:after="0" w:line="13" w:lineRule="exact"/>
        <w:rPr>
          <w:rFonts w:ascii="Arial" w:cs="Arial" w:eastAsia="Arial" w:hAnsi="Arial"/>
          <w:sz w:val="13"/>
          <w:szCs w:val="13"/>
          <w:b w:val="1"/>
          <w:bCs w:val="1"/>
          <w:color w:val="215BA8"/>
        </w:rPr>
      </w:pPr>
    </w:p>
    <w:p>
      <w:pPr>
        <w:ind w:left="760" w:hanging="158"/>
        <w:spacing w:after="0"/>
        <w:tabs>
          <w:tab w:leader="none" w:pos="760" w:val="left"/>
        </w:tabs>
        <w:numPr>
          <w:ilvl w:val="0"/>
          <w:numId w:val="124"/>
        </w:numPr>
        <w:rPr>
          <w:rFonts w:ascii="Arial" w:cs="Arial" w:eastAsia="Arial" w:hAnsi="Arial"/>
          <w:sz w:val="13"/>
          <w:szCs w:val="13"/>
          <w:b w:val="1"/>
          <w:bCs w:val="1"/>
          <w:color w:val="215BA8"/>
        </w:rPr>
      </w:pPr>
      <w:r>
        <w:rPr>
          <w:rFonts w:ascii="Arial" w:cs="Arial" w:eastAsia="Arial" w:hAnsi="Arial"/>
          <w:sz w:val="13"/>
          <w:szCs w:val="13"/>
          <w:i w:val="1"/>
          <w:iCs w:val="1"/>
          <w:color w:val="215BA8"/>
        </w:rPr>
        <w:t>Corporate giving</w:t>
      </w:r>
    </w:p>
    <w:p>
      <w:pPr>
        <w:ind w:left="760" w:hanging="158"/>
        <w:spacing w:after="0"/>
        <w:tabs>
          <w:tab w:leader="none" w:pos="760" w:val="left"/>
        </w:tabs>
        <w:numPr>
          <w:ilvl w:val="0"/>
          <w:numId w:val="124"/>
        </w:numPr>
        <w:rPr>
          <w:rFonts w:ascii="Arial" w:cs="Arial" w:eastAsia="Arial" w:hAnsi="Arial"/>
          <w:sz w:val="13"/>
          <w:szCs w:val="13"/>
          <w:b w:val="1"/>
          <w:bCs w:val="1"/>
          <w:color w:val="215BA8"/>
        </w:rPr>
      </w:pPr>
      <w:r>
        <w:rPr>
          <w:rFonts w:ascii="Arial" w:cs="Arial" w:eastAsia="Arial" w:hAnsi="Arial"/>
          <w:sz w:val="13"/>
          <w:szCs w:val="13"/>
          <w:i w:val="1"/>
          <w:iCs w:val="1"/>
          <w:color w:val="215BA8"/>
        </w:rPr>
        <w:t>Philanthropic and citizenship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31750</wp:posOffset>
            </wp:positionV>
            <wp:extent cx="6446520" cy="30600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46520" cy="3060065"/>
                    </a:xfrm>
                    <a:prstGeom prst="rect">
                      <a:avLst/>
                    </a:prstGeom>
                    <a:noFill/>
                  </pic:spPr>
                </pic:pic>
              </a:graphicData>
            </a:graphic>
          </wp:anchor>
        </w:drawing>
      </w:r>
    </w:p>
    <w:p>
      <w:pPr>
        <w:spacing w:after="0" w:line="6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Achievements/Relevant Developments in 2021:</w:t>
      </w:r>
    </w:p>
    <w:p>
      <w:pPr>
        <w:sectPr>
          <w:pgSz w:w="11900" w:h="16838" w:orient="portrait"/>
          <w:cols w:equalWidth="0" w:num="1">
            <w:col w:w="11240"/>
          </w:cols>
          <w:pgMar w:left="320" w:top="410" w:right="339" w:bottom="1440" w:gutter="0" w:footer="0" w:header="0"/>
          <w:type w:val="continuous"/>
        </w:sectPr>
      </w:pPr>
    </w:p>
    <w:p>
      <w:pPr>
        <w:spacing w:after="0" w:line="76" w:lineRule="exact"/>
        <w:rPr>
          <w:sz w:val="20"/>
          <w:szCs w:val="20"/>
          <w:color w:val="auto"/>
        </w:rPr>
      </w:pPr>
    </w:p>
    <w:p>
      <w:pPr>
        <w:ind w:left="780" w:hanging="160"/>
        <w:spacing w:after="0" w:line="238" w:lineRule="auto"/>
        <w:tabs>
          <w:tab w:leader="none" w:pos="772" w:val="left"/>
        </w:tabs>
        <w:numPr>
          <w:ilvl w:val="0"/>
          <w:numId w:val="125"/>
        </w:numPr>
        <w:rPr>
          <w:rFonts w:ascii="Arial" w:cs="Arial" w:eastAsia="Arial" w:hAnsi="Arial"/>
          <w:sz w:val="13"/>
          <w:szCs w:val="13"/>
          <w:b w:val="1"/>
          <w:bCs w:val="1"/>
          <w:color w:val="215BA8"/>
        </w:rPr>
      </w:pPr>
      <w:r>
        <w:rPr>
          <w:rFonts w:ascii="Arial" w:cs="Arial" w:eastAsia="Arial" w:hAnsi="Arial"/>
          <w:sz w:val="13"/>
          <w:szCs w:val="13"/>
          <w:color w:val="auto"/>
        </w:rPr>
        <w:t>As part of commitment to DEI, established new, long-term non-profit partnerships to support social justice efforts</w:t>
      </w:r>
    </w:p>
    <w:p>
      <w:pPr>
        <w:jc w:val="both"/>
        <w:ind w:left="780" w:right="60" w:hanging="160"/>
        <w:spacing w:after="0" w:line="238" w:lineRule="auto"/>
        <w:tabs>
          <w:tab w:leader="none" w:pos="772" w:val="left"/>
        </w:tabs>
        <w:numPr>
          <w:ilvl w:val="0"/>
          <w:numId w:val="125"/>
        </w:numPr>
        <w:rPr>
          <w:rFonts w:ascii="Arial" w:cs="Arial" w:eastAsia="Arial" w:hAnsi="Arial"/>
          <w:sz w:val="13"/>
          <w:szCs w:val="13"/>
          <w:b w:val="1"/>
          <w:bCs w:val="1"/>
          <w:color w:val="215BA8"/>
        </w:rPr>
      </w:pPr>
      <w:r>
        <w:rPr>
          <w:rFonts w:ascii="Arial" w:cs="Arial" w:eastAsia="Arial" w:hAnsi="Arial"/>
          <w:sz w:val="13"/>
          <w:szCs w:val="13"/>
          <w:color w:val="auto"/>
        </w:rPr>
        <w:t>Continued to invest in long-term talent pipeline of students from underrepresented groups in STEM fields</w:t>
      </w:r>
    </w:p>
    <w:p>
      <w:pPr>
        <w:jc w:val="both"/>
        <w:ind w:left="780" w:right="340" w:hanging="160"/>
        <w:spacing w:after="0" w:line="289" w:lineRule="auto"/>
        <w:tabs>
          <w:tab w:leader="none" w:pos="772" w:val="left"/>
        </w:tabs>
        <w:numPr>
          <w:ilvl w:val="0"/>
          <w:numId w:val="125"/>
        </w:numPr>
        <w:rPr>
          <w:rFonts w:ascii="Arial" w:cs="Arial" w:eastAsia="Arial" w:hAnsi="Arial"/>
          <w:sz w:val="12"/>
          <w:szCs w:val="12"/>
          <w:b w:val="1"/>
          <w:bCs w:val="1"/>
          <w:color w:val="215BA8"/>
        </w:rPr>
      </w:pPr>
      <w:r>
        <w:rPr>
          <w:rFonts w:ascii="Arial" w:cs="Arial" w:eastAsia="Arial" w:hAnsi="Arial"/>
          <w:sz w:val="12"/>
          <w:szCs w:val="12"/>
          <w:color w:val="auto"/>
        </w:rPr>
        <w:t>Virtual Regeneron International Science and Engineering Fair reached 1,779 competitors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165" w:right="220" w:hanging="165"/>
        <w:spacing w:after="0" w:line="249" w:lineRule="auto"/>
        <w:tabs>
          <w:tab w:leader="none" w:pos="157" w:val="left"/>
        </w:tabs>
        <w:numPr>
          <w:ilvl w:val="0"/>
          <w:numId w:val="126"/>
        </w:numPr>
        <w:rPr>
          <w:rFonts w:ascii="Arial" w:cs="Arial" w:eastAsia="Arial" w:hAnsi="Arial"/>
          <w:sz w:val="13"/>
          <w:szCs w:val="13"/>
          <w:b w:val="1"/>
          <w:bCs w:val="1"/>
          <w:color w:val="215BA8"/>
        </w:rPr>
      </w:pPr>
      <w:r>
        <w:rPr>
          <w:rFonts w:ascii="Arial" w:cs="Arial" w:eastAsia="Arial" w:hAnsi="Arial"/>
          <w:sz w:val="13"/>
          <w:szCs w:val="13"/>
          <w:i w:val="1"/>
          <w:iCs w:val="1"/>
          <w:color w:val="auto"/>
        </w:rPr>
        <w:t xml:space="preserve">Science News </w:t>
      </w:r>
      <w:r>
        <w:rPr>
          <w:rFonts w:ascii="Arial" w:cs="Arial" w:eastAsia="Arial" w:hAnsi="Arial"/>
          <w:sz w:val="13"/>
          <w:szCs w:val="13"/>
          <w:color w:val="auto"/>
        </w:rPr>
        <w:t>in High Schools program reached</w:t>
      </w:r>
      <w:r>
        <w:rPr>
          <w:rFonts w:ascii="Arial" w:cs="Arial" w:eastAsia="Arial" w:hAnsi="Arial"/>
          <w:sz w:val="13"/>
          <w:szCs w:val="13"/>
          <w:i w:val="1"/>
          <w:iCs w:val="1"/>
          <w:color w:val="auto"/>
        </w:rPr>
        <w:t xml:space="preserve"> </w:t>
      </w:r>
      <w:r>
        <w:rPr>
          <w:rFonts w:ascii="Arial" w:cs="Arial" w:eastAsia="Arial" w:hAnsi="Arial"/>
          <w:sz w:val="13"/>
          <w:szCs w:val="13"/>
          <w:color w:val="auto"/>
        </w:rPr>
        <w:t>over 17,000 high school educators</w:t>
      </w:r>
    </w:p>
    <w:p>
      <w:pPr>
        <w:ind w:left="165" w:right="280" w:hanging="165"/>
        <w:spacing w:after="0" w:line="238" w:lineRule="auto"/>
        <w:tabs>
          <w:tab w:leader="none" w:pos="157" w:val="left"/>
        </w:tabs>
        <w:numPr>
          <w:ilvl w:val="0"/>
          <w:numId w:val="126"/>
        </w:numPr>
        <w:rPr>
          <w:rFonts w:ascii="Arial" w:cs="Arial" w:eastAsia="Arial" w:hAnsi="Arial"/>
          <w:sz w:val="13"/>
          <w:szCs w:val="13"/>
          <w:b w:val="1"/>
          <w:bCs w:val="1"/>
          <w:color w:val="215BA8"/>
        </w:rPr>
      </w:pPr>
      <w:r>
        <w:rPr>
          <w:rFonts w:ascii="Arial" w:cs="Arial" w:eastAsia="Arial" w:hAnsi="Arial"/>
          <w:sz w:val="13"/>
          <w:szCs w:val="13"/>
          <w:color w:val="auto"/>
        </w:rPr>
        <w:t>66 mentors to students from underrepresented groups supported through Research Advocates program</w:t>
      </w:r>
    </w:p>
    <w:p>
      <w:pPr>
        <w:ind w:left="165" w:hanging="165"/>
        <w:spacing w:after="0" w:line="238" w:lineRule="auto"/>
        <w:tabs>
          <w:tab w:leader="none" w:pos="157" w:val="left"/>
        </w:tabs>
        <w:numPr>
          <w:ilvl w:val="0"/>
          <w:numId w:val="126"/>
        </w:numPr>
        <w:rPr>
          <w:rFonts w:ascii="Arial" w:cs="Arial" w:eastAsia="Arial" w:hAnsi="Arial"/>
          <w:sz w:val="13"/>
          <w:szCs w:val="13"/>
          <w:b w:val="1"/>
          <w:bCs w:val="1"/>
          <w:color w:val="215BA8"/>
        </w:rPr>
      </w:pPr>
      <w:r>
        <w:rPr>
          <w:rFonts w:ascii="Arial" w:cs="Arial" w:eastAsia="Arial" w:hAnsi="Arial"/>
          <w:sz w:val="13"/>
          <w:szCs w:val="13"/>
          <w:color w:val="auto"/>
        </w:rPr>
        <w:t>Completed first Task Force on Climate-related Financial Disclosures (“TCFD”) climate scenario analysis and published accompanying TCFD Report</w:t>
      </w:r>
    </w:p>
    <w:p>
      <w:pPr>
        <w:ind w:left="165" w:right="40" w:hanging="165"/>
        <w:spacing w:after="0" w:line="241" w:lineRule="auto"/>
        <w:tabs>
          <w:tab w:leader="none" w:pos="157" w:val="left"/>
        </w:tabs>
        <w:numPr>
          <w:ilvl w:val="0"/>
          <w:numId w:val="126"/>
        </w:numPr>
        <w:rPr>
          <w:rFonts w:ascii="Arial" w:cs="Arial" w:eastAsia="Arial" w:hAnsi="Arial"/>
          <w:sz w:val="13"/>
          <w:szCs w:val="13"/>
          <w:b w:val="1"/>
          <w:bCs w:val="1"/>
          <w:color w:val="215BA8"/>
        </w:rPr>
      </w:pPr>
      <w:r>
        <w:rPr>
          <w:rFonts w:ascii="Arial" w:cs="Arial" w:eastAsia="Arial" w:hAnsi="Arial"/>
          <w:sz w:val="13"/>
          <w:szCs w:val="13"/>
          <w:color w:val="auto"/>
        </w:rPr>
        <w:t>Engaged public health agencies, government and non-governmental agencies, and others to help facilitate access to Regeneron’s Ebola and COVID-19 treatments in low- and lower-middle-income countries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162" w:right="72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color w:val="auto"/>
        </w:rPr>
        <w:t>Earned the following accolades and rankings from independent organizations:</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Dow Jones Sustainability World Index (2021)</w:t>
      </w:r>
    </w:p>
    <w:p>
      <w:pPr>
        <w:ind w:left="162" w:right="86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Dow Jones Sustainability North American Index (2021)</w:t>
      </w:r>
    </w:p>
    <w:p>
      <w:pPr>
        <w:ind w:left="162" w:right="58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Civic 50</w:t>
      </w:r>
      <w:r>
        <w:rPr>
          <w:rFonts w:ascii="Arial" w:cs="Arial" w:eastAsia="Arial" w:hAnsi="Arial"/>
          <w:sz w:val="13"/>
          <w:szCs w:val="13"/>
          <w:color w:val="auto"/>
        </w:rPr>
        <w:t>: Most Community-Minded Companies in the</w:t>
      </w:r>
      <w:r>
        <w:rPr>
          <w:rFonts w:ascii="Arial" w:cs="Arial" w:eastAsia="Arial" w:hAnsi="Arial"/>
          <w:sz w:val="13"/>
          <w:szCs w:val="13"/>
          <w:i w:val="1"/>
          <w:iCs w:val="1"/>
          <w:color w:val="auto"/>
        </w:rPr>
        <w:t xml:space="preserve"> </w:t>
      </w:r>
      <w:r>
        <w:rPr>
          <w:rFonts w:ascii="Arial" w:cs="Arial" w:eastAsia="Arial" w:hAnsi="Arial"/>
          <w:sz w:val="13"/>
          <w:szCs w:val="13"/>
          <w:color w:val="auto"/>
        </w:rPr>
        <w:t>Nation</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Newsweek</w:t>
      </w:r>
      <w:r>
        <w:rPr>
          <w:rFonts w:ascii="Arial" w:cs="Arial" w:eastAsia="Arial" w:hAnsi="Arial"/>
          <w:sz w:val="13"/>
          <w:szCs w:val="13"/>
          <w:color w:val="auto"/>
        </w:rPr>
        <w:t>: America’s Most Responsible Companies</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Fortune</w:t>
      </w:r>
      <w:r>
        <w:rPr>
          <w:rFonts w:ascii="Arial" w:cs="Arial" w:eastAsia="Arial" w:hAnsi="Arial"/>
          <w:sz w:val="13"/>
          <w:szCs w:val="13"/>
          <w:color w:val="auto"/>
        </w:rPr>
        <w:t>: Change the World</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Forbes</w:t>
      </w:r>
      <w:r>
        <w:rPr>
          <w:rFonts w:ascii="Arial" w:cs="Arial" w:eastAsia="Arial" w:hAnsi="Arial"/>
          <w:sz w:val="13"/>
          <w:szCs w:val="13"/>
          <w:color w:val="auto"/>
        </w:rPr>
        <w:t>: JUST 100 List</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3BL</w:t>
      </w:r>
      <w:r>
        <w:rPr>
          <w:rFonts w:ascii="Arial" w:cs="Arial" w:eastAsia="Arial" w:hAnsi="Arial"/>
          <w:sz w:val="13"/>
          <w:szCs w:val="13"/>
          <w:color w:val="auto"/>
        </w:rPr>
        <w:t>: 100 Best Corporate Citizens</w:t>
      </w:r>
    </w:p>
    <w:p>
      <w:pPr>
        <w:ind w:left="162" w:right="78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 xml:space="preserve">Fast Company </w:t>
      </w:r>
      <w:r>
        <w:rPr>
          <w:rFonts w:ascii="Arial" w:cs="Arial" w:eastAsia="Arial" w:hAnsi="Arial"/>
          <w:sz w:val="13"/>
          <w:szCs w:val="13"/>
          <w:color w:val="auto"/>
        </w:rPr>
        <w:t>World Changing Ideas: Pandemic</w:t>
      </w:r>
      <w:r>
        <w:rPr>
          <w:rFonts w:ascii="Arial" w:cs="Arial" w:eastAsia="Arial" w:hAnsi="Arial"/>
          <w:sz w:val="13"/>
          <w:szCs w:val="13"/>
          <w:i w:val="1"/>
          <w:iCs w:val="1"/>
          <w:color w:val="auto"/>
        </w:rPr>
        <w:t xml:space="preserve"> </w:t>
      </w:r>
      <w:r>
        <w:rPr>
          <w:rFonts w:ascii="Arial" w:cs="Arial" w:eastAsia="Arial" w:hAnsi="Arial"/>
          <w:sz w:val="13"/>
          <w:szCs w:val="13"/>
          <w:color w:val="auto"/>
        </w:rPr>
        <w:t>Response</w:t>
      </w:r>
    </w:p>
    <w:p>
      <w:pPr>
        <w:ind w:left="162" w:right="58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Healthcare Distribution Alliance</w:t>
      </w:r>
      <w:r>
        <w:rPr>
          <w:rFonts w:ascii="Arial" w:cs="Arial" w:eastAsia="Arial" w:hAnsi="Arial"/>
          <w:sz w:val="13"/>
          <w:szCs w:val="13"/>
          <w:color w:val="auto"/>
        </w:rPr>
        <w:t>: Distribution Industry</w:t>
      </w:r>
      <w:r>
        <w:rPr>
          <w:rFonts w:ascii="Arial" w:cs="Arial" w:eastAsia="Arial" w:hAnsi="Arial"/>
          <w:sz w:val="13"/>
          <w:szCs w:val="13"/>
          <w:i w:val="1"/>
          <w:iCs w:val="1"/>
          <w:color w:val="auto"/>
        </w:rPr>
        <w:t xml:space="preserve"> </w:t>
      </w:r>
      <w:r>
        <w:rPr>
          <w:rFonts w:ascii="Arial" w:cs="Arial" w:eastAsia="Arial" w:hAnsi="Arial"/>
          <w:sz w:val="13"/>
          <w:szCs w:val="13"/>
          <w:color w:val="auto"/>
        </w:rPr>
        <w:t>Award for Notable Achievements in Healthcare ‘DIANA’</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 xml:space="preserve">PM360 Elite Award </w:t>
      </w:r>
      <w:r>
        <w:rPr>
          <w:rFonts w:ascii="Arial" w:cs="Arial" w:eastAsia="Arial" w:hAnsi="Arial"/>
          <w:sz w:val="13"/>
          <w:szCs w:val="13"/>
          <w:color w:val="auto"/>
        </w:rPr>
        <w:t>- COVID Heroes</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 xml:space="preserve">Prix Galien’s </w:t>
      </w:r>
      <w:r>
        <w:rPr>
          <w:rFonts w:ascii="Arial" w:cs="Arial" w:eastAsia="Arial" w:hAnsi="Arial"/>
          <w:sz w:val="13"/>
          <w:szCs w:val="13"/>
          <w:color w:val="auto"/>
        </w:rPr>
        <w:t>Roy Vagelos Humanitarian Award for</w:t>
      </w:r>
    </w:p>
    <w:p>
      <w:pPr>
        <w:ind w:left="162"/>
        <w:spacing w:after="0"/>
        <w:rPr>
          <w:rFonts w:ascii="Arial" w:cs="Arial" w:eastAsia="Arial" w:hAnsi="Arial"/>
          <w:sz w:val="13"/>
          <w:szCs w:val="13"/>
          <w:b w:val="1"/>
          <w:bCs w:val="1"/>
          <w:color w:val="215BA8"/>
        </w:rPr>
      </w:pPr>
      <w:r>
        <w:rPr>
          <w:rFonts w:ascii="Arial" w:cs="Arial" w:eastAsia="Arial" w:hAnsi="Arial"/>
          <w:sz w:val="13"/>
          <w:szCs w:val="13"/>
          <w:color w:val="auto"/>
        </w:rPr>
        <w:t>REGEN-COV</w:t>
      </w:r>
    </w:p>
    <w:p>
      <w:pPr>
        <w:ind w:left="162" w:right="60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 xml:space="preserve">Scrip COVID-19 Pandemic Special Recognition Award for Clinical Advance of the Year </w:t>
      </w:r>
      <w:r>
        <w:rPr>
          <w:rFonts w:ascii="Arial" w:cs="Arial" w:eastAsia="Arial" w:hAnsi="Arial"/>
          <w:sz w:val="13"/>
          <w:szCs w:val="13"/>
          <w:color w:val="auto"/>
        </w:rPr>
        <w:t>(finalist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REGEN-COV) </w:t>
      </w:r>
      <w:r>
        <w:rPr>
          <w:rFonts w:ascii="Arial" w:cs="Arial" w:eastAsia="Arial" w:hAnsi="Arial"/>
          <w:sz w:val="13"/>
          <w:szCs w:val="13"/>
          <w:i w:val="1"/>
          <w:iCs w:val="1"/>
          <w:color w:val="auto"/>
        </w:rPr>
        <w:t xml:space="preserve">and Best New Drug of the Year–non-COVID-19 </w:t>
      </w:r>
      <w:r>
        <w:rPr>
          <w:rFonts w:ascii="Arial" w:cs="Arial" w:eastAsia="Arial" w:hAnsi="Arial"/>
          <w:sz w:val="13"/>
          <w:szCs w:val="13"/>
          <w:color w:val="auto"/>
        </w:rPr>
        <w:t>(finalist for Inmazeb)</w:t>
      </w:r>
    </w:p>
    <w:p>
      <w:pPr>
        <w:spacing w:after="0" w:line="1" w:lineRule="exact"/>
        <w:rPr>
          <w:rFonts w:ascii="Arial" w:cs="Arial" w:eastAsia="Arial" w:hAnsi="Arial"/>
          <w:sz w:val="13"/>
          <w:szCs w:val="13"/>
          <w:b w:val="1"/>
          <w:bCs w:val="1"/>
          <w:color w:val="215BA8"/>
        </w:rPr>
      </w:pPr>
    </w:p>
    <w:p>
      <w:pPr>
        <w:ind w:left="162" w:right="68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 xml:space="preserve">Reuters Global Pharma Awards, Breakthrough/Discovery </w:t>
      </w:r>
      <w:r>
        <w:rPr>
          <w:rFonts w:ascii="Arial" w:cs="Arial" w:eastAsia="Arial" w:hAnsi="Arial"/>
          <w:sz w:val="13"/>
          <w:szCs w:val="13"/>
          <w:color w:val="auto"/>
        </w:rPr>
        <w:t>(winner for REGEN-COV)</w:t>
      </w:r>
      <w:r>
        <w:rPr>
          <w:rFonts w:ascii="Arial" w:cs="Arial" w:eastAsia="Arial" w:hAnsi="Arial"/>
          <w:sz w:val="13"/>
          <w:szCs w:val="13"/>
          <w:i w:val="1"/>
          <w:iCs w:val="1"/>
          <w:color w:val="auto"/>
        </w:rPr>
        <w:t xml:space="preserve"> and Collaboration </w:t>
      </w:r>
      <w:r>
        <w:rPr>
          <w:rFonts w:ascii="Arial" w:cs="Arial" w:eastAsia="Arial" w:hAnsi="Arial"/>
          <w:sz w:val="13"/>
          <w:szCs w:val="13"/>
          <w:color w:val="auto"/>
        </w:rPr>
        <w:t>(finalist for REGEN-COV with</w:t>
      </w:r>
      <w:r>
        <w:rPr>
          <w:rFonts w:ascii="Arial" w:cs="Arial" w:eastAsia="Arial" w:hAnsi="Arial"/>
          <w:sz w:val="13"/>
          <w:szCs w:val="13"/>
          <w:i w:val="1"/>
          <w:iCs w:val="1"/>
          <w:color w:val="auto"/>
        </w:rPr>
        <w:t xml:space="preserve"> </w:t>
      </w:r>
      <w:r>
        <w:rPr>
          <w:rFonts w:ascii="Arial" w:cs="Arial" w:eastAsia="Arial" w:hAnsi="Arial"/>
          <w:sz w:val="13"/>
          <w:szCs w:val="13"/>
          <w:color w:val="auto"/>
        </w:rPr>
        <w:t>Roche)</w:t>
      </w:r>
    </w:p>
    <w:p>
      <w:pPr>
        <w:spacing w:after="0" w:line="1" w:lineRule="exact"/>
        <w:rPr>
          <w:rFonts w:ascii="Arial" w:cs="Arial" w:eastAsia="Arial" w:hAnsi="Arial"/>
          <w:sz w:val="13"/>
          <w:szCs w:val="13"/>
          <w:b w:val="1"/>
          <w:bCs w:val="1"/>
          <w:color w:val="215BA8"/>
        </w:rPr>
      </w:pPr>
    </w:p>
    <w:p>
      <w:pPr>
        <w:ind w:left="162" w:right="840" w:hanging="162"/>
        <w:spacing w:after="0" w:line="238" w:lineRule="auto"/>
        <w:tabs>
          <w:tab w:leader="none" w:pos="154"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National Organization of Rare Disease (NORD)</w:t>
      </w:r>
      <w:r>
        <w:rPr>
          <w:rFonts w:ascii="Arial" w:cs="Arial" w:eastAsia="Arial" w:hAnsi="Arial"/>
          <w:sz w:val="13"/>
          <w:szCs w:val="13"/>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2021 Rare Impact Award Winner</w:t>
      </w:r>
    </w:p>
    <w:p>
      <w:pPr>
        <w:ind w:left="162" w:hanging="162"/>
        <w:spacing w:after="0"/>
        <w:tabs>
          <w:tab w:leader="none" w:pos="162" w:val="left"/>
        </w:tabs>
        <w:numPr>
          <w:ilvl w:val="0"/>
          <w:numId w:val="127"/>
        </w:numPr>
        <w:rPr>
          <w:rFonts w:ascii="Arial" w:cs="Arial" w:eastAsia="Arial" w:hAnsi="Arial"/>
          <w:sz w:val="13"/>
          <w:szCs w:val="13"/>
          <w:b w:val="1"/>
          <w:bCs w:val="1"/>
          <w:color w:val="215BA8"/>
        </w:rPr>
      </w:pPr>
      <w:r>
        <w:rPr>
          <w:rFonts w:ascii="Arial" w:cs="Arial" w:eastAsia="Arial" w:hAnsi="Arial"/>
          <w:sz w:val="13"/>
          <w:szCs w:val="13"/>
          <w:i w:val="1"/>
          <w:iCs w:val="1"/>
          <w:color w:val="auto"/>
        </w:rPr>
        <w:t>Popular Science</w:t>
      </w:r>
      <w:r>
        <w:rPr>
          <w:rFonts w:ascii="Arial" w:cs="Arial" w:eastAsia="Arial" w:hAnsi="Arial"/>
          <w:sz w:val="13"/>
          <w:szCs w:val="13"/>
          <w:color w:val="auto"/>
        </w:rPr>
        <w:t>: Best of What’s New for Inmazeb</w:t>
      </w:r>
    </w:p>
    <w:p>
      <w:pPr>
        <w:spacing w:after="0" w:line="200" w:lineRule="exact"/>
        <w:rPr>
          <w:sz w:val="20"/>
          <w:szCs w:val="20"/>
          <w:color w:val="auto"/>
        </w:rPr>
      </w:pPr>
    </w:p>
    <w:p>
      <w:pPr>
        <w:sectPr>
          <w:pgSz w:w="11900" w:h="16838" w:orient="portrait"/>
          <w:cols w:equalWidth="0" w:num="3">
            <w:col w:w="3660" w:space="375"/>
            <w:col w:w="3165" w:space="278"/>
            <w:col w:w="3762"/>
          </w:cols>
          <w:pgMar w:left="320" w:top="410"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67</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82" w:name="page83"/>
    <w:bookmarkEnd w:id="82"/>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540"/>
        <w:spacing w:after="0" w:line="232" w:lineRule="auto"/>
        <w:rPr>
          <w:sz w:val="20"/>
          <w:szCs w:val="20"/>
          <w:color w:val="auto"/>
        </w:rPr>
      </w:pPr>
      <w:r>
        <w:rPr>
          <w:rFonts w:ascii="Arial" w:cs="Arial" w:eastAsia="Arial" w:hAnsi="Arial"/>
          <w:sz w:val="16"/>
          <w:szCs w:val="16"/>
          <w:color w:val="auto"/>
        </w:rPr>
        <w:t>For each of the factors listed in the table above, the Compensation Committee assessed actual performance for the year. Based on a holistic assessment of these factors within the framework and the relevant categories outlined above, the Compensation Committee set the Company performance multiplier at 1.9 for 2021. In setting the multiplier at 1.9, the Compensation Committee recognized outstanding Company performance in 2021 while also identifying areas of possible improvement, including with respect to certain developmental milestones within the Company’s immuno-oncology portfolio.</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Individual Performance</w:t>
      </w:r>
    </w:p>
    <w:p>
      <w:pPr>
        <w:spacing w:after="0" w:line="201" w:lineRule="exact"/>
        <w:rPr>
          <w:sz w:val="20"/>
          <w:szCs w:val="20"/>
          <w:color w:val="auto"/>
        </w:rPr>
      </w:pPr>
    </w:p>
    <w:p>
      <w:pPr>
        <w:ind w:left="540" w:right="660"/>
        <w:spacing w:after="0" w:line="236" w:lineRule="auto"/>
        <w:rPr>
          <w:sz w:val="20"/>
          <w:szCs w:val="20"/>
          <w:color w:val="auto"/>
        </w:rPr>
      </w:pPr>
      <w:r>
        <w:rPr>
          <w:rFonts w:ascii="Arial" w:cs="Arial" w:eastAsia="Arial" w:hAnsi="Arial"/>
          <w:sz w:val="16"/>
          <w:szCs w:val="16"/>
          <w:color w:val="auto"/>
        </w:rPr>
        <w:t>The personal performance multiplier may range from 0 to 1.5. For the explanation of individual factors considered in the cash incentive decisions, see the subsection “Compensation Dashboard—Additional Compensation Information—Annual Cash Incentives.”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2021 Earned Cash Incentives</w:t>
      </w:r>
    </w:p>
    <w:p>
      <w:pPr>
        <w:spacing w:after="0" w:line="201" w:lineRule="exact"/>
        <w:rPr>
          <w:sz w:val="20"/>
          <w:szCs w:val="20"/>
          <w:color w:val="auto"/>
        </w:rPr>
      </w:pPr>
    </w:p>
    <w:p>
      <w:pPr>
        <w:jc w:val="both"/>
        <w:ind w:left="540" w:right="680"/>
        <w:spacing w:after="0" w:line="232" w:lineRule="auto"/>
        <w:rPr>
          <w:sz w:val="20"/>
          <w:szCs w:val="20"/>
          <w:color w:val="auto"/>
        </w:rPr>
      </w:pPr>
      <w:r>
        <w:rPr>
          <w:rFonts w:ascii="Arial" w:cs="Arial" w:eastAsia="Arial" w:hAnsi="Arial"/>
          <w:sz w:val="16"/>
          <w:szCs w:val="16"/>
          <w:color w:val="auto"/>
        </w:rPr>
        <w:t>In determining the level of 2021 cash incentives earned, we calculated the NEOs’ respective target cash incentive amounts (which, for our CEO, was set approximately at the median of the Peer Group) and applied the Company performance multiplier based on the Company’s achievement of 2021 objectives; and, for the four NEOs who also have a personal performance component, we applied a personal performance multiplier. For the four NEOs with a personal performance component (other than Mr. Landry as described below), the personal performance component had a 40% weighting and the Company performance component had a 60% weighting.</w:t>
      </w:r>
    </w:p>
    <w:p>
      <w:pPr>
        <w:spacing w:after="0" w:line="164" w:lineRule="exact"/>
        <w:rPr>
          <w:sz w:val="20"/>
          <w:szCs w:val="20"/>
          <w:color w:val="auto"/>
        </w:rPr>
      </w:pPr>
    </w:p>
    <w:p>
      <w:pPr>
        <w:ind w:left="540" w:right="720"/>
        <w:spacing w:after="0" w:line="265" w:lineRule="auto"/>
        <w:rPr>
          <w:sz w:val="20"/>
          <w:szCs w:val="20"/>
          <w:color w:val="auto"/>
        </w:rPr>
      </w:pPr>
      <w:r>
        <w:rPr>
          <w:rFonts w:ascii="Arial" w:cs="Arial" w:eastAsia="Arial" w:hAnsi="Arial"/>
          <w:sz w:val="15"/>
          <w:szCs w:val="15"/>
          <w:color w:val="auto"/>
        </w:rPr>
        <w:t>Based on the achievement of corporate goals (discussed above) and individual goals (discussed in the subsection “Compensation Dashboard— Additional Compensation Information—Annual Cash Incentives”) in the past year, our NEOs earned the followed cash incentives in 2021:</w:t>
      </w:r>
    </w:p>
    <w:p>
      <w:pPr>
        <w:spacing w:after="0" w:line="125" w:lineRule="exact"/>
        <w:rPr>
          <w:sz w:val="20"/>
          <w:szCs w:val="20"/>
          <w:color w:val="auto"/>
        </w:rPr>
      </w:pPr>
    </w:p>
    <w:tbl>
      <w:tblPr>
        <w:tblLayout w:type="fixed"/>
        <w:tblInd w:w="540" w:type="dxa"/>
        <w:tblCellMar>
          <w:top w:w="0" w:type="dxa"/>
          <w:left w:w="0" w:type="dxa"/>
          <w:bottom w:w="0" w:type="dxa"/>
          <w:right w:w="0" w:type="dxa"/>
        </w:tblCellMar>
      </w:tblPr>
      <w:tr>
        <w:trPr>
          <w:trHeight w:val="150"/>
        </w:trPr>
        <w:tc>
          <w:tcPr>
            <w:tcW w:w="34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205BA8"/>
                <w:w w:val="96"/>
              </w:rPr>
              <w:t>Cash Incentive</w:t>
            </w:r>
          </w:p>
        </w:tc>
        <w:tc>
          <w:tcPr>
            <w:tcW w:w="1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0" w:type="dxa"/>
            <w:vAlign w:val="bottom"/>
            <w:shd w:val="clear" w:color="auto" w:fill="205BA8"/>
          </w:tcPr>
          <w:p>
            <w:pPr>
              <w:spacing w:after="0"/>
              <w:rPr>
                <w:sz w:val="13"/>
                <w:szCs w:val="13"/>
                <w:color w:val="auto"/>
              </w:rPr>
            </w:pPr>
          </w:p>
        </w:tc>
      </w:tr>
      <w:tr>
        <w:trPr>
          <w:trHeight w:val="135"/>
        </w:trPr>
        <w:tc>
          <w:tcPr>
            <w:tcW w:w="34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2"/>
              </w:rPr>
              <w:t>Target</w:t>
            </w:r>
          </w:p>
        </w:tc>
        <w:tc>
          <w:tcPr>
            <w:tcW w:w="118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4"/>
              </w:rPr>
              <w:t>Personal</w:t>
            </w:r>
          </w:p>
        </w:tc>
        <w:tc>
          <w:tcPr>
            <w:tcW w:w="134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205BA8"/>
                <w:w w:val="98"/>
              </w:rPr>
              <w:t>Company</w:t>
            </w:r>
          </w:p>
        </w:tc>
        <w:tc>
          <w:tcPr>
            <w:tcW w:w="1000" w:type="dxa"/>
            <w:vAlign w:val="bottom"/>
            <w:shd w:val="clear" w:color="auto" w:fill="205BA8"/>
          </w:tcPr>
          <w:p>
            <w:pPr>
              <w:spacing w:after="0"/>
              <w:rPr>
                <w:sz w:val="11"/>
                <w:szCs w:val="11"/>
                <w:color w:val="auto"/>
              </w:rPr>
            </w:pPr>
          </w:p>
        </w:tc>
      </w:tr>
      <w:tr>
        <w:trPr>
          <w:trHeight w:val="135"/>
        </w:trPr>
        <w:tc>
          <w:tcPr>
            <w:tcW w:w="3400" w:type="dxa"/>
            <w:vAlign w:val="bottom"/>
          </w:tcPr>
          <w:p>
            <w:pPr>
              <w:spacing w:after="0"/>
              <w:rPr>
                <w:sz w:val="11"/>
                <w:szCs w:val="11"/>
                <w:color w:val="auto"/>
              </w:rPr>
            </w:pPr>
          </w:p>
        </w:tc>
        <w:tc>
          <w:tcPr>
            <w:tcW w:w="1880" w:type="dxa"/>
            <w:vAlign w:val="bottom"/>
          </w:tcPr>
          <w:p>
            <w:pPr>
              <w:jc w:val="right"/>
              <w:ind w:right="196"/>
              <w:spacing w:after="0" w:line="135" w:lineRule="exact"/>
              <w:rPr>
                <w:sz w:val="20"/>
                <w:szCs w:val="20"/>
                <w:color w:val="auto"/>
              </w:rPr>
            </w:pPr>
            <w:r>
              <w:rPr>
                <w:rFonts w:ascii="Arial" w:cs="Arial" w:eastAsia="Arial" w:hAnsi="Arial"/>
                <w:sz w:val="12"/>
                <w:szCs w:val="12"/>
                <w:b w:val="1"/>
                <w:bCs w:val="1"/>
                <w:color w:val="205BA8"/>
              </w:rPr>
              <w:t>2021 Base</w:t>
            </w:r>
          </w:p>
        </w:tc>
        <w:tc>
          <w:tcPr>
            <w:tcW w:w="1360" w:type="dxa"/>
            <w:vAlign w:val="bottom"/>
          </w:tcPr>
          <w:p>
            <w:pPr>
              <w:jc w:val="center"/>
              <w:spacing w:after="0" w:line="135" w:lineRule="exact"/>
              <w:rPr>
                <w:sz w:val="20"/>
                <w:szCs w:val="20"/>
                <w:color w:val="auto"/>
              </w:rPr>
            </w:pPr>
            <w:r>
              <w:rPr>
                <w:rFonts w:ascii="Arial" w:cs="Arial" w:eastAsia="Arial" w:hAnsi="Arial"/>
                <w:sz w:val="12"/>
                <w:szCs w:val="12"/>
                <w:b w:val="1"/>
                <w:bCs w:val="1"/>
                <w:color w:val="205BA8"/>
                <w:w w:val="96"/>
              </w:rPr>
              <w:t>(as percentage</w:t>
            </w:r>
          </w:p>
        </w:tc>
        <w:tc>
          <w:tcPr>
            <w:tcW w:w="1180" w:type="dxa"/>
            <w:vAlign w:val="bottom"/>
          </w:tcPr>
          <w:p>
            <w:pPr>
              <w:jc w:val="center"/>
              <w:spacing w:after="0" w:line="135" w:lineRule="exact"/>
              <w:rPr>
                <w:sz w:val="20"/>
                <w:szCs w:val="20"/>
                <w:color w:val="auto"/>
              </w:rPr>
            </w:pPr>
            <w:r>
              <w:rPr>
                <w:rFonts w:ascii="Arial" w:cs="Arial" w:eastAsia="Arial" w:hAnsi="Arial"/>
                <w:sz w:val="12"/>
                <w:szCs w:val="12"/>
                <w:color w:val="205BA8"/>
                <w:w w:val="98"/>
              </w:rPr>
              <w:t>Performance</w:t>
            </w:r>
          </w:p>
        </w:tc>
        <w:tc>
          <w:tcPr>
            <w:tcW w:w="1340" w:type="dxa"/>
            <w:vAlign w:val="bottom"/>
          </w:tcPr>
          <w:p>
            <w:pPr>
              <w:jc w:val="center"/>
              <w:ind w:right="97"/>
              <w:spacing w:after="0" w:line="135" w:lineRule="exact"/>
              <w:rPr>
                <w:sz w:val="20"/>
                <w:szCs w:val="20"/>
                <w:color w:val="auto"/>
              </w:rPr>
            </w:pPr>
            <w:r>
              <w:rPr>
                <w:rFonts w:ascii="Arial" w:cs="Arial" w:eastAsia="Arial" w:hAnsi="Arial"/>
                <w:sz w:val="12"/>
                <w:szCs w:val="12"/>
                <w:b w:val="1"/>
                <w:bCs w:val="1"/>
                <w:color w:val="205BA8"/>
                <w:w w:val="95"/>
              </w:rPr>
              <w:t>Performance</w:t>
            </w:r>
          </w:p>
        </w:tc>
        <w:tc>
          <w:tcPr>
            <w:tcW w:w="1000" w:type="dxa"/>
            <w:vAlign w:val="bottom"/>
            <w:shd w:val="clear" w:color="auto" w:fill="205BA8"/>
          </w:tcPr>
          <w:p>
            <w:pPr>
              <w:jc w:val="right"/>
              <w:ind w:right="136"/>
              <w:spacing w:after="0" w:line="135" w:lineRule="exact"/>
              <w:rPr>
                <w:sz w:val="20"/>
                <w:szCs w:val="20"/>
                <w:color w:val="auto"/>
              </w:rPr>
            </w:pPr>
            <w:r>
              <w:rPr>
                <w:rFonts w:ascii="Arial" w:cs="Arial" w:eastAsia="Arial" w:hAnsi="Arial"/>
                <w:sz w:val="12"/>
                <w:szCs w:val="12"/>
                <w:b w:val="1"/>
                <w:bCs w:val="1"/>
                <w:color w:val="FFFFFF"/>
              </w:rPr>
              <w:t>Total Cash</w:t>
            </w:r>
          </w:p>
        </w:tc>
      </w:tr>
      <w:tr>
        <w:trPr>
          <w:trHeight w:val="181"/>
        </w:trPr>
        <w:tc>
          <w:tcPr>
            <w:tcW w:w="3400" w:type="dxa"/>
            <w:vAlign w:val="bottom"/>
          </w:tcPr>
          <w:p>
            <w:pPr>
              <w:ind w:left="60"/>
              <w:spacing w:after="0"/>
              <w:rPr>
                <w:sz w:val="20"/>
                <w:szCs w:val="20"/>
                <w:color w:val="auto"/>
              </w:rPr>
            </w:pPr>
            <w:r>
              <w:rPr>
                <w:rFonts w:ascii="Arial" w:cs="Arial" w:eastAsia="Arial" w:hAnsi="Arial"/>
                <w:sz w:val="12"/>
                <w:szCs w:val="12"/>
                <w:b w:val="1"/>
                <w:bCs w:val="1"/>
                <w:color w:val="205BA8"/>
              </w:rPr>
              <w:t>Named Executive Officer</w:t>
            </w:r>
          </w:p>
        </w:tc>
        <w:tc>
          <w:tcPr>
            <w:tcW w:w="1880" w:type="dxa"/>
            <w:vAlign w:val="bottom"/>
          </w:tcPr>
          <w:p>
            <w:pPr>
              <w:jc w:val="right"/>
              <w:ind w:right="216"/>
              <w:spacing w:after="0"/>
              <w:rPr>
                <w:sz w:val="20"/>
                <w:szCs w:val="20"/>
                <w:color w:val="auto"/>
              </w:rPr>
            </w:pPr>
            <w:r>
              <w:rPr>
                <w:rFonts w:ascii="Arial" w:cs="Arial" w:eastAsia="Arial" w:hAnsi="Arial"/>
                <w:sz w:val="12"/>
                <w:szCs w:val="12"/>
                <w:b w:val="1"/>
                <w:bCs w:val="1"/>
                <w:color w:val="205BA8"/>
              </w:rPr>
              <w:t>Salary ($)</w:t>
            </w:r>
          </w:p>
        </w:tc>
        <w:tc>
          <w:tcPr>
            <w:tcW w:w="1360" w:type="dxa"/>
            <w:vAlign w:val="bottom"/>
          </w:tcPr>
          <w:p>
            <w:pPr>
              <w:jc w:val="center"/>
              <w:spacing w:after="0"/>
              <w:rPr>
                <w:sz w:val="20"/>
                <w:szCs w:val="20"/>
                <w:color w:val="auto"/>
              </w:rPr>
            </w:pPr>
            <w:r>
              <w:rPr>
                <w:rFonts w:ascii="Arial" w:cs="Arial" w:eastAsia="Arial" w:hAnsi="Arial"/>
                <w:sz w:val="12"/>
                <w:szCs w:val="12"/>
                <w:b w:val="1"/>
                <w:bCs w:val="1"/>
                <w:color w:val="205BA8"/>
                <w:w w:val="97"/>
              </w:rPr>
              <w:t>of base salary)</w:t>
            </w:r>
          </w:p>
        </w:tc>
        <w:tc>
          <w:tcPr>
            <w:tcW w:w="1180" w:type="dxa"/>
            <w:vAlign w:val="bottom"/>
          </w:tcPr>
          <w:p>
            <w:pPr>
              <w:jc w:val="center"/>
              <w:spacing w:after="0"/>
              <w:rPr>
                <w:sz w:val="20"/>
                <w:szCs w:val="20"/>
                <w:color w:val="auto"/>
              </w:rPr>
            </w:pPr>
            <w:r>
              <w:rPr>
                <w:rFonts w:ascii="Arial" w:cs="Arial" w:eastAsia="Arial" w:hAnsi="Arial"/>
                <w:sz w:val="12"/>
                <w:szCs w:val="12"/>
                <w:color w:val="205BA8"/>
                <w:w w:val="99"/>
              </w:rPr>
              <w:t>Multiplier</w:t>
            </w:r>
          </w:p>
        </w:tc>
        <w:tc>
          <w:tcPr>
            <w:tcW w:w="1340" w:type="dxa"/>
            <w:vAlign w:val="bottom"/>
          </w:tcPr>
          <w:p>
            <w:pPr>
              <w:jc w:val="center"/>
              <w:ind w:right="77"/>
              <w:spacing w:after="0"/>
              <w:rPr>
                <w:sz w:val="20"/>
                <w:szCs w:val="20"/>
                <w:color w:val="auto"/>
              </w:rPr>
            </w:pPr>
            <w:r>
              <w:rPr>
                <w:rFonts w:ascii="Arial" w:cs="Arial" w:eastAsia="Arial" w:hAnsi="Arial"/>
                <w:sz w:val="12"/>
                <w:szCs w:val="12"/>
                <w:b w:val="1"/>
                <w:bCs w:val="1"/>
                <w:color w:val="205BA8"/>
                <w:w w:val="97"/>
              </w:rPr>
              <w:t>Multiplier</w:t>
            </w:r>
          </w:p>
        </w:tc>
        <w:tc>
          <w:tcPr>
            <w:tcW w:w="1000" w:type="dxa"/>
            <w:vAlign w:val="bottom"/>
            <w:tcBorders>
              <w:bottom w:val="single" w:sz="8" w:color="205BA8"/>
            </w:tcBorders>
            <w:shd w:val="clear" w:color="auto" w:fill="205BA8"/>
          </w:tcPr>
          <w:p>
            <w:pPr>
              <w:jc w:val="right"/>
              <w:ind w:right="96"/>
              <w:spacing w:after="0"/>
              <w:rPr>
                <w:sz w:val="20"/>
                <w:szCs w:val="20"/>
                <w:color w:val="auto"/>
              </w:rPr>
            </w:pPr>
            <w:r>
              <w:rPr>
                <w:rFonts w:ascii="Arial" w:cs="Arial" w:eastAsia="Arial" w:hAnsi="Arial"/>
                <w:sz w:val="12"/>
                <w:szCs w:val="12"/>
                <w:b w:val="1"/>
                <w:bCs w:val="1"/>
                <w:color w:val="FFFFFF"/>
              </w:rPr>
              <w:t>Incentive ($)</w:t>
            </w:r>
          </w:p>
        </w:tc>
      </w:tr>
      <w:tr>
        <w:trPr>
          <w:trHeight w:val="201"/>
        </w:trPr>
        <w:tc>
          <w:tcPr>
            <w:tcW w:w="3400" w:type="dxa"/>
            <w:vAlign w:val="bottom"/>
            <w:tcBorders>
              <w:top w:val="single" w:sz="8" w:color="215BA8"/>
              <w:bottom w:val="single" w:sz="8" w:color="auto"/>
            </w:tcBorders>
          </w:tcPr>
          <w:p>
            <w:pPr>
              <w:ind w:left="60"/>
              <w:spacing w:after="0"/>
              <w:rPr>
                <w:sz w:val="20"/>
                <w:szCs w:val="20"/>
                <w:color w:val="auto"/>
              </w:rPr>
            </w:pPr>
            <w:r>
              <w:rPr>
                <w:rFonts w:ascii="Arial" w:cs="Arial" w:eastAsia="Arial" w:hAnsi="Arial"/>
                <w:sz w:val="13"/>
                <w:szCs w:val="13"/>
                <w:b w:val="1"/>
                <w:bCs w:val="1"/>
                <w:color w:val="D60058"/>
              </w:rPr>
              <w:t>Leonard S. Schleifer, M.D., Ph.D.</w:t>
            </w:r>
          </w:p>
        </w:tc>
        <w:tc>
          <w:tcPr>
            <w:tcW w:w="1880" w:type="dxa"/>
            <w:vAlign w:val="bottom"/>
            <w:tcBorders>
              <w:top w:val="single" w:sz="8" w:color="215BA8"/>
              <w:bottom w:val="single" w:sz="8" w:color="auto"/>
            </w:tcBorders>
          </w:tcPr>
          <w:p>
            <w:pPr>
              <w:jc w:val="right"/>
              <w:ind w:right="176"/>
              <w:spacing w:after="0"/>
              <w:rPr>
                <w:sz w:val="20"/>
                <w:szCs w:val="20"/>
                <w:color w:val="auto"/>
              </w:rPr>
            </w:pPr>
            <w:r>
              <w:rPr>
                <w:rFonts w:ascii="Arial" w:cs="Arial" w:eastAsia="Arial" w:hAnsi="Arial"/>
                <w:sz w:val="13"/>
                <w:szCs w:val="13"/>
                <w:color w:val="auto"/>
              </w:rPr>
              <w:t>1,767,800</w:t>
            </w:r>
          </w:p>
        </w:tc>
        <w:tc>
          <w:tcPr>
            <w:tcW w:w="1360" w:type="dxa"/>
            <w:vAlign w:val="bottom"/>
            <w:tcBorders>
              <w:top w:val="single" w:sz="8" w:color="215BA8"/>
              <w:bottom w:val="single" w:sz="8" w:color="auto"/>
            </w:tcBorders>
          </w:tcPr>
          <w:p>
            <w:pPr>
              <w:jc w:val="right"/>
              <w:ind w:right="377"/>
              <w:spacing w:after="0"/>
              <w:rPr>
                <w:sz w:val="20"/>
                <w:szCs w:val="20"/>
                <w:color w:val="auto"/>
              </w:rPr>
            </w:pPr>
            <w:r>
              <w:rPr>
                <w:rFonts w:ascii="Arial" w:cs="Arial" w:eastAsia="Arial" w:hAnsi="Arial"/>
                <w:sz w:val="13"/>
                <w:szCs w:val="13"/>
                <w:color w:val="auto"/>
              </w:rPr>
              <w:t>120%</w:t>
            </w:r>
          </w:p>
        </w:tc>
        <w:tc>
          <w:tcPr>
            <w:tcW w:w="1180" w:type="dxa"/>
            <w:vAlign w:val="bottom"/>
            <w:tcBorders>
              <w:top w:val="single" w:sz="8" w:color="215BA8"/>
              <w:bottom w:val="single" w:sz="8" w:color="auto"/>
            </w:tcBorders>
          </w:tcPr>
          <w:p>
            <w:pPr>
              <w:jc w:val="center"/>
              <w:ind w:left="17"/>
              <w:spacing w:after="0"/>
              <w:rPr>
                <w:sz w:val="20"/>
                <w:szCs w:val="20"/>
                <w:color w:val="auto"/>
              </w:rPr>
            </w:pPr>
            <w:r>
              <w:rPr>
                <w:rFonts w:ascii="Arial" w:cs="Arial" w:eastAsia="Arial" w:hAnsi="Arial"/>
                <w:sz w:val="13"/>
                <w:szCs w:val="13"/>
                <w:color w:val="auto"/>
                <w:w w:val="99"/>
              </w:rPr>
              <w:t>n/a</w:t>
            </w:r>
          </w:p>
        </w:tc>
        <w:tc>
          <w:tcPr>
            <w:tcW w:w="1340" w:type="dxa"/>
            <w:vAlign w:val="bottom"/>
            <w:tcBorders>
              <w:top w:val="single" w:sz="8" w:color="215BA8"/>
              <w:bottom w:val="single" w:sz="8" w:color="auto"/>
            </w:tcBorders>
          </w:tcPr>
          <w:p>
            <w:pPr>
              <w:jc w:val="right"/>
              <w:ind w:right="497"/>
              <w:spacing w:after="0"/>
              <w:rPr>
                <w:sz w:val="20"/>
                <w:szCs w:val="20"/>
                <w:color w:val="auto"/>
              </w:rPr>
            </w:pPr>
            <w:r>
              <w:rPr>
                <w:rFonts w:ascii="Arial" w:cs="Arial" w:eastAsia="Arial" w:hAnsi="Arial"/>
                <w:sz w:val="13"/>
                <w:szCs w:val="13"/>
                <w:color w:val="auto"/>
              </w:rPr>
              <w:t>1.9</w:t>
            </w:r>
          </w:p>
        </w:tc>
        <w:tc>
          <w:tcPr>
            <w:tcW w:w="1000" w:type="dxa"/>
            <w:vAlign w:val="bottom"/>
            <w:tcBorders>
              <w:top w:val="single" w:sz="8" w:color="215BA8"/>
              <w:bottom w:val="single" w:sz="8" w:color="auto"/>
            </w:tcBorders>
            <w:shd w:val="clear" w:color="auto" w:fill="EBECF5"/>
          </w:tcPr>
          <w:p>
            <w:pPr>
              <w:jc w:val="right"/>
              <w:ind w:right="36"/>
              <w:spacing w:after="0"/>
              <w:rPr>
                <w:sz w:val="20"/>
                <w:szCs w:val="20"/>
                <w:color w:val="auto"/>
              </w:rPr>
            </w:pPr>
            <w:r>
              <w:rPr>
                <w:rFonts w:ascii="Arial" w:cs="Arial" w:eastAsia="Arial" w:hAnsi="Arial"/>
                <w:sz w:val="13"/>
                <w:szCs w:val="13"/>
                <w:color w:val="auto"/>
              </w:rPr>
              <w:t>4,030,584</w:t>
            </w:r>
          </w:p>
        </w:tc>
      </w:tr>
      <w:tr>
        <w:trPr>
          <w:trHeight w:val="191"/>
        </w:trPr>
        <w:tc>
          <w:tcPr>
            <w:tcW w:w="3400" w:type="dxa"/>
            <w:vAlign w:val="bottom"/>
            <w:tcBorders>
              <w:bottom w:val="single" w:sz="8" w:color="auto"/>
            </w:tcBorders>
            <w:shd w:val="clear" w:color="auto" w:fill="EEEFEF"/>
          </w:tcPr>
          <w:p>
            <w:pPr>
              <w:ind w:left="60"/>
              <w:spacing w:after="0"/>
              <w:rPr>
                <w:sz w:val="20"/>
                <w:szCs w:val="20"/>
                <w:color w:val="auto"/>
              </w:rPr>
            </w:pPr>
            <w:r>
              <w:rPr>
                <w:rFonts w:ascii="Arial" w:cs="Arial" w:eastAsia="Arial" w:hAnsi="Arial"/>
                <w:sz w:val="13"/>
                <w:szCs w:val="13"/>
                <w:b w:val="1"/>
                <w:bCs w:val="1"/>
                <w:color w:val="D60058"/>
              </w:rPr>
              <w:t>George D. Yancopoulos, M. D., Ph. D.</w:t>
            </w:r>
          </w:p>
        </w:tc>
        <w:tc>
          <w:tcPr>
            <w:tcW w:w="1880" w:type="dxa"/>
            <w:vAlign w:val="bottom"/>
            <w:tcBorders>
              <w:bottom w:val="single" w:sz="8" w:color="auto"/>
            </w:tcBorders>
            <w:shd w:val="clear" w:color="auto" w:fill="EEEFEF"/>
          </w:tcPr>
          <w:p>
            <w:pPr>
              <w:jc w:val="right"/>
              <w:ind w:right="176"/>
              <w:spacing w:after="0"/>
              <w:rPr>
                <w:sz w:val="20"/>
                <w:szCs w:val="20"/>
                <w:color w:val="auto"/>
              </w:rPr>
            </w:pPr>
            <w:r>
              <w:rPr>
                <w:rFonts w:ascii="Arial" w:cs="Arial" w:eastAsia="Arial" w:hAnsi="Arial"/>
                <w:sz w:val="13"/>
                <w:szCs w:val="13"/>
                <w:color w:val="auto"/>
              </w:rPr>
              <w:t>1,767,800</w:t>
            </w:r>
          </w:p>
        </w:tc>
        <w:tc>
          <w:tcPr>
            <w:tcW w:w="1360" w:type="dxa"/>
            <w:vAlign w:val="bottom"/>
            <w:tcBorders>
              <w:bottom w:val="single" w:sz="8" w:color="auto"/>
            </w:tcBorders>
            <w:shd w:val="clear" w:color="auto" w:fill="EEEFEF"/>
          </w:tcPr>
          <w:p>
            <w:pPr>
              <w:jc w:val="right"/>
              <w:ind w:right="377"/>
              <w:spacing w:after="0"/>
              <w:rPr>
                <w:sz w:val="20"/>
                <w:szCs w:val="20"/>
                <w:color w:val="auto"/>
              </w:rPr>
            </w:pPr>
            <w:r>
              <w:rPr>
                <w:rFonts w:ascii="Arial" w:cs="Arial" w:eastAsia="Arial" w:hAnsi="Arial"/>
                <w:sz w:val="13"/>
                <w:szCs w:val="13"/>
                <w:color w:val="auto"/>
              </w:rPr>
              <w:t>120%</w:t>
            </w:r>
          </w:p>
        </w:tc>
        <w:tc>
          <w:tcPr>
            <w:tcW w:w="1180" w:type="dxa"/>
            <w:vAlign w:val="bottom"/>
            <w:tcBorders>
              <w:bottom w:val="single" w:sz="8" w:color="auto"/>
            </w:tcBorders>
            <w:shd w:val="clear" w:color="auto" w:fill="EEEFEF"/>
          </w:tcPr>
          <w:p>
            <w:pPr>
              <w:jc w:val="center"/>
              <w:ind w:left="17"/>
              <w:spacing w:after="0"/>
              <w:rPr>
                <w:sz w:val="20"/>
                <w:szCs w:val="20"/>
                <w:color w:val="auto"/>
              </w:rPr>
            </w:pPr>
            <w:r>
              <w:rPr>
                <w:rFonts w:ascii="Arial" w:cs="Arial" w:eastAsia="Arial" w:hAnsi="Arial"/>
                <w:sz w:val="13"/>
                <w:szCs w:val="13"/>
                <w:color w:val="auto"/>
                <w:w w:val="99"/>
              </w:rPr>
              <w:t>n/a</w:t>
            </w:r>
          </w:p>
        </w:tc>
        <w:tc>
          <w:tcPr>
            <w:tcW w:w="1340" w:type="dxa"/>
            <w:vAlign w:val="bottom"/>
            <w:tcBorders>
              <w:bottom w:val="single" w:sz="8" w:color="auto"/>
            </w:tcBorders>
            <w:shd w:val="clear" w:color="auto" w:fill="EEEFEF"/>
          </w:tcPr>
          <w:p>
            <w:pPr>
              <w:jc w:val="right"/>
              <w:ind w:right="497"/>
              <w:spacing w:after="0"/>
              <w:rPr>
                <w:sz w:val="20"/>
                <w:szCs w:val="20"/>
                <w:color w:val="auto"/>
              </w:rPr>
            </w:pPr>
            <w:r>
              <w:rPr>
                <w:rFonts w:ascii="Arial" w:cs="Arial" w:eastAsia="Arial" w:hAnsi="Arial"/>
                <w:sz w:val="13"/>
                <w:szCs w:val="13"/>
                <w:color w:val="auto"/>
              </w:rPr>
              <w:t>1.9</w:t>
            </w:r>
          </w:p>
        </w:tc>
        <w:tc>
          <w:tcPr>
            <w:tcW w:w="1000" w:type="dxa"/>
            <w:vAlign w:val="bottom"/>
            <w:tcBorders>
              <w:bottom w:val="single" w:sz="8" w:color="auto"/>
            </w:tcBorders>
            <w:shd w:val="clear" w:color="auto" w:fill="D6DBEE"/>
          </w:tcPr>
          <w:p>
            <w:pPr>
              <w:jc w:val="right"/>
              <w:ind w:right="36"/>
              <w:spacing w:after="0"/>
              <w:rPr>
                <w:sz w:val="20"/>
                <w:szCs w:val="20"/>
                <w:color w:val="auto"/>
              </w:rPr>
            </w:pPr>
            <w:r>
              <w:rPr>
                <w:rFonts w:ascii="Arial" w:cs="Arial" w:eastAsia="Arial" w:hAnsi="Arial"/>
                <w:sz w:val="13"/>
                <w:szCs w:val="13"/>
                <w:color w:val="auto"/>
              </w:rPr>
              <w:t>4,030,584</w:t>
            </w:r>
          </w:p>
        </w:tc>
      </w:tr>
      <w:tr>
        <w:trPr>
          <w:trHeight w:val="196"/>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Robert E. Landry</w:t>
            </w:r>
          </w:p>
        </w:tc>
        <w:tc>
          <w:tcPr>
            <w:tcW w:w="18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822,800</w:t>
            </w:r>
          </w:p>
        </w:tc>
        <w:tc>
          <w:tcPr>
            <w:tcW w:w="13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65%</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1.5*</w:t>
            </w: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1.9</w:t>
            </w:r>
          </w:p>
        </w:tc>
        <w:tc>
          <w:tcPr>
            <w:tcW w:w="1000" w:type="dxa"/>
            <w:vAlign w:val="bottom"/>
            <w:tcBorders>
              <w:bottom w:val="single" w:sz="8" w:color="auto"/>
            </w:tcBorders>
            <w:shd w:val="clear" w:color="auto" w:fill="EBECF5"/>
          </w:tcPr>
          <w:p>
            <w:pPr>
              <w:jc w:val="right"/>
              <w:spacing w:after="0"/>
              <w:rPr>
                <w:sz w:val="20"/>
                <w:szCs w:val="20"/>
                <w:color w:val="auto"/>
              </w:rPr>
            </w:pPr>
            <w:r>
              <w:rPr>
                <w:rFonts w:ascii="Arial" w:cs="Arial" w:eastAsia="Arial" w:hAnsi="Arial"/>
                <w:sz w:val="13"/>
                <w:szCs w:val="13"/>
                <w:color w:val="auto"/>
              </w:rPr>
              <w:t>1,052,182*</w:t>
            </w:r>
          </w:p>
        </w:tc>
      </w:tr>
      <w:tr>
        <w:trPr>
          <w:trHeight w:val="196"/>
        </w:trPr>
        <w:tc>
          <w:tcPr>
            <w:tcW w:w="3400" w:type="dxa"/>
            <w:vAlign w:val="bottom"/>
            <w:tcBorders>
              <w:bottom w:val="single" w:sz="8" w:color="auto"/>
            </w:tcBorders>
            <w:shd w:val="clear" w:color="auto" w:fill="EEEFEF"/>
          </w:tcPr>
          <w:p>
            <w:pPr>
              <w:ind w:left="60"/>
              <w:spacing w:after="0"/>
              <w:rPr>
                <w:sz w:val="20"/>
                <w:szCs w:val="20"/>
                <w:color w:val="auto"/>
              </w:rPr>
            </w:pPr>
            <w:r>
              <w:rPr>
                <w:rFonts w:ascii="Arial" w:cs="Arial" w:eastAsia="Arial" w:hAnsi="Arial"/>
                <w:sz w:val="13"/>
                <w:szCs w:val="13"/>
                <w:b w:val="1"/>
                <w:bCs w:val="1"/>
                <w:color w:val="D60058"/>
              </w:rPr>
              <w:t>Daniel P. Van Plew</w:t>
            </w:r>
          </w:p>
        </w:tc>
        <w:tc>
          <w:tcPr>
            <w:tcW w:w="1880" w:type="dxa"/>
            <w:vAlign w:val="bottom"/>
            <w:tcBorders>
              <w:bottom w:val="single" w:sz="8" w:color="auto"/>
            </w:tcBorders>
            <w:shd w:val="clear" w:color="auto" w:fill="EEEFEF"/>
          </w:tcPr>
          <w:p>
            <w:pPr>
              <w:jc w:val="right"/>
              <w:ind w:right="176"/>
              <w:spacing w:after="0"/>
              <w:rPr>
                <w:sz w:val="20"/>
                <w:szCs w:val="20"/>
                <w:color w:val="auto"/>
              </w:rPr>
            </w:pPr>
            <w:r>
              <w:rPr>
                <w:rFonts w:ascii="Arial" w:cs="Arial" w:eastAsia="Arial" w:hAnsi="Arial"/>
                <w:sz w:val="13"/>
                <w:szCs w:val="13"/>
                <w:color w:val="auto"/>
              </w:rPr>
              <w:t>822,800</w:t>
            </w:r>
          </w:p>
        </w:tc>
        <w:tc>
          <w:tcPr>
            <w:tcW w:w="1360" w:type="dxa"/>
            <w:vAlign w:val="bottom"/>
            <w:tcBorders>
              <w:bottom w:val="single" w:sz="8" w:color="auto"/>
            </w:tcBorders>
            <w:shd w:val="clear" w:color="auto" w:fill="EEEFEF"/>
          </w:tcPr>
          <w:p>
            <w:pPr>
              <w:jc w:val="right"/>
              <w:ind w:right="377"/>
              <w:spacing w:after="0"/>
              <w:rPr>
                <w:sz w:val="20"/>
                <w:szCs w:val="20"/>
                <w:color w:val="auto"/>
              </w:rPr>
            </w:pPr>
            <w:r>
              <w:rPr>
                <w:rFonts w:ascii="Arial" w:cs="Arial" w:eastAsia="Arial" w:hAnsi="Arial"/>
                <w:sz w:val="13"/>
                <w:szCs w:val="13"/>
                <w:color w:val="auto"/>
              </w:rPr>
              <w:t>65%</w:t>
            </w:r>
          </w:p>
        </w:tc>
        <w:tc>
          <w:tcPr>
            <w:tcW w:w="1180" w:type="dxa"/>
            <w:vAlign w:val="bottom"/>
            <w:tcBorders>
              <w:bottom w:val="single" w:sz="8" w:color="auto"/>
            </w:tcBorders>
            <w:shd w:val="clear" w:color="auto" w:fill="EEEFEF"/>
          </w:tcPr>
          <w:p>
            <w:pPr>
              <w:ind w:left="540"/>
              <w:spacing w:after="0"/>
              <w:rPr>
                <w:sz w:val="20"/>
                <w:szCs w:val="20"/>
                <w:color w:val="auto"/>
              </w:rPr>
            </w:pPr>
            <w:r>
              <w:rPr>
                <w:rFonts w:ascii="Arial" w:cs="Arial" w:eastAsia="Arial" w:hAnsi="Arial"/>
                <w:sz w:val="13"/>
                <w:szCs w:val="13"/>
                <w:color w:val="auto"/>
              </w:rPr>
              <w:t>1.5</w:t>
            </w:r>
          </w:p>
        </w:tc>
        <w:tc>
          <w:tcPr>
            <w:tcW w:w="1340" w:type="dxa"/>
            <w:vAlign w:val="bottom"/>
            <w:tcBorders>
              <w:bottom w:val="single" w:sz="8" w:color="auto"/>
            </w:tcBorders>
            <w:shd w:val="clear" w:color="auto" w:fill="EEEFEF"/>
          </w:tcPr>
          <w:p>
            <w:pPr>
              <w:jc w:val="right"/>
              <w:ind w:right="497"/>
              <w:spacing w:after="0"/>
              <w:rPr>
                <w:sz w:val="20"/>
                <w:szCs w:val="20"/>
                <w:color w:val="auto"/>
              </w:rPr>
            </w:pPr>
            <w:r>
              <w:rPr>
                <w:rFonts w:ascii="Arial" w:cs="Arial" w:eastAsia="Arial" w:hAnsi="Arial"/>
                <w:sz w:val="13"/>
                <w:szCs w:val="13"/>
                <w:color w:val="auto"/>
              </w:rPr>
              <w:t>1.9</w:t>
            </w:r>
          </w:p>
        </w:tc>
        <w:tc>
          <w:tcPr>
            <w:tcW w:w="1000" w:type="dxa"/>
            <w:vAlign w:val="bottom"/>
            <w:tcBorders>
              <w:bottom w:val="single" w:sz="8" w:color="auto"/>
            </w:tcBorders>
            <w:shd w:val="clear" w:color="auto" w:fill="D6DBEE"/>
          </w:tcPr>
          <w:p>
            <w:pPr>
              <w:jc w:val="right"/>
              <w:ind w:right="36"/>
              <w:spacing w:after="0"/>
              <w:rPr>
                <w:sz w:val="20"/>
                <w:szCs w:val="20"/>
                <w:color w:val="auto"/>
              </w:rPr>
            </w:pPr>
            <w:r>
              <w:rPr>
                <w:rFonts w:ascii="Arial" w:cs="Arial" w:eastAsia="Arial" w:hAnsi="Arial"/>
                <w:sz w:val="13"/>
                <w:szCs w:val="13"/>
                <w:color w:val="auto"/>
              </w:rPr>
              <w:t>930,587</w:t>
            </w:r>
          </w:p>
        </w:tc>
      </w:tr>
      <w:tr>
        <w:trPr>
          <w:trHeight w:val="196"/>
        </w:trPr>
        <w:tc>
          <w:tcPr>
            <w:tcW w:w="34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Andrew J. Murphy, Ph.D.</w:t>
            </w:r>
          </w:p>
        </w:tc>
        <w:tc>
          <w:tcPr>
            <w:tcW w:w="18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724,500</w:t>
            </w:r>
          </w:p>
        </w:tc>
        <w:tc>
          <w:tcPr>
            <w:tcW w:w="13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65%</w:t>
            </w:r>
          </w:p>
        </w:tc>
        <w:tc>
          <w:tcPr>
            <w:tcW w:w="118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1.5</w:t>
            </w: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1.9</w:t>
            </w:r>
          </w:p>
        </w:tc>
        <w:tc>
          <w:tcPr>
            <w:tcW w:w="1000" w:type="dxa"/>
            <w:vAlign w:val="bottom"/>
            <w:tcBorders>
              <w:bottom w:val="single" w:sz="8" w:color="auto"/>
            </w:tcBorders>
            <w:shd w:val="clear" w:color="auto" w:fill="EBECF5"/>
          </w:tcPr>
          <w:p>
            <w:pPr>
              <w:jc w:val="right"/>
              <w:ind w:right="36"/>
              <w:spacing w:after="0"/>
              <w:rPr>
                <w:sz w:val="20"/>
                <w:szCs w:val="20"/>
                <w:color w:val="auto"/>
              </w:rPr>
            </w:pPr>
            <w:r>
              <w:rPr>
                <w:rFonts w:ascii="Arial" w:cs="Arial" w:eastAsia="Arial" w:hAnsi="Arial"/>
                <w:sz w:val="13"/>
                <w:szCs w:val="13"/>
                <w:color w:val="auto"/>
              </w:rPr>
              <w:t>819,410</w:t>
            </w:r>
          </w:p>
        </w:tc>
      </w:tr>
      <w:tr>
        <w:trPr>
          <w:trHeight w:val="201"/>
        </w:trPr>
        <w:tc>
          <w:tcPr>
            <w:tcW w:w="3400" w:type="dxa"/>
            <w:vAlign w:val="bottom"/>
            <w:tcBorders>
              <w:bottom w:val="single" w:sz="8" w:color="215BA8"/>
            </w:tcBorders>
            <w:shd w:val="clear" w:color="auto" w:fill="EEEFEF"/>
          </w:tcPr>
          <w:p>
            <w:pPr>
              <w:ind w:left="60"/>
              <w:spacing w:after="0"/>
              <w:rPr>
                <w:sz w:val="20"/>
                <w:szCs w:val="20"/>
                <w:color w:val="auto"/>
              </w:rPr>
            </w:pPr>
            <w:r>
              <w:rPr>
                <w:rFonts w:ascii="Arial" w:cs="Arial" w:eastAsia="Arial" w:hAnsi="Arial"/>
                <w:sz w:val="13"/>
                <w:szCs w:val="13"/>
                <w:b w:val="1"/>
                <w:bCs w:val="1"/>
                <w:color w:val="D60058"/>
              </w:rPr>
              <w:t>Joseph J. LaRosa</w:t>
            </w:r>
          </w:p>
        </w:tc>
        <w:tc>
          <w:tcPr>
            <w:tcW w:w="1880" w:type="dxa"/>
            <w:vAlign w:val="bottom"/>
            <w:tcBorders>
              <w:bottom w:val="single" w:sz="8" w:color="215BA8"/>
            </w:tcBorders>
            <w:shd w:val="clear" w:color="auto" w:fill="EEEFEF"/>
          </w:tcPr>
          <w:p>
            <w:pPr>
              <w:jc w:val="right"/>
              <w:ind w:right="176"/>
              <w:spacing w:after="0"/>
              <w:rPr>
                <w:sz w:val="20"/>
                <w:szCs w:val="20"/>
                <w:color w:val="auto"/>
              </w:rPr>
            </w:pPr>
            <w:r>
              <w:rPr>
                <w:rFonts w:ascii="Arial" w:cs="Arial" w:eastAsia="Arial" w:hAnsi="Arial"/>
                <w:sz w:val="13"/>
                <w:szCs w:val="13"/>
                <w:color w:val="auto"/>
              </w:rPr>
              <w:t>810,000</w:t>
            </w:r>
          </w:p>
        </w:tc>
        <w:tc>
          <w:tcPr>
            <w:tcW w:w="1360" w:type="dxa"/>
            <w:vAlign w:val="bottom"/>
            <w:tcBorders>
              <w:bottom w:val="single" w:sz="8" w:color="215BA8"/>
            </w:tcBorders>
            <w:shd w:val="clear" w:color="auto" w:fill="EEEFEF"/>
          </w:tcPr>
          <w:p>
            <w:pPr>
              <w:jc w:val="right"/>
              <w:ind w:right="377"/>
              <w:spacing w:after="0"/>
              <w:rPr>
                <w:sz w:val="20"/>
                <w:szCs w:val="20"/>
                <w:color w:val="auto"/>
              </w:rPr>
            </w:pPr>
            <w:r>
              <w:rPr>
                <w:rFonts w:ascii="Arial" w:cs="Arial" w:eastAsia="Arial" w:hAnsi="Arial"/>
                <w:sz w:val="13"/>
                <w:szCs w:val="13"/>
                <w:color w:val="auto"/>
              </w:rPr>
              <w:t>65%</w:t>
            </w:r>
          </w:p>
        </w:tc>
        <w:tc>
          <w:tcPr>
            <w:tcW w:w="1180" w:type="dxa"/>
            <w:vAlign w:val="bottom"/>
            <w:tcBorders>
              <w:bottom w:val="single" w:sz="8" w:color="215BA8"/>
            </w:tcBorders>
            <w:shd w:val="clear" w:color="auto" w:fill="EEEFEF"/>
          </w:tcPr>
          <w:p>
            <w:pPr>
              <w:ind w:left="540"/>
              <w:spacing w:after="0"/>
              <w:rPr>
                <w:sz w:val="20"/>
                <w:szCs w:val="20"/>
                <w:color w:val="auto"/>
              </w:rPr>
            </w:pPr>
            <w:r>
              <w:rPr>
                <w:rFonts w:ascii="Arial" w:cs="Arial" w:eastAsia="Arial" w:hAnsi="Arial"/>
                <w:sz w:val="13"/>
                <w:szCs w:val="13"/>
                <w:color w:val="auto"/>
              </w:rPr>
              <w:t>1.5</w:t>
            </w:r>
          </w:p>
        </w:tc>
        <w:tc>
          <w:tcPr>
            <w:tcW w:w="1340" w:type="dxa"/>
            <w:vAlign w:val="bottom"/>
            <w:tcBorders>
              <w:bottom w:val="single" w:sz="8" w:color="215BA8"/>
            </w:tcBorders>
            <w:shd w:val="clear" w:color="auto" w:fill="EEEFEF"/>
          </w:tcPr>
          <w:p>
            <w:pPr>
              <w:jc w:val="right"/>
              <w:ind w:right="497"/>
              <w:spacing w:after="0"/>
              <w:rPr>
                <w:sz w:val="20"/>
                <w:szCs w:val="20"/>
                <w:color w:val="auto"/>
              </w:rPr>
            </w:pPr>
            <w:r>
              <w:rPr>
                <w:rFonts w:ascii="Arial" w:cs="Arial" w:eastAsia="Arial" w:hAnsi="Arial"/>
                <w:sz w:val="13"/>
                <w:szCs w:val="13"/>
                <w:color w:val="auto"/>
              </w:rPr>
              <w:t>1.9</w:t>
            </w:r>
          </w:p>
        </w:tc>
        <w:tc>
          <w:tcPr>
            <w:tcW w:w="1000" w:type="dxa"/>
            <w:vAlign w:val="bottom"/>
            <w:tcBorders>
              <w:bottom w:val="single" w:sz="8" w:color="215BA8"/>
            </w:tcBorders>
            <w:shd w:val="clear" w:color="auto" w:fill="D6DBEE"/>
          </w:tcPr>
          <w:p>
            <w:pPr>
              <w:jc w:val="right"/>
              <w:ind w:right="36"/>
              <w:spacing w:after="0"/>
              <w:rPr>
                <w:sz w:val="20"/>
                <w:szCs w:val="20"/>
                <w:color w:val="auto"/>
              </w:rPr>
            </w:pPr>
            <w:r>
              <w:rPr>
                <w:rFonts w:ascii="Arial" w:cs="Arial" w:eastAsia="Arial" w:hAnsi="Arial"/>
                <w:sz w:val="13"/>
                <w:szCs w:val="13"/>
                <w:color w:val="auto"/>
              </w:rPr>
              <w:t>916,110</w:t>
            </w:r>
          </w:p>
        </w:tc>
      </w:tr>
    </w:tbl>
    <w:p>
      <w:pPr>
        <w:spacing w:after="0" w:line="72" w:lineRule="exact"/>
        <w:rPr>
          <w:sz w:val="20"/>
          <w:szCs w:val="20"/>
          <w:color w:val="auto"/>
        </w:rPr>
      </w:pPr>
    </w:p>
    <w:p>
      <w:pPr>
        <w:ind w:left="760" w:right="620" w:hanging="212"/>
        <w:spacing w:after="0" w:line="245" w:lineRule="auto"/>
        <w:tabs>
          <w:tab w:leader="none" w:pos="760" w:val="left"/>
        </w:tabs>
        <w:numPr>
          <w:ilvl w:val="0"/>
          <w:numId w:val="128"/>
        </w:numPr>
        <w:rPr>
          <w:rFonts w:ascii="Arial" w:cs="Arial" w:eastAsia="Arial" w:hAnsi="Arial"/>
          <w:sz w:val="14"/>
          <w:szCs w:val="14"/>
          <w:color w:val="1A1A1A"/>
        </w:rPr>
      </w:pPr>
      <w:r>
        <w:rPr>
          <w:rFonts w:ascii="Arial" w:cs="Arial" w:eastAsia="Arial" w:hAnsi="Arial"/>
          <w:sz w:val="14"/>
          <w:szCs w:val="14"/>
          <w:color w:val="1A1A1A"/>
        </w:rPr>
        <w:t>Mr. Landry received an annual cash incentive in 2021 equal to the maximum amount allocated to him in March 2021 under the Cash Incentive Bonus Plan. In exceeding the amount that would have otherwise been earned by him in accordance with the formula set forth above ($930,587), the Compensation Committee gave special consideration to Mr. Landry’s leadership of and accomplishments in the Company’s accounting, finance, and tax functions and across his other responsibilities in 2021, as discussed further in the subsection “Compensation Dashboard—Additional Compensation Information—Annual Cash Incentives.” His annual cash incentive of $1,052,182 corresponds to a personal performance multiplier of 2.07 based on the formula set forth above.</w:t>
      </w:r>
    </w:p>
    <w:p>
      <w:pPr>
        <w:spacing w:after="0" w:line="159"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68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3" w:name="page84"/>
    <w:bookmarkEnd w:id="83"/>
    <w:p>
      <w:pPr>
        <w:ind w:left="470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3" w:lineRule="exact"/>
        <w:rPr>
          <w:sz w:val="20"/>
          <w:szCs w:val="20"/>
          <w:color w:val="auto"/>
        </w:rPr>
      </w:pPr>
    </w:p>
    <w:p>
      <w:pPr>
        <w:ind w:left="540" w:right="680"/>
        <w:spacing w:after="0" w:line="245" w:lineRule="auto"/>
        <w:rPr>
          <w:sz w:val="20"/>
          <w:szCs w:val="20"/>
          <w:color w:val="auto"/>
        </w:rPr>
      </w:pPr>
      <w:r>
        <w:rPr>
          <w:rFonts w:ascii="Arial" w:cs="Arial" w:eastAsia="Arial" w:hAnsi="Arial"/>
          <w:sz w:val="14"/>
          <w:szCs w:val="14"/>
          <w:color w:val="auto"/>
        </w:rPr>
        <w:t>Equity grants represent the largest portion of the value awarded annually to our NEOs for compensation purposes. These awards are designed to incentivize delivery of sustainable long-term value, which we believe is created by focusing on the discovery, development, and commercialization of new medicines. Our Compensation Committee utilizes a customized framework for determining the size and mix of the annual equity awards of our NEOs and other executives, which is periodically reassessed in light of our business objectives, feedback from our shareholders, and market practices. This framework and the relevant considerations underlying our equity program and the types of awards we have utilized in recent years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92710</wp:posOffset>
            </wp:positionV>
            <wp:extent cx="5374640" cy="16541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374640" cy="1654175"/>
                    </a:xfrm>
                    <a:prstGeom prst="rect">
                      <a:avLst/>
                    </a:prstGeom>
                    <a:noFill/>
                  </pic:spPr>
                </pic:pic>
              </a:graphicData>
            </a:graphic>
          </wp:anchor>
        </w:drawing>
      </w:r>
    </w:p>
    <w:p>
      <w:pPr>
        <w:spacing w:after="0" w:line="19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215BA8"/>
        </w:rPr>
        <w:t>Performance-Based Sizing and Value Delivery</w:t>
      </w:r>
    </w:p>
    <w:p>
      <w:pPr>
        <w:spacing w:after="0" w:line="60" w:lineRule="exact"/>
        <w:rPr>
          <w:sz w:val="20"/>
          <w:szCs w:val="20"/>
          <w:color w:val="auto"/>
        </w:rPr>
      </w:pPr>
    </w:p>
    <w:p>
      <w:pPr>
        <w:ind w:left="2500" w:hanging="157"/>
        <w:spacing w:after="0"/>
        <w:tabs>
          <w:tab w:leader="none" w:pos="2500" w:val="left"/>
        </w:tabs>
        <w:numPr>
          <w:ilvl w:val="0"/>
          <w:numId w:val="129"/>
        </w:numPr>
        <w:rPr>
          <w:rFonts w:ascii="Arial" w:cs="Arial" w:eastAsia="Arial" w:hAnsi="Arial"/>
          <w:sz w:val="13"/>
          <w:szCs w:val="13"/>
          <w:b w:val="1"/>
          <w:bCs w:val="1"/>
          <w:color w:val="215BA8"/>
        </w:rPr>
      </w:pPr>
      <w:r>
        <w:rPr>
          <w:rFonts w:ascii="Arial" w:cs="Arial" w:eastAsia="Arial" w:hAnsi="Arial"/>
          <w:sz w:val="13"/>
          <w:szCs w:val="13"/>
          <w:b w:val="1"/>
          <w:bCs w:val="1"/>
          <w:color w:val="auto"/>
        </w:rPr>
        <w:t>In determining the size of equity awards to our NEOs, we take into account:</w:t>
      </w:r>
    </w:p>
    <w:p>
      <w:pPr>
        <w:spacing w:after="0" w:line="69" w:lineRule="exact"/>
        <w:rPr>
          <w:rFonts w:ascii="Arial" w:cs="Arial" w:eastAsia="Arial" w:hAnsi="Arial"/>
          <w:sz w:val="13"/>
          <w:szCs w:val="13"/>
          <w:b w:val="1"/>
          <w:bCs w:val="1"/>
          <w:color w:val="215BA8"/>
        </w:rPr>
      </w:pPr>
    </w:p>
    <w:p>
      <w:pPr>
        <w:ind w:left="2760" w:right="900" w:hanging="165"/>
        <w:spacing w:after="0" w:line="248" w:lineRule="auto"/>
        <w:tabs>
          <w:tab w:leader="none" w:pos="2752" w:val="left"/>
        </w:tabs>
        <w:numPr>
          <w:ilvl w:val="1"/>
          <w:numId w:val="129"/>
        </w:numPr>
        <w:rPr>
          <w:rFonts w:ascii="Arial" w:cs="Arial" w:eastAsia="Arial" w:hAnsi="Arial"/>
          <w:sz w:val="13"/>
          <w:szCs w:val="13"/>
          <w:b w:val="1"/>
          <w:bCs w:val="1"/>
          <w:color w:val="215BA8"/>
        </w:rPr>
      </w:pPr>
      <w:r>
        <w:rPr>
          <w:rFonts w:ascii="Arial" w:cs="Arial" w:eastAsia="Arial" w:hAnsi="Arial"/>
          <w:sz w:val="13"/>
          <w:szCs w:val="13"/>
          <w:color w:val="auto"/>
        </w:rPr>
        <w:t>Corporate performance (assessment of Regeneron’s corporate accomplishments, particularly as they relate to our product pipeline); and/or</w:t>
      </w:r>
    </w:p>
    <w:p>
      <w:pPr>
        <w:spacing w:after="0" w:line="42" w:lineRule="exact"/>
        <w:rPr>
          <w:rFonts w:ascii="Arial" w:cs="Arial" w:eastAsia="Arial" w:hAnsi="Arial"/>
          <w:sz w:val="13"/>
          <w:szCs w:val="13"/>
          <w:b w:val="1"/>
          <w:bCs w:val="1"/>
          <w:color w:val="215BA8"/>
        </w:rPr>
      </w:pPr>
    </w:p>
    <w:p>
      <w:pPr>
        <w:ind w:left="2760" w:right="540" w:hanging="165"/>
        <w:spacing w:after="0" w:line="243" w:lineRule="auto"/>
        <w:tabs>
          <w:tab w:leader="none" w:pos="2752" w:val="left"/>
        </w:tabs>
        <w:numPr>
          <w:ilvl w:val="1"/>
          <w:numId w:val="129"/>
        </w:numPr>
        <w:rPr>
          <w:rFonts w:ascii="Arial" w:cs="Arial" w:eastAsia="Arial" w:hAnsi="Arial"/>
          <w:sz w:val="13"/>
          <w:szCs w:val="13"/>
          <w:b w:val="1"/>
          <w:bCs w:val="1"/>
          <w:color w:val="215BA8"/>
        </w:rPr>
      </w:pPr>
      <w:r>
        <w:rPr>
          <w:rFonts w:ascii="Arial" w:cs="Arial" w:eastAsia="Arial" w:hAnsi="Arial"/>
          <w:sz w:val="13"/>
          <w:szCs w:val="13"/>
          <w:color w:val="auto"/>
        </w:rPr>
        <w:t>Individual performance (assessment of performance against the corporate goals established by the board of directors for the CEO and the goals established by the Committee and/or the CEO for the other NEOs, as well as an assessment of the individual’s importance to the Company’s future performance).</w:t>
      </w:r>
    </w:p>
    <w:p>
      <w:pPr>
        <w:spacing w:after="0" w:line="29" w:lineRule="exact"/>
        <w:rPr>
          <w:rFonts w:ascii="Arial" w:cs="Arial" w:eastAsia="Arial" w:hAnsi="Arial"/>
          <w:sz w:val="13"/>
          <w:szCs w:val="13"/>
          <w:b w:val="1"/>
          <w:bCs w:val="1"/>
          <w:color w:val="215BA8"/>
        </w:rPr>
      </w:pPr>
    </w:p>
    <w:p>
      <w:pPr>
        <w:ind w:left="2500" w:hanging="157"/>
        <w:spacing w:after="0"/>
        <w:tabs>
          <w:tab w:leader="none" w:pos="2500" w:val="left"/>
        </w:tabs>
        <w:numPr>
          <w:ilvl w:val="0"/>
          <w:numId w:val="129"/>
        </w:numPr>
        <w:rPr>
          <w:rFonts w:ascii="Arial" w:cs="Arial" w:eastAsia="Arial" w:hAnsi="Arial"/>
          <w:sz w:val="13"/>
          <w:szCs w:val="13"/>
          <w:b w:val="1"/>
          <w:bCs w:val="1"/>
          <w:color w:val="215BA8"/>
        </w:rPr>
      </w:pPr>
      <w:r>
        <w:rPr>
          <w:rFonts w:ascii="Arial" w:cs="Arial" w:eastAsia="Arial" w:hAnsi="Arial"/>
          <w:sz w:val="13"/>
          <w:szCs w:val="13"/>
          <w:b w:val="1"/>
          <w:bCs w:val="1"/>
          <w:color w:val="auto"/>
        </w:rPr>
        <w:t>Both stock options and PSUs are performance-based:</w:t>
      </w:r>
    </w:p>
    <w:p>
      <w:pPr>
        <w:spacing w:after="0" w:line="69" w:lineRule="exact"/>
        <w:rPr>
          <w:rFonts w:ascii="Arial" w:cs="Arial" w:eastAsia="Arial" w:hAnsi="Arial"/>
          <w:sz w:val="13"/>
          <w:szCs w:val="13"/>
          <w:b w:val="1"/>
          <w:bCs w:val="1"/>
          <w:color w:val="215BA8"/>
        </w:rPr>
      </w:pPr>
    </w:p>
    <w:p>
      <w:pPr>
        <w:ind w:left="2760" w:right="760" w:hanging="165"/>
        <w:spacing w:after="0" w:line="248" w:lineRule="auto"/>
        <w:tabs>
          <w:tab w:leader="none" w:pos="2752" w:val="left"/>
        </w:tabs>
        <w:numPr>
          <w:ilvl w:val="1"/>
          <w:numId w:val="129"/>
        </w:numPr>
        <w:rPr>
          <w:rFonts w:ascii="Arial" w:cs="Arial" w:eastAsia="Arial" w:hAnsi="Arial"/>
          <w:sz w:val="13"/>
          <w:szCs w:val="13"/>
          <w:b w:val="1"/>
          <w:bCs w:val="1"/>
          <w:color w:val="215BA8"/>
        </w:rPr>
      </w:pPr>
      <w:r>
        <w:rPr>
          <w:rFonts w:ascii="Arial" w:cs="Arial" w:eastAsia="Arial" w:hAnsi="Arial"/>
          <w:sz w:val="13"/>
          <w:szCs w:val="13"/>
          <w:color w:val="auto"/>
        </w:rPr>
        <w:t>Stock options only deliver value if we deliver stock price appreciation for shareholders after grant. No amount of time will make a stock option deliver any value unless the company’s stock price increases.</w:t>
      </w:r>
    </w:p>
    <w:p>
      <w:pPr>
        <w:spacing w:after="0" w:line="42" w:lineRule="exact"/>
        <w:rPr>
          <w:rFonts w:ascii="Arial" w:cs="Arial" w:eastAsia="Arial" w:hAnsi="Arial"/>
          <w:sz w:val="13"/>
          <w:szCs w:val="13"/>
          <w:b w:val="1"/>
          <w:bCs w:val="1"/>
          <w:color w:val="215BA8"/>
        </w:rPr>
      </w:pPr>
    </w:p>
    <w:p>
      <w:pPr>
        <w:ind w:left="2760" w:right="540" w:hanging="165"/>
        <w:spacing w:after="0" w:line="241" w:lineRule="auto"/>
        <w:tabs>
          <w:tab w:leader="none" w:pos="2752" w:val="left"/>
        </w:tabs>
        <w:numPr>
          <w:ilvl w:val="1"/>
          <w:numId w:val="129"/>
        </w:numPr>
        <w:rPr>
          <w:rFonts w:ascii="Arial" w:cs="Arial" w:eastAsia="Arial" w:hAnsi="Arial"/>
          <w:sz w:val="13"/>
          <w:szCs w:val="13"/>
          <w:b w:val="1"/>
          <w:bCs w:val="1"/>
          <w:color w:val="215BA8"/>
        </w:rPr>
      </w:pPr>
      <w:r>
        <w:rPr>
          <w:rFonts w:ascii="Arial" w:cs="Arial" w:eastAsia="Arial" w:hAnsi="Arial"/>
          <w:sz w:val="13"/>
          <w:szCs w:val="13"/>
          <w:color w:val="auto"/>
        </w:rPr>
        <w:t>PSUs (which were most recently granted in 2020 but not utilized for any NEOs in 2021) only vest if the relevant performance criteria related to TSR are satisfied. They are designed to reward top performance; reward exceptional long-term shareholder value creation; and ensure stability and continuity of leadership to support the achievement of the next phase of Regeneron’s ambitious product, pipeline, and talent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105410</wp:posOffset>
            </wp:positionV>
            <wp:extent cx="5374640" cy="1405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374640" cy="14058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-1231900</wp:posOffset>
            </wp:positionV>
            <wp:extent cx="1071245" cy="8655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71245" cy="865505"/>
                    </a:xfrm>
                    <a:prstGeom prst="rect">
                      <a:avLst/>
                    </a:prstGeom>
                    <a:noFill/>
                  </pic:spPr>
                </pic:pic>
              </a:graphicData>
            </a:graphic>
          </wp:anchor>
        </w:drawing>
      </w:r>
    </w:p>
    <w:p>
      <w:pPr>
        <w:spacing w:after="0" w:line="17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215BA8"/>
        </w:rPr>
        <w:t>Long-Term Value Creation</w:t>
      </w:r>
    </w:p>
    <w:p>
      <w:pPr>
        <w:spacing w:after="0" w:line="60" w:lineRule="exact"/>
        <w:rPr>
          <w:sz w:val="20"/>
          <w:szCs w:val="20"/>
          <w:color w:val="auto"/>
        </w:rPr>
      </w:pPr>
    </w:p>
    <w:p>
      <w:pPr>
        <w:ind w:left="2500" w:right="600" w:hanging="157"/>
        <w:spacing w:after="0" w:line="256" w:lineRule="auto"/>
        <w:tabs>
          <w:tab w:leader="none" w:pos="2492" w:val="left"/>
        </w:tabs>
        <w:numPr>
          <w:ilvl w:val="0"/>
          <w:numId w:val="130"/>
        </w:numPr>
        <w:rPr>
          <w:rFonts w:ascii="Arial" w:cs="Arial" w:eastAsia="Arial" w:hAnsi="Arial"/>
          <w:sz w:val="13"/>
          <w:szCs w:val="13"/>
          <w:b w:val="1"/>
          <w:bCs w:val="1"/>
          <w:color w:val="215BA8"/>
        </w:rPr>
      </w:pPr>
      <w:r>
        <w:rPr>
          <w:rFonts w:ascii="Arial" w:cs="Arial" w:eastAsia="Arial" w:hAnsi="Arial"/>
          <w:sz w:val="13"/>
          <w:szCs w:val="13"/>
          <w:b w:val="1"/>
          <w:bCs w:val="1"/>
          <w:color w:val="auto"/>
        </w:rPr>
        <w:t>Stock option grants have ten-year terms and four-year vesting provisions (generally requiring our employees, including our NEOs, to remain employed for four years in order for all options to vest*) to align with long-term value creation and the development cycle of our products.</w:t>
      </w:r>
    </w:p>
    <w:p>
      <w:pPr>
        <w:spacing w:after="0" w:line="21" w:lineRule="exact"/>
        <w:rPr>
          <w:rFonts w:ascii="Arial" w:cs="Arial" w:eastAsia="Arial" w:hAnsi="Arial"/>
          <w:sz w:val="13"/>
          <w:szCs w:val="13"/>
          <w:b w:val="1"/>
          <w:bCs w:val="1"/>
          <w:color w:val="215BA8"/>
        </w:rPr>
      </w:pPr>
    </w:p>
    <w:p>
      <w:pPr>
        <w:ind w:left="2500" w:right="600" w:hanging="157"/>
        <w:spacing w:after="0" w:line="274" w:lineRule="auto"/>
        <w:tabs>
          <w:tab w:leader="none" w:pos="2492" w:val="left"/>
        </w:tabs>
        <w:numPr>
          <w:ilvl w:val="0"/>
          <w:numId w:val="130"/>
        </w:numPr>
        <w:rPr>
          <w:rFonts w:ascii="Arial" w:cs="Arial" w:eastAsia="Arial" w:hAnsi="Arial"/>
          <w:sz w:val="13"/>
          <w:szCs w:val="13"/>
          <w:b w:val="1"/>
          <w:bCs w:val="1"/>
          <w:color w:val="215BA8"/>
        </w:rPr>
      </w:pPr>
      <w:r>
        <w:rPr>
          <w:rFonts w:ascii="Arial" w:cs="Arial" w:eastAsia="Arial" w:hAnsi="Arial"/>
          <w:sz w:val="13"/>
          <w:szCs w:val="13"/>
          <w:b w:val="1"/>
          <w:bCs w:val="1"/>
          <w:color w:val="auto"/>
        </w:rPr>
        <w:t>PSUs granted in 2019 and 2020 incorporate a long-term, five-year performance period. In addition, the PSUs granted in 2020 require a three-year deferral and holding period, thus promoting and rewarding value creation over eight years.</w:t>
      </w:r>
    </w:p>
    <w:p>
      <w:pPr>
        <w:spacing w:after="0" w:line="9" w:lineRule="exact"/>
        <w:rPr>
          <w:rFonts w:ascii="Arial" w:cs="Arial" w:eastAsia="Arial" w:hAnsi="Arial"/>
          <w:sz w:val="13"/>
          <w:szCs w:val="13"/>
          <w:b w:val="1"/>
          <w:bCs w:val="1"/>
          <w:color w:val="215BA8"/>
        </w:rPr>
      </w:pPr>
    </w:p>
    <w:p>
      <w:pPr>
        <w:ind w:left="2500" w:hanging="157"/>
        <w:spacing w:after="0"/>
        <w:tabs>
          <w:tab w:leader="none" w:pos="2500" w:val="left"/>
        </w:tabs>
        <w:numPr>
          <w:ilvl w:val="0"/>
          <w:numId w:val="130"/>
        </w:numPr>
        <w:rPr>
          <w:rFonts w:ascii="Arial" w:cs="Arial" w:eastAsia="Arial" w:hAnsi="Arial"/>
          <w:sz w:val="13"/>
          <w:szCs w:val="13"/>
          <w:b w:val="1"/>
          <w:bCs w:val="1"/>
          <w:color w:val="215BA8"/>
        </w:rPr>
      </w:pPr>
      <w:r>
        <w:rPr>
          <w:rFonts w:ascii="Arial" w:cs="Arial" w:eastAsia="Arial" w:hAnsi="Arial"/>
          <w:sz w:val="13"/>
          <w:szCs w:val="13"/>
          <w:b w:val="1"/>
          <w:bCs w:val="1"/>
          <w:color w:val="auto"/>
        </w:rPr>
        <w:t>RSAs/RSUs promote long-term employment:</w:t>
      </w:r>
    </w:p>
    <w:p>
      <w:pPr>
        <w:spacing w:after="0" w:line="69" w:lineRule="exact"/>
        <w:rPr>
          <w:rFonts w:ascii="Arial" w:cs="Arial" w:eastAsia="Arial" w:hAnsi="Arial"/>
          <w:sz w:val="13"/>
          <w:szCs w:val="13"/>
          <w:b w:val="1"/>
          <w:bCs w:val="1"/>
          <w:color w:val="215BA8"/>
        </w:rPr>
      </w:pPr>
    </w:p>
    <w:p>
      <w:pPr>
        <w:ind w:left="2760" w:right="640" w:hanging="165"/>
        <w:spacing w:after="0" w:line="248" w:lineRule="auto"/>
        <w:tabs>
          <w:tab w:leader="none" w:pos="2752" w:val="left"/>
        </w:tabs>
        <w:numPr>
          <w:ilvl w:val="1"/>
          <w:numId w:val="130"/>
        </w:numPr>
        <w:rPr>
          <w:rFonts w:ascii="Arial" w:cs="Arial" w:eastAsia="Arial" w:hAnsi="Arial"/>
          <w:sz w:val="13"/>
          <w:szCs w:val="13"/>
          <w:b w:val="1"/>
          <w:bCs w:val="1"/>
          <w:color w:val="215BA8"/>
        </w:rPr>
      </w:pPr>
      <w:r>
        <w:rPr>
          <w:rFonts w:ascii="Arial" w:cs="Arial" w:eastAsia="Arial" w:hAnsi="Arial"/>
          <w:sz w:val="13"/>
          <w:szCs w:val="13"/>
          <w:color w:val="auto"/>
        </w:rPr>
        <w:t>RSAs/RSUs awarded as a component of annual equity awards vest 50% on the second anniversary of the date of grant and 50% on the fourth anniversary of the date of grant, which is a more backloaded vesting schedule than is typical in the industry.</w:t>
      </w:r>
    </w:p>
    <w:p>
      <w:pPr>
        <w:spacing w:after="0" w:line="42" w:lineRule="exact"/>
        <w:rPr>
          <w:rFonts w:ascii="Arial" w:cs="Arial" w:eastAsia="Arial" w:hAnsi="Arial"/>
          <w:sz w:val="13"/>
          <w:szCs w:val="13"/>
          <w:b w:val="1"/>
          <w:bCs w:val="1"/>
          <w:color w:val="215BA8"/>
        </w:rPr>
      </w:pPr>
    </w:p>
    <w:p>
      <w:pPr>
        <w:ind w:left="2760" w:right="1020" w:hanging="165"/>
        <w:spacing w:after="0" w:line="248" w:lineRule="auto"/>
        <w:tabs>
          <w:tab w:leader="none" w:pos="2752" w:val="left"/>
        </w:tabs>
        <w:numPr>
          <w:ilvl w:val="1"/>
          <w:numId w:val="130"/>
        </w:numPr>
        <w:rPr>
          <w:rFonts w:ascii="Arial" w:cs="Arial" w:eastAsia="Arial" w:hAnsi="Arial"/>
          <w:sz w:val="13"/>
          <w:szCs w:val="13"/>
          <w:b w:val="1"/>
          <w:bCs w:val="1"/>
          <w:color w:val="215BA8"/>
        </w:rPr>
      </w:pPr>
      <w:r>
        <w:rPr>
          <w:rFonts w:ascii="Arial" w:cs="Arial" w:eastAsia="Arial" w:hAnsi="Arial"/>
          <w:sz w:val="13"/>
          <w:szCs w:val="13"/>
          <w:color w:val="auto"/>
        </w:rPr>
        <w:t>Special RSAs awarded to our NEOs in recent years vest 100% on the fifth anniversary of the date of grant. No special RSAs were awarded to our NEOs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-1003300</wp:posOffset>
            </wp:positionV>
            <wp:extent cx="6446520" cy="2066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46520" cy="2066290"/>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-1003300</wp:posOffset>
            </wp:positionV>
            <wp:extent cx="6446520" cy="2066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46520" cy="2066290"/>
                    </a:xfrm>
                    <a:prstGeom prst="rect">
                      <a:avLst/>
                    </a:prstGeom>
                    <a:noFill/>
                  </pic:spPr>
                </pic:pic>
              </a:graphicData>
            </a:graphic>
          </wp:anchor>
        </w:drawing>
      </w:r>
    </w:p>
    <w:p>
      <w:pPr>
        <w:spacing w:after="0" w:line="32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215BA8"/>
        </w:rPr>
        <w:t>Meaningful Holding Requirements</w:t>
      </w:r>
    </w:p>
    <w:p>
      <w:pPr>
        <w:spacing w:after="0" w:line="60" w:lineRule="exact"/>
        <w:rPr>
          <w:sz w:val="20"/>
          <w:szCs w:val="20"/>
          <w:color w:val="auto"/>
        </w:rPr>
      </w:pPr>
    </w:p>
    <w:p>
      <w:pPr>
        <w:ind w:left="2500" w:hanging="157"/>
        <w:spacing w:after="0"/>
        <w:tabs>
          <w:tab w:leader="none" w:pos="2500" w:val="left"/>
        </w:tabs>
        <w:numPr>
          <w:ilvl w:val="0"/>
          <w:numId w:val="131"/>
        </w:numPr>
        <w:rPr>
          <w:rFonts w:ascii="Arial" w:cs="Arial" w:eastAsia="Arial" w:hAnsi="Arial"/>
          <w:sz w:val="13"/>
          <w:szCs w:val="13"/>
          <w:b w:val="1"/>
          <w:bCs w:val="1"/>
          <w:color w:val="215BA8"/>
        </w:rPr>
      </w:pPr>
      <w:r>
        <w:rPr>
          <w:rFonts w:ascii="Arial" w:cs="Arial" w:eastAsia="Arial" w:hAnsi="Arial"/>
          <w:sz w:val="13"/>
          <w:szCs w:val="13"/>
          <w:b w:val="1"/>
          <w:bCs w:val="1"/>
          <w:color w:val="auto"/>
        </w:rPr>
        <w:t>We require NEOs to retain a significant amount of equity within five years of their employment with Regeneron:</w:t>
      </w:r>
    </w:p>
    <w:p>
      <w:pPr>
        <w:spacing w:after="0" w:line="69" w:lineRule="exact"/>
        <w:rPr>
          <w:rFonts w:ascii="Arial" w:cs="Arial" w:eastAsia="Arial" w:hAnsi="Arial"/>
          <w:sz w:val="13"/>
          <w:szCs w:val="13"/>
          <w:b w:val="1"/>
          <w:bCs w:val="1"/>
          <w:color w:val="215BA8"/>
        </w:rPr>
      </w:pPr>
    </w:p>
    <w:p>
      <w:pPr>
        <w:ind w:left="2740" w:hanging="145"/>
        <w:spacing w:after="0"/>
        <w:tabs>
          <w:tab w:leader="none" w:pos="2740" w:val="left"/>
        </w:tabs>
        <w:numPr>
          <w:ilvl w:val="1"/>
          <w:numId w:val="131"/>
        </w:numPr>
        <w:rPr>
          <w:rFonts w:ascii="Arial" w:cs="Arial" w:eastAsia="Arial" w:hAnsi="Arial"/>
          <w:sz w:val="13"/>
          <w:szCs w:val="13"/>
          <w:b w:val="1"/>
          <w:bCs w:val="1"/>
          <w:color w:val="215BA8"/>
        </w:rPr>
      </w:pPr>
      <w:r>
        <w:rPr>
          <w:rFonts w:ascii="Arial" w:cs="Arial" w:eastAsia="Arial" w:hAnsi="Arial"/>
          <w:sz w:val="13"/>
          <w:szCs w:val="13"/>
          <w:color w:val="auto"/>
        </w:rPr>
        <w:t>Our CEO and CSO must own shares with a value at least 6x their respective base salaries.</w:t>
      </w:r>
    </w:p>
    <w:p>
      <w:pPr>
        <w:spacing w:after="0" w:line="53" w:lineRule="exact"/>
        <w:rPr>
          <w:rFonts w:ascii="Arial" w:cs="Arial" w:eastAsia="Arial" w:hAnsi="Arial"/>
          <w:sz w:val="13"/>
          <w:szCs w:val="13"/>
          <w:b w:val="1"/>
          <w:bCs w:val="1"/>
          <w:color w:val="215BA8"/>
        </w:rPr>
      </w:pPr>
    </w:p>
    <w:p>
      <w:pPr>
        <w:ind w:left="2740" w:hanging="145"/>
        <w:spacing w:after="0"/>
        <w:tabs>
          <w:tab w:leader="none" w:pos="2740" w:val="left"/>
        </w:tabs>
        <w:numPr>
          <w:ilvl w:val="1"/>
          <w:numId w:val="131"/>
        </w:numPr>
        <w:rPr>
          <w:rFonts w:ascii="Arial" w:cs="Arial" w:eastAsia="Arial" w:hAnsi="Arial"/>
          <w:sz w:val="13"/>
          <w:szCs w:val="13"/>
          <w:b w:val="1"/>
          <w:bCs w:val="1"/>
          <w:color w:val="215BA8"/>
        </w:rPr>
      </w:pPr>
      <w:r>
        <w:rPr>
          <w:rFonts w:ascii="Arial" w:cs="Arial" w:eastAsia="Arial" w:hAnsi="Arial"/>
          <w:sz w:val="13"/>
          <w:szCs w:val="13"/>
          <w:color w:val="auto"/>
        </w:rPr>
        <w:t>Our other NEOs must own shares with a value at least 2x their respective base salaries.</w:t>
      </w:r>
    </w:p>
    <w:p>
      <w:pPr>
        <w:spacing w:after="0" w:line="37" w:lineRule="exact"/>
        <w:rPr>
          <w:rFonts w:ascii="Arial" w:cs="Arial" w:eastAsia="Arial" w:hAnsi="Arial"/>
          <w:sz w:val="13"/>
          <w:szCs w:val="13"/>
          <w:b w:val="1"/>
          <w:bCs w:val="1"/>
          <w:color w:val="215BA8"/>
        </w:rPr>
      </w:pPr>
    </w:p>
    <w:p>
      <w:pPr>
        <w:ind w:left="2500" w:right="1000" w:hanging="157"/>
        <w:spacing w:after="0" w:line="274" w:lineRule="auto"/>
        <w:tabs>
          <w:tab w:leader="none" w:pos="2492" w:val="left"/>
        </w:tabs>
        <w:numPr>
          <w:ilvl w:val="0"/>
          <w:numId w:val="131"/>
        </w:numPr>
        <w:rPr>
          <w:rFonts w:ascii="Arial" w:cs="Arial" w:eastAsia="Arial" w:hAnsi="Arial"/>
          <w:sz w:val="13"/>
          <w:szCs w:val="13"/>
          <w:b w:val="1"/>
          <w:bCs w:val="1"/>
          <w:color w:val="215BA8"/>
        </w:rPr>
      </w:pPr>
      <w:r>
        <w:rPr>
          <w:rFonts w:ascii="Arial" w:cs="Arial" w:eastAsia="Arial" w:hAnsi="Arial"/>
          <w:sz w:val="13"/>
          <w:szCs w:val="13"/>
          <w:b w:val="1"/>
          <w:bCs w:val="1"/>
          <w:color w:val="auto"/>
        </w:rPr>
        <w:t>In addition, PSUs awarded in 2020 require a three-year deferral and holding period following vesting, except in certain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151130</wp:posOffset>
            </wp:positionV>
            <wp:extent cx="5374640" cy="10115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374640" cy="1011555"/>
                    </a:xfrm>
                    <a:prstGeom prst="rect">
                      <a:avLst/>
                    </a:prstGeom>
                    <a:noFill/>
                  </pic:spPr>
                </pic:pic>
              </a:graphicData>
            </a:graphic>
          </wp:anchor>
        </w:drawing>
      </w:r>
    </w:p>
    <w:p>
      <w:pPr>
        <w:spacing w:after="0" w:line="249"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215BA8"/>
        </w:rPr>
        <w:t>Risk-Mitigating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-73660</wp:posOffset>
            </wp:positionV>
            <wp:extent cx="1071245" cy="8483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071245" cy="848360"/>
                    </a:xfrm>
                    <a:prstGeom prst="rect">
                      <a:avLst/>
                    </a:prstGeom>
                    <a:noFill/>
                  </pic:spPr>
                </pic:pic>
              </a:graphicData>
            </a:graphic>
          </wp:anchor>
        </w:drawing>
      </w:r>
    </w:p>
    <w:p>
      <w:pPr>
        <w:spacing w:after="0" w:line="40" w:lineRule="exact"/>
        <w:rPr>
          <w:sz w:val="20"/>
          <w:szCs w:val="20"/>
          <w:color w:val="auto"/>
        </w:rPr>
      </w:pPr>
    </w:p>
    <w:p>
      <w:pPr>
        <w:ind w:left="2500" w:right="760" w:hanging="157"/>
        <w:spacing w:after="0" w:line="256" w:lineRule="auto"/>
        <w:tabs>
          <w:tab w:leader="none" w:pos="2492" w:val="left"/>
        </w:tabs>
        <w:numPr>
          <w:ilvl w:val="1"/>
          <w:numId w:val="132"/>
        </w:numPr>
        <w:rPr>
          <w:rFonts w:ascii="Arial" w:cs="Arial" w:eastAsia="Arial" w:hAnsi="Arial"/>
          <w:sz w:val="13"/>
          <w:szCs w:val="13"/>
          <w:b w:val="1"/>
          <w:bCs w:val="1"/>
          <w:color w:val="215BA8"/>
        </w:rPr>
      </w:pPr>
      <w:r>
        <w:rPr>
          <w:rFonts w:ascii="Arial" w:cs="Arial" w:eastAsia="Arial" w:hAnsi="Arial"/>
          <w:sz w:val="13"/>
          <w:szCs w:val="13"/>
          <w:b w:val="1"/>
          <w:bCs w:val="1"/>
          <w:color w:val="auto"/>
        </w:rPr>
        <w:t>We have a recoupment (clawback) policy that enables us to reduce or recoup equity and other incentive compensation for compliance violations by NEOs and other covered officers and employees; importantly, the policy covers both financial and non-financial violations.**</w:t>
      </w:r>
    </w:p>
    <w:p>
      <w:pPr>
        <w:spacing w:after="0" w:line="21" w:lineRule="exact"/>
        <w:rPr>
          <w:rFonts w:ascii="Arial" w:cs="Arial" w:eastAsia="Arial" w:hAnsi="Arial"/>
          <w:sz w:val="13"/>
          <w:szCs w:val="13"/>
          <w:b w:val="1"/>
          <w:bCs w:val="1"/>
          <w:color w:val="215BA8"/>
        </w:rPr>
      </w:pPr>
    </w:p>
    <w:p>
      <w:pPr>
        <w:ind w:left="2500" w:hanging="157"/>
        <w:spacing w:after="0"/>
        <w:tabs>
          <w:tab w:leader="none" w:pos="2500" w:val="left"/>
        </w:tabs>
        <w:numPr>
          <w:ilvl w:val="1"/>
          <w:numId w:val="132"/>
        </w:numPr>
        <w:rPr>
          <w:rFonts w:ascii="Arial" w:cs="Arial" w:eastAsia="Arial" w:hAnsi="Arial"/>
          <w:sz w:val="13"/>
          <w:szCs w:val="13"/>
          <w:b w:val="1"/>
          <w:bCs w:val="1"/>
          <w:color w:val="215BA8"/>
        </w:rPr>
      </w:pPr>
      <w:r>
        <w:rPr>
          <w:rFonts w:ascii="Arial" w:cs="Arial" w:eastAsia="Arial" w:hAnsi="Arial"/>
          <w:sz w:val="13"/>
          <w:szCs w:val="13"/>
          <w:b w:val="1"/>
          <w:bCs w:val="1"/>
          <w:color w:val="auto"/>
        </w:rPr>
        <w:t>We prohibit our NEOs from hedging or pledging Regeneron securities they hold.</w:t>
      </w:r>
    </w:p>
    <w:p>
      <w:pPr>
        <w:spacing w:after="0" w:line="53" w:lineRule="exact"/>
        <w:rPr>
          <w:rFonts w:ascii="Arial" w:cs="Arial" w:eastAsia="Arial" w:hAnsi="Arial"/>
          <w:sz w:val="13"/>
          <w:szCs w:val="13"/>
          <w:b w:val="1"/>
          <w:bCs w:val="1"/>
          <w:color w:val="215BA8"/>
        </w:rPr>
      </w:pPr>
    </w:p>
    <w:p>
      <w:pPr>
        <w:ind w:left="2500" w:right="740" w:hanging="157"/>
        <w:spacing w:after="0" w:line="256" w:lineRule="auto"/>
        <w:tabs>
          <w:tab w:leader="none" w:pos="2492" w:val="left"/>
        </w:tabs>
        <w:numPr>
          <w:ilvl w:val="1"/>
          <w:numId w:val="132"/>
        </w:numPr>
        <w:rPr>
          <w:rFonts w:ascii="Arial" w:cs="Arial" w:eastAsia="Arial" w:hAnsi="Arial"/>
          <w:sz w:val="13"/>
          <w:szCs w:val="13"/>
          <w:b w:val="1"/>
          <w:bCs w:val="1"/>
          <w:color w:val="215BA8"/>
        </w:rPr>
      </w:pPr>
      <w:r>
        <w:rPr>
          <w:rFonts w:ascii="Arial" w:cs="Arial" w:eastAsia="Arial" w:hAnsi="Arial"/>
          <w:sz w:val="13"/>
          <w:szCs w:val="13"/>
          <w:b w:val="1"/>
          <w:bCs w:val="1"/>
          <w:color w:val="auto"/>
        </w:rPr>
        <w:t>We periodically evaluate each NEO’s grant history and prior grant size amounts, as well as the amount of outstanding unvested and/or vested but unexercised stock options and other equity awards (if applicable) held, including whether such awards are “in-the-money.” These considerations inform future NEO grant sizes and the mix of equity awards utilized.</w:t>
      </w:r>
    </w:p>
    <w:p>
      <w:pPr>
        <w:spacing w:after="0" w:line="200" w:lineRule="exact"/>
        <w:rPr>
          <w:rFonts w:ascii="Arial" w:cs="Arial" w:eastAsia="Arial" w:hAnsi="Arial"/>
          <w:sz w:val="13"/>
          <w:szCs w:val="13"/>
          <w:b w:val="1"/>
          <w:bCs w:val="1"/>
          <w:color w:val="215BA8"/>
        </w:rPr>
      </w:pPr>
    </w:p>
    <w:p>
      <w:pPr>
        <w:spacing w:after="0" w:line="243" w:lineRule="exact"/>
        <w:rPr>
          <w:rFonts w:ascii="Arial" w:cs="Arial" w:eastAsia="Arial" w:hAnsi="Arial"/>
          <w:sz w:val="13"/>
          <w:szCs w:val="13"/>
          <w:b w:val="1"/>
          <w:bCs w:val="1"/>
          <w:color w:val="215BA8"/>
        </w:rPr>
      </w:pPr>
    </w:p>
    <w:p>
      <w:pPr>
        <w:ind w:left="760" w:right="1000" w:hanging="216"/>
        <w:spacing w:after="0" w:line="247" w:lineRule="auto"/>
        <w:rPr>
          <w:rFonts w:ascii="Arial" w:cs="Arial" w:eastAsia="Arial" w:hAnsi="Arial"/>
          <w:sz w:val="13"/>
          <w:szCs w:val="13"/>
          <w:b w:val="1"/>
          <w:bCs w:val="1"/>
          <w:color w:val="215BA8"/>
        </w:rPr>
      </w:pPr>
      <w:r>
        <w:rPr>
          <w:rFonts w:ascii="Arial" w:cs="Arial" w:eastAsia="Arial" w:hAnsi="Arial"/>
          <w:sz w:val="14"/>
          <w:szCs w:val="14"/>
          <w:color w:val="1A1A1A"/>
        </w:rPr>
        <w:t>* In the case of our CEO, this is subject to the terms of his employment agreement. See the subsection “Compensation Dashboard—2021 Executive Compensation Tables—Post-Employment Compensation—Leonard S. Schleifer, M.D., Ph.D. Employment Agreement.” In the case of our CSO, any unvested stock options granted to him in December 2018 and 2019 will continue to vest following his qualified retirement (as defined in the applicable Company policy).</w:t>
      </w:r>
    </w:p>
    <w:p>
      <w:pPr>
        <w:spacing w:after="0" w:line="39" w:lineRule="exact"/>
        <w:rPr>
          <w:rFonts w:ascii="Arial" w:cs="Arial" w:eastAsia="Arial" w:hAnsi="Arial"/>
          <w:sz w:val="13"/>
          <w:szCs w:val="13"/>
          <w:b w:val="1"/>
          <w:bCs w:val="1"/>
          <w:color w:val="215BA8"/>
        </w:rPr>
      </w:pPr>
    </w:p>
    <w:p>
      <w:pPr>
        <w:ind w:left="760" w:hanging="212"/>
        <w:spacing w:after="0"/>
        <w:tabs>
          <w:tab w:leader="none" w:pos="760" w:val="left"/>
        </w:tabs>
        <w:numPr>
          <w:ilvl w:val="0"/>
          <w:numId w:val="133"/>
        </w:numPr>
        <w:rPr>
          <w:rFonts w:ascii="Arial" w:cs="Arial" w:eastAsia="Arial" w:hAnsi="Arial"/>
          <w:sz w:val="14"/>
          <w:szCs w:val="14"/>
          <w:color w:val="1A1A1A"/>
        </w:rPr>
      </w:pPr>
      <w:r>
        <w:rPr>
          <w:rFonts w:ascii="Arial" w:cs="Arial" w:eastAsia="Arial" w:hAnsi="Arial"/>
          <w:sz w:val="14"/>
          <w:szCs w:val="14"/>
          <w:color w:val="1A1A1A"/>
        </w:rPr>
        <w:t>See the subsection “Compensation Processes—Risk Assessment” below for further information about the recoupment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-653415</wp:posOffset>
            </wp:positionV>
            <wp:extent cx="64465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69</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84" w:name="page85"/>
    <w:bookmarkEnd w:id="84"/>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In applying this framework in 2021, the Compensation Committee determined to grant our NEOs (except our CEO and CSO, who did not receive any equity awards in 2021) the target grant date fair value of the equity awards shown in the table below, with 60% of the grant date fair value of each NEO award allocated to stock options and 40% to RSAs. As part of a Company-wide change to the equity award guidelines, the 2021 annual equity awards to the NEOs were expressed in dollar terms (i.e., based on their grant date fair value). Prior to 2019, the sizing of NEO annual equity awards was determined based on the number of underlying shares, rather the target grant date fair value; and in 2019 and 2020, we utilized hybrid guidelines. The current approach allows for value delivery to be normalized and predictable year-over-year, an important consideration for the top talent we seek to attract and retain, and better aligns with industry peers of similar size, maturity, and growth trajectory. It also resulted in lowering the Company’s burn rate in 2021 and helped address feedback relating to the levels of burn rate viewed as acceptable by some of our shareholders. In 2021, our burn rate was 3.1%, the lowest level in the last decade, despite keeping our broad-based equity program intact and increasing the number of our employees by 14% year-over-year.</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2021 Annual Equity Awards</w:t>
      </w:r>
    </w:p>
    <w:p>
      <w:pPr>
        <w:spacing w:after="0" w:line="209" w:lineRule="exact"/>
        <w:rPr>
          <w:sz w:val="20"/>
          <w:szCs w:val="20"/>
          <w:color w:val="auto"/>
        </w:rPr>
      </w:pPr>
    </w:p>
    <w:tbl>
      <w:tblPr>
        <w:tblLayout w:type="fixed"/>
        <w:tblInd w:w="540" w:type="dxa"/>
        <w:tblCellMar>
          <w:top w:w="0" w:type="dxa"/>
          <w:left w:w="0" w:type="dxa"/>
          <w:bottom w:w="0" w:type="dxa"/>
          <w:right w:w="0" w:type="dxa"/>
        </w:tblCellMar>
      </w:tblPr>
      <w:tr>
        <w:trPr>
          <w:trHeight w:val="160"/>
        </w:trPr>
        <w:tc>
          <w:tcPr>
            <w:tcW w:w="4700" w:type="dxa"/>
            <w:vAlign w:val="bottom"/>
          </w:tcPr>
          <w:p>
            <w:pPr>
              <w:ind w:left="60"/>
              <w:spacing w:after="0"/>
              <w:rPr>
                <w:sz w:val="20"/>
                <w:szCs w:val="20"/>
                <w:color w:val="auto"/>
              </w:rPr>
            </w:pPr>
            <w:r>
              <w:rPr>
                <w:rFonts w:ascii="Arial" w:cs="Arial" w:eastAsia="Arial" w:hAnsi="Arial"/>
                <w:sz w:val="12"/>
                <w:szCs w:val="12"/>
                <w:b w:val="1"/>
                <w:bCs w:val="1"/>
                <w:color w:val="215BA8"/>
              </w:rPr>
              <w:t>Named Executive Officer</w:t>
            </w:r>
          </w:p>
        </w:tc>
        <w:tc>
          <w:tcPr>
            <w:tcW w:w="2040" w:type="dxa"/>
            <w:vAlign w:val="bottom"/>
            <w:gridSpan w:val="3"/>
          </w:tcPr>
          <w:p>
            <w:pPr>
              <w:ind w:left="360"/>
              <w:spacing w:after="0"/>
              <w:rPr>
                <w:sz w:val="20"/>
                <w:szCs w:val="20"/>
                <w:color w:val="auto"/>
              </w:rPr>
            </w:pPr>
            <w:r>
              <w:rPr>
                <w:rFonts w:ascii="Arial" w:cs="Arial" w:eastAsia="Arial" w:hAnsi="Arial"/>
                <w:sz w:val="12"/>
                <w:szCs w:val="12"/>
                <w:b w:val="1"/>
                <w:bCs w:val="1"/>
                <w:color w:val="215BA8"/>
              </w:rPr>
              <w:t>Annual Stock Options</w:t>
            </w:r>
          </w:p>
        </w:tc>
        <w:tc>
          <w:tcPr>
            <w:tcW w:w="1360" w:type="dxa"/>
            <w:vAlign w:val="bottom"/>
          </w:tcPr>
          <w:p>
            <w:pPr>
              <w:jc w:val="right"/>
              <w:spacing w:after="0"/>
              <w:rPr>
                <w:sz w:val="20"/>
                <w:szCs w:val="20"/>
                <w:color w:val="auto"/>
              </w:rPr>
            </w:pPr>
            <w:r>
              <w:rPr>
                <w:rFonts w:ascii="Arial" w:cs="Arial" w:eastAsia="Arial" w:hAnsi="Arial"/>
                <w:sz w:val="12"/>
                <w:szCs w:val="12"/>
                <w:b w:val="1"/>
                <w:bCs w:val="1"/>
                <w:color w:val="215BA8"/>
              </w:rPr>
              <w:t>Annual RSAs</w:t>
            </w:r>
          </w:p>
        </w:tc>
        <w:tc>
          <w:tcPr>
            <w:tcW w:w="540" w:type="dxa"/>
            <w:vAlign w:val="bottom"/>
          </w:tcPr>
          <w:p>
            <w:pPr>
              <w:spacing w:after="0"/>
              <w:rPr>
                <w:sz w:val="13"/>
                <w:szCs w:val="13"/>
                <w:color w:val="auto"/>
              </w:rPr>
            </w:pPr>
          </w:p>
        </w:tc>
        <w:tc>
          <w:tcPr>
            <w:tcW w:w="1520" w:type="dxa"/>
            <w:vAlign w:val="bottom"/>
          </w:tcPr>
          <w:p>
            <w:pPr>
              <w:jc w:val="right"/>
              <w:ind w:right="716"/>
              <w:spacing w:after="0"/>
              <w:rPr>
                <w:sz w:val="20"/>
                <w:szCs w:val="20"/>
                <w:color w:val="auto"/>
              </w:rPr>
            </w:pPr>
            <w:r>
              <w:rPr>
                <w:rFonts w:ascii="Arial" w:cs="Arial" w:eastAsia="Arial" w:hAnsi="Arial"/>
                <w:sz w:val="12"/>
                <w:szCs w:val="12"/>
                <w:b w:val="1"/>
                <w:bCs w:val="1"/>
                <w:color w:val="215BA8"/>
              </w:rPr>
              <w:t>Total</w:t>
            </w:r>
          </w:p>
        </w:tc>
      </w:tr>
      <w:tr>
        <w:trPr>
          <w:trHeight w:val="257"/>
        </w:trPr>
        <w:tc>
          <w:tcPr>
            <w:tcW w:w="4700" w:type="dxa"/>
            <w:vAlign w:val="bottom"/>
            <w:tcBorders>
              <w:bottom w:val="single" w:sz="8" w:color="215BA8"/>
            </w:tcBorders>
          </w:tcPr>
          <w:p>
            <w:pPr>
              <w:spacing w:after="0"/>
              <w:rPr>
                <w:sz w:val="22"/>
                <w:szCs w:val="22"/>
                <w:color w:val="auto"/>
              </w:rPr>
            </w:pPr>
          </w:p>
        </w:tc>
        <w:tc>
          <w:tcPr>
            <w:tcW w:w="1100" w:type="dxa"/>
            <w:vAlign w:val="bottom"/>
            <w:tcBorders>
              <w:top w:val="single" w:sz="8" w:color="215BA8"/>
              <w:bottom w:val="single" w:sz="8" w:color="215BA8"/>
            </w:tcBorders>
          </w:tcPr>
          <w:p>
            <w:pPr>
              <w:jc w:val="right"/>
              <w:ind w:right="416"/>
              <w:spacing w:after="0"/>
              <w:rPr>
                <w:sz w:val="20"/>
                <w:szCs w:val="20"/>
                <w:color w:val="auto"/>
              </w:rPr>
            </w:pPr>
            <w:r>
              <w:rPr>
                <w:rFonts w:ascii="Arial" w:cs="Arial" w:eastAsia="Arial" w:hAnsi="Arial"/>
                <w:sz w:val="12"/>
                <w:szCs w:val="12"/>
                <w:b w:val="1"/>
                <w:bCs w:val="1"/>
                <w:color w:val="215BA8"/>
              </w:rPr>
              <w:t>($)**</w:t>
            </w:r>
          </w:p>
        </w:tc>
        <w:tc>
          <w:tcPr>
            <w:tcW w:w="840" w:type="dxa"/>
            <w:vAlign w:val="bottom"/>
            <w:tcBorders>
              <w:top w:val="single" w:sz="8" w:color="215BA8"/>
              <w:bottom w:val="single" w:sz="8" w:color="215BA8"/>
            </w:tcBorders>
          </w:tcPr>
          <w:p>
            <w:pPr>
              <w:jc w:val="right"/>
              <w:ind w:right="276"/>
              <w:spacing w:after="0"/>
              <w:rPr>
                <w:sz w:val="20"/>
                <w:szCs w:val="20"/>
                <w:color w:val="auto"/>
              </w:rPr>
            </w:pPr>
            <w:r>
              <w:rPr>
                <w:rFonts w:ascii="Arial" w:cs="Arial" w:eastAsia="Arial" w:hAnsi="Arial"/>
                <w:sz w:val="12"/>
                <w:szCs w:val="12"/>
                <w:b w:val="1"/>
                <w:bCs w:val="1"/>
                <w:color w:val="215BA8"/>
              </w:rPr>
              <w:t>(#)</w:t>
            </w:r>
          </w:p>
        </w:tc>
        <w:tc>
          <w:tcPr>
            <w:tcW w:w="100" w:type="dxa"/>
            <w:vAlign w:val="bottom"/>
            <w:tcBorders>
              <w:bottom w:val="single" w:sz="8" w:color="215BA8"/>
            </w:tcBorders>
          </w:tcPr>
          <w:p>
            <w:pPr>
              <w:spacing w:after="0"/>
              <w:rPr>
                <w:sz w:val="22"/>
                <w:szCs w:val="22"/>
                <w:color w:val="auto"/>
              </w:rPr>
            </w:pPr>
          </w:p>
        </w:tc>
        <w:tc>
          <w:tcPr>
            <w:tcW w:w="1360" w:type="dxa"/>
            <w:vAlign w:val="bottom"/>
            <w:tcBorders>
              <w:top w:val="single" w:sz="8" w:color="215BA8"/>
              <w:bottom w:val="single" w:sz="8" w:color="215BA8"/>
            </w:tcBorders>
          </w:tcPr>
          <w:p>
            <w:pPr>
              <w:jc w:val="right"/>
              <w:ind w:right="676"/>
              <w:spacing w:after="0"/>
              <w:rPr>
                <w:sz w:val="20"/>
                <w:szCs w:val="20"/>
                <w:color w:val="auto"/>
              </w:rPr>
            </w:pPr>
            <w:r>
              <w:rPr>
                <w:rFonts w:ascii="Arial" w:cs="Arial" w:eastAsia="Arial" w:hAnsi="Arial"/>
                <w:sz w:val="12"/>
                <w:szCs w:val="12"/>
                <w:b w:val="1"/>
                <w:bCs w:val="1"/>
                <w:color w:val="215BA8"/>
              </w:rPr>
              <w:t>($)**</w:t>
            </w:r>
          </w:p>
        </w:tc>
        <w:tc>
          <w:tcPr>
            <w:tcW w:w="540" w:type="dxa"/>
            <w:vAlign w:val="bottom"/>
            <w:tcBorders>
              <w:top w:val="single" w:sz="8" w:color="215BA8"/>
              <w:bottom w:val="single" w:sz="8" w:color="215BA8"/>
            </w:tcBorders>
          </w:tcPr>
          <w:p>
            <w:pPr>
              <w:jc w:val="right"/>
              <w:ind w:right="256"/>
              <w:spacing w:after="0"/>
              <w:rPr>
                <w:sz w:val="20"/>
                <w:szCs w:val="20"/>
                <w:color w:val="auto"/>
              </w:rPr>
            </w:pPr>
            <w:r>
              <w:rPr>
                <w:rFonts w:ascii="Arial" w:cs="Arial" w:eastAsia="Arial" w:hAnsi="Arial"/>
                <w:sz w:val="12"/>
                <w:szCs w:val="12"/>
                <w:b w:val="1"/>
                <w:bCs w:val="1"/>
                <w:color w:val="215BA8"/>
              </w:rPr>
              <w:t>(#)</w:t>
            </w:r>
          </w:p>
        </w:tc>
        <w:tc>
          <w:tcPr>
            <w:tcW w:w="1520" w:type="dxa"/>
            <w:vAlign w:val="bottom"/>
            <w:tcBorders>
              <w:bottom w:val="single" w:sz="8" w:color="215BA8"/>
            </w:tcBorders>
          </w:tcPr>
          <w:p>
            <w:pPr>
              <w:jc w:val="right"/>
              <w:ind w:right="736"/>
              <w:spacing w:after="0"/>
              <w:rPr>
                <w:sz w:val="20"/>
                <w:szCs w:val="20"/>
                <w:color w:val="auto"/>
              </w:rPr>
            </w:pPr>
            <w:r>
              <w:rPr>
                <w:rFonts w:ascii="Arial" w:cs="Arial" w:eastAsia="Arial" w:hAnsi="Arial"/>
                <w:sz w:val="12"/>
                <w:szCs w:val="12"/>
                <w:b w:val="1"/>
                <w:bCs w:val="1"/>
                <w:color w:val="215BA8"/>
              </w:rPr>
              <w:t>($)**</w:t>
            </w:r>
          </w:p>
        </w:tc>
      </w:tr>
      <w:tr>
        <w:trPr>
          <w:trHeight w:val="196"/>
        </w:trPr>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Leonard S. Schleifer, M.D., Ph.D.*</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w:t>
            </w:r>
          </w:p>
        </w:tc>
      </w:tr>
      <w:tr>
        <w:trPr>
          <w:trHeight w:val="196"/>
        </w:trPr>
        <w:tc>
          <w:tcPr>
            <w:tcW w:w="470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George D. Yancopoulos, M. D., Ph. D.*</w:t>
            </w:r>
          </w:p>
        </w:tc>
        <w:tc>
          <w:tcPr>
            <w:tcW w:w="1100" w:type="dxa"/>
            <w:vAlign w:val="bottom"/>
            <w:tcBorders>
              <w:bottom w:val="single" w:sz="8" w:color="auto"/>
            </w:tcBorders>
            <w:shd w:val="clear" w:color="auto" w:fill="EEEEEF"/>
          </w:tcPr>
          <w:p>
            <w:pPr>
              <w:jc w:val="right"/>
              <w:ind w:right="19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shd w:val="clear" w:color="auto" w:fill="EEEEEF"/>
          </w:tcPr>
          <w:p>
            <w:pPr>
              <w:jc w:val="right"/>
              <w:ind w:right="28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EEEEEF"/>
          </w:tcPr>
          <w:p>
            <w:pPr>
              <w:jc w:val="right"/>
              <w:ind w:right="476"/>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EEEEEF"/>
          </w:tcPr>
          <w:p>
            <w:pPr>
              <w:jc w:val="right"/>
              <w:ind w:right="116"/>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EEEEEF"/>
          </w:tcPr>
          <w:p>
            <w:pPr>
              <w:jc w:val="right"/>
              <w:ind w:right="516"/>
              <w:spacing w:after="0"/>
              <w:rPr>
                <w:sz w:val="20"/>
                <w:szCs w:val="20"/>
                <w:color w:val="auto"/>
              </w:rPr>
            </w:pPr>
            <w:r>
              <w:rPr>
                <w:rFonts w:ascii="Arial" w:cs="Arial" w:eastAsia="Arial" w:hAnsi="Arial"/>
                <w:sz w:val="13"/>
                <w:szCs w:val="13"/>
                <w:color w:val="auto"/>
              </w:rPr>
              <w:t>—</w:t>
            </w:r>
          </w:p>
        </w:tc>
      </w:tr>
      <w:tr>
        <w:trPr>
          <w:trHeight w:val="196"/>
        </w:trPr>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Robert E. Landry</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3,840,000</w:t>
            </w: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16,958</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2,560,000</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3,971</w:t>
            </w: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6,400,000</w:t>
            </w:r>
          </w:p>
        </w:tc>
      </w:tr>
      <w:tr>
        <w:trPr>
          <w:trHeight w:val="196"/>
        </w:trPr>
        <w:tc>
          <w:tcPr>
            <w:tcW w:w="4700" w:type="dxa"/>
            <w:vAlign w:val="bottom"/>
            <w:tcBorders>
              <w:bottom w:val="single" w:sz="8" w:color="auto"/>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Daniel P. Van Plew</w:t>
            </w:r>
          </w:p>
        </w:tc>
        <w:tc>
          <w:tcPr>
            <w:tcW w:w="1100" w:type="dxa"/>
            <w:vAlign w:val="bottom"/>
            <w:tcBorders>
              <w:bottom w:val="single" w:sz="8" w:color="auto"/>
            </w:tcBorders>
            <w:shd w:val="clear" w:color="auto" w:fill="EEEEEF"/>
          </w:tcPr>
          <w:p>
            <w:pPr>
              <w:jc w:val="right"/>
              <w:ind w:right="196"/>
              <w:spacing w:after="0"/>
              <w:rPr>
                <w:sz w:val="20"/>
                <w:szCs w:val="20"/>
                <w:color w:val="auto"/>
              </w:rPr>
            </w:pPr>
            <w:r>
              <w:rPr>
                <w:rFonts w:ascii="Arial" w:cs="Arial" w:eastAsia="Arial" w:hAnsi="Arial"/>
                <w:sz w:val="13"/>
                <w:szCs w:val="13"/>
                <w:color w:val="auto"/>
              </w:rPr>
              <w:t>4,200,000</w:t>
            </w:r>
          </w:p>
        </w:tc>
        <w:tc>
          <w:tcPr>
            <w:tcW w:w="840" w:type="dxa"/>
            <w:vAlign w:val="bottom"/>
            <w:tcBorders>
              <w:bottom w:val="single" w:sz="8" w:color="auto"/>
            </w:tcBorders>
            <w:shd w:val="clear" w:color="auto" w:fill="EEEEEF"/>
          </w:tcPr>
          <w:p>
            <w:pPr>
              <w:jc w:val="right"/>
              <w:ind w:right="116"/>
              <w:spacing w:after="0"/>
              <w:rPr>
                <w:sz w:val="20"/>
                <w:szCs w:val="20"/>
                <w:color w:val="auto"/>
              </w:rPr>
            </w:pPr>
            <w:r>
              <w:rPr>
                <w:rFonts w:ascii="Arial" w:cs="Arial" w:eastAsia="Arial" w:hAnsi="Arial"/>
                <w:sz w:val="13"/>
                <w:szCs w:val="13"/>
                <w:color w:val="auto"/>
              </w:rPr>
              <w:t>18,548</w:t>
            </w:r>
          </w:p>
        </w:tc>
        <w:tc>
          <w:tcPr>
            <w:tcW w:w="100" w:type="dxa"/>
            <w:vAlign w:val="bottom"/>
            <w:tcBorders>
              <w:bottom w:val="single" w:sz="8" w:color="auto"/>
            </w:tcBorders>
            <w:shd w:val="clear" w:color="auto" w:fill="EEEEEF"/>
          </w:tcPr>
          <w:p>
            <w:pPr>
              <w:spacing w:after="0"/>
              <w:rPr>
                <w:sz w:val="17"/>
                <w:szCs w:val="17"/>
                <w:color w:val="auto"/>
              </w:rPr>
            </w:pPr>
          </w:p>
        </w:tc>
        <w:tc>
          <w:tcPr>
            <w:tcW w:w="1360" w:type="dxa"/>
            <w:vAlign w:val="bottom"/>
            <w:tcBorders>
              <w:bottom w:val="single" w:sz="8" w:color="auto"/>
            </w:tcBorders>
            <w:shd w:val="clear" w:color="auto" w:fill="EEEEEF"/>
          </w:tcPr>
          <w:p>
            <w:pPr>
              <w:jc w:val="right"/>
              <w:ind w:right="476"/>
              <w:spacing w:after="0"/>
              <w:rPr>
                <w:sz w:val="20"/>
                <w:szCs w:val="20"/>
                <w:color w:val="auto"/>
              </w:rPr>
            </w:pPr>
            <w:r>
              <w:rPr>
                <w:rFonts w:ascii="Arial" w:cs="Arial" w:eastAsia="Arial" w:hAnsi="Arial"/>
                <w:sz w:val="13"/>
                <w:szCs w:val="13"/>
                <w:color w:val="auto"/>
              </w:rPr>
              <w:t>2,800,000</w:t>
            </w:r>
          </w:p>
        </w:tc>
        <w:tc>
          <w:tcPr>
            <w:tcW w:w="540" w:type="dxa"/>
            <w:vAlign w:val="bottom"/>
            <w:tcBorders>
              <w:bottom w:val="single" w:sz="8" w:color="auto"/>
            </w:tcBorders>
            <w:shd w:val="clear" w:color="auto" w:fill="EEEEEF"/>
          </w:tcPr>
          <w:p>
            <w:pPr>
              <w:jc w:val="right"/>
              <w:ind w:right="116"/>
              <w:spacing w:after="0"/>
              <w:rPr>
                <w:sz w:val="20"/>
                <w:szCs w:val="20"/>
                <w:color w:val="auto"/>
              </w:rPr>
            </w:pPr>
            <w:r>
              <w:rPr>
                <w:rFonts w:ascii="Arial" w:cs="Arial" w:eastAsia="Arial" w:hAnsi="Arial"/>
                <w:sz w:val="13"/>
                <w:szCs w:val="13"/>
                <w:color w:val="auto"/>
              </w:rPr>
              <w:t>4,344</w:t>
            </w:r>
          </w:p>
        </w:tc>
        <w:tc>
          <w:tcPr>
            <w:tcW w:w="1520" w:type="dxa"/>
            <w:vAlign w:val="bottom"/>
            <w:tcBorders>
              <w:bottom w:val="single" w:sz="8" w:color="auto"/>
            </w:tcBorders>
            <w:shd w:val="clear" w:color="auto" w:fill="EEEEEF"/>
          </w:tcPr>
          <w:p>
            <w:pPr>
              <w:jc w:val="right"/>
              <w:ind w:right="516"/>
              <w:spacing w:after="0"/>
              <w:rPr>
                <w:sz w:val="20"/>
                <w:szCs w:val="20"/>
                <w:color w:val="auto"/>
              </w:rPr>
            </w:pPr>
            <w:r>
              <w:rPr>
                <w:rFonts w:ascii="Arial" w:cs="Arial" w:eastAsia="Arial" w:hAnsi="Arial"/>
                <w:sz w:val="13"/>
                <w:szCs w:val="13"/>
                <w:color w:val="auto"/>
              </w:rPr>
              <w:t>7,000,000</w:t>
            </w:r>
          </w:p>
        </w:tc>
      </w:tr>
      <w:tr>
        <w:trPr>
          <w:trHeight w:val="196"/>
        </w:trPr>
        <w:tc>
          <w:tcPr>
            <w:tcW w:w="47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D60058"/>
              </w:rPr>
              <w:t>Andrew J. Murphy, Ph.D.</w:t>
            </w:r>
          </w:p>
        </w:tc>
        <w:tc>
          <w:tcPr>
            <w:tcW w:w="11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rPr>
              <w:t>3,347,400</w:t>
            </w:r>
          </w:p>
        </w:tc>
        <w:tc>
          <w:tcPr>
            <w:tcW w:w="8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14,783</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color w:val="auto"/>
              </w:rPr>
              <w:t>2,231,600</w:t>
            </w: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3,462</w:t>
            </w: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color w:val="auto"/>
              </w:rPr>
              <w:t>5,579,000</w:t>
            </w:r>
          </w:p>
        </w:tc>
      </w:tr>
      <w:tr>
        <w:trPr>
          <w:trHeight w:val="196"/>
        </w:trPr>
        <w:tc>
          <w:tcPr>
            <w:tcW w:w="4700" w:type="dxa"/>
            <w:vAlign w:val="bottom"/>
            <w:tcBorders>
              <w:bottom w:val="single" w:sz="8" w:color="215BA8"/>
            </w:tcBorders>
            <w:shd w:val="clear" w:color="auto" w:fill="EEEEEF"/>
          </w:tcPr>
          <w:p>
            <w:pPr>
              <w:ind w:left="60"/>
              <w:spacing w:after="0"/>
              <w:rPr>
                <w:sz w:val="20"/>
                <w:szCs w:val="20"/>
                <w:color w:val="auto"/>
              </w:rPr>
            </w:pPr>
            <w:r>
              <w:rPr>
                <w:rFonts w:ascii="Arial" w:cs="Arial" w:eastAsia="Arial" w:hAnsi="Arial"/>
                <w:sz w:val="13"/>
                <w:szCs w:val="13"/>
                <w:b w:val="1"/>
                <w:bCs w:val="1"/>
                <w:color w:val="D60058"/>
              </w:rPr>
              <w:t>Joseph J. LaRosa</w:t>
            </w:r>
          </w:p>
        </w:tc>
        <w:tc>
          <w:tcPr>
            <w:tcW w:w="1100" w:type="dxa"/>
            <w:vAlign w:val="bottom"/>
            <w:tcBorders>
              <w:bottom w:val="single" w:sz="8" w:color="215BA8"/>
            </w:tcBorders>
            <w:shd w:val="clear" w:color="auto" w:fill="EEEEEF"/>
          </w:tcPr>
          <w:p>
            <w:pPr>
              <w:jc w:val="right"/>
              <w:ind w:right="196"/>
              <w:spacing w:after="0"/>
              <w:rPr>
                <w:sz w:val="20"/>
                <w:szCs w:val="20"/>
                <w:color w:val="auto"/>
              </w:rPr>
            </w:pPr>
            <w:r>
              <w:rPr>
                <w:rFonts w:ascii="Arial" w:cs="Arial" w:eastAsia="Arial" w:hAnsi="Arial"/>
                <w:sz w:val="13"/>
                <w:szCs w:val="13"/>
                <w:color w:val="auto"/>
              </w:rPr>
              <w:t>3,227,400</w:t>
            </w:r>
          </w:p>
        </w:tc>
        <w:tc>
          <w:tcPr>
            <w:tcW w:w="840" w:type="dxa"/>
            <w:vAlign w:val="bottom"/>
            <w:tcBorders>
              <w:bottom w:val="single" w:sz="8" w:color="215BA8"/>
            </w:tcBorders>
            <w:shd w:val="clear" w:color="auto" w:fill="EEEEEF"/>
          </w:tcPr>
          <w:p>
            <w:pPr>
              <w:jc w:val="right"/>
              <w:ind w:right="116"/>
              <w:spacing w:after="0"/>
              <w:rPr>
                <w:sz w:val="20"/>
                <w:szCs w:val="20"/>
                <w:color w:val="auto"/>
              </w:rPr>
            </w:pPr>
            <w:r>
              <w:rPr>
                <w:rFonts w:ascii="Arial" w:cs="Arial" w:eastAsia="Arial" w:hAnsi="Arial"/>
                <w:sz w:val="13"/>
                <w:szCs w:val="13"/>
                <w:color w:val="auto"/>
              </w:rPr>
              <w:t>14,253</w:t>
            </w:r>
          </w:p>
        </w:tc>
        <w:tc>
          <w:tcPr>
            <w:tcW w:w="100" w:type="dxa"/>
            <w:vAlign w:val="bottom"/>
            <w:tcBorders>
              <w:bottom w:val="single" w:sz="8" w:color="215BA8"/>
            </w:tcBorders>
            <w:shd w:val="clear" w:color="auto" w:fill="EEEEEF"/>
          </w:tcPr>
          <w:p>
            <w:pPr>
              <w:spacing w:after="0"/>
              <w:rPr>
                <w:sz w:val="17"/>
                <w:szCs w:val="17"/>
                <w:color w:val="auto"/>
              </w:rPr>
            </w:pPr>
          </w:p>
        </w:tc>
        <w:tc>
          <w:tcPr>
            <w:tcW w:w="1360" w:type="dxa"/>
            <w:vAlign w:val="bottom"/>
            <w:tcBorders>
              <w:bottom w:val="single" w:sz="8" w:color="215BA8"/>
            </w:tcBorders>
            <w:shd w:val="clear" w:color="auto" w:fill="EEEEEF"/>
          </w:tcPr>
          <w:p>
            <w:pPr>
              <w:jc w:val="right"/>
              <w:ind w:right="476"/>
              <w:spacing w:after="0"/>
              <w:rPr>
                <w:sz w:val="20"/>
                <w:szCs w:val="20"/>
                <w:color w:val="auto"/>
              </w:rPr>
            </w:pPr>
            <w:r>
              <w:rPr>
                <w:rFonts w:ascii="Arial" w:cs="Arial" w:eastAsia="Arial" w:hAnsi="Arial"/>
                <w:sz w:val="13"/>
                <w:szCs w:val="13"/>
                <w:color w:val="auto"/>
              </w:rPr>
              <w:t>2,151,600</w:t>
            </w:r>
          </w:p>
        </w:tc>
        <w:tc>
          <w:tcPr>
            <w:tcW w:w="540" w:type="dxa"/>
            <w:vAlign w:val="bottom"/>
            <w:tcBorders>
              <w:bottom w:val="single" w:sz="8" w:color="215BA8"/>
            </w:tcBorders>
            <w:shd w:val="clear" w:color="auto" w:fill="EEEEEF"/>
          </w:tcPr>
          <w:p>
            <w:pPr>
              <w:jc w:val="right"/>
              <w:ind w:right="116"/>
              <w:spacing w:after="0"/>
              <w:rPr>
                <w:sz w:val="20"/>
                <w:szCs w:val="20"/>
                <w:color w:val="auto"/>
              </w:rPr>
            </w:pPr>
            <w:r>
              <w:rPr>
                <w:rFonts w:ascii="Arial" w:cs="Arial" w:eastAsia="Arial" w:hAnsi="Arial"/>
                <w:sz w:val="13"/>
                <w:szCs w:val="13"/>
                <w:color w:val="auto"/>
              </w:rPr>
              <w:t>3,338</w:t>
            </w:r>
          </w:p>
        </w:tc>
        <w:tc>
          <w:tcPr>
            <w:tcW w:w="1520" w:type="dxa"/>
            <w:vAlign w:val="bottom"/>
            <w:tcBorders>
              <w:bottom w:val="single" w:sz="8" w:color="215BA8"/>
            </w:tcBorders>
            <w:shd w:val="clear" w:color="auto" w:fill="EEEEEF"/>
          </w:tcPr>
          <w:p>
            <w:pPr>
              <w:jc w:val="right"/>
              <w:ind w:right="516"/>
              <w:spacing w:after="0"/>
              <w:rPr>
                <w:sz w:val="20"/>
                <w:szCs w:val="20"/>
                <w:color w:val="auto"/>
              </w:rPr>
            </w:pPr>
            <w:r>
              <w:rPr>
                <w:rFonts w:ascii="Arial" w:cs="Arial" w:eastAsia="Arial" w:hAnsi="Arial"/>
                <w:sz w:val="13"/>
                <w:szCs w:val="13"/>
                <w:color w:val="auto"/>
              </w:rPr>
              <w:t>5,379,000</w:t>
            </w:r>
          </w:p>
        </w:tc>
      </w:tr>
    </w:tbl>
    <w:p>
      <w:pPr>
        <w:spacing w:after="0" w:line="72" w:lineRule="exact"/>
        <w:rPr>
          <w:sz w:val="20"/>
          <w:szCs w:val="20"/>
          <w:color w:val="auto"/>
        </w:rPr>
      </w:pPr>
    </w:p>
    <w:p>
      <w:pPr>
        <w:ind w:left="760" w:right="640" w:hanging="212"/>
        <w:spacing w:after="0" w:line="258" w:lineRule="auto"/>
        <w:tabs>
          <w:tab w:leader="none" w:pos="760" w:val="left"/>
        </w:tabs>
        <w:numPr>
          <w:ilvl w:val="0"/>
          <w:numId w:val="134"/>
        </w:numPr>
        <w:rPr>
          <w:rFonts w:ascii="Arial" w:cs="Arial" w:eastAsia="Arial" w:hAnsi="Arial"/>
          <w:sz w:val="14"/>
          <w:szCs w:val="14"/>
          <w:color w:val="1A1A1A"/>
        </w:rPr>
      </w:pPr>
      <w:r>
        <w:rPr>
          <w:rFonts w:ascii="Arial" w:cs="Arial" w:eastAsia="Arial" w:hAnsi="Arial"/>
          <w:sz w:val="14"/>
          <w:szCs w:val="14"/>
          <w:color w:val="1A1A1A"/>
        </w:rPr>
        <w:t>Drs. Schleifer and Yancopoulos did not receive any equity awards in 2021. See “Reaffirmed Commitment to Issue No CEO and CSO Equity Awards Before December 2025” and “Update on 2020 PSU Awards” below for more information.</w:t>
      </w:r>
    </w:p>
    <w:p>
      <w:pPr>
        <w:spacing w:after="0" w:line="32" w:lineRule="exact"/>
        <w:rPr>
          <w:sz w:val="20"/>
          <w:szCs w:val="20"/>
          <w:color w:val="auto"/>
        </w:rPr>
      </w:pPr>
    </w:p>
    <w:p>
      <w:pPr>
        <w:ind w:left="760" w:right="1120" w:hanging="212"/>
        <w:spacing w:after="0" w:line="258" w:lineRule="auto"/>
        <w:tabs>
          <w:tab w:leader="none" w:pos="760" w:val="left"/>
        </w:tabs>
        <w:numPr>
          <w:ilvl w:val="0"/>
          <w:numId w:val="135"/>
        </w:numPr>
        <w:rPr>
          <w:rFonts w:ascii="Arial" w:cs="Arial" w:eastAsia="Arial" w:hAnsi="Arial"/>
          <w:sz w:val="14"/>
          <w:szCs w:val="14"/>
          <w:color w:val="1A1A1A"/>
        </w:rPr>
      </w:pPr>
      <w:r>
        <w:rPr>
          <w:rFonts w:ascii="Arial" w:cs="Arial" w:eastAsia="Arial" w:hAnsi="Arial"/>
          <w:sz w:val="14"/>
          <w:szCs w:val="14"/>
          <w:color w:val="1A1A1A"/>
        </w:rPr>
        <w:t>Represents the target grant date fair value of the awards. See “Compensation Dashboard—2021 Executive Compensation Tables—2021 Summary Compensation Table” for the actual grant date fair value of such awards.</w:t>
      </w:r>
    </w:p>
    <w:p>
      <w:pPr>
        <w:spacing w:after="0" w:line="140" w:lineRule="exact"/>
        <w:rPr>
          <w:sz w:val="20"/>
          <w:szCs w:val="20"/>
          <w:color w:val="auto"/>
        </w:rPr>
      </w:pPr>
    </w:p>
    <w:p>
      <w:pPr>
        <w:ind w:left="540" w:right="1300"/>
        <w:spacing w:after="0" w:line="258" w:lineRule="auto"/>
        <w:rPr>
          <w:sz w:val="20"/>
          <w:szCs w:val="20"/>
          <w:color w:val="auto"/>
        </w:rPr>
      </w:pPr>
      <w:r>
        <w:rPr>
          <w:rFonts w:ascii="Arial" w:cs="Arial" w:eastAsia="Arial" w:hAnsi="Arial"/>
          <w:sz w:val="14"/>
          <w:szCs w:val="14"/>
          <w:color w:val="auto"/>
        </w:rPr>
        <w:t>All of the equity awards granted to the NEOs in 2021 are subject to the Company’s policy regarding recoupment or reduction (clawback) of incentive compensation for compliance violations, including after such awards have been earned/vested.</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Annual Stock Option Awards</w:t>
      </w:r>
    </w:p>
    <w:p>
      <w:pPr>
        <w:spacing w:after="0" w:line="187" w:lineRule="exact"/>
        <w:rPr>
          <w:sz w:val="20"/>
          <w:szCs w:val="20"/>
          <w:color w:val="auto"/>
        </w:rPr>
      </w:pPr>
    </w:p>
    <w:p>
      <w:pPr>
        <w:ind w:left="540" w:right="620"/>
        <w:spacing w:after="0" w:line="231" w:lineRule="auto"/>
        <w:rPr>
          <w:sz w:val="20"/>
          <w:szCs w:val="20"/>
          <w:color w:val="auto"/>
        </w:rPr>
      </w:pPr>
      <w:r>
        <w:rPr>
          <w:rFonts w:ascii="Arial" w:cs="Arial" w:eastAsia="Arial" w:hAnsi="Arial"/>
          <w:sz w:val="16"/>
          <w:szCs w:val="16"/>
          <w:color w:val="auto"/>
        </w:rPr>
        <w:t>Stock options represented 60% of the grant date fair value of the annual equity awards granted to our NEOs in 2021 (other than our CEO and CSO, who did not receive any equity awards in 2021). The use of stock options for 2021 annual equity awards to these NEOs was based on our long-held view that stock options are a useful compensation tool when used thoughtfully as part of a well-designed compensation program because they are inherently performance-based, requiring stock price appreciation before there is any real value earned, and simple. No amount of time will make a stock option deliver any value unless the company’s stock price increases. In addition, stock options incentivize these NEOs to take actions that increase shareholder value over the entire 10-year option term, which we believe is consistent with the drug discovery and development cycle.</w:t>
      </w:r>
    </w:p>
    <w:p>
      <w:pPr>
        <w:spacing w:after="0" w:line="164" w:lineRule="exact"/>
        <w:rPr>
          <w:sz w:val="20"/>
          <w:szCs w:val="20"/>
          <w:color w:val="auto"/>
        </w:rPr>
      </w:pPr>
    </w:p>
    <w:p>
      <w:pPr>
        <w:ind w:left="540" w:right="600"/>
        <w:spacing w:after="0" w:line="232" w:lineRule="auto"/>
        <w:rPr>
          <w:sz w:val="20"/>
          <w:szCs w:val="20"/>
          <w:color w:val="auto"/>
        </w:rPr>
      </w:pPr>
      <w:r>
        <w:rPr>
          <w:rFonts w:ascii="Arial" w:cs="Arial" w:eastAsia="Arial" w:hAnsi="Arial"/>
          <w:sz w:val="16"/>
          <w:szCs w:val="16"/>
          <w:color w:val="auto"/>
        </w:rPr>
        <w:t>Stock options awarded to our NEOs in 2021 have an exercise price of $644.54 per share, the average of the high and low sales price per share of our common stock as quoted on the Nasdaq Global Select Market on the date of grant. These grants consist of non-qualified stock options and vest ratably over a period of four years. Except as set forth below in the subsection “Compensation Dashboard—2021 Executive Compensation Tables—Post-Employment Compensation,” stock option vesting ceases, and unvested stock options are forfeited, upon termination of employment.</w:t>
      </w:r>
    </w:p>
    <w:p>
      <w:pPr>
        <w:spacing w:after="0" w:line="184"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70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85" w:name="page86"/>
    <w:bookmarkEnd w:id="85"/>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Annual RSAs</w:t>
      </w:r>
    </w:p>
    <w:p>
      <w:pPr>
        <w:spacing w:after="0" w:line="201"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As had been the case since 2019, time-based RSAs were used as a component of the annual equity awards for our NEOs (other than our CEO and CSO, who did not receive any equity awards in 2021) based on the Company-wide decision to utilize a long-term incentive mix of stock options and RSAs/RSUs. In 2021, the annual RSAs granted to our NEOs represented 40% of the grant date fair value of the annual equity awards for these executives. In continuing to use RSAs/RSUs as a component of the equity award mix for the 2021 annual equity awards to our NEOs, the Compensation Committee took into account, among other factors, shareholder feedback about the annual rate of equity compensation dilution, retention considerations, and employee input. The RSAs vest 50% on the second anniversary of the date of grant and 50% on the fourth anniversary of the date of grant, which is a more backloaded vesting schedule than is typical in the industry.</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Reaffirmed Commitment to Issue No CEO and CSO Equity Awards Before December 2025</w:t>
      </w:r>
    </w:p>
    <w:p>
      <w:pPr>
        <w:spacing w:after="0" w:line="201"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As described under “Compensation Processes–Shareholder Input and Outreach” below, following the 2021 annual shareholder meeting, our board of directors and senior management team embarked on an extensive, in-depth engagement to gather insight into shareholder voting decisions at that meeting and to solicit feedback from key shareholders on compensation and governance matters. In response to shareholders’ feedback regarding the front-loaded 2020 PSU awards to our CEO and CSO, the board and the Compensation Committee reaffirmed the commitment to issue no additional equity grants to the CEO and CSO during the 5-year PSU performance period (i.e., until December 2025) in discussions with investors and in this proxy statement. Consistent with this commitment, the Compensation Committee granted no equity awards to our CEO or CSO in 2021.</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Update on 2020 PSU Awards</w:t>
      </w:r>
    </w:p>
    <w:p>
      <w:pPr>
        <w:spacing w:after="0" w:line="201" w:lineRule="exact"/>
        <w:rPr>
          <w:sz w:val="20"/>
          <w:szCs w:val="20"/>
          <w:color w:val="auto"/>
        </w:rPr>
      </w:pPr>
    </w:p>
    <w:p>
      <w:pPr>
        <w:ind w:left="540" w:right="560"/>
        <w:spacing w:after="0" w:line="232" w:lineRule="auto"/>
        <w:rPr>
          <w:sz w:val="20"/>
          <w:szCs w:val="20"/>
          <w:color w:val="auto"/>
        </w:rPr>
      </w:pPr>
      <w:r>
        <w:rPr>
          <w:rFonts w:ascii="Arial" w:cs="Arial" w:eastAsia="Arial" w:hAnsi="Arial"/>
          <w:sz w:val="16"/>
          <w:szCs w:val="16"/>
          <w:color w:val="auto"/>
        </w:rPr>
        <w:t>In designing the 2020 PSU awards, the Compensation Committee and the non-employee members of our board intentionally set challenging goals that would require extraordinary success in our scientific endeavors and business execution. The results to date suggest the awards have been working in the way they were intended. In the first year of the five-year performance period, our stock delivered a TSR of 32% and outperformed the S&amp;P 500 Index and our Peer Group, thanks in large part to the achievements summarized above in the subsection “Compensation Program Overview—2021 Business Highlights.”</w:t>
      </w:r>
    </w:p>
    <w:p>
      <w:pPr>
        <w:spacing w:after="0" w:line="164" w:lineRule="exact"/>
        <w:rPr>
          <w:sz w:val="20"/>
          <w:szCs w:val="20"/>
          <w:color w:val="auto"/>
        </w:rPr>
      </w:pPr>
    </w:p>
    <w:p>
      <w:pPr>
        <w:ind w:left="540" w:right="600"/>
        <w:spacing w:after="0" w:line="231" w:lineRule="auto"/>
        <w:rPr>
          <w:sz w:val="20"/>
          <w:szCs w:val="20"/>
          <w:color w:val="auto"/>
        </w:rPr>
      </w:pPr>
      <w:r>
        <w:rPr>
          <w:rFonts w:ascii="Arial" w:cs="Arial" w:eastAsia="Arial" w:hAnsi="Arial"/>
          <w:sz w:val="16"/>
          <w:szCs w:val="16"/>
          <w:color w:val="auto"/>
        </w:rPr>
        <w:t>Despite the significant stock price appreciation in 2021, only 20% of the total number of PSUs awarded have been earned and thus eligible to vest in 2025 based on the satisfaction of the threshold performance goal. Importantly, no additional PSUs may be earned until the third anniversary of the grant date in December 2023. To the extent any earned PSUs subsequently vest at the conclusion of the five-year performance period in December 2025, they will remain subject to an additional three-year deferral and holding period until December 2028. The eight-year life of these awards is of longer duration than is typical in our industry and the broader market and was consciously selected by the Compensation Committee to further our corporate culture and pay philosophy through alignment with the drug discovery and development cycle and long-term shareholder value creation.</w:t>
      </w:r>
    </w:p>
    <w:p>
      <w:pPr>
        <w:spacing w:after="0" w:line="164" w:lineRule="exact"/>
        <w:rPr>
          <w:sz w:val="20"/>
          <w:szCs w:val="20"/>
          <w:color w:val="auto"/>
        </w:rPr>
      </w:pPr>
    </w:p>
    <w:p>
      <w:pPr>
        <w:ind w:left="540" w:right="1000"/>
        <w:spacing w:after="0" w:line="236" w:lineRule="auto"/>
        <w:rPr>
          <w:sz w:val="20"/>
          <w:szCs w:val="20"/>
          <w:color w:val="auto"/>
        </w:rPr>
      </w:pPr>
      <w:r>
        <w:rPr>
          <w:rFonts w:ascii="Arial" w:cs="Arial" w:eastAsia="Arial" w:hAnsi="Arial"/>
          <w:sz w:val="16"/>
          <w:szCs w:val="16"/>
          <w:color w:val="auto"/>
        </w:rPr>
        <w:t>As shown in the chart below, the PSUs were designed to incentivize significant long-term value creation for our shareholders, and our recent performance is only the first step toward this end.</w:t>
      </w:r>
    </w:p>
    <w:p>
      <w:pPr>
        <w:spacing w:after="0" w:line="13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D60058"/>
        </w:rPr>
        <w:t>Shareholder and CEO/CSO Value Creation from PSUs</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D60058"/>
        </w:rPr>
        <w:t>($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97155</wp:posOffset>
            </wp:positionV>
            <wp:extent cx="6446520" cy="17233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44652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4"/>
          <w:szCs w:val="14"/>
          <w:color w:val="1A1A1A"/>
        </w:rPr>
        <w:t>* Through December 31,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71</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410" w:right="339" w:bottom="1440" w:gutter="0" w:footer="0" w:header="0"/>
        </w:sectPr>
      </w:pPr>
    </w:p>
    <w:bookmarkStart w:id="86" w:name="page87"/>
    <w:bookmarkEnd w:id="86"/>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560"/>
        <w:spacing w:after="0" w:line="232" w:lineRule="auto"/>
        <w:rPr>
          <w:sz w:val="20"/>
          <w:szCs w:val="20"/>
          <w:color w:val="auto"/>
        </w:rPr>
      </w:pPr>
      <w:r>
        <w:rPr>
          <w:rFonts w:ascii="Arial" w:cs="Arial" w:eastAsia="Arial" w:hAnsi="Arial"/>
          <w:sz w:val="16"/>
          <w:szCs w:val="16"/>
          <w:color w:val="auto"/>
        </w:rPr>
        <w:t>Similar to our other employees, our NEOs may participate in Company-wide health, disability, life insurance, and other benefit plans, as well as our 401(k) Savings Plan. See details concerning the 401(k) Savings Plan in the subsection “Compensation Dashboard—Additional Compensation Information—Perquisites and Personal Benefits.” Our NEOs are eligible to receive a limited number of additional perquisites. These include financial and tax planning assistance, which are taxable benefits.</w:t>
      </w:r>
    </w:p>
    <w:p>
      <w:pPr>
        <w:spacing w:after="0" w:line="166" w:lineRule="exact"/>
        <w:rPr>
          <w:sz w:val="20"/>
          <w:szCs w:val="20"/>
          <w:color w:val="auto"/>
        </w:rPr>
      </w:pPr>
    </w:p>
    <w:p>
      <w:pPr>
        <w:ind w:left="540" w:right="900"/>
        <w:spacing w:after="0" w:line="265" w:lineRule="auto"/>
        <w:rPr>
          <w:sz w:val="20"/>
          <w:szCs w:val="20"/>
          <w:color w:val="auto"/>
        </w:rPr>
      </w:pPr>
      <w:r>
        <w:rPr>
          <w:rFonts w:ascii="Arial" w:cs="Arial" w:eastAsia="Arial" w:hAnsi="Arial"/>
          <w:sz w:val="15"/>
          <w:szCs w:val="15"/>
          <w:color w:val="auto"/>
        </w:rPr>
        <w:t>In addition, our CEO is entitled to life insurance, long-term disability, medical malpractice insurance premiums, and additional tax and financial planning services pursuant to his employment agreement. These are described in footnote 5 to the Summary Compensation Table.</w:t>
      </w:r>
    </w:p>
    <w:p>
      <w:pPr>
        <w:spacing w:after="0" w:line="146" w:lineRule="exact"/>
        <w:rPr>
          <w:sz w:val="20"/>
          <w:szCs w:val="20"/>
          <w:color w:val="auto"/>
        </w:rPr>
      </w:pPr>
    </w:p>
    <w:p>
      <w:pPr>
        <w:ind w:left="540" w:right="660"/>
        <w:spacing w:after="0" w:line="249" w:lineRule="auto"/>
        <w:rPr>
          <w:sz w:val="20"/>
          <w:szCs w:val="20"/>
          <w:color w:val="auto"/>
        </w:rPr>
      </w:pPr>
      <w:r>
        <w:rPr>
          <w:rFonts w:ascii="Arial" w:cs="Arial" w:eastAsia="Arial" w:hAnsi="Arial"/>
          <w:sz w:val="15"/>
          <w:szCs w:val="15"/>
          <w:color w:val="auto"/>
        </w:rPr>
        <w:t>Our CEO and CSO are also eligible for various benefits under our board-approved security policy, the purpose of which is to ensure increased efficiencies and providing a more secure environment for these executives. Based on the recommendation of an independent, third-party security study, our security policy and related guidelines require our CEO and CSO (as well as their spouses and children when they accompany them) to use, as much as practicable, Company-provided aircraft for all business and personal air travel. As amended in November 2020 based on a new security study, the security policy also provides for 24/7 personal security services for each of Drs. Schleifer and Yancopoulos.</w:t>
      </w:r>
    </w:p>
    <w:p>
      <w:pPr>
        <w:spacing w:after="0" w:line="158" w:lineRule="exact"/>
        <w:rPr>
          <w:sz w:val="20"/>
          <w:szCs w:val="20"/>
          <w:color w:val="auto"/>
        </w:rPr>
      </w:pPr>
    </w:p>
    <w:p>
      <w:pPr>
        <w:ind w:left="540" w:right="560"/>
        <w:spacing w:after="0" w:line="234" w:lineRule="auto"/>
        <w:rPr>
          <w:sz w:val="20"/>
          <w:szCs w:val="20"/>
          <w:color w:val="auto"/>
        </w:rPr>
      </w:pPr>
      <w:r>
        <w:rPr>
          <w:rFonts w:ascii="Arial" w:cs="Arial" w:eastAsia="Arial" w:hAnsi="Arial"/>
          <w:sz w:val="16"/>
          <w:szCs w:val="16"/>
          <w:color w:val="auto"/>
        </w:rPr>
        <w:t>Additional information regarding perquisites and other personal benefits provided to our NEOs in, or with respect to, 2021 is given in the applicable footnotes to the Summary Compensation Table and in the subsection “Compensation Dashboard—Additional Compensation Information— Perquisites and Personal Benefits.”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points are key to understanding our change-in-control and other severance provisions:</w:t>
      </w:r>
    </w:p>
    <w:p>
      <w:pPr>
        <w:spacing w:after="0" w:line="167" w:lineRule="exact"/>
        <w:rPr>
          <w:sz w:val="20"/>
          <w:szCs w:val="20"/>
          <w:color w:val="auto"/>
        </w:rPr>
      </w:pPr>
    </w:p>
    <w:p>
      <w:pPr>
        <w:ind w:left="720" w:right="760" w:hanging="172"/>
        <w:spacing w:after="0" w:line="232" w:lineRule="auto"/>
        <w:tabs>
          <w:tab w:leader="none" w:pos="720" w:val="left"/>
        </w:tabs>
        <w:numPr>
          <w:ilvl w:val="0"/>
          <w:numId w:val="136"/>
        </w:numPr>
        <w:rPr>
          <w:rFonts w:ascii="Arial" w:cs="Arial" w:eastAsia="Arial" w:hAnsi="Arial"/>
          <w:sz w:val="16"/>
          <w:szCs w:val="16"/>
          <w:b w:val="1"/>
          <w:bCs w:val="1"/>
          <w:color w:val="215BA8"/>
        </w:rPr>
      </w:pPr>
      <w:r>
        <w:rPr>
          <w:rFonts w:ascii="Arial" w:cs="Arial" w:eastAsia="Arial" w:hAnsi="Arial"/>
          <w:sz w:val="16"/>
          <w:szCs w:val="16"/>
          <w:color w:val="auto"/>
        </w:rPr>
        <w:t>Outstanding equity award agreements (with the exceptions and qualifications described in the subsection “Compensation Dashboard— Additional Compensation Information—Potential Severance Payments”) for all employees other than Dr. Vagelos include a governance best-practice “</w:t>
      </w:r>
      <w:r>
        <w:rPr>
          <w:rFonts w:ascii="Arial" w:cs="Arial" w:eastAsia="Arial" w:hAnsi="Arial"/>
          <w:sz w:val="16"/>
          <w:szCs w:val="16"/>
          <w:b w:val="1"/>
          <w:bCs w:val="1"/>
          <w:color w:val="auto"/>
        </w:rPr>
        <w:t>double trigger</w:t>
      </w:r>
      <w:r>
        <w:rPr>
          <w:rFonts w:ascii="Arial" w:cs="Arial" w:eastAsia="Arial" w:hAnsi="Arial"/>
          <w:sz w:val="16"/>
          <w:szCs w:val="16"/>
          <w:color w:val="auto"/>
        </w:rPr>
        <w:t>” provision for the acceleration of vesting of awards granted thereunder only upon a without-cause termination by the Company within two years of a change in control.</w:t>
      </w:r>
    </w:p>
    <w:p>
      <w:pPr>
        <w:spacing w:after="0" w:line="24" w:lineRule="exact"/>
        <w:rPr>
          <w:rFonts w:ascii="Arial" w:cs="Arial" w:eastAsia="Arial" w:hAnsi="Arial"/>
          <w:sz w:val="16"/>
          <w:szCs w:val="16"/>
          <w:b w:val="1"/>
          <w:bCs w:val="1"/>
          <w:color w:val="215BA8"/>
        </w:rPr>
      </w:pPr>
    </w:p>
    <w:p>
      <w:pPr>
        <w:ind w:left="720" w:right="880" w:hanging="172"/>
        <w:spacing w:after="0" w:line="244" w:lineRule="auto"/>
        <w:tabs>
          <w:tab w:leader="none" w:pos="720" w:val="left"/>
        </w:tabs>
        <w:numPr>
          <w:ilvl w:val="0"/>
          <w:numId w:val="136"/>
        </w:numPr>
        <w:rPr>
          <w:rFonts w:ascii="Arial" w:cs="Arial" w:eastAsia="Arial" w:hAnsi="Arial"/>
          <w:sz w:val="16"/>
          <w:szCs w:val="16"/>
          <w:b w:val="1"/>
          <w:bCs w:val="1"/>
          <w:color w:val="215BA8"/>
        </w:rPr>
      </w:pPr>
      <w:r>
        <w:rPr>
          <w:rFonts w:ascii="Arial" w:cs="Arial" w:eastAsia="Arial" w:hAnsi="Arial"/>
          <w:sz w:val="16"/>
          <w:szCs w:val="16"/>
          <w:color w:val="auto"/>
        </w:rPr>
        <w:t xml:space="preserve">We have a </w:t>
      </w:r>
      <w:r>
        <w:rPr>
          <w:rFonts w:ascii="Arial" w:cs="Arial" w:eastAsia="Arial" w:hAnsi="Arial"/>
          <w:sz w:val="16"/>
          <w:szCs w:val="16"/>
          <w:b w:val="1"/>
          <w:bCs w:val="1"/>
          <w:color w:val="auto"/>
        </w:rPr>
        <w:t>policy against excise tax gross-up provisions</w:t>
      </w:r>
      <w:r>
        <w:rPr>
          <w:rFonts w:ascii="Arial" w:cs="Arial" w:eastAsia="Arial" w:hAnsi="Arial"/>
          <w:sz w:val="16"/>
          <w:szCs w:val="16"/>
          <w:color w:val="auto"/>
        </w:rPr>
        <w:t xml:space="preserve"> for payments contingent on a change in control of Regeneron in contracts, compensatory plans, and other arrangement with the Company’s officers (including NEOs) with the exception of the CEO under his existing employment agreement or amendments to it.</w:t>
      </w:r>
    </w:p>
    <w:p>
      <w:pPr>
        <w:spacing w:after="0" w:line="19" w:lineRule="exact"/>
        <w:rPr>
          <w:rFonts w:ascii="Arial" w:cs="Arial" w:eastAsia="Arial" w:hAnsi="Arial"/>
          <w:sz w:val="16"/>
          <w:szCs w:val="16"/>
          <w:b w:val="1"/>
          <w:bCs w:val="1"/>
          <w:color w:val="215BA8"/>
        </w:rPr>
      </w:pPr>
    </w:p>
    <w:p>
      <w:pPr>
        <w:ind w:left="720" w:right="940" w:hanging="172"/>
        <w:spacing w:after="0" w:line="259" w:lineRule="auto"/>
        <w:tabs>
          <w:tab w:leader="none" w:pos="720" w:val="left"/>
        </w:tabs>
        <w:numPr>
          <w:ilvl w:val="0"/>
          <w:numId w:val="136"/>
        </w:numPr>
        <w:rPr>
          <w:rFonts w:ascii="Arial" w:cs="Arial" w:eastAsia="Arial" w:hAnsi="Arial"/>
          <w:sz w:val="16"/>
          <w:szCs w:val="16"/>
          <w:b w:val="1"/>
          <w:bCs w:val="1"/>
          <w:color w:val="215BA8"/>
        </w:rPr>
      </w:pPr>
      <w:r>
        <w:rPr>
          <w:rFonts w:ascii="Arial" w:cs="Arial" w:eastAsia="Arial" w:hAnsi="Arial"/>
          <w:sz w:val="16"/>
          <w:szCs w:val="16"/>
          <w:color w:val="auto"/>
        </w:rPr>
        <w:t xml:space="preserve">Regeneron has </w:t>
      </w:r>
      <w:r>
        <w:rPr>
          <w:rFonts w:ascii="Arial" w:cs="Arial" w:eastAsia="Arial" w:hAnsi="Arial"/>
          <w:sz w:val="16"/>
          <w:szCs w:val="16"/>
          <w:b w:val="1"/>
          <w:bCs w:val="1"/>
          <w:color w:val="auto"/>
        </w:rPr>
        <w:t>no pension, deferred compensation, or retirement plans</w:t>
      </w:r>
      <w:r>
        <w:rPr>
          <w:rFonts w:ascii="Arial" w:cs="Arial" w:eastAsia="Arial" w:hAnsi="Arial"/>
          <w:sz w:val="16"/>
          <w:szCs w:val="16"/>
          <w:color w:val="auto"/>
        </w:rPr>
        <w:t xml:space="preserve"> for U.S.-based employees other than our 401(k) Savings Plan described above.</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For additional details, see the subsection “Compensation Dashboard—Additional Compensation Information—Potential Severance Payments.”</w:t>
      </w:r>
    </w:p>
    <w:p>
      <w:pPr>
        <w:spacing w:after="0" w:line="187"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72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87" w:name="page88"/>
    <w:bookmarkEnd w:id="87"/>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COMPENSATION PROCESSES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700"/>
        <w:spacing w:after="0" w:line="232" w:lineRule="auto"/>
        <w:rPr>
          <w:sz w:val="20"/>
          <w:szCs w:val="20"/>
          <w:color w:val="auto"/>
        </w:rPr>
      </w:pPr>
      <w:r>
        <w:rPr>
          <w:rFonts w:ascii="Arial" w:cs="Arial" w:eastAsia="Arial" w:hAnsi="Arial"/>
          <w:sz w:val="16"/>
          <w:szCs w:val="16"/>
          <w:color w:val="auto"/>
        </w:rPr>
        <w:t xml:space="preserve">The Compensation Committee is responsible for overseeing the Company’s general compensation objectives and programs. The Compensation Committee evaluates the performance of our NEOs and approves their compensation—in the case of the CEO, subject to approval of the non-employee members of the board of directors. The Compensation Committee operates under a written charter adopted by the board of directors and regularly reviews and reassesses the adequacy of its charter. A copy of the current charter is available on our website at </w:t>
      </w:r>
      <w:r>
        <w:rPr>
          <w:rFonts w:ascii="Arial" w:cs="Arial" w:eastAsia="Arial" w:hAnsi="Arial"/>
          <w:sz w:val="16"/>
          <w:szCs w:val="16"/>
          <w:b w:val="1"/>
          <w:bCs w:val="1"/>
          <w:color w:val="auto"/>
        </w:rPr>
        <w:t xml:space="preserve">www.regeneron.com </w:t>
      </w:r>
      <w:r>
        <w:rPr>
          <w:rFonts w:ascii="Arial" w:cs="Arial" w:eastAsia="Arial" w:hAnsi="Arial"/>
          <w:sz w:val="16"/>
          <w:szCs w:val="16"/>
          <w:color w:val="auto"/>
        </w:rPr>
        <w:t>under the “Corporate Governance” heading on the “Investors &amp; Media” page.</w:t>
      </w:r>
    </w:p>
    <w:p>
      <w:pPr>
        <w:spacing w:after="0" w:line="164" w:lineRule="exact"/>
        <w:rPr>
          <w:sz w:val="20"/>
          <w:szCs w:val="20"/>
          <w:color w:val="auto"/>
        </w:rPr>
      </w:pPr>
    </w:p>
    <w:p>
      <w:pPr>
        <w:ind w:left="540" w:right="580"/>
        <w:spacing w:after="0" w:line="231" w:lineRule="auto"/>
        <w:rPr>
          <w:sz w:val="20"/>
          <w:szCs w:val="20"/>
          <w:color w:val="auto"/>
        </w:rPr>
      </w:pPr>
      <w:r>
        <w:rPr>
          <w:rFonts w:ascii="Arial" w:cs="Arial" w:eastAsia="Arial" w:hAnsi="Arial"/>
          <w:sz w:val="16"/>
          <w:szCs w:val="16"/>
          <w:color w:val="auto"/>
        </w:rPr>
        <w:t>Annual salaries for the following year and year-end cash incentives and equity awards for all employees are determined in December of each year based on Company and individual performance, as well as other factors, which may include compensation trends among our Peer Group and in the biotechnology industry in general. With respect to our CEO, this process is formalized in the Compensation Committee’s charter, which specifies that the Compensation Committee is to annually present the proposed annual compensation of the CEO to the non-employee members of the board of directors for approval. The non-employee directors and the Chair of the Board are also involved in reviewing the Company’s performance for purposes of setting the annual cash incentive.</w:t>
      </w:r>
    </w:p>
    <w:p>
      <w:pPr>
        <w:spacing w:after="0" w:line="166" w:lineRule="exact"/>
        <w:rPr>
          <w:sz w:val="20"/>
          <w:szCs w:val="20"/>
          <w:color w:val="auto"/>
        </w:rPr>
      </w:pPr>
    </w:p>
    <w:p>
      <w:pPr>
        <w:jc w:val="both"/>
        <w:ind w:left="540" w:right="640"/>
        <w:spacing w:after="0" w:line="254" w:lineRule="auto"/>
        <w:rPr>
          <w:sz w:val="20"/>
          <w:szCs w:val="20"/>
          <w:color w:val="auto"/>
        </w:rPr>
      </w:pPr>
      <w:r>
        <w:rPr>
          <w:rFonts w:ascii="Arial" w:cs="Arial" w:eastAsia="Arial" w:hAnsi="Arial"/>
          <w:sz w:val="15"/>
          <w:szCs w:val="15"/>
          <w:color w:val="auto"/>
        </w:rPr>
        <w:t>We make our annual equity awards on a regular, pre-set schedule. The meetings at which such grants are approved are generally scheduled well in advance of the grant date, without regard to the timing of earnings or other major announcements. We generally grant annual equity awards to eligible employees whose performance is determined to merit an annual grant, including the NEOs, at a meeting held during December.</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Pursuant to the terms of the Second Amended and Restated Regeneron Pharmaceuticals, Inc. 2014 Long-Term Incentive Plan, stock option</w:t>
      </w:r>
    </w:p>
    <w:p>
      <w:pPr>
        <w:ind w:left="540"/>
        <w:spacing w:after="0" w:line="228" w:lineRule="auto"/>
        <w:rPr>
          <w:sz w:val="20"/>
          <w:szCs w:val="20"/>
          <w:color w:val="auto"/>
        </w:rPr>
      </w:pPr>
      <w:r>
        <w:rPr>
          <w:rFonts w:ascii="Arial" w:cs="Arial" w:eastAsia="Arial" w:hAnsi="Arial"/>
          <w:sz w:val="16"/>
          <w:szCs w:val="16"/>
          <w:color w:val="auto"/>
        </w:rPr>
        <w:t>awards are granted with an exercise price equal to the average of the high and low sales price per share of our common stock as quoted on the</w:t>
      </w:r>
    </w:p>
    <w:p>
      <w:pPr>
        <w:ind w:left="540"/>
        <w:spacing w:after="0" w:line="229" w:lineRule="auto"/>
        <w:rPr>
          <w:sz w:val="20"/>
          <w:szCs w:val="20"/>
          <w:color w:val="auto"/>
        </w:rPr>
      </w:pPr>
      <w:r>
        <w:rPr>
          <w:rFonts w:ascii="Arial" w:cs="Arial" w:eastAsia="Arial" w:hAnsi="Arial"/>
          <w:sz w:val="16"/>
          <w:szCs w:val="16"/>
          <w:color w:val="auto"/>
        </w:rPr>
        <w:t>Nasdaq Global Select Market on the date of the grant or, if such date is not a trading day, on the last preceding date on which there was a sale of</w:t>
      </w:r>
    </w:p>
    <w:p>
      <w:pPr>
        <w:ind w:left="540"/>
        <w:spacing w:after="0" w:line="229" w:lineRule="auto"/>
        <w:rPr>
          <w:sz w:val="20"/>
          <w:szCs w:val="20"/>
          <w:color w:val="auto"/>
        </w:rPr>
      </w:pPr>
      <w:r>
        <w:rPr>
          <w:rFonts w:ascii="Arial" w:cs="Arial" w:eastAsia="Arial" w:hAnsi="Arial"/>
          <w:sz w:val="16"/>
          <w:szCs w:val="16"/>
          <w:color w:val="auto"/>
        </w:rPr>
        <w:t>our common stock on the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Nasdaq Global Select Market.</w:t>
      </w:r>
    </w:p>
    <w:p>
      <w:pPr>
        <w:spacing w:after="0" w:line="167" w:lineRule="exact"/>
        <w:rPr>
          <w:sz w:val="20"/>
          <w:szCs w:val="20"/>
          <w:color w:val="auto"/>
        </w:rPr>
      </w:pPr>
    </w:p>
    <w:p>
      <w:pPr>
        <w:ind w:left="540" w:right="1060"/>
        <w:spacing w:after="0" w:line="236" w:lineRule="auto"/>
        <w:rPr>
          <w:sz w:val="20"/>
          <w:szCs w:val="20"/>
          <w:color w:val="auto"/>
        </w:rPr>
      </w:pPr>
      <w:r>
        <w:rPr>
          <w:rFonts w:ascii="Arial" w:cs="Arial" w:eastAsia="Arial" w:hAnsi="Arial"/>
          <w:sz w:val="16"/>
          <w:szCs w:val="16"/>
          <w:color w:val="auto"/>
        </w:rPr>
        <w:t>We periodically evaluate the personal benefits and perquisites afforded to our NEOs. The Compensation Committee also regularly meets in executive session to discuss any of the matters that fall within its responsibilities.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19" w:lineRule="exact"/>
        <w:rPr>
          <w:sz w:val="20"/>
          <w:szCs w:val="20"/>
          <w:color w:val="auto"/>
        </w:rPr>
      </w:pPr>
    </w:p>
    <w:p>
      <w:pPr>
        <w:ind w:left="540" w:right="800"/>
        <w:spacing w:after="0" w:line="231" w:lineRule="auto"/>
        <w:rPr>
          <w:sz w:val="20"/>
          <w:szCs w:val="20"/>
          <w:color w:val="auto"/>
        </w:rPr>
      </w:pPr>
      <w:r>
        <w:rPr>
          <w:rFonts w:ascii="Arial" w:cs="Arial" w:eastAsia="Arial" w:hAnsi="Arial"/>
          <w:sz w:val="16"/>
          <w:szCs w:val="16"/>
          <w:color w:val="auto"/>
        </w:rPr>
        <w:t>Members of our senior management play a role in the overall executive compensation process and assess performance of other officers. They also recommend for the Compensation Committee’s approval the salary, cash incentive, and equity grant budgets for non-officers and make specific recommendations for salary increases, cash incentives, and equity grants for other officers. For our NEOs (other than our CEO), recommendations to the Compensation Committee regarding their compensation are made by our CEO, who also evaluates their performance. Our CEO’s performance is evaluated directly by the Compensation Committee based on the Company’s overall corporate performance against annual goals that are approved by the board of directors at the beginning of each year, as discussed above.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73</w:t>
            </w:r>
          </w:p>
        </w:tc>
      </w:tr>
      <w:tr>
        <w:trPr>
          <w:trHeight w:val="222"/>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88" w:name="page89"/>
    <w:bookmarkEnd w:id="88"/>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SHAREHOLDER INPUT AND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720"/>
        <w:spacing w:after="0" w:line="231" w:lineRule="auto"/>
        <w:rPr>
          <w:sz w:val="20"/>
          <w:szCs w:val="20"/>
          <w:color w:val="auto"/>
        </w:rPr>
      </w:pPr>
      <w:r>
        <w:rPr>
          <w:rFonts w:ascii="Arial" w:cs="Arial" w:eastAsia="Arial" w:hAnsi="Arial"/>
          <w:sz w:val="16"/>
          <w:szCs w:val="16"/>
          <w:color w:val="auto"/>
        </w:rPr>
        <w:t>We believe in casting a broad net for information, and think it is very important to reach out to our shareholders for ideas, input, and direct feedback. We do this formally through our say-on-pay votes (which, as discussed in this proxy statement, will be held every year starting at the 2022 Annual Meeting), as well as through discussions with our shareholders both in connection with our annual shareholder meetings and in the “off-season,” where we discuss compensation, governance, and other issues of importance and interest to our shareholders. In addition, on a more informal basis, we engage with our shareholders through regular investor-relations channels, industry and corporate governance conferences, and informal exchanges in other settings.</w:t>
      </w:r>
    </w:p>
    <w:p>
      <w:pPr>
        <w:spacing w:after="0" w:line="166"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In the last decade, we have actively and regularly engaged with our key shareholders to receive feedback on many important areas including governance, compensation, and corporate responsibility matters. Following the 2021 annual shareholder meeting, once again our board of directors and senior management team embarked on an extensive, in-depth engagement to gather insight into shareholder voting decisions at that meeting and to solicit feedback from key shareholders on compensation and governance matters. We reached out to shareholders collectively representing nearly 60% of the shares of common stock outstanding as of December 31, 2021 (excluding shares held by our directors and executive officers), which we refer to as “public shares.” This outreach resulted in one-on-one discussions with shareholders representing over 40% of our public shares. In addition, we engaged with the two largest proxy advisory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100330</wp:posOffset>
            </wp:positionV>
            <wp:extent cx="3429000" cy="1525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0" w:right="660"/>
        <w:spacing w:after="0" w:line="232" w:lineRule="auto"/>
        <w:rPr>
          <w:sz w:val="20"/>
          <w:szCs w:val="20"/>
          <w:color w:val="auto"/>
        </w:rPr>
      </w:pPr>
      <w:r>
        <w:rPr>
          <w:rFonts w:ascii="Arial" w:cs="Arial" w:eastAsia="Arial" w:hAnsi="Arial"/>
          <w:sz w:val="16"/>
          <w:szCs w:val="16"/>
          <w:color w:val="auto"/>
        </w:rPr>
        <w:t>We prioritized director participation in this outreach program, with the Chairs of our Compensation and Corporate Governance and Compliance Committees leading discussions comprising approximately 80% of the public shares engaged during our outreach as well as our discussions with the two largest proxy advisory firms. When appropriate, multiple meetings with the same shareholder were held in order to set an appropriate agenda and ensure complete and candid dialogue.</w:t>
      </w:r>
    </w:p>
    <w:p>
      <w:pPr>
        <w:spacing w:after="0" w:line="187"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74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89" w:name="page90"/>
    <w:bookmarkEnd w:id="89"/>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560"/>
        <w:spacing w:after="0" w:line="234" w:lineRule="auto"/>
        <w:rPr>
          <w:sz w:val="20"/>
          <w:szCs w:val="20"/>
          <w:color w:val="auto"/>
        </w:rPr>
      </w:pPr>
      <w:r>
        <w:rPr>
          <w:rFonts w:ascii="Arial" w:cs="Arial" w:eastAsia="Arial" w:hAnsi="Arial"/>
          <w:sz w:val="16"/>
          <w:szCs w:val="16"/>
          <w:color w:val="auto"/>
        </w:rPr>
        <w:t>Our board has always viewed shareholder feedback as critical for its decision-making, and has taken several actions over the years that are aligned with the investor feedback received. The feedback we received in 2021 was again an important factor in board and committee discussions, which led to several actions as listed in the table below.</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Response to 2021 Shareholder Feedback</w:t>
      </w:r>
    </w:p>
    <w:p>
      <w:pPr>
        <w:spacing w:after="0" w:line="180"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1780" w:type="dxa"/>
            <w:vAlign w:val="bottom"/>
          </w:tcPr>
          <w:p>
            <w:pPr>
              <w:ind w:left="60"/>
              <w:spacing w:after="0"/>
              <w:rPr>
                <w:sz w:val="20"/>
                <w:szCs w:val="20"/>
                <w:color w:val="auto"/>
              </w:rPr>
            </w:pPr>
            <w:r>
              <w:rPr>
                <w:rFonts w:ascii="Arial" w:cs="Arial" w:eastAsia="Arial" w:hAnsi="Arial"/>
                <w:sz w:val="12"/>
                <w:szCs w:val="12"/>
                <w:b w:val="1"/>
                <w:bCs w:val="1"/>
                <w:color w:val="215BA8"/>
              </w:rPr>
              <w:t>Feedback Themes</w:t>
            </w:r>
          </w:p>
        </w:tc>
        <w:tc>
          <w:tcPr>
            <w:tcW w:w="4200" w:type="dxa"/>
            <w:vAlign w:val="bottom"/>
          </w:tcPr>
          <w:p>
            <w:pPr>
              <w:ind w:left="220"/>
              <w:spacing w:after="0"/>
              <w:rPr>
                <w:sz w:val="20"/>
                <w:szCs w:val="20"/>
                <w:color w:val="auto"/>
              </w:rPr>
            </w:pPr>
            <w:r>
              <w:rPr>
                <w:rFonts w:ascii="Arial" w:cs="Arial" w:eastAsia="Arial" w:hAnsi="Arial"/>
                <w:sz w:val="12"/>
                <w:szCs w:val="12"/>
                <w:b w:val="1"/>
                <w:bCs w:val="1"/>
                <w:color w:val="215BA8"/>
              </w:rPr>
              <w:t>Specific Shareholder Feedback</w:t>
            </w:r>
          </w:p>
        </w:tc>
        <w:tc>
          <w:tcPr>
            <w:tcW w:w="4180" w:type="dxa"/>
            <w:vAlign w:val="bottom"/>
            <w:shd w:val="clear" w:color="auto" w:fill="215AA8"/>
          </w:tcPr>
          <w:p>
            <w:pPr>
              <w:ind w:left="60"/>
              <w:spacing w:after="0"/>
              <w:rPr>
                <w:sz w:val="20"/>
                <w:szCs w:val="20"/>
                <w:color w:val="auto"/>
              </w:rPr>
            </w:pPr>
            <w:r>
              <w:rPr>
                <w:rFonts w:ascii="Arial" w:cs="Arial" w:eastAsia="Arial" w:hAnsi="Arial"/>
                <w:sz w:val="12"/>
                <w:szCs w:val="12"/>
                <w:b w:val="1"/>
                <w:bCs w:val="1"/>
                <w:color w:val="FFFFFF"/>
              </w:rPr>
              <w:t>Regeneron Board Response</w:t>
            </w:r>
          </w:p>
        </w:tc>
      </w:tr>
      <w:tr>
        <w:trPr>
          <w:trHeight w:val="81"/>
        </w:trPr>
        <w:tc>
          <w:tcPr>
            <w:tcW w:w="1780" w:type="dxa"/>
            <w:vAlign w:val="bottom"/>
            <w:tcBorders>
              <w:bottom w:val="single" w:sz="8" w:color="215AA8"/>
            </w:tcBorders>
          </w:tcPr>
          <w:p>
            <w:pPr>
              <w:spacing w:after="0"/>
              <w:rPr>
                <w:sz w:val="7"/>
                <w:szCs w:val="7"/>
                <w:color w:val="auto"/>
              </w:rPr>
            </w:pPr>
          </w:p>
        </w:tc>
        <w:tc>
          <w:tcPr>
            <w:tcW w:w="4200" w:type="dxa"/>
            <w:vAlign w:val="bottom"/>
            <w:tcBorders>
              <w:bottom w:val="single" w:sz="8" w:color="215AA8"/>
            </w:tcBorders>
          </w:tcPr>
          <w:p>
            <w:pPr>
              <w:spacing w:after="0"/>
              <w:rPr>
                <w:sz w:val="7"/>
                <w:szCs w:val="7"/>
                <w:color w:val="auto"/>
              </w:rPr>
            </w:pPr>
          </w:p>
        </w:tc>
        <w:tc>
          <w:tcPr>
            <w:tcW w:w="4180" w:type="dxa"/>
            <w:vAlign w:val="bottom"/>
            <w:tcBorders>
              <w:bottom w:val="single" w:sz="8" w:color="215AA8"/>
            </w:tcBorders>
            <w:shd w:val="clear" w:color="auto" w:fill="215AA8"/>
          </w:tcPr>
          <w:p>
            <w:pPr>
              <w:spacing w:after="0"/>
              <w:rPr>
                <w:sz w:val="7"/>
                <w:szCs w:val="7"/>
                <w:color w:val="auto"/>
              </w:rPr>
            </w:pPr>
          </w:p>
        </w:tc>
      </w:tr>
      <w:tr>
        <w:trPr>
          <w:trHeight w:val="203"/>
        </w:trPr>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Frequency of Say-On-</w:t>
            </w:r>
          </w:p>
        </w:tc>
        <w:tc>
          <w:tcPr>
            <w:tcW w:w="4200" w:type="dxa"/>
            <w:vAlign w:val="bottom"/>
          </w:tcPr>
          <w:p>
            <w:pPr>
              <w:ind w:left="220"/>
              <w:spacing w:after="0"/>
              <w:rPr>
                <w:sz w:val="20"/>
                <w:szCs w:val="20"/>
                <w:color w:val="auto"/>
              </w:rPr>
            </w:pPr>
            <w:r>
              <w:rPr>
                <w:rFonts w:ascii="Arial" w:cs="Arial" w:eastAsia="Arial" w:hAnsi="Arial"/>
                <w:sz w:val="14"/>
                <w:szCs w:val="14"/>
                <w:color w:val="auto"/>
              </w:rPr>
              <w:t>Investors expressed an overwhelming preference for an</w:t>
            </w:r>
          </w:p>
        </w:tc>
        <w:tc>
          <w:tcPr>
            <w:tcW w:w="4180" w:type="dxa"/>
            <w:vAlign w:val="bottom"/>
          </w:tcPr>
          <w:p>
            <w:pPr>
              <w:ind w:left="60"/>
              <w:spacing w:after="0"/>
              <w:rPr>
                <w:sz w:val="20"/>
                <w:szCs w:val="20"/>
                <w:color w:val="auto"/>
              </w:rPr>
            </w:pPr>
            <w:r>
              <w:rPr>
                <w:rFonts w:ascii="Arial" w:cs="Arial" w:eastAsia="Arial" w:hAnsi="Arial"/>
                <w:sz w:val="14"/>
                <w:szCs w:val="14"/>
                <w:color w:val="auto"/>
              </w:rPr>
              <w:t>The board has adopted an annual say-on-pay vote effective as</w:t>
            </w:r>
          </w:p>
        </w:tc>
      </w:tr>
      <w:tr>
        <w:trPr>
          <w:trHeight w:val="190"/>
        </w:trPr>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Pay Advisory Votes</w:t>
            </w:r>
          </w:p>
        </w:tc>
        <w:tc>
          <w:tcPr>
            <w:tcW w:w="4200" w:type="dxa"/>
            <w:vAlign w:val="bottom"/>
          </w:tcPr>
          <w:p>
            <w:pPr>
              <w:ind w:left="220"/>
              <w:spacing w:after="0"/>
              <w:rPr>
                <w:sz w:val="20"/>
                <w:szCs w:val="20"/>
                <w:color w:val="auto"/>
              </w:rPr>
            </w:pPr>
            <w:r>
              <w:rPr>
                <w:rFonts w:ascii="Arial" w:cs="Arial" w:eastAsia="Arial" w:hAnsi="Arial"/>
                <w:sz w:val="14"/>
                <w:szCs w:val="14"/>
                <w:color w:val="auto"/>
              </w:rPr>
              <w:t>annual say-on-pay vote</w:t>
            </w:r>
          </w:p>
        </w:tc>
        <w:tc>
          <w:tcPr>
            <w:tcW w:w="4180" w:type="dxa"/>
            <w:vAlign w:val="bottom"/>
          </w:tcPr>
          <w:p>
            <w:pPr>
              <w:ind w:left="60"/>
              <w:spacing w:after="0"/>
              <w:rPr>
                <w:sz w:val="20"/>
                <w:szCs w:val="20"/>
                <w:color w:val="auto"/>
              </w:rPr>
            </w:pPr>
            <w:r>
              <w:rPr>
                <w:rFonts w:ascii="Arial" w:cs="Arial" w:eastAsia="Arial" w:hAnsi="Arial"/>
                <w:sz w:val="14"/>
                <w:szCs w:val="14"/>
                <w:color w:val="auto"/>
              </w:rPr>
              <w:t>of the 2022 Annual Meeting</w:t>
            </w:r>
          </w:p>
        </w:tc>
      </w:tr>
      <w:tr>
        <w:trPr>
          <w:trHeight w:val="296"/>
        </w:trPr>
        <w:tc>
          <w:tcPr>
            <w:tcW w:w="1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180" w:type="dxa"/>
            <w:vAlign w:val="bottom"/>
          </w:tcPr>
          <w:p>
            <w:pPr>
              <w:ind w:left="60"/>
              <w:spacing w:after="0"/>
              <w:rPr>
                <w:sz w:val="20"/>
                <w:szCs w:val="20"/>
                <w:color w:val="auto"/>
              </w:rPr>
            </w:pPr>
            <w:r>
              <w:rPr>
                <w:rFonts w:ascii="Arial" w:cs="Arial" w:eastAsia="Arial" w:hAnsi="Arial"/>
                <w:sz w:val="14"/>
                <w:szCs w:val="14"/>
                <w:b w:val="1"/>
                <w:bCs w:val="1"/>
                <w:color w:val="D60058"/>
              </w:rPr>
              <w:t>See “Compensation-Related Matters–Compensation</w:t>
            </w:r>
          </w:p>
        </w:tc>
      </w:tr>
      <w:tr>
        <w:trPr>
          <w:trHeight w:val="190"/>
        </w:trPr>
        <w:tc>
          <w:tcPr>
            <w:tcW w:w="17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4180" w:type="dxa"/>
            <w:vAlign w:val="bottom"/>
          </w:tcPr>
          <w:p>
            <w:pPr>
              <w:ind w:left="60"/>
              <w:spacing w:after="0"/>
              <w:rPr>
                <w:sz w:val="20"/>
                <w:szCs w:val="20"/>
                <w:color w:val="auto"/>
              </w:rPr>
            </w:pPr>
            <w:r>
              <w:rPr>
                <w:rFonts w:ascii="Arial" w:cs="Arial" w:eastAsia="Arial" w:hAnsi="Arial"/>
                <w:sz w:val="14"/>
                <w:szCs w:val="14"/>
                <w:b w:val="1"/>
                <w:bCs w:val="1"/>
                <w:color w:val="D60058"/>
              </w:rPr>
              <w:t>Discussion and Analysis” for more 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-566420</wp:posOffset>
            </wp:positionV>
            <wp:extent cx="6446520" cy="24942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46520" cy="249428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p>
      <w:pPr>
        <w:spacing w:after="0" w:line="93" w:lineRule="exact"/>
        <w:rPr>
          <w:sz w:val="20"/>
          <w:szCs w:val="20"/>
          <w:color w:val="auto"/>
        </w:rPr>
      </w:pPr>
    </w:p>
    <w:p>
      <w:pPr>
        <w:ind w:left="600"/>
        <w:spacing w:after="0"/>
        <w:tabs>
          <w:tab w:leader="none" w:pos="2520" w:val="left"/>
        </w:tabs>
        <w:rPr>
          <w:sz w:val="20"/>
          <w:szCs w:val="20"/>
          <w:color w:val="auto"/>
        </w:rPr>
      </w:pPr>
      <w:r>
        <w:rPr>
          <w:rFonts w:ascii="Arial" w:cs="Arial" w:eastAsia="Arial" w:hAnsi="Arial"/>
          <w:sz w:val="14"/>
          <w:szCs w:val="14"/>
          <w:b w:val="1"/>
          <w:bCs w:val="1"/>
          <w:color w:val="auto"/>
        </w:rPr>
        <w:t>Front-loaded PSUs to</w:t>
      </w:r>
      <w:r>
        <w:rPr>
          <w:sz w:val="20"/>
          <w:szCs w:val="20"/>
          <w:color w:val="auto"/>
        </w:rPr>
        <w:tab/>
      </w:r>
      <w:r>
        <w:rPr>
          <w:rFonts w:ascii="Arial" w:cs="Arial" w:eastAsia="Arial" w:hAnsi="Arial"/>
          <w:sz w:val="14"/>
          <w:szCs w:val="14"/>
          <w:color w:val="auto"/>
        </w:rPr>
        <w:t>Some investors provided feedback on the front-loaded</w:t>
      </w:r>
    </w:p>
    <w:p>
      <w:pPr>
        <w:spacing w:after="0" w:line="19" w:lineRule="exact"/>
        <w:rPr>
          <w:sz w:val="20"/>
          <w:szCs w:val="20"/>
          <w:color w:val="auto"/>
        </w:rPr>
      </w:pPr>
    </w:p>
    <w:p>
      <w:pPr>
        <w:ind w:left="2540" w:hanging="1929"/>
        <w:spacing w:after="0" w:line="247" w:lineRule="auto"/>
        <w:tabs>
          <w:tab w:leader="none" w:pos="2520" w:val="left"/>
        </w:tabs>
        <w:rPr>
          <w:sz w:val="20"/>
          <w:szCs w:val="20"/>
          <w:color w:val="auto"/>
        </w:rPr>
      </w:pPr>
      <w:r>
        <w:rPr>
          <w:rFonts w:ascii="Arial" w:cs="Arial" w:eastAsia="Arial" w:hAnsi="Arial"/>
          <w:sz w:val="14"/>
          <w:szCs w:val="14"/>
          <w:b w:val="1"/>
          <w:bCs w:val="1"/>
          <w:color w:val="auto"/>
        </w:rPr>
        <w:t>CEO and CSO</w:t>
      </w:r>
      <w:r>
        <w:rPr>
          <w:sz w:val="20"/>
          <w:szCs w:val="20"/>
          <w:color w:val="auto"/>
        </w:rPr>
        <w:tab/>
      </w:r>
      <w:r>
        <w:rPr>
          <w:rFonts w:ascii="Arial" w:cs="Arial" w:eastAsia="Arial" w:hAnsi="Arial"/>
          <w:sz w:val="14"/>
          <w:szCs w:val="14"/>
          <w:color w:val="auto"/>
        </w:rPr>
        <w:t>nature of the 2020 PSU awards to our CEO and CSO and asked for confirmation of the board’s commitment to issue no equity grants to the CEO and CSO during the 5-year PSU performance period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0"/>
        <w:spacing w:after="0" w:line="247" w:lineRule="auto"/>
        <w:rPr>
          <w:sz w:val="20"/>
          <w:szCs w:val="20"/>
          <w:color w:val="auto"/>
        </w:rPr>
      </w:pPr>
      <w:r>
        <w:rPr>
          <w:rFonts w:ascii="Arial" w:cs="Arial" w:eastAsia="Arial" w:hAnsi="Arial"/>
          <w:sz w:val="14"/>
          <w:szCs w:val="14"/>
          <w:color w:val="auto"/>
        </w:rPr>
        <w:t>In discussions with investors and in this proxy statement, the board has reaffirmed its commitment to grant no additional equity awards to the CEO and CSO during the 5-year PSU performance period (i.e., until December 2025)</w:t>
      </w:r>
    </w:p>
    <w:p>
      <w:pPr>
        <w:spacing w:after="0" w:line="129" w:lineRule="exact"/>
        <w:rPr>
          <w:sz w:val="20"/>
          <w:szCs w:val="20"/>
          <w:color w:val="auto"/>
        </w:rPr>
      </w:pPr>
    </w:p>
    <w:p>
      <w:pPr>
        <w:ind w:right="660"/>
        <w:spacing w:after="0" w:line="252" w:lineRule="auto"/>
        <w:rPr>
          <w:sz w:val="20"/>
          <w:szCs w:val="20"/>
          <w:color w:val="auto"/>
        </w:rPr>
      </w:pPr>
      <w:r>
        <w:rPr>
          <w:rFonts w:ascii="Arial" w:cs="Arial" w:eastAsia="Arial" w:hAnsi="Arial"/>
          <w:sz w:val="14"/>
          <w:szCs w:val="14"/>
          <w:b w:val="1"/>
          <w:bCs w:val="1"/>
          <w:color w:val="D60058"/>
        </w:rPr>
        <w:t>See “Compensation Discussion and Analysis– Components of Executive Pay: What We Pay and Why We Pay It–Annual Equity Awards – Reaffirmed Commitment to Issue No CEO and CSO Equity Awards Before December 2025” for more information</w:t>
      </w:r>
    </w:p>
    <w:p>
      <w:pPr>
        <w:spacing w:after="0" w:line="86" w:lineRule="exact"/>
        <w:rPr>
          <w:sz w:val="20"/>
          <w:szCs w:val="20"/>
          <w:color w:val="auto"/>
        </w:rPr>
      </w:pPr>
    </w:p>
    <w:p>
      <w:pPr>
        <w:sectPr>
          <w:pgSz w:w="11900" w:h="16838" w:orient="portrait"/>
          <w:cols w:equalWidth="0" w:num="2">
            <w:col w:w="6220" w:space="360"/>
            <w:col w:w="4660"/>
          </w:cols>
          <w:pgMar w:left="320" w:top="626" w:right="339" w:bottom="1440" w:gutter="0" w:footer="0" w:header="0"/>
          <w:type w:val="continuous"/>
        </w:sectPr>
      </w:pPr>
    </w:p>
    <w:p>
      <w:pPr>
        <w:ind w:left="600"/>
        <w:spacing w:after="0"/>
        <w:tabs>
          <w:tab w:leader="none" w:pos="2520" w:val="left"/>
        </w:tabs>
        <w:rPr>
          <w:sz w:val="20"/>
          <w:szCs w:val="20"/>
          <w:color w:val="auto"/>
        </w:rPr>
      </w:pPr>
      <w:r>
        <w:rPr>
          <w:rFonts w:ascii="Arial" w:cs="Arial" w:eastAsia="Arial" w:hAnsi="Arial"/>
          <w:sz w:val="14"/>
          <w:szCs w:val="14"/>
          <w:b w:val="1"/>
          <w:bCs w:val="1"/>
          <w:color w:val="auto"/>
        </w:rPr>
        <w:t>Enhanced Disclosure of</w:t>
      </w:r>
      <w:r>
        <w:rPr>
          <w:sz w:val="20"/>
          <w:szCs w:val="20"/>
          <w:color w:val="auto"/>
        </w:rPr>
        <w:tab/>
      </w:r>
      <w:r>
        <w:rPr>
          <w:rFonts w:ascii="Arial" w:cs="Arial" w:eastAsia="Arial" w:hAnsi="Arial"/>
          <w:sz w:val="14"/>
          <w:szCs w:val="14"/>
          <w:color w:val="auto"/>
        </w:rPr>
        <w:t>Investors expressed interest in learning more about the</w:t>
      </w:r>
    </w:p>
    <w:p>
      <w:pPr>
        <w:spacing w:after="0" w:line="19" w:lineRule="exact"/>
        <w:rPr>
          <w:sz w:val="20"/>
          <w:szCs w:val="20"/>
          <w:color w:val="auto"/>
        </w:rPr>
      </w:pPr>
    </w:p>
    <w:p>
      <w:pPr>
        <w:ind w:left="600" w:right="280"/>
        <w:spacing w:after="0" w:line="241" w:lineRule="auto"/>
        <w:rPr>
          <w:sz w:val="20"/>
          <w:szCs w:val="20"/>
          <w:color w:val="auto"/>
        </w:rPr>
      </w:pPr>
      <w:r>
        <w:rPr>
          <w:rFonts w:ascii="Arial" w:cs="Arial" w:eastAsia="Arial" w:hAnsi="Arial"/>
          <w:sz w:val="14"/>
          <w:szCs w:val="14"/>
          <w:b w:val="1"/>
          <w:bCs w:val="1"/>
          <w:color w:val="auto"/>
        </w:rPr>
        <w:t xml:space="preserve">Board and Committee </w:t>
      </w:r>
      <w:r>
        <w:rPr>
          <w:rFonts w:ascii="Arial" w:cs="Arial" w:eastAsia="Arial" w:hAnsi="Arial"/>
          <w:sz w:val="14"/>
          <w:szCs w:val="14"/>
          <w:color w:val="auto"/>
        </w:rPr>
        <w:t>board’s views on a number of governance topics and</w:t>
      </w:r>
      <w:r>
        <w:rPr>
          <w:rFonts w:ascii="Arial" w:cs="Arial" w:eastAsia="Arial" w:hAnsi="Arial"/>
          <w:sz w:val="14"/>
          <w:szCs w:val="14"/>
          <w:b w:val="1"/>
          <w:bCs w:val="1"/>
          <w:color w:val="auto"/>
        </w:rPr>
        <w:t xml:space="preserve"> Governance and Related </w:t>
      </w:r>
      <w:r>
        <w:rPr>
          <w:rFonts w:ascii="Arial" w:cs="Arial" w:eastAsia="Arial" w:hAnsi="Arial"/>
          <w:sz w:val="14"/>
          <w:szCs w:val="14"/>
          <w:color w:val="auto"/>
        </w:rPr>
        <w:t>requested enhanced disclosure surrounding board</w:t>
      </w:r>
    </w:p>
    <w:p>
      <w:pPr>
        <w:spacing w:after="0" w:line="1" w:lineRule="exact"/>
        <w:rPr>
          <w:sz w:val="20"/>
          <w:szCs w:val="20"/>
          <w:color w:val="auto"/>
        </w:rPr>
      </w:pPr>
    </w:p>
    <w:p>
      <w:pPr>
        <w:ind w:left="2540" w:hanging="1939"/>
        <w:spacing w:after="0" w:line="247" w:lineRule="auto"/>
        <w:tabs>
          <w:tab w:leader="none" w:pos="2520" w:val="left"/>
        </w:tabs>
        <w:rPr>
          <w:sz w:val="20"/>
          <w:szCs w:val="20"/>
          <w:color w:val="auto"/>
        </w:rPr>
      </w:pPr>
      <w:r>
        <w:rPr>
          <w:rFonts w:ascii="Arial" w:cs="Arial" w:eastAsia="Arial" w:hAnsi="Arial"/>
          <w:sz w:val="14"/>
          <w:szCs w:val="14"/>
          <w:b w:val="1"/>
          <w:bCs w:val="1"/>
          <w:color w:val="auto"/>
        </w:rPr>
        <w:t>Processes</w:t>
      </w:r>
      <w:r>
        <w:rPr>
          <w:sz w:val="20"/>
          <w:szCs w:val="20"/>
          <w:color w:val="auto"/>
        </w:rPr>
        <w:tab/>
      </w:r>
      <w:r>
        <w:rPr>
          <w:rFonts w:ascii="Arial" w:cs="Arial" w:eastAsia="Arial" w:hAnsi="Arial"/>
          <w:sz w:val="14"/>
          <w:szCs w:val="14"/>
          <w:color w:val="auto"/>
        </w:rPr>
        <w:t>composition and refreshment, board structure and leadership, board oversight of pricing decisions/access to medicine, annual cash incentive determinations, and certain other corporate governance matters</w:t>
      </w:r>
    </w:p>
    <w:p>
      <w:pPr>
        <w:spacing w:after="0" w:line="20" w:lineRule="exact"/>
        <w:rPr>
          <w:sz w:val="20"/>
          <w:szCs w:val="20"/>
          <w:color w:val="auto"/>
        </w:rPr>
      </w:pPr>
      <w:r>
        <w:rPr>
          <w:sz w:val="20"/>
          <w:szCs w:val="20"/>
          <w:color w:val="auto"/>
        </w:rPr>
        <w:br w:type="column"/>
      </w:r>
    </w:p>
    <w:p>
      <w:pPr>
        <w:jc w:val="both"/>
        <w:ind w:right="1240"/>
        <w:spacing w:after="0" w:line="249" w:lineRule="auto"/>
        <w:rPr>
          <w:sz w:val="20"/>
          <w:szCs w:val="20"/>
          <w:color w:val="auto"/>
        </w:rPr>
      </w:pPr>
      <w:r>
        <w:rPr>
          <w:rFonts w:ascii="Arial" w:cs="Arial" w:eastAsia="Arial" w:hAnsi="Arial"/>
          <w:sz w:val="14"/>
          <w:szCs w:val="14"/>
          <w:color w:val="auto"/>
        </w:rPr>
        <w:t>In this proxy statement, we have expanded board and committee disclosures in relevant sections to address shareholder feedback</w:t>
      </w:r>
    </w:p>
    <w:p>
      <w:pPr>
        <w:spacing w:after="0" w:line="129" w:lineRule="exact"/>
        <w:rPr>
          <w:sz w:val="20"/>
          <w:szCs w:val="20"/>
          <w:color w:val="auto"/>
        </w:rPr>
      </w:pPr>
    </w:p>
    <w:p>
      <w:pPr>
        <w:jc w:val="both"/>
        <w:ind w:right="1240"/>
        <w:spacing w:after="0" w:line="285" w:lineRule="auto"/>
        <w:rPr>
          <w:sz w:val="20"/>
          <w:szCs w:val="20"/>
          <w:color w:val="auto"/>
        </w:rPr>
      </w:pPr>
      <w:r>
        <w:rPr>
          <w:rFonts w:ascii="Arial" w:cs="Arial" w:eastAsia="Arial" w:hAnsi="Arial"/>
          <w:sz w:val="14"/>
          <w:szCs w:val="14"/>
          <w:b w:val="1"/>
          <w:bCs w:val="1"/>
          <w:color w:val="D60058"/>
        </w:rPr>
        <w:t>See table on page 76 for where you can find these expanded disclosures in this proxy statement</w:t>
      </w:r>
    </w:p>
    <w:p>
      <w:pPr>
        <w:spacing w:after="0" w:line="323" w:lineRule="exact"/>
        <w:rPr>
          <w:sz w:val="20"/>
          <w:szCs w:val="20"/>
          <w:color w:val="auto"/>
        </w:rPr>
      </w:pPr>
    </w:p>
    <w:p>
      <w:pPr>
        <w:sectPr>
          <w:pgSz w:w="11900" w:h="16838" w:orient="portrait"/>
          <w:cols w:equalWidth="0" w:num="2">
            <w:col w:w="6180" w:space="400"/>
            <w:col w:w="4660"/>
          </w:cols>
          <w:pgMar w:left="320" w:top="626" w:right="339" w:bottom="1440" w:gutter="0" w:footer="0" w:header="0"/>
          <w:type w:val="continuous"/>
        </w:sectPr>
      </w:pPr>
    </w:p>
    <w:p>
      <w:pPr>
        <w:ind w:left="540"/>
        <w:spacing w:after="0"/>
        <w:rPr>
          <w:sz w:val="20"/>
          <w:szCs w:val="20"/>
          <w:color w:val="auto"/>
        </w:rPr>
      </w:pPr>
      <w:r>
        <w:rPr>
          <w:rFonts w:ascii="Arial" w:cs="Arial" w:eastAsia="Arial" w:hAnsi="Arial"/>
          <w:sz w:val="18"/>
          <w:szCs w:val="18"/>
          <w:b w:val="1"/>
          <w:bCs w:val="1"/>
          <w:color w:val="215BA8"/>
        </w:rPr>
        <w:t>2021 Board Actions Explained</w:t>
      </w:r>
    </w:p>
    <w:p>
      <w:pPr>
        <w:spacing w:after="0" w:line="181" w:lineRule="exact"/>
        <w:rPr>
          <w:sz w:val="20"/>
          <w:szCs w:val="20"/>
          <w:color w:val="auto"/>
        </w:rPr>
      </w:pPr>
    </w:p>
    <w:p>
      <w:pPr>
        <w:ind w:left="540" w:right="800"/>
        <w:spacing w:after="0" w:line="237" w:lineRule="auto"/>
        <w:rPr>
          <w:sz w:val="20"/>
          <w:szCs w:val="20"/>
          <w:color w:val="auto"/>
        </w:rPr>
      </w:pPr>
      <w:r>
        <w:rPr>
          <w:rFonts w:ascii="Arial" w:cs="Arial" w:eastAsia="Arial" w:hAnsi="Arial"/>
          <w:sz w:val="16"/>
          <w:szCs w:val="16"/>
          <w:b w:val="1"/>
          <w:bCs w:val="1"/>
          <w:color w:val="D60058"/>
        </w:rPr>
        <w:t xml:space="preserve">Adopting Annual Say-on-Pay. </w:t>
      </w:r>
      <w:r>
        <w:rPr>
          <w:rFonts w:ascii="Arial" w:cs="Arial" w:eastAsia="Arial" w:hAnsi="Arial"/>
          <w:sz w:val="16"/>
          <w:szCs w:val="16"/>
          <w:color w:val="000000"/>
        </w:rPr>
        <w:t>The board considered various options in addressing the frequency of our say-on-pay votes and recognized the</w:t>
      </w:r>
      <w:r>
        <w:rPr>
          <w:rFonts w:ascii="Arial" w:cs="Arial" w:eastAsia="Arial" w:hAnsi="Arial"/>
          <w:sz w:val="16"/>
          <w:szCs w:val="16"/>
          <w:b w:val="1"/>
          <w:bCs w:val="1"/>
          <w:color w:val="D60058"/>
        </w:rPr>
        <w:t xml:space="preserve"> </w:t>
      </w:r>
      <w:r>
        <w:rPr>
          <w:rFonts w:ascii="Arial" w:cs="Arial" w:eastAsia="Arial" w:hAnsi="Arial"/>
          <w:sz w:val="16"/>
          <w:szCs w:val="16"/>
          <w:color w:val="000000"/>
        </w:rPr>
        <w:t>need to make a change in advance of the next say-on-pay frequency advisory vote, which will be required at the 2023 annual shareholder meeting. Ultimately, the board and the Compensation Committee determined that adopting annual say-on-pay effective as of the 2022 Annual Meeting would provide more regular shareholder input on compensation matters, was aligned with the overwhelming investor preference for an annual say-on-pay vote, and represented the most direct way the board could respond to shareholder feedback.</w:t>
      </w:r>
    </w:p>
    <w:p>
      <w:pPr>
        <w:spacing w:after="0" w:line="145" w:lineRule="exact"/>
        <w:rPr>
          <w:sz w:val="20"/>
          <w:szCs w:val="20"/>
          <w:color w:val="auto"/>
        </w:rPr>
      </w:pPr>
    </w:p>
    <w:p>
      <w:pPr>
        <w:ind w:left="540" w:right="920"/>
        <w:spacing w:after="0" w:line="239" w:lineRule="auto"/>
        <w:rPr>
          <w:sz w:val="20"/>
          <w:szCs w:val="20"/>
          <w:color w:val="auto"/>
        </w:rPr>
      </w:pPr>
      <w:r>
        <w:rPr>
          <w:rFonts w:ascii="Arial" w:cs="Arial" w:eastAsia="Arial" w:hAnsi="Arial"/>
          <w:sz w:val="16"/>
          <w:szCs w:val="16"/>
          <w:b w:val="1"/>
          <w:bCs w:val="1"/>
          <w:color w:val="D60058"/>
        </w:rPr>
        <w:t xml:space="preserve">Reaffirmed Commitment to Issue No CEO/CSO Equity Awards Before December 2025. </w:t>
      </w:r>
      <w:r>
        <w:rPr>
          <w:rFonts w:ascii="Arial" w:cs="Arial" w:eastAsia="Arial" w:hAnsi="Arial"/>
          <w:sz w:val="16"/>
          <w:szCs w:val="16"/>
          <w:color w:val="000000"/>
        </w:rPr>
        <w:t>The board reaffirmed its commitment to grant no</w:t>
      </w:r>
      <w:r>
        <w:rPr>
          <w:rFonts w:ascii="Arial" w:cs="Arial" w:eastAsia="Arial" w:hAnsi="Arial"/>
          <w:sz w:val="16"/>
          <w:szCs w:val="16"/>
          <w:b w:val="1"/>
          <w:bCs w:val="1"/>
          <w:color w:val="D60058"/>
        </w:rPr>
        <w:t xml:space="preserve"> </w:t>
      </w:r>
      <w:r>
        <w:rPr>
          <w:rFonts w:ascii="Arial" w:cs="Arial" w:eastAsia="Arial" w:hAnsi="Arial"/>
          <w:sz w:val="16"/>
          <w:szCs w:val="16"/>
          <w:color w:val="000000"/>
        </w:rPr>
        <w:t>additional equity awards to our CEO and CSO until the end of fiscal year 2025. While this commitment was stated at the time of the grant, investors requested additional clarification and commitment that the 2020 PSU awards were in lieu of five years of annual equity grants (2020 through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75</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90" w:name="page91"/>
    <w:bookmarkEnd w:id="90"/>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40" w:right="640"/>
        <w:spacing w:after="0" w:line="239" w:lineRule="auto"/>
        <w:rPr>
          <w:sz w:val="20"/>
          <w:szCs w:val="20"/>
          <w:color w:val="auto"/>
        </w:rPr>
      </w:pPr>
      <w:r>
        <w:rPr>
          <w:rFonts w:ascii="Arial" w:cs="Arial" w:eastAsia="Arial" w:hAnsi="Arial"/>
          <w:sz w:val="16"/>
          <w:szCs w:val="16"/>
          <w:b w:val="1"/>
          <w:bCs w:val="1"/>
          <w:color w:val="D60058"/>
        </w:rPr>
        <w:t xml:space="preserve">Enhanced Disclosure. </w:t>
      </w:r>
      <w:r>
        <w:rPr>
          <w:rFonts w:ascii="Arial" w:cs="Arial" w:eastAsia="Arial" w:hAnsi="Arial"/>
          <w:sz w:val="16"/>
          <w:szCs w:val="16"/>
          <w:color w:val="000000"/>
        </w:rPr>
        <w:t>While the board believes it has maintained and continually refined robust governance practices and processes,</w:t>
      </w:r>
      <w:r>
        <w:rPr>
          <w:rFonts w:ascii="Arial" w:cs="Arial" w:eastAsia="Arial" w:hAnsi="Arial"/>
          <w:sz w:val="16"/>
          <w:szCs w:val="16"/>
          <w:b w:val="1"/>
          <w:bCs w:val="1"/>
          <w:color w:val="D60058"/>
        </w:rPr>
        <w:t xml:space="preserve"> </w:t>
      </w:r>
      <w:r>
        <w:rPr>
          <w:rFonts w:ascii="Arial" w:cs="Arial" w:eastAsia="Arial" w:hAnsi="Arial"/>
          <w:sz w:val="16"/>
          <w:szCs w:val="16"/>
          <w:color w:val="000000"/>
        </w:rPr>
        <w:t>shareholders requested, and the board acknowledged the need to provide, additional disclosure throughout this proxy statement to help investors better understand why such practices and processes were put in place and how they are utilized by the board in the fulfillment of its duties and responsibilities. Please refer to the table below to locate these enhanced disclosures within this proxy statement.</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520" w:type="dxa"/>
            <w:vAlign w:val="bottom"/>
          </w:tcPr>
          <w:p>
            <w:pPr>
              <w:ind w:left="80"/>
              <w:spacing w:after="0"/>
              <w:rPr>
                <w:sz w:val="20"/>
                <w:szCs w:val="20"/>
                <w:color w:val="auto"/>
              </w:rPr>
            </w:pPr>
            <w:r>
              <w:rPr>
                <w:rFonts w:ascii="Arial" w:cs="Arial" w:eastAsia="Arial" w:hAnsi="Arial"/>
                <w:sz w:val="12"/>
                <w:szCs w:val="12"/>
                <w:b w:val="1"/>
                <w:bCs w:val="1"/>
                <w:color w:val="215BA8"/>
              </w:rPr>
              <w:t>Topic</w:t>
            </w:r>
          </w:p>
        </w:tc>
        <w:tc>
          <w:tcPr>
            <w:tcW w:w="4180" w:type="dxa"/>
            <w:vAlign w:val="bottom"/>
          </w:tcPr>
          <w:p>
            <w:pPr>
              <w:spacing w:after="0"/>
              <w:rPr>
                <w:sz w:val="13"/>
                <w:szCs w:val="13"/>
                <w:color w:val="auto"/>
              </w:rPr>
            </w:pPr>
          </w:p>
        </w:tc>
        <w:tc>
          <w:tcPr>
            <w:tcW w:w="5460" w:type="dxa"/>
            <w:vAlign w:val="bottom"/>
          </w:tcPr>
          <w:p>
            <w:pPr>
              <w:ind w:left="160"/>
              <w:spacing w:after="0"/>
              <w:rPr>
                <w:sz w:val="20"/>
                <w:szCs w:val="20"/>
                <w:color w:val="auto"/>
              </w:rPr>
            </w:pPr>
            <w:r>
              <w:rPr>
                <w:rFonts w:ascii="Arial" w:cs="Arial" w:eastAsia="Arial" w:hAnsi="Arial"/>
                <w:sz w:val="12"/>
                <w:szCs w:val="12"/>
                <w:b w:val="1"/>
                <w:bCs w:val="1"/>
                <w:color w:val="215BA8"/>
              </w:rPr>
              <w:t>Section</w:t>
            </w:r>
          </w:p>
        </w:tc>
        <w:tc>
          <w:tcPr>
            <w:tcW w:w="0" w:type="dxa"/>
            <w:vAlign w:val="bottom"/>
          </w:tcPr>
          <w:p>
            <w:pPr>
              <w:spacing w:after="0"/>
              <w:rPr>
                <w:sz w:val="1"/>
                <w:szCs w:val="1"/>
                <w:color w:val="auto"/>
              </w:rPr>
            </w:pPr>
          </w:p>
        </w:tc>
      </w:tr>
      <w:tr>
        <w:trPr>
          <w:trHeight w:val="54"/>
        </w:trPr>
        <w:tc>
          <w:tcPr>
            <w:tcW w:w="520" w:type="dxa"/>
            <w:vAlign w:val="bottom"/>
            <w:tcBorders>
              <w:bottom w:val="single" w:sz="8" w:color="215AA8"/>
            </w:tcBorders>
          </w:tcPr>
          <w:p>
            <w:pPr>
              <w:spacing w:after="0"/>
              <w:rPr>
                <w:sz w:val="4"/>
                <w:szCs w:val="4"/>
                <w:color w:val="auto"/>
              </w:rPr>
            </w:pPr>
          </w:p>
        </w:tc>
        <w:tc>
          <w:tcPr>
            <w:tcW w:w="4180" w:type="dxa"/>
            <w:vAlign w:val="bottom"/>
            <w:tcBorders>
              <w:bottom w:val="single" w:sz="8" w:color="215AA8"/>
            </w:tcBorders>
          </w:tcPr>
          <w:p>
            <w:pPr>
              <w:spacing w:after="0"/>
              <w:rPr>
                <w:sz w:val="4"/>
                <w:szCs w:val="4"/>
                <w:color w:val="auto"/>
              </w:rPr>
            </w:pPr>
          </w:p>
        </w:tc>
        <w:tc>
          <w:tcPr>
            <w:tcW w:w="5460" w:type="dxa"/>
            <w:vAlign w:val="bottom"/>
            <w:tcBorders>
              <w:bottom w:val="single" w:sz="8" w:color="215AA8"/>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520" w:type="dxa"/>
            <w:vAlign w:val="bottom"/>
          </w:tcPr>
          <w:p>
            <w:pPr>
              <w:spacing w:after="0"/>
              <w:rPr>
                <w:sz w:val="21"/>
                <w:szCs w:val="21"/>
                <w:color w:val="auto"/>
              </w:rPr>
            </w:pPr>
          </w:p>
        </w:tc>
        <w:tc>
          <w:tcPr>
            <w:tcW w:w="4180" w:type="dxa"/>
            <w:vAlign w:val="bottom"/>
            <w:vMerge w:val="restart"/>
          </w:tcPr>
          <w:p>
            <w:pPr>
              <w:ind w:left="120"/>
              <w:spacing w:after="0"/>
              <w:rPr>
                <w:sz w:val="20"/>
                <w:szCs w:val="20"/>
                <w:color w:val="auto"/>
              </w:rPr>
            </w:pPr>
            <w:r>
              <w:rPr>
                <w:rFonts w:ascii="Arial" w:cs="Arial" w:eastAsia="Arial" w:hAnsi="Arial"/>
                <w:sz w:val="16"/>
                <w:szCs w:val="16"/>
                <w:b w:val="1"/>
                <w:bCs w:val="1"/>
                <w:color w:val="215BA8"/>
              </w:rPr>
              <w:t>Board Structure and Leadership</w:t>
            </w:r>
          </w:p>
        </w:tc>
        <w:tc>
          <w:tcPr>
            <w:tcW w:w="5460" w:type="dxa"/>
            <w:vAlign w:val="bottom"/>
          </w:tcPr>
          <w:p>
            <w:pPr>
              <w:ind w:left="160"/>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Board Structure,</w:t>
            </w:r>
            <w:r>
              <w:rPr>
                <w:rFonts w:ascii="Arial" w:cs="Arial" w:eastAsia="Arial" w:hAnsi="Arial"/>
                <w:sz w:val="16"/>
                <w:szCs w:val="16"/>
                <w:color w:val="215BA8"/>
              </w:rPr>
              <w:t xml:space="preserve"> </w:t>
            </w:r>
            <w:r>
              <w:rPr>
                <w:rFonts w:ascii="Arial" w:cs="Arial" w:eastAsia="Arial" w:hAnsi="Arial"/>
                <w:sz w:val="16"/>
                <w:szCs w:val="16"/>
                <w:color w:val="D60058"/>
              </w:rPr>
              <w:t>Page 22</w:t>
            </w: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4180" w:type="dxa"/>
            <w:vAlign w:val="bottom"/>
            <w:vMerge w:val="continue"/>
          </w:tcPr>
          <w:p>
            <w:pPr>
              <w:spacing w:after="0"/>
              <w:rPr>
                <w:sz w:val="7"/>
                <w:szCs w:val="7"/>
                <w:color w:val="auto"/>
              </w:rPr>
            </w:pPr>
          </w:p>
        </w:tc>
        <w:tc>
          <w:tcPr>
            <w:tcW w:w="5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460" w:type="dxa"/>
            <w:vAlign w:val="bottom"/>
          </w:tcPr>
          <w:p>
            <w:pPr>
              <w:ind w:left="160"/>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Board Leadership Structure–Separate Chair and CEO with Presiding</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5460" w:type="dxa"/>
            <w:vAlign w:val="bottom"/>
          </w:tcPr>
          <w:p>
            <w:pPr>
              <w:ind w:left="340"/>
              <w:spacing w:after="0"/>
              <w:rPr>
                <w:sz w:val="20"/>
                <w:szCs w:val="20"/>
                <w:color w:val="auto"/>
              </w:rPr>
            </w:pPr>
            <w:r>
              <w:rPr>
                <w:rFonts w:ascii="Arial" w:cs="Arial" w:eastAsia="Arial" w:hAnsi="Arial"/>
                <w:sz w:val="16"/>
                <w:szCs w:val="16"/>
                <w:color w:val="auto"/>
              </w:rPr>
              <w:t xml:space="preserve">Director, </w:t>
            </w:r>
            <w:r>
              <w:rPr>
                <w:rFonts w:ascii="Arial" w:cs="Arial" w:eastAsia="Arial" w:hAnsi="Arial"/>
                <w:sz w:val="16"/>
                <w:szCs w:val="16"/>
                <w:color w:val="D60058"/>
              </w:rPr>
              <w:t>Page 25</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20" w:type="dxa"/>
            <w:vAlign w:val="bottom"/>
          </w:tcPr>
          <w:p>
            <w:pPr>
              <w:spacing w:after="0"/>
              <w:rPr>
                <w:sz w:val="22"/>
                <w:szCs w:val="22"/>
                <w:color w:val="auto"/>
              </w:rPr>
            </w:pPr>
          </w:p>
        </w:tc>
        <w:tc>
          <w:tcPr>
            <w:tcW w:w="4180" w:type="dxa"/>
            <w:vAlign w:val="bottom"/>
            <w:vMerge w:val="restart"/>
          </w:tcPr>
          <w:p>
            <w:pPr>
              <w:ind w:left="120"/>
              <w:spacing w:after="0"/>
              <w:rPr>
                <w:sz w:val="20"/>
                <w:szCs w:val="20"/>
                <w:color w:val="auto"/>
              </w:rPr>
            </w:pPr>
            <w:r>
              <w:rPr>
                <w:rFonts w:ascii="Arial" w:cs="Arial" w:eastAsia="Arial" w:hAnsi="Arial"/>
                <w:sz w:val="16"/>
                <w:szCs w:val="16"/>
                <w:b w:val="1"/>
                <w:bCs w:val="1"/>
                <w:color w:val="215BA8"/>
              </w:rPr>
              <w:t>Board Composition and Refreshment</w:t>
            </w:r>
          </w:p>
        </w:tc>
        <w:tc>
          <w:tcPr>
            <w:tcW w:w="5460" w:type="dxa"/>
            <w:vAlign w:val="bottom"/>
            <w:tcBorders>
              <w:bottom w:val="single" w:sz="8" w:color="EEEEEF"/>
            </w:tcBorders>
            <w:shd w:val="clear" w:color="auto" w:fill="EEEEEF"/>
          </w:tcPr>
          <w:p>
            <w:pPr>
              <w:ind w:left="160"/>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Meet the Board,</w:t>
            </w:r>
            <w:r>
              <w:rPr>
                <w:rFonts w:ascii="Arial" w:cs="Arial" w:eastAsia="Arial" w:hAnsi="Arial"/>
                <w:sz w:val="16"/>
                <w:szCs w:val="16"/>
                <w:color w:val="215BA8"/>
              </w:rPr>
              <w:t xml:space="preserve"> </w:t>
            </w:r>
            <w:r>
              <w:rPr>
                <w:rFonts w:ascii="Arial" w:cs="Arial" w:eastAsia="Arial" w:hAnsi="Arial"/>
                <w:sz w:val="16"/>
                <w:szCs w:val="16"/>
                <w:color w:val="D60058"/>
              </w:rPr>
              <w:t>Page 6</w:t>
            </w: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4180" w:type="dxa"/>
            <w:vAlign w:val="bottom"/>
            <w:vMerge w:val="continue"/>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-663575</wp:posOffset>
            </wp:positionV>
            <wp:extent cx="6446520" cy="8058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446520" cy="805815"/>
                    </a:xfrm>
                    <a:prstGeom prst="rect">
                      <a:avLst/>
                    </a:prstGeom>
                    <a:noFill/>
                  </pic:spPr>
                </pic:pic>
              </a:graphicData>
            </a:graphic>
          </wp:anchor>
        </w:drawing>
      </w:r>
    </w:p>
    <w:p>
      <w:pPr>
        <w:ind w:left="5580" w:hanging="172"/>
        <w:spacing w:after="0"/>
        <w:tabs>
          <w:tab w:leader="none" w:pos="5580" w:val="left"/>
        </w:tabs>
        <w:numPr>
          <w:ilvl w:val="0"/>
          <w:numId w:val="137"/>
        </w:numPr>
        <w:rPr>
          <w:rFonts w:ascii="Arial" w:cs="Arial" w:eastAsia="Arial" w:hAnsi="Arial"/>
          <w:sz w:val="16"/>
          <w:szCs w:val="16"/>
          <w:color w:val="215BA8"/>
        </w:rPr>
      </w:pPr>
      <w:r>
        <w:rPr>
          <w:rFonts w:ascii="Arial" w:cs="Arial" w:eastAsia="Arial" w:hAnsi="Arial"/>
          <w:sz w:val="16"/>
          <w:szCs w:val="16"/>
          <w:color w:val="auto"/>
        </w:rPr>
        <w:t xml:space="preserve">Director Refreshment Philosophy, </w:t>
      </w:r>
      <w:r>
        <w:rPr>
          <w:rFonts w:ascii="Arial" w:cs="Arial" w:eastAsia="Arial" w:hAnsi="Arial"/>
          <w:sz w:val="16"/>
          <w:szCs w:val="16"/>
          <w:color w:val="D60058"/>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24765</wp:posOffset>
            </wp:positionV>
            <wp:extent cx="64465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67310</wp:posOffset>
            </wp:positionV>
            <wp:extent cx="213995" cy="2146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188"/>
        </w:trPr>
        <w:tc>
          <w:tcPr>
            <w:tcW w:w="4700" w:type="dxa"/>
            <w:vAlign w:val="bottom"/>
            <w:vMerge w:val="restart"/>
          </w:tcPr>
          <w:p>
            <w:pPr>
              <w:ind w:left="640"/>
              <w:spacing w:after="0"/>
              <w:rPr>
                <w:sz w:val="20"/>
                <w:szCs w:val="20"/>
                <w:color w:val="auto"/>
              </w:rPr>
            </w:pPr>
            <w:r>
              <w:rPr>
                <w:rFonts w:ascii="Arial" w:cs="Arial" w:eastAsia="Arial" w:hAnsi="Arial"/>
                <w:sz w:val="16"/>
                <w:szCs w:val="16"/>
                <w:b w:val="1"/>
                <w:bCs w:val="1"/>
                <w:color w:val="215BA8"/>
              </w:rPr>
              <w:t>Committee Functions and Responsibilities</w:t>
            </w:r>
          </w:p>
        </w:tc>
        <w:tc>
          <w:tcPr>
            <w:tcW w:w="16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Board Committees,</w:t>
            </w:r>
            <w:r>
              <w:rPr>
                <w:rFonts w:ascii="Arial" w:cs="Arial" w:eastAsia="Arial" w:hAnsi="Arial"/>
                <w:sz w:val="16"/>
                <w:szCs w:val="16"/>
                <w:color w:val="215BA8"/>
              </w:rPr>
              <w:t xml:space="preserve"> </w:t>
            </w:r>
            <w:r>
              <w:rPr>
                <w:rFonts w:ascii="Arial" w:cs="Arial" w:eastAsia="Arial" w:hAnsi="Arial"/>
                <w:sz w:val="16"/>
                <w:szCs w:val="16"/>
                <w:color w:val="D60058"/>
              </w:rPr>
              <w:t>Page 20</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4700" w:type="dxa"/>
            <w:vAlign w:val="bottom"/>
            <w:vMerge w:val="restart"/>
            <w:shd w:val="clear" w:color="auto" w:fill="EEEEEF"/>
          </w:tcPr>
          <w:p>
            <w:pPr>
              <w:ind w:left="640"/>
              <w:spacing w:after="0"/>
              <w:rPr>
                <w:sz w:val="20"/>
                <w:szCs w:val="20"/>
                <w:color w:val="auto"/>
              </w:rPr>
            </w:pPr>
            <w:r>
              <w:rPr>
                <w:rFonts w:ascii="Arial" w:cs="Arial" w:eastAsia="Arial" w:hAnsi="Arial"/>
                <w:sz w:val="16"/>
                <w:szCs w:val="16"/>
                <w:b w:val="1"/>
                <w:bCs w:val="1"/>
                <w:color w:val="215BA8"/>
                <w:w w:val="99"/>
              </w:rPr>
              <w:t>Board Oversight of Drug Pricing Decisions/Access to</w:t>
            </w:r>
          </w:p>
        </w:tc>
        <w:tc>
          <w:tcPr>
            <w:tcW w:w="160" w:type="dxa"/>
            <w:vAlign w:val="bottom"/>
            <w:shd w:val="clear" w:color="auto" w:fill="EEEEEF"/>
          </w:tcPr>
          <w:p>
            <w:pPr>
              <w:spacing w:after="0"/>
              <w:rPr>
                <w:sz w:val="21"/>
                <w:szCs w:val="21"/>
                <w:color w:val="auto"/>
              </w:rPr>
            </w:pPr>
          </w:p>
        </w:tc>
        <w:tc>
          <w:tcPr>
            <w:tcW w:w="5300" w:type="dxa"/>
            <w:vAlign w:val="bottom"/>
            <w:shd w:val="clear" w:color="auto" w:fill="EEEEEF"/>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Board Oversight of Risk and Key Pricing Decisions,</w:t>
            </w:r>
            <w:r>
              <w:rPr>
                <w:rFonts w:ascii="Arial" w:cs="Arial" w:eastAsia="Arial" w:hAnsi="Arial"/>
                <w:sz w:val="16"/>
                <w:szCs w:val="16"/>
                <w:color w:val="215BA8"/>
              </w:rPr>
              <w:t xml:space="preserve"> </w:t>
            </w:r>
            <w:r>
              <w:rPr>
                <w:rFonts w:ascii="Arial" w:cs="Arial" w:eastAsia="Arial" w:hAnsi="Arial"/>
                <w:sz w:val="16"/>
                <w:szCs w:val="16"/>
                <w:color w:val="D60058"/>
              </w:rPr>
              <w:t>Page 25</w:t>
            </w:r>
          </w:p>
        </w:tc>
        <w:tc>
          <w:tcPr>
            <w:tcW w:w="0" w:type="dxa"/>
            <w:vAlign w:val="bottom"/>
          </w:tcPr>
          <w:p>
            <w:pPr>
              <w:spacing w:after="0"/>
              <w:rPr>
                <w:sz w:val="1"/>
                <w:szCs w:val="1"/>
                <w:color w:val="auto"/>
              </w:rPr>
            </w:pPr>
          </w:p>
        </w:tc>
      </w:tr>
      <w:tr>
        <w:trPr>
          <w:trHeight w:val="49"/>
        </w:trPr>
        <w:tc>
          <w:tcPr>
            <w:tcW w:w="4700" w:type="dxa"/>
            <w:vAlign w:val="bottom"/>
            <w:vMerge w:val="continue"/>
            <w:shd w:val="clear" w:color="auto" w:fill="EEEEEF"/>
          </w:tcPr>
          <w:p>
            <w:pPr>
              <w:spacing w:after="0"/>
              <w:rPr>
                <w:sz w:val="4"/>
                <w:szCs w:val="4"/>
                <w:color w:val="auto"/>
              </w:rPr>
            </w:pPr>
          </w:p>
        </w:tc>
        <w:tc>
          <w:tcPr>
            <w:tcW w:w="160" w:type="dxa"/>
            <w:vAlign w:val="bottom"/>
            <w:shd w:val="clear" w:color="auto" w:fill="EEEEEF"/>
          </w:tcPr>
          <w:p>
            <w:pPr>
              <w:spacing w:after="0"/>
              <w:rPr>
                <w:sz w:val="4"/>
                <w:szCs w:val="4"/>
                <w:color w:val="auto"/>
              </w:rPr>
            </w:pPr>
          </w:p>
        </w:tc>
        <w:tc>
          <w:tcPr>
            <w:tcW w:w="5300" w:type="dxa"/>
            <w:vAlign w:val="bottom"/>
            <w:shd w:val="clear" w:color="auto" w:fill="EEEEEF"/>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EEEEEF"/>
            </w:tcBorders>
            <w:shd w:val="clear" w:color="auto" w:fill="EEEEEF"/>
          </w:tcPr>
          <w:p>
            <w:pPr>
              <w:ind w:left="640"/>
              <w:spacing w:after="0"/>
              <w:rPr>
                <w:sz w:val="20"/>
                <w:szCs w:val="20"/>
                <w:color w:val="auto"/>
              </w:rPr>
            </w:pPr>
            <w:r>
              <w:rPr>
                <w:rFonts w:ascii="Arial" w:cs="Arial" w:eastAsia="Arial" w:hAnsi="Arial"/>
                <w:sz w:val="16"/>
                <w:szCs w:val="16"/>
                <w:b w:val="1"/>
                <w:bCs w:val="1"/>
                <w:color w:val="215BA8"/>
              </w:rPr>
              <w:t>Medicine</w:t>
            </w:r>
          </w:p>
        </w:tc>
        <w:tc>
          <w:tcPr>
            <w:tcW w:w="160" w:type="dxa"/>
            <w:vAlign w:val="bottom"/>
            <w:tcBorders>
              <w:bottom w:val="single" w:sz="8" w:color="EEEEEF"/>
            </w:tcBorders>
            <w:shd w:val="clear" w:color="auto" w:fill="EEEEEF"/>
          </w:tcPr>
          <w:p>
            <w:pPr>
              <w:spacing w:after="0"/>
              <w:rPr>
                <w:sz w:val="23"/>
                <w:szCs w:val="23"/>
                <w:color w:val="auto"/>
              </w:rPr>
            </w:pPr>
          </w:p>
        </w:tc>
        <w:tc>
          <w:tcPr>
            <w:tcW w:w="530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Corporate Responsibility,</w:t>
            </w:r>
            <w:r>
              <w:rPr>
                <w:rFonts w:ascii="Arial" w:cs="Arial" w:eastAsia="Arial" w:hAnsi="Arial"/>
                <w:sz w:val="16"/>
                <w:szCs w:val="16"/>
                <w:color w:val="215BA8"/>
              </w:rPr>
              <w:t xml:space="preserve"> </w:t>
            </w:r>
            <w:r>
              <w:rPr>
                <w:rFonts w:ascii="Arial" w:cs="Arial" w:eastAsia="Arial" w:hAnsi="Arial"/>
                <w:sz w:val="16"/>
                <w:szCs w:val="16"/>
                <w:color w:val="D60058"/>
              </w:rPr>
              <w:t>Page 36</w:t>
            </w:r>
          </w:p>
        </w:tc>
        <w:tc>
          <w:tcPr>
            <w:tcW w:w="0" w:type="dxa"/>
            <w:vAlign w:val="bottom"/>
          </w:tcPr>
          <w:p>
            <w:pPr>
              <w:spacing w:after="0"/>
              <w:rPr>
                <w:sz w:val="1"/>
                <w:szCs w:val="1"/>
                <w:color w:val="auto"/>
              </w:rPr>
            </w:pPr>
          </w:p>
        </w:tc>
      </w:tr>
      <w:tr>
        <w:trPr>
          <w:trHeight w:val="230"/>
        </w:trPr>
        <w:tc>
          <w:tcPr>
            <w:tcW w:w="4700" w:type="dxa"/>
            <w:vAlign w:val="bottom"/>
            <w:tcBorders>
              <w:top w:val="single" w:sz="8" w:color="auto"/>
            </w:tcBorders>
            <w:vMerge w:val="restart"/>
          </w:tcPr>
          <w:p>
            <w:pPr>
              <w:ind w:left="640"/>
              <w:spacing w:after="0"/>
              <w:rPr>
                <w:sz w:val="20"/>
                <w:szCs w:val="20"/>
                <w:color w:val="auto"/>
              </w:rPr>
            </w:pPr>
            <w:r>
              <w:rPr>
                <w:rFonts w:ascii="Arial" w:cs="Arial" w:eastAsia="Arial" w:hAnsi="Arial"/>
                <w:sz w:val="16"/>
                <w:szCs w:val="16"/>
                <w:b w:val="1"/>
                <w:bCs w:val="1"/>
                <w:color w:val="215BA8"/>
              </w:rPr>
              <w:t>Board Responsiveness to Shareholder Feedback</w:t>
            </w:r>
          </w:p>
        </w:tc>
        <w:tc>
          <w:tcPr>
            <w:tcW w:w="160" w:type="dxa"/>
            <w:vAlign w:val="bottom"/>
            <w:tcBorders>
              <w:top w:val="single" w:sz="8" w:color="auto"/>
            </w:tcBorders>
          </w:tcPr>
          <w:p>
            <w:pPr>
              <w:spacing w:after="0"/>
              <w:rPr>
                <w:sz w:val="19"/>
                <w:szCs w:val="19"/>
                <w:color w:val="auto"/>
              </w:rPr>
            </w:pPr>
          </w:p>
        </w:tc>
        <w:tc>
          <w:tcPr>
            <w:tcW w:w="5300" w:type="dxa"/>
            <w:vAlign w:val="bottom"/>
            <w:tcBorders>
              <w:top w:val="single" w:sz="8" w:color="auto"/>
            </w:tcBorders>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Shareholder Engagement Philosophy and Board Responsiveness,</w:t>
            </w:r>
            <w:r>
              <w:rPr>
                <w:rFonts w:ascii="Arial" w:cs="Arial" w:eastAsia="Arial" w:hAnsi="Arial"/>
                <w:sz w:val="16"/>
                <w:szCs w:val="16"/>
                <w:color w:val="215BA8"/>
              </w:rPr>
              <w:t xml:space="preserve"> </w:t>
            </w:r>
            <w:r>
              <w:rPr>
                <w:rFonts w:ascii="Arial" w:cs="Arial" w:eastAsia="Arial" w:hAnsi="Arial"/>
                <w:sz w:val="16"/>
                <w:szCs w:val="16"/>
                <w:color w:val="D60058"/>
              </w:rPr>
              <w:t>Page</w:t>
            </w:r>
          </w:p>
        </w:tc>
        <w:tc>
          <w:tcPr>
            <w:tcW w:w="0" w:type="dxa"/>
            <w:vAlign w:val="bottom"/>
          </w:tcPr>
          <w:p>
            <w:pPr>
              <w:spacing w:after="0"/>
              <w:rPr>
                <w:sz w:val="1"/>
                <w:szCs w:val="1"/>
                <w:color w:val="auto"/>
              </w:rPr>
            </w:pPr>
          </w:p>
        </w:tc>
      </w:tr>
      <w:tr>
        <w:trPr>
          <w:trHeight w:val="93"/>
        </w:trPr>
        <w:tc>
          <w:tcPr>
            <w:tcW w:w="4700" w:type="dxa"/>
            <w:vAlign w:val="bottom"/>
            <w:vMerge w:val="continue"/>
          </w:tcPr>
          <w:p>
            <w:pPr>
              <w:spacing w:after="0"/>
              <w:rPr>
                <w:sz w:val="8"/>
                <w:szCs w:val="8"/>
                <w:color w:val="auto"/>
              </w:rPr>
            </w:pPr>
          </w:p>
        </w:tc>
        <w:tc>
          <w:tcPr>
            <w:tcW w:w="5460" w:type="dxa"/>
            <w:vAlign w:val="bottom"/>
            <w:gridSpan w:val="2"/>
            <w:vMerge w:val="restart"/>
          </w:tcPr>
          <w:p>
            <w:pPr>
              <w:ind w:left="340"/>
              <w:spacing w:after="0"/>
              <w:rPr>
                <w:sz w:val="20"/>
                <w:szCs w:val="20"/>
                <w:color w:val="auto"/>
              </w:rPr>
            </w:pPr>
            <w:r>
              <w:rPr>
                <w:rFonts w:ascii="Arial" w:cs="Arial" w:eastAsia="Arial" w:hAnsi="Arial"/>
                <w:sz w:val="16"/>
                <w:szCs w:val="16"/>
                <w:color w:val="D60058"/>
              </w:rPr>
              <w:t>27</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5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Shareholder Input and Outreach,</w:t>
            </w:r>
            <w:r>
              <w:rPr>
                <w:rFonts w:ascii="Arial" w:cs="Arial" w:eastAsia="Arial" w:hAnsi="Arial"/>
                <w:sz w:val="16"/>
                <w:szCs w:val="16"/>
                <w:color w:val="215BA8"/>
              </w:rPr>
              <w:t xml:space="preserve"> </w:t>
            </w:r>
            <w:r>
              <w:rPr>
                <w:rFonts w:ascii="Arial" w:cs="Arial" w:eastAsia="Arial" w:hAnsi="Arial"/>
                <w:sz w:val="16"/>
                <w:szCs w:val="16"/>
                <w:color w:val="D60058"/>
              </w:rPr>
              <w:t>Page 74</w:t>
            </w:r>
          </w:p>
        </w:tc>
        <w:tc>
          <w:tcPr>
            <w:tcW w:w="0" w:type="dxa"/>
            <w:vAlign w:val="bottom"/>
          </w:tcPr>
          <w:p>
            <w:pPr>
              <w:spacing w:after="0"/>
              <w:rPr>
                <w:sz w:val="1"/>
                <w:szCs w:val="1"/>
                <w:color w:val="auto"/>
              </w:rPr>
            </w:pPr>
          </w:p>
        </w:tc>
      </w:tr>
      <w:tr>
        <w:trPr>
          <w:trHeight w:val="35"/>
        </w:trPr>
        <w:tc>
          <w:tcPr>
            <w:tcW w:w="4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700" w:type="dxa"/>
            <w:vAlign w:val="bottom"/>
            <w:vMerge w:val="restart"/>
            <w:shd w:val="clear" w:color="auto" w:fill="EEEEEF"/>
          </w:tcPr>
          <w:p>
            <w:pPr>
              <w:ind w:left="640"/>
              <w:spacing w:after="0"/>
              <w:rPr>
                <w:sz w:val="20"/>
                <w:szCs w:val="20"/>
                <w:color w:val="auto"/>
              </w:rPr>
            </w:pPr>
            <w:r>
              <w:rPr>
                <w:rFonts w:ascii="Arial" w:cs="Arial" w:eastAsia="Arial" w:hAnsi="Arial"/>
                <w:sz w:val="16"/>
                <w:szCs w:val="16"/>
                <w:b w:val="1"/>
                <w:bCs w:val="1"/>
                <w:color w:val="215BA8"/>
              </w:rPr>
              <w:t>Executive Compensation</w:t>
            </w:r>
          </w:p>
        </w:tc>
        <w:tc>
          <w:tcPr>
            <w:tcW w:w="160" w:type="dxa"/>
            <w:vAlign w:val="bottom"/>
            <w:shd w:val="clear" w:color="auto" w:fill="EEEEEF"/>
          </w:tcPr>
          <w:p>
            <w:pPr>
              <w:spacing w:after="0"/>
              <w:rPr>
                <w:sz w:val="19"/>
                <w:szCs w:val="19"/>
                <w:color w:val="auto"/>
              </w:rPr>
            </w:pPr>
          </w:p>
        </w:tc>
        <w:tc>
          <w:tcPr>
            <w:tcW w:w="5300" w:type="dxa"/>
            <w:vAlign w:val="bottom"/>
            <w:shd w:val="clear" w:color="auto" w:fill="EEEEEF"/>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Reaffirmed Commitment to Issue No CEO and CSO Equity Awards</w:t>
            </w:r>
          </w:p>
        </w:tc>
        <w:tc>
          <w:tcPr>
            <w:tcW w:w="0" w:type="dxa"/>
            <w:vAlign w:val="bottom"/>
          </w:tcPr>
          <w:p>
            <w:pPr>
              <w:spacing w:after="0"/>
              <w:rPr>
                <w:sz w:val="1"/>
                <w:szCs w:val="1"/>
                <w:color w:val="auto"/>
              </w:rPr>
            </w:pPr>
          </w:p>
        </w:tc>
      </w:tr>
      <w:tr>
        <w:trPr>
          <w:trHeight w:val="93"/>
        </w:trPr>
        <w:tc>
          <w:tcPr>
            <w:tcW w:w="4700" w:type="dxa"/>
            <w:vAlign w:val="bottom"/>
            <w:vMerge w:val="continue"/>
            <w:shd w:val="clear" w:color="auto" w:fill="EEEEEF"/>
          </w:tcPr>
          <w:p>
            <w:pPr>
              <w:spacing w:after="0"/>
              <w:rPr>
                <w:sz w:val="8"/>
                <w:szCs w:val="8"/>
                <w:color w:val="auto"/>
              </w:rPr>
            </w:pPr>
          </w:p>
        </w:tc>
        <w:tc>
          <w:tcPr>
            <w:tcW w:w="160" w:type="dxa"/>
            <w:vAlign w:val="bottom"/>
            <w:shd w:val="clear" w:color="auto" w:fill="EEEEEF"/>
          </w:tcPr>
          <w:p>
            <w:pPr>
              <w:spacing w:after="0"/>
              <w:rPr>
                <w:sz w:val="8"/>
                <w:szCs w:val="8"/>
                <w:color w:val="auto"/>
              </w:rPr>
            </w:pPr>
          </w:p>
        </w:tc>
        <w:tc>
          <w:tcPr>
            <w:tcW w:w="5300" w:type="dxa"/>
            <w:vAlign w:val="bottom"/>
            <w:vMerge w:val="restart"/>
            <w:shd w:val="clear" w:color="auto" w:fill="EEEEEF"/>
          </w:tcPr>
          <w:p>
            <w:pPr>
              <w:ind w:left="180"/>
              <w:spacing w:after="0"/>
              <w:rPr>
                <w:sz w:val="20"/>
                <w:szCs w:val="20"/>
                <w:color w:val="auto"/>
              </w:rPr>
            </w:pPr>
            <w:r>
              <w:rPr>
                <w:rFonts w:ascii="Arial" w:cs="Arial" w:eastAsia="Arial" w:hAnsi="Arial"/>
                <w:sz w:val="16"/>
                <w:szCs w:val="16"/>
                <w:color w:val="auto"/>
              </w:rPr>
              <w:t xml:space="preserve">Before December 2025, </w:t>
            </w:r>
            <w:r>
              <w:rPr>
                <w:rFonts w:ascii="Arial" w:cs="Arial" w:eastAsia="Arial" w:hAnsi="Arial"/>
                <w:sz w:val="16"/>
                <w:szCs w:val="16"/>
                <w:color w:val="D60058"/>
              </w:rPr>
              <w:t>Page 71</w:t>
            </w:r>
          </w:p>
        </w:tc>
        <w:tc>
          <w:tcPr>
            <w:tcW w:w="0" w:type="dxa"/>
            <w:vAlign w:val="bottom"/>
          </w:tcPr>
          <w:p>
            <w:pPr>
              <w:spacing w:after="0"/>
              <w:rPr>
                <w:sz w:val="1"/>
                <w:szCs w:val="1"/>
                <w:color w:val="auto"/>
              </w:rPr>
            </w:pPr>
          </w:p>
        </w:tc>
      </w:tr>
      <w:tr>
        <w:trPr>
          <w:trHeight w:val="95"/>
        </w:trPr>
        <w:tc>
          <w:tcPr>
            <w:tcW w:w="4700" w:type="dxa"/>
            <w:vAlign w:val="bottom"/>
            <w:shd w:val="clear" w:color="auto" w:fill="EEEEEF"/>
          </w:tcPr>
          <w:p>
            <w:pPr>
              <w:spacing w:after="0"/>
              <w:rPr>
                <w:sz w:val="8"/>
                <w:szCs w:val="8"/>
                <w:color w:val="auto"/>
              </w:rPr>
            </w:pPr>
          </w:p>
        </w:tc>
        <w:tc>
          <w:tcPr>
            <w:tcW w:w="160" w:type="dxa"/>
            <w:vAlign w:val="bottom"/>
            <w:shd w:val="clear" w:color="auto" w:fill="EEEEEF"/>
          </w:tcPr>
          <w:p>
            <w:pPr>
              <w:spacing w:after="0"/>
              <w:rPr>
                <w:sz w:val="8"/>
                <w:szCs w:val="8"/>
                <w:color w:val="auto"/>
              </w:rPr>
            </w:pPr>
          </w:p>
        </w:tc>
        <w:tc>
          <w:tcPr>
            <w:tcW w:w="5300" w:type="dxa"/>
            <w:vAlign w:val="bottom"/>
            <w:vMerge w:val="continue"/>
            <w:shd w:val="clear" w:color="auto" w:fill="EEEEEF"/>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4700" w:type="dxa"/>
            <w:vAlign w:val="bottom"/>
            <w:tcBorders>
              <w:bottom w:val="single" w:sz="8" w:color="EEEEEF"/>
            </w:tcBorders>
            <w:shd w:val="clear" w:color="auto" w:fill="EEEEEF"/>
          </w:tcPr>
          <w:p>
            <w:pPr>
              <w:spacing w:after="0"/>
              <w:rPr>
                <w:sz w:val="24"/>
                <w:szCs w:val="24"/>
                <w:color w:val="auto"/>
              </w:rPr>
            </w:pPr>
          </w:p>
        </w:tc>
        <w:tc>
          <w:tcPr>
            <w:tcW w:w="160" w:type="dxa"/>
            <w:vAlign w:val="bottom"/>
            <w:tcBorders>
              <w:bottom w:val="single" w:sz="8" w:color="EEEEEF"/>
            </w:tcBorders>
            <w:shd w:val="clear" w:color="auto" w:fill="EEEEEF"/>
          </w:tcPr>
          <w:p>
            <w:pPr>
              <w:spacing w:after="0"/>
              <w:rPr>
                <w:sz w:val="24"/>
                <w:szCs w:val="24"/>
                <w:color w:val="auto"/>
              </w:rPr>
            </w:pPr>
          </w:p>
        </w:tc>
        <w:tc>
          <w:tcPr>
            <w:tcW w:w="530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6"/>
                <w:szCs w:val="16"/>
                <w:color w:val="215BA8"/>
              </w:rPr>
              <w:t xml:space="preserve">•  </w:t>
            </w:r>
            <w:r>
              <w:rPr>
                <w:rFonts w:ascii="Arial" w:cs="Arial" w:eastAsia="Arial" w:hAnsi="Arial"/>
                <w:sz w:val="16"/>
                <w:szCs w:val="16"/>
                <w:color w:val="000000"/>
              </w:rPr>
              <w:t>Annual Cash Incentives,</w:t>
            </w:r>
            <w:r>
              <w:rPr>
                <w:rFonts w:ascii="Arial" w:cs="Arial" w:eastAsia="Arial" w:hAnsi="Arial"/>
                <w:sz w:val="16"/>
                <w:szCs w:val="16"/>
                <w:color w:val="215BA8"/>
              </w:rPr>
              <w:t xml:space="preserve"> </w:t>
            </w:r>
            <w:r>
              <w:rPr>
                <w:rFonts w:ascii="Arial" w:cs="Arial" w:eastAsia="Arial" w:hAnsi="Arial"/>
                <w:sz w:val="16"/>
                <w:szCs w:val="16"/>
                <w:color w:val="D60058"/>
              </w:rPr>
              <w:t>Page 63</w:t>
            </w:r>
          </w:p>
        </w:tc>
        <w:tc>
          <w:tcPr>
            <w:tcW w:w="0" w:type="dxa"/>
            <w:vAlign w:val="bottom"/>
          </w:tcPr>
          <w:p>
            <w:pPr>
              <w:spacing w:after="0"/>
              <w:rPr>
                <w:sz w:val="1"/>
                <w:szCs w:val="1"/>
                <w:color w:val="auto"/>
              </w:rPr>
            </w:pPr>
          </w:p>
        </w:tc>
      </w:tr>
      <w:tr>
        <w:trPr>
          <w:trHeight w:val="20"/>
        </w:trPr>
        <w:tc>
          <w:tcPr>
            <w:tcW w:w="4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-1294130</wp:posOffset>
            </wp:positionV>
            <wp:extent cx="222885" cy="2146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-925195</wp:posOffset>
            </wp:positionV>
            <wp:extent cx="213995" cy="2146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3995" cy="214630"/>
                    </a:xfrm>
                    <a:prstGeom prst="rect">
                      <a:avLst/>
                    </a:prstGeom>
                    <a:noFill/>
                  </pic:spPr>
                </pic:pic>
              </a:graphicData>
            </a:graphic>
          </wp:anchor>
        </w:drawing>
        <w:drawing>
          <wp:anchor simplePos="0" relativeHeight="251657728" behindDoc="1" locked="0" layoutInCell="0" allowOverlap="1">
            <wp:simplePos x="0" y="0"/>
            <wp:positionH relativeFrom="column">
              <wp:posOffset>390525</wp:posOffset>
            </wp:positionH>
            <wp:positionV relativeFrom="paragraph">
              <wp:posOffset>-445135</wp:posOffset>
            </wp:positionV>
            <wp:extent cx="222885" cy="2139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22885" cy="213995"/>
                    </a:xfrm>
                    <a:prstGeom prst="rect">
                      <a:avLst/>
                    </a:prstGeom>
                    <a:noFill/>
                  </pic:spPr>
                </pic:pic>
              </a:graphicData>
            </a:graphic>
          </wp:anchor>
        </w:drawing>
      </w:r>
    </w:p>
    <w:p>
      <w:pPr>
        <w:spacing w:after="0" w:line="162" w:lineRule="exact"/>
        <w:rPr>
          <w:sz w:val="20"/>
          <w:szCs w:val="20"/>
          <w:color w:val="auto"/>
        </w:rPr>
      </w:pPr>
    </w:p>
    <w:p>
      <w:pPr>
        <w:jc w:val="both"/>
        <w:ind w:left="540" w:right="660"/>
        <w:spacing w:after="0" w:line="236" w:lineRule="auto"/>
        <w:rPr>
          <w:sz w:val="20"/>
          <w:szCs w:val="20"/>
          <w:color w:val="auto"/>
        </w:rPr>
      </w:pPr>
      <w:r>
        <w:rPr>
          <w:rFonts w:ascii="Arial" w:cs="Arial" w:eastAsia="Arial" w:hAnsi="Arial"/>
          <w:sz w:val="16"/>
          <w:szCs w:val="16"/>
          <w:color w:val="auto"/>
        </w:rPr>
        <w:t>These are just the latest examples of ways we have evolved in response to shareholder feedback over the years. Set forth below are other select changes to executive compensation and governance practices in the last five years.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Response to Other Recent Shareholder Feedback</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Pay-for-Performance Alignment</w:t>
      </w:r>
    </w:p>
    <w:p>
      <w:pPr>
        <w:spacing w:after="0" w:line="191" w:lineRule="exact"/>
        <w:rPr>
          <w:sz w:val="20"/>
          <w:szCs w:val="20"/>
          <w:color w:val="auto"/>
        </w:rPr>
      </w:pPr>
    </w:p>
    <w:p>
      <w:pPr>
        <w:ind w:left="720" w:hanging="172"/>
        <w:spacing w:after="0"/>
        <w:tabs>
          <w:tab w:leader="none" w:pos="720" w:val="left"/>
        </w:tabs>
        <w:numPr>
          <w:ilvl w:val="0"/>
          <w:numId w:val="138"/>
        </w:numPr>
        <w:rPr>
          <w:rFonts w:ascii="Arial" w:cs="Arial" w:eastAsia="Arial" w:hAnsi="Arial"/>
          <w:sz w:val="16"/>
          <w:szCs w:val="16"/>
          <w:color w:val="215BA8"/>
        </w:rPr>
      </w:pPr>
      <w:r>
        <w:rPr>
          <w:rFonts w:ascii="Arial" w:cs="Arial" w:eastAsia="Arial" w:hAnsi="Arial"/>
          <w:sz w:val="16"/>
          <w:szCs w:val="16"/>
          <w:color w:val="auto"/>
        </w:rPr>
        <w:t>Introduced PSUs as a component of CEO and CSO equity awards (2019).</w:t>
      </w:r>
    </w:p>
    <w:p>
      <w:pPr>
        <w:spacing w:after="0" w:line="45" w:lineRule="exact"/>
        <w:rPr>
          <w:rFonts w:ascii="Arial" w:cs="Arial" w:eastAsia="Arial" w:hAnsi="Arial"/>
          <w:sz w:val="16"/>
          <w:szCs w:val="16"/>
          <w:color w:val="215BA8"/>
        </w:rPr>
      </w:pPr>
    </w:p>
    <w:p>
      <w:pPr>
        <w:ind w:left="720" w:hanging="172"/>
        <w:spacing w:after="0"/>
        <w:tabs>
          <w:tab w:leader="none" w:pos="720" w:val="left"/>
        </w:tabs>
        <w:numPr>
          <w:ilvl w:val="0"/>
          <w:numId w:val="138"/>
        </w:numPr>
        <w:rPr>
          <w:rFonts w:ascii="Arial" w:cs="Arial" w:eastAsia="Arial" w:hAnsi="Arial"/>
          <w:sz w:val="16"/>
          <w:szCs w:val="16"/>
          <w:color w:val="215BA8"/>
        </w:rPr>
      </w:pPr>
      <w:r>
        <w:rPr>
          <w:rFonts w:ascii="Arial" w:cs="Arial" w:eastAsia="Arial" w:hAnsi="Arial"/>
          <w:sz w:val="16"/>
          <w:szCs w:val="16"/>
          <w:color w:val="auto"/>
        </w:rPr>
        <w:t>Granted 100% of CEO and CSO equity awards in the form of PSUs (2020).</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Management Stability</w:t>
      </w:r>
    </w:p>
    <w:p>
      <w:pPr>
        <w:spacing w:after="0" w:line="191" w:lineRule="exact"/>
        <w:rPr>
          <w:sz w:val="20"/>
          <w:szCs w:val="20"/>
          <w:color w:val="auto"/>
        </w:rPr>
      </w:pPr>
    </w:p>
    <w:p>
      <w:pPr>
        <w:ind w:left="720" w:right="560" w:hanging="172"/>
        <w:spacing w:after="0" w:line="236" w:lineRule="auto"/>
        <w:tabs>
          <w:tab w:leader="none" w:pos="720" w:val="left"/>
        </w:tabs>
        <w:numPr>
          <w:ilvl w:val="0"/>
          <w:numId w:val="139"/>
        </w:numPr>
        <w:rPr>
          <w:rFonts w:ascii="Arial" w:cs="Arial" w:eastAsia="Arial" w:hAnsi="Arial"/>
          <w:sz w:val="16"/>
          <w:szCs w:val="16"/>
          <w:color w:val="215BA8"/>
        </w:rPr>
      </w:pPr>
      <w:r>
        <w:rPr>
          <w:rFonts w:ascii="Arial" w:cs="Arial" w:eastAsia="Arial" w:hAnsi="Arial"/>
          <w:sz w:val="16"/>
          <w:szCs w:val="16"/>
          <w:color w:val="auto"/>
        </w:rPr>
        <w:t>Increased holding/vesting requirements for CEO and CSO by incorporating a five-year performance period and a subsequent three-year holding period in most recent equity awards (2020).</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Dilution/Burn Rate Concerns</w:t>
      </w:r>
    </w:p>
    <w:p>
      <w:pPr>
        <w:spacing w:after="0" w:line="191" w:lineRule="exact"/>
        <w:rPr>
          <w:sz w:val="20"/>
          <w:szCs w:val="20"/>
          <w:color w:val="auto"/>
        </w:rPr>
      </w:pPr>
    </w:p>
    <w:p>
      <w:pPr>
        <w:ind w:left="720" w:hanging="172"/>
        <w:spacing w:after="0"/>
        <w:tabs>
          <w:tab w:leader="none" w:pos="720" w:val="left"/>
        </w:tabs>
        <w:numPr>
          <w:ilvl w:val="0"/>
          <w:numId w:val="140"/>
        </w:numPr>
        <w:rPr>
          <w:rFonts w:ascii="Arial" w:cs="Arial" w:eastAsia="Arial" w:hAnsi="Arial"/>
          <w:sz w:val="16"/>
          <w:szCs w:val="16"/>
          <w:color w:val="215BA8"/>
        </w:rPr>
      </w:pPr>
      <w:r>
        <w:rPr>
          <w:rFonts w:ascii="Arial" w:cs="Arial" w:eastAsia="Arial" w:hAnsi="Arial"/>
          <w:sz w:val="16"/>
          <w:szCs w:val="16"/>
          <w:color w:val="auto"/>
        </w:rPr>
        <w:t>Recalibrated equity award mix (stock options and RSAs/RSUs) for NEOs below the CEO/CSO level and other employees (2019-2021).</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Annual Cash Incentives</w:t>
      </w:r>
    </w:p>
    <w:p>
      <w:pPr>
        <w:spacing w:after="0" w:line="189" w:lineRule="exact"/>
        <w:rPr>
          <w:sz w:val="20"/>
          <w:szCs w:val="20"/>
          <w:color w:val="auto"/>
        </w:rPr>
      </w:pPr>
    </w:p>
    <w:p>
      <w:pPr>
        <w:ind w:left="720" w:right="720" w:hanging="172"/>
        <w:spacing w:after="0" w:line="258" w:lineRule="auto"/>
        <w:tabs>
          <w:tab w:leader="none" w:pos="720" w:val="left"/>
        </w:tabs>
        <w:numPr>
          <w:ilvl w:val="0"/>
          <w:numId w:val="141"/>
        </w:numPr>
        <w:rPr>
          <w:rFonts w:ascii="Arial" w:cs="Arial" w:eastAsia="Arial" w:hAnsi="Arial"/>
          <w:sz w:val="14"/>
          <w:szCs w:val="14"/>
          <w:color w:val="215BA8"/>
        </w:rPr>
      </w:pPr>
      <w:r>
        <w:rPr>
          <w:rFonts w:ascii="Arial" w:cs="Arial" w:eastAsia="Arial" w:hAnsi="Arial"/>
          <w:sz w:val="14"/>
          <w:szCs w:val="14"/>
          <w:color w:val="auto"/>
        </w:rPr>
        <w:t>Enhanced the process by which the Compensation Committee determines the Company performance multiplier for annual cash incentives; provided more detailed disclosure regarding this process (2019-2021).</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Compensation of Non-Employee Directors and Chair of the Board</w:t>
      </w:r>
    </w:p>
    <w:p>
      <w:pPr>
        <w:spacing w:after="0" w:line="191" w:lineRule="exact"/>
        <w:rPr>
          <w:sz w:val="20"/>
          <w:szCs w:val="20"/>
          <w:color w:val="auto"/>
        </w:rPr>
      </w:pPr>
    </w:p>
    <w:p>
      <w:pPr>
        <w:ind w:left="720" w:right="720" w:hanging="172"/>
        <w:spacing w:after="0" w:line="236" w:lineRule="auto"/>
        <w:tabs>
          <w:tab w:leader="none" w:pos="720" w:val="left"/>
        </w:tabs>
        <w:numPr>
          <w:ilvl w:val="0"/>
          <w:numId w:val="142"/>
        </w:numPr>
        <w:rPr>
          <w:rFonts w:ascii="Arial" w:cs="Arial" w:eastAsia="Arial" w:hAnsi="Arial"/>
          <w:sz w:val="16"/>
          <w:szCs w:val="16"/>
          <w:color w:val="215BA8"/>
        </w:rPr>
      </w:pPr>
      <w:r>
        <w:rPr>
          <w:rFonts w:ascii="Arial" w:cs="Arial" w:eastAsia="Arial" w:hAnsi="Arial"/>
          <w:sz w:val="16"/>
          <w:szCs w:val="16"/>
          <w:color w:val="auto"/>
        </w:rPr>
        <w:t>Introduced new compensation program for our non-employee directors and the Chair of the Board, thereby reducing the annual grant date fair value of their equity awards by nearly 50% (2018).</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76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91" w:name="page92"/>
    <w:bookmarkEnd w:id="91"/>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Corporate Responsibility</w:t>
      </w:r>
    </w:p>
    <w:p>
      <w:pPr>
        <w:spacing w:after="0" w:line="191" w:lineRule="exact"/>
        <w:rPr>
          <w:sz w:val="20"/>
          <w:szCs w:val="20"/>
          <w:color w:val="auto"/>
        </w:rPr>
      </w:pPr>
    </w:p>
    <w:p>
      <w:pPr>
        <w:ind w:left="720" w:right="780" w:hanging="172"/>
        <w:spacing w:after="0" w:line="234" w:lineRule="auto"/>
        <w:tabs>
          <w:tab w:leader="none" w:pos="720" w:val="left"/>
        </w:tabs>
        <w:numPr>
          <w:ilvl w:val="0"/>
          <w:numId w:val="143"/>
        </w:numPr>
        <w:rPr>
          <w:rFonts w:ascii="Arial" w:cs="Arial" w:eastAsia="Arial" w:hAnsi="Arial"/>
          <w:sz w:val="16"/>
          <w:szCs w:val="16"/>
          <w:color w:val="215BA8"/>
        </w:rPr>
      </w:pPr>
      <w:r>
        <w:rPr>
          <w:rFonts w:ascii="Arial" w:cs="Arial" w:eastAsia="Arial" w:hAnsi="Arial"/>
          <w:sz w:val="16"/>
          <w:szCs w:val="16"/>
          <w:color w:val="auto"/>
        </w:rPr>
        <w:t>Increased the breadth and depth of ESG data collection and reporting; aligned annual Responsibility Report with the SASB framework and in 2021 separately introduced a report on climate-related risks and opportunities aligned with the recommendations developed by the TCFD (2017-2021).</w:t>
      </w:r>
    </w:p>
    <w:p>
      <w:pPr>
        <w:spacing w:after="0" w:line="55" w:lineRule="exact"/>
        <w:rPr>
          <w:rFonts w:ascii="Arial" w:cs="Arial" w:eastAsia="Arial" w:hAnsi="Arial"/>
          <w:sz w:val="16"/>
          <w:szCs w:val="16"/>
          <w:color w:val="215BA8"/>
        </w:rPr>
      </w:pPr>
    </w:p>
    <w:p>
      <w:pPr>
        <w:ind w:left="720" w:right="660" w:hanging="172"/>
        <w:spacing w:after="0" w:line="234" w:lineRule="auto"/>
        <w:tabs>
          <w:tab w:leader="none" w:pos="720" w:val="left"/>
        </w:tabs>
        <w:numPr>
          <w:ilvl w:val="0"/>
          <w:numId w:val="143"/>
        </w:numPr>
        <w:rPr>
          <w:rFonts w:ascii="Arial" w:cs="Arial" w:eastAsia="Arial" w:hAnsi="Arial"/>
          <w:sz w:val="16"/>
          <w:szCs w:val="16"/>
          <w:color w:val="215BA8"/>
        </w:rPr>
      </w:pPr>
      <w:r>
        <w:rPr>
          <w:rFonts w:ascii="Arial" w:cs="Arial" w:eastAsia="Arial" w:hAnsi="Arial"/>
          <w:sz w:val="16"/>
          <w:szCs w:val="16"/>
          <w:color w:val="auto"/>
        </w:rPr>
        <w:t>Bolstered DEI initiatives and reporting, including by hiring Chief DEI Officer in 2021, making a commitment to increase diversity in leadership and strengthen a culture of inclusion as part of global ESG goals, and publishing consolidated EEO-1 data (data from annual reports submitted to the U.S. Equal Employment Opportunity Commission) on Regeneron’s website (2018-2021).</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19" w:lineRule="exact"/>
        <w:rPr>
          <w:sz w:val="20"/>
          <w:szCs w:val="20"/>
          <w:color w:val="auto"/>
        </w:rPr>
      </w:pPr>
    </w:p>
    <w:p>
      <w:pPr>
        <w:ind w:left="540" w:right="620"/>
        <w:spacing w:after="0" w:line="230" w:lineRule="auto"/>
        <w:rPr>
          <w:sz w:val="20"/>
          <w:szCs w:val="20"/>
          <w:color w:val="auto"/>
        </w:rPr>
      </w:pPr>
      <w:r>
        <w:rPr>
          <w:rFonts w:ascii="Arial" w:cs="Arial" w:eastAsia="Arial" w:hAnsi="Arial"/>
          <w:sz w:val="16"/>
          <w:szCs w:val="16"/>
          <w:color w:val="auto"/>
        </w:rPr>
        <w:t>The Compensation Committee has the sole authority to retain, at the Company’s expense, one or more third-party compensation consultants to assist the Compensation Committee in performing its responsibilities and to terminate the services of the consultant if the Compensation Committee deems it appropriate. The Compensation Committee (and, as discussed above with respect to non-employee director compensation matters, the Corporate Governance and Compliance Committee) has utilized the services of Pay Governance LLC since September 2021. In addition, prior to engaging Pay Governance LLC as its new compensation consultant, the Compensation Committee utilized the services of Frederic W. Cook &amp; Co. in the earlier part of 2021. In order to maintain its independence, the Compensation Committee retained Pay Governance LLC directly, and Pay Governance LLC performed services for the Compensation Committee exclusively at the Compensation Committee’s direction. The Compensation Committee periodically evaluates the independence of its compensation consultant. In accordance with applicable listing standards of the Nasdaq Stock Market LLC and SEC rules, in 2021 the Compensation Committee evaluated the independence of each of Frederick W. Cook &amp; Co. and Pay Governance LLC; and, on the basis of these evaluations, concluded that the engagement of these compensation consultants did not raise any conflicts of interest.</w:t>
      </w:r>
    </w:p>
    <w:p>
      <w:pPr>
        <w:spacing w:after="0" w:line="166" w:lineRule="exact"/>
        <w:rPr>
          <w:sz w:val="20"/>
          <w:szCs w:val="20"/>
          <w:color w:val="auto"/>
        </w:rPr>
      </w:pPr>
    </w:p>
    <w:p>
      <w:pPr>
        <w:ind w:left="540" w:right="560"/>
        <w:spacing w:after="0" w:line="231" w:lineRule="auto"/>
        <w:rPr>
          <w:sz w:val="20"/>
          <w:szCs w:val="20"/>
          <w:color w:val="auto"/>
        </w:rPr>
      </w:pPr>
      <w:r>
        <w:rPr>
          <w:rFonts w:ascii="Arial" w:cs="Arial" w:eastAsia="Arial" w:hAnsi="Arial"/>
          <w:sz w:val="16"/>
          <w:szCs w:val="16"/>
          <w:color w:val="auto"/>
        </w:rPr>
        <w:t>The Compensation Committee’s consultant reviews management recommendations for compensation plans, budgets, and strategies, and also advises the Compensation Committee on how regulations and trends in executive compensation nationally and specifically in the pharmaceutical and biopharmaceutical industries may be relevant to the Company. It also assists with developing the Peer Group; provides comparative compensation information for our CEO and CSO and other senior executives (using the Peer Group and other compensation data as described below); reviews senior management’s compensation recommendations for other officers, including the other NEOs; and provides general advice to the Compensation Committee on compensation matters, including facilitating the articulation and periodic review of the Company’s compensation philosophy and replenishment of our long-term equity incentive plan.</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PEER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19" w:lineRule="exact"/>
        <w:rPr>
          <w:sz w:val="20"/>
          <w:szCs w:val="20"/>
          <w:color w:val="auto"/>
        </w:rPr>
      </w:pPr>
    </w:p>
    <w:p>
      <w:pPr>
        <w:ind w:left="540" w:right="560"/>
        <w:spacing w:after="0" w:line="232" w:lineRule="auto"/>
        <w:rPr>
          <w:sz w:val="20"/>
          <w:szCs w:val="20"/>
          <w:color w:val="auto"/>
        </w:rPr>
      </w:pPr>
      <w:r>
        <w:rPr>
          <w:rFonts w:ascii="Arial" w:cs="Arial" w:eastAsia="Arial" w:hAnsi="Arial"/>
          <w:sz w:val="16"/>
          <w:szCs w:val="16"/>
          <w:color w:val="auto"/>
        </w:rPr>
        <w:t>For purposes of setting our NEOs’ and other senior executives’ compensation, we use comparative compensation information from a relevant peer group of companies (referred to in this proxy statement as “Peer Group”). In 2021, we selected the companies in the Peer Group with the assistance of Frederic W. Cook &amp; Co., the Compensation Committee’s former compensation consultant, based on factors including, but not limited to, the following:</w:t>
      </w:r>
    </w:p>
    <w:p>
      <w:pPr>
        <w:sectPr>
          <w:pgSz w:w="11900" w:h="16838" w:orient="portrait"/>
          <w:cols w:equalWidth="0" w:num="1">
            <w:col w:w="11240"/>
          </w:cols>
          <w:pgMar w:left="320" w:top="626" w:right="339" w:bottom="1440" w:gutter="0" w:footer="0" w:header="0"/>
        </w:sectPr>
      </w:pP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15BA8"/>
        </w:rPr>
        <w:t xml:space="preserve">•  </w:t>
      </w:r>
      <w:r>
        <w:rPr>
          <w:rFonts w:ascii="Arial" w:cs="Arial" w:eastAsia="Arial" w:hAnsi="Arial"/>
          <w:sz w:val="15"/>
          <w:szCs w:val="15"/>
          <w:color w:val="000000"/>
        </w:rPr>
        <w:t>research and development orientation;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215BA8"/>
        </w:rPr>
        <w:t xml:space="preserve">•  </w:t>
      </w:r>
      <w:r>
        <w:rPr>
          <w:rFonts w:ascii="Arial" w:cs="Arial" w:eastAsia="Arial" w:hAnsi="Arial"/>
          <w:sz w:val="15"/>
          <w:szCs w:val="15"/>
          <w:color w:val="000000"/>
        </w:rPr>
        <w:t>stage of development; and</w:t>
      </w:r>
    </w:p>
    <w:p>
      <w:pPr>
        <w:spacing w:after="0" w:line="71" w:lineRule="exact"/>
        <w:rPr>
          <w:sz w:val="20"/>
          <w:szCs w:val="20"/>
          <w:color w:val="auto"/>
        </w:rPr>
      </w:pPr>
    </w:p>
    <w:p>
      <w:pPr>
        <w:sectPr>
          <w:pgSz w:w="11900" w:h="16838" w:orient="portrait"/>
          <w:cols w:equalWidth="0" w:num="2">
            <w:col w:w="4720" w:space="720"/>
            <w:col w:w="5800"/>
          </w:cols>
          <w:pgMar w:left="320" w:top="626" w:right="33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215BA8"/>
        </w:rPr>
        <w:t xml:space="preserve">•  </w:t>
      </w:r>
      <w:r>
        <w:rPr>
          <w:rFonts w:ascii="Arial" w:cs="Arial" w:eastAsia="Arial" w:hAnsi="Arial"/>
          <w:sz w:val="16"/>
          <w:szCs w:val="16"/>
          <w:color w:val="000000"/>
        </w:rPr>
        <w:t>market capitalization;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215BA8"/>
        </w:rPr>
        <w:t xml:space="preserve">•  </w:t>
      </w:r>
      <w:r>
        <w:rPr>
          <w:rFonts w:ascii="Arial" w:cs="Arial" w:eastAsia="Arial" w:hAnsi="Arial"/>
          <w:sz w:val="16"/>
          <w:szCs w:val="16"/>
          <w:color w:val="000000"/>
        </w:rPr>
        <w:t>total revenues.</w:t>
      </w:r>
    </w:p>
    <w:p>
      <w:pPr>
        <w:spacing w:after="0" w:line="79" w:lineRule="exact"/>
        <w:rPr>
          <w:sz w:val="20"/>
          <w:szCs w:val="20"/>
          <w:color w:val="auto"/>
        </w:rPr>
      </w:pPr>
    </w:p>
    <w:p>
      <w:pPr>
        <w:sectPr>
          <w:pgSz w:w="11900" w:h="16838" w:orient="portrait"/>
          <w:cols w:equalWidth="0" w:num="2">
            <w:col w:w="4720" w:space="720"/>
            <w:col w:w="5800"/>
          </w:cols>
          <w:pgMar w:left="320" w:top="626" w:right="339" w:bottom="1440" w:gutter="0" w:footer="0" w:header="0"/>
          <w:type w:val="continuous"/>
        </w:sectPr>
      </w:pPr>
    </w:p>
    <w:p>
      <w:pPr>
        <w:ind w:left="720" w:hanging="172"/>
        <w:spacing w:after="0"/>
        <w:tabs>
          <w:tab w:leader="none" w:pos="720" w:val="left"/>
        </w:tabs>
        <w:numPr>
          <w:ilvl w:val="0"/>
          <w:numId w:val="144"/>
        </w:numPr>
        <w:rPr>
          <w:rFonts w:ascii="Arial" w:cs="Arial" w:eastAsia="Arial" w:hAnsi="Arial"/>
          <w:sz w:val="16"/>
          <w:szCs w:val="16"/>
          <w:b w:val="1"/>
          <w:bCs w:val="1"/>
          <w:color w:val="215BA8"/>
        </w:rPr>
      </w:pPr>
      <w:r>
        <w:rPr>
          <w:rFonts w:ascii="Arial" w:cs="Arial" w:eastAsia="Arial" w:hAnsi="Arial"/>
          <w:sz w:val="16"/>
          <w:szCs w:val="16"/>
          <w:color w:val="auto"/>
        </w:rPr>
        <w:t>number of employees;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77</w:t>
            </w:r>
          </w:p>
        </w:tc>
      </w:tr>
      <w:tr>
        <w:trPr>
          <w:trHeight w:val="222"/>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type w:val="continuous"/>
        </w:sectPr>
      </w:pPr>
    </w:p>
    <w:bookmarkStart w:id="92" w:name="page93"/>
    <w:bookmarkEnd w:id="92"/>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800"/>
        <w:spacing w:after="0" w:line="234" w:lineRule="auto"/>
        <w:rPr>
          <w:sz w:val="20"/>
          <w:szCs w:val="20"/>
          <w:color w:val="auto"/>
        </w:rPr>
      </w:pPr>
      <w:r>
        <w:rPr>
          <w:rFonts w:ascii="Arial" w:cs="Arial" w:eastAsia="Arial" w:hAnsi="Arial"/>
          <w:sz w:val="16"/>
          <w:szCs w:val="16"/>
          <w:color w:val="auto"/>
        </w:rPr>
        <w:t>The Peer Group is also meant to provide a representative sample of companies with which we compete for talent. We periodically reassess the composition of the Peer Group and make changes as appropriate, taking into account factors such as changes in the Company’s market capitalization and merger-and-acquisition activity impacting the existing Peer Group companies.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The Peer Group utilized in 2021 consists of the following 13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140335</wp:posOffset>
            </wp:positionV>
            <wp:extent cx="64465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446520" cy="17145"/>
                    </a:xfrm>
                    <a:prstGeom prst="rect">
                      <a:avLst/>
                    </a:prstGeom>
                    <a:noFill/>
                  </pic:spPr>
                </pic:pic>
              </a:graphicData>
            </a:graphic>
          </wp:anchor>
        </w:drawing>
      </w:r>
    </w:p>
    <w:p>
      <w:pPr>
        <w:spacing w:after="0" w:line="287" w:lineRule="exact"/>
        <w:rPr>
          <w:sz w:val="20"/>
          <w:szCs w:val="20"/>
          <w:color w:val="auto"/>
        </w:rPr>
      </w:pPr>
    </w:p>
    <w:tbl>
      <w:tblPr>
        <w:tblLayout w:type="fixed"/>
        <w:tblInd w:w="540" w:type="dxa"/>
        <w:tblCellMar>
          <w:top w:w="0" w:type="dxa"/>
          <w:left w:w="0" w:type="dxa"/>
          <w:bottom w:w="0" w:type="dxa"/>
          <w:right w:w="0" w:type="dxa"/>
        </w:tblCellMar>
      </w:tblPr>
      <w:tr>
        <w:trPr>
          <w:trHeight w:val="172"/>
        </w:trPr>
        <w:tc>
          <w:tcPr>
            <w:tcW w:w="2940" w:type="dxa"/>
            <w:vAlign w:val="bottom"/>
          </w:tcPr>
          <w:p>
            <w:pPr>
              <w:ind w:left="60"/>
              <w:spacing w:after="0"/>
              <w:rPr>
                <w:sz w:val="20"/>
                <w:szCs w:val="20"/>
                <w:color w:val="auto"/>
              </w:rPr>
            </w:pPr>
            <w:r>
              <w:rPr>
                <w:rFonts w:ascii="Arial" w:cs="Arial" w:eastAsia="Arial" w:hAnsi="Arial"/>
                <w:sz w:val="14"/>
                <w:szCs w:val="14"/>
                <w:color w:val="auto"/>
              </w:rPr>
              <w:t>AbbVie Inc.</w:t>
            </w:r>
          </w:p>
        </w:tc>
        <w:tc>
          <w:tcPr>
            <w:tcW w:w="3500" w:type="dxa"/>
            <w:vAlign w:val="bottom"/>
          </w:tcPr>
          <w:p>
            <w:pPr>
              <w:ind w:left="840"/>
              <w:spacing w:after="0"/>
              <w:rPr>
                <w:sz w:val="20"/>
                <w:szCs w:val="20"/>
                <w:color w:val="auto"/>
              </w:rPr>
            </w:pPr>
            <w:r>
              <w:rPr>
                <w:rFonts w:ascii="Arial" w:cs="Arial" w:eastAsia="Arial" w:hAnsi="Arial"/>
                <w:sz w:val="14"/>
                <w:szCs w:val="14"/>
                <w:color w:val="auto"/>
              </w:rPr>
              <w:t>BioMarin Pharmaceutical Inc.*</w:t>
            </w:r>
          </w:p>
        </w:tc>
        <w:tc>
          <w:tcPr>
            <w:tcW w:w="3720" w:type="dxa"/>
            <w:vAlign w:val="bottom"/>
          </w:tcPr>
          <w:p>
            <w:pPr>
              <w:ind w:left="680"/>
              <w:spacing w:after="0"/>
              <w:rPr>
                <w:sz w:val="20"/>
                <w:szCs w:val="20"/>
                <w:color w:val="auto"/>
              </w:rPr>
            </w:pPr>
            <w:r>
              <w:rPr>
                <w:rFonts w:ascii="Arial" w:cs="Arial" w:eastAsia="Arial" w:hAnsi="Arial"/>
                <w:sz w:val="14"/>
                <w:szCs w:val="14"/>
                <w:color w:val="auto"/>
              </w:rPr>
              <w:t>Incyte Corporation*</w:t>
            </w:r>
          </w:p>
        </w:tc>
      </w:tr>
      <w:tr>
        <w:trPr>
          <w:trHeight w:val="39"/>
        </w:trPr>
        <w:tc>
          <w:tcPr>
            <w:tcW w:w="2940" w:type="dxa"/>
            <w:vAlign w:val="bottom"/>
            <w:tcBorders>
              <w:bottom w:val="single" w:sz="8" w:color="58585A"/>
            </w:tcBorders>
          </w:tcPr>
          <w:p>
            <w:pPr>
              <w:spacing w:after="0"/>
              <w:rPr>
                <w:sz w:val="3"/>
                <w:szCs w:val="3"/>
                <w:color w:val="auto"/>
              </w:rPr>
            </w:pPr>
          </w:p>
        </w:tc>
        <w:tc>
          <w:tcPr>
            <w:tcW w:w="3500" w:type="dxa"/>
            <w:vAlign w:val="bottom"/>
            <w:tcBorders>
              <w:bottom w:val="single" w:sz="8" w:color="58585A"/>
            </w:tcBorders>
          </w:tcPr>
          <w:p>
            <w:pPr>
              <w:spacing w:after="0"/>
              <w:rPr>
                <w:sz w:val="3"/>
                <w:szCs w:val="3"/>
                <w:color w:val="auto"/>
              </w:rPr>
            </w:pPr>
          </w:p>
        </w:tc>
        <w:tc>
          <w:tcPr>
            <w:tcW w:w="3720" w:type="dxa"/>
            <w:vAlign w:val="bottom"/>
            <w:tcBorders>
              <w:bottom w:val="single" w:sz="8" w:color="58585A"/>
            </w:tcBorders>
          </w:tcPr>
          <w:p>
            <w:pPr>
              <w:spacing w:after="0"/>
              <w:rPr>
                <w:sz w:val="3"/>
                <w:szCs w:val="3"/>
                <w:color w:val="auto"/>
              </w:rPr>
            </w:pPr>
          </w:p>
        </w:tc>
      </w:tr>
      <w:tr>
        <w:trPr>
          <w:trHeight w:val="224"/>
        </w:trPr>
        <w:tc>
          <w:tcPr>
            <w:tcW w:w="2940" w:type="dxa"/>
            <w:vAlign w:val="bottom"/>
          </w:tcPr>
          <w:p>
            <w:pPr>
              <w:ind w:left="60"/>
              <w:spacing w:after="0"/>
              <w:rPr>
                <w:sz w:val="20"/>
                <w:szCs w:val="20"/>
                <w:color w:val="auto"/>
              </w:rPr>
            </w:pPr>
            <w:r>
              <w:rPr>
                <w:rFonts w:ascii="Arial" w:cs="Arial" w:eastAsia="Arial" w:hAnsi="Arial"/>
                <w:sz w:val="14"/>
                <w:szCs w:val="14"/>
                <w:color w:val="auto"/>
              </w:rPr>
              <w:t>Alexion Pharmaceuticals, Inc.*+</w:t>
            </w:r>
          </w:p>
        </w:tc>
        <w:tc>
          <w:tcPr>
            <w:tcW w:w="3500" w:type="dxa"/>
            <w:vAlign w:val="bottom"/>
          </w:tcPr>
          <w:p>
            <w:pPr>
              <w:ind w:left="840"/>
              <w:spacing w:after="0"/>
              <w:rPr>
                <w:sz w:val="20"/>
                <w:szCs w:val="20"/>
                <w:color w:val="auto"/>
              </w:rPr>
            </w:pPr>
            <w:r>
              <w:rPr>
                <w:rFonts w:ascii="Arial" w:cs="Arial" w:eastAsia="Arial" w:hAnsi="Arial"/>
                <w:sz w:val="14"/>
                <w:szCs w:val="14"/>
                <w:color w:val="auto"/>
              </w:rPr>
              <w:t>Bristol-Myers Squibb Company</w:t>
            </w:r>
          </w:p>
        </w:tc>
        <w:tc>
          <w:tcPr>
            <w:tcW w:w="3720" w:type="dxa"/>
            <w:vAlign w:val="bottom"/>
          </w:tcPr>
          <w:p>
            <w:pPr>
              <w:ind w:left="680"/>
              <w:spacing w:after="0"/>
              <w:rPr>
                <w:sz w:val="20"/>
                <w:szCs w:val="20"/>
                <w:color w:val="auto"/>
              </w:rPr>
            </w:pPr>
            <w:r>
              <w:rPr>
                <w:rFonts w:ascii="Arial" w:cs="Arial" w:eastAsia="Arial" w:hAnsi="Arial"/>
                <w:sz w:val="14"/>
                <w:szCs w:val="14"/>
                <w:color w:val="auto"/>
              </w:rPr>
              <w:t>Merck &amp; Co., Inc.</w:t>
            </w:r>
          </w:p>
        </w:tc>
      </w:tr>
      <w:tr>
        <w:trPr>
          <w:trHeight w:val="39"/>
        </w:trPr>
        <w:tc>
          <w:tcPr>
            <w:tcW w:w="2940" w:type="dxa"/>
            <w:vAlign w:val="bottom"/>
            <w:tcBorders>
              <w:bottom w:val="single" w:sz="8" w:color="58585A"/>
            </w:tcBorders>
          </w:tcPr>
          <w:p>
            <w:pPr>
              <w:spacing w:after="0"/>
              <w:rPr>
                <w:sz w:val="3"/>
                <w:szCs w:val="3"/>
                <w:color w:val="auto"/>
              </w:rPr>
            </w:pPr>
          </w:p>
        </w:tc>
        <w:tc>
          <w:tcPr>
            <w:tcW w:w="3500" w:type="dxa"/>
            <w:vAlign w:val="bottom"/>
            <w:tcBorders>
              <w:bottom w:val="single" w:sz="8" w:color="58585A"/>
            </w:tcBorders>
          </w:tcPr>
          <w:p>
            <w:pPr>
              <w:spacing w:after="0"/>
              <w:rPr>
                <w:sz w:val="3"/>
                <w:szCs w:val="3"/>
                <w:color w:val="auto"/>
              </w:rPr>
            </w:pPr>
          </w:p>
        </w:tc>
        <w:tc>
          <w:tcPr>
            <w:tcW w:w="3720" w:type="dxa"/>
            <w:vAlign w:val="bottom"/>
            <w:tcBorders>
              <w:bottom w:val="single" w:sz="8" w:color="58585A"/>
            </w:tcBorders>
          </w:tcPr>
          <w:p>
            <w:pPr>
              <w:spacing w:after="0"/>
              <w:rPr>
                <w:sz w:val="3"/>
                <w:szCs w:val="3"/>
                <w:color w:val="auto"/>
              </w:rPr>
            </w:pPr>
          </w:p>
        </w:tc>
      </w:tr>
      <w:tr>
        <w:trPr>
          <w:trHeight w:val="209"/>
        </w:trPr>
        <w:tc>
          <w:tcPr>
            <w:tcW w:w="2940" w:type="dxa"/>
            <w:vAlign w:val="bottom"/>
            <w:tcBorders>
              <w:bottom w:val="single" w:sz="8" w:color="58585A"/>
            </w:tcBorders>
          </w:tcPr>
          <w:p>
            <w:pPr>
              <w:ind w:left="60"/>
              <w:spacing w:after="0"/>
              <w:rPr>
                <w:sz w:val="20"/>
                <w:szCs w:val="20"/>
                <w:color w:val="auto"/>
              </w:rPr>
            </w:pPr>
            <w:r>
              <w:rPr>
                <w:rFonts w:ascii="Arial" w:cs="Arial" w:eastAsia="Arial" w:hAnsi="Arial"/>
                <w:sz w:val="14"/>
                <w:szCs w:val="14"/>
                <w:color w:val="auto"/>
              </w:rPr>
              <w:t>Alnylam Pharmaceuticals, Inc.*</w:t>
            </w:r>
          </w:p>
        </w:tc>
        <w:tc>
          <w:tcPr>
            <w:tcW w:w="3500" w:type="dxa"/>
            <w:vAlign w:val="bottom"/>
            <w:tcBorders>
              <w:bottom w:val="single" w:sz="8" w:color="58585A"/>
            </w:tcBorders>
          </w:tcPr>
          <w:p>
            <w:pPr>
              <w:ind w:left="840"/>
              <w:spacing w:after="0"/>
              <w:rPr>
                <w:sz w:val="20"/>
                <w:szCs w:val="20"/>
                <w:color w:val="auto"/>
              </w:rPr>
            </w:pPr>
            <w:r>
              <w:rPr>
                <w:rFonts w:ascii="Arial" w:cs="Arial" w:eastAsia="Arial" w:hAnsi="Arial"/>
                <w:sz w:val="14"/>
                <w:szCs w:val="14"/>
                <w:color w:val="auto"/>
              </w:rPr>
              <w:t>Eli Lilly and Company</w:t>
            </w:r>
          </w:p>
        </w:tc>
        <w:tc>
          <w:tcPr>
            <w:tcW w:w="3720" w:type="dxa"/>
            <w:vAlign w:val="bottom"/>
            <w:tcBorders>
              <w:bottom w:val="single" w:sz="8" w:color="58585A"/>
            </w:tcBorders>
          </w:tcPr>
          <w:p>
            <w:pPr>
              <w:ind w:left="680"/>
              <w:spacing w:after="0"/>
              <w:rPr>
                <w:sz w:val="20"/>
                <w:szCs w:val="20"/>
                <w:color w:val="auto"/>
              </w:rPr>
            </w:pPr>
            <w:r>
              <w:rPr>
                <w:rFonts w:ascii="Arial" w:cs="Arial" w:eastAsia="Arial" w:hAnsi="Arial"/>
                <w:sz w:val="14"/>
                <w:szCs w:val="14"/>
                <w:color w:val="auto"/>
              </w:rPr>
              <w:t>Seagen Inc.*</w:t>
            </w:r>
          </w:p>
        </w:tc>
      </w:tr>
      <w:tr>
        <w:trPr>
          <w:trHeight w:val="224"/>
        </w:trPr>
        <w:tc>
          <w:tcPr>
            <w:tcW w:w="2940" w:type="dxa"/>
            <w:vAlign w:val="bottom"/>
          </w:tcPr>
          <w:p>
            <w:pPr>
              <w:ind w:left="60"/>
              <w:spacing w:after="0"/>
              <w:rPr>
                <w:sz w:val="20"/>
                <w:szCs w:val="20"/>
                <w:color w:val="auto"/>
              </w:rPr>
            </w:pPr>
            <w:r>
              <w:rPr>
                <w:rFonts w:ascii="Arial" w:cs="Arial" w:eastAsia="Arial" w:hAnsi="Arial"/>
                <w:sz w:val="14"/>
                <w:szCs w:val="14"/>
                <w:color w:val="auto"/>
              </w:rPr>
              <w:t>Amgen Inc.</w:t>
            </w:r>
          </w:p>
        </w:tc>
        <w:tc>
          <w:tcPr>
            <w:tcW w:w="3500" w:type="dxa"/>
            <w:vAlign w:val="bottom"/>
          </w:tcPr>
          <w:p>
            <w:pPr>
              <w:ind w:left="840"/>
              <w:spacing w:after="0"/>
              <w:rPr>
                <w:sz w:val="20"/>
                <w:szCs w:val="20"/>
                <w:color w:val="auto"/>
              </w:rPr>
            </w:pPr>
            <w:r>
              <w:rPr>
                <w:rFonts w:ascii="Arial" w:cs="Arial" w:eastAsia="Arial" w:hAnsi="Arial"/>
                <w:sz w:val="14"/>
                <w:szCs w:val="14"/>
                <w:color w:val="auto"/>
              </w:rPr>
              <w:t>Gilead Sciences, Inc.*</w:t>
            </w:r>
          </w:p>
        </w:tc>
        <w:tc>
          <w:tcPr>
            <w:tcW w:w="3720" w:type="dxa"/>
            <w:vAlign w:val="bottom"/>
          </w:tcPr>
          <w:p>
            <w:pPr>
              <w:ind w:left="680"/>
              <w:spacing w:after="0"/>
              <w:rPr>
                <w:sz w:val="20"/>
                <w:szCs w:val="20"/>
                <w:color w:val="auto"/>
              </w:rPr>
            </w:pPr>
            <w:r>
              <w:rPr>
                <w:rFonts w:ascii="Arial" w:cs="Arial" w:eastAsia="Arial" w:hAnsi="Arial"/>
                <w:sz w:val="14"/>
                <w:szCs w:val="14"/>
                <w:color w:val="auto"/>
              </w:rPr>
              <w:t>Vertex Pharmaceuticals, Inc.*</w:t>
            </w:r>
          </w:p>
        </w:tc>
      </w:tr>
      <w:tr>
        <w:trPr>
          <w:trHeight w:val="39"/>
        </w:trPr>
        <w:tc>
          <w:tcPr>
            <w:tcW w:w="2940" w:type="dxa"/>
            <w:vAlign w:val="bottom"/>
            <w:tcBorders>
              <w:bottom w:val="single" w:sz="8" w:color="58585A"/>
            </w:tcBorders>
          </w:tcPr>
          <w:p>
            <w:pPr>
              <w:spacing w:after="0"/>
              <w:rPr>
                <w:sz w:val="3"/>
                <w:szCs w:val="3"/>
                <w:color w:val="auto"/>
              </w:rPr>
            </w:pPr>
          </w:p>
        </w:tc>
        <w:tc>
          <w:tcPr>
            <w:tcW w:w="3500" w:type="dxa"/>
            <w:vAlign w:val="bottom"/>
            <w:tcBorders>
              <w:bottom w:val="single" w:sz="8" w:color="58585A"/>
            </w:tcBorders>
          </w:tcPr>
          <w:p>
            <w:pPr>
              <w:spacing w:after="0"/>
              <w:rPr>
                <w:sz w:val="3"/>
                <w:szCs w:val="3"/>
                <w:color w:val="auto"/>
              </w:rPr>
            </w:pPr>
          </w:p>
        </w:tc>
        <w:tc>
          <w:tcPr>
            <w:tcW w:w="3720" w:type="dxa"/>
            <w:vAlign w:val="bottom"/>
            <w:tcBorders>
              <w:bottom w:val="single" w:sz="8" w:color="58585A"/>
            </w:tcBorders>
          </w:tcPr>
          <w:p>
            <w:pPr>
              <w:spacing w:after="0"/>
              <w:rPr>
                <w:sz w:val="3"/>
                <w:szCs w:val="3"/>
                <w:color w:val="auto"/>
              </w:rPr>
            </w:pPr>
          </w:p>
        </w:tc>
      </w:tr>
      <w:tr>
        <w:trPr>
          <w:trHeight w:val="224"/>
        </w:trPr>
        <w:tc>
          <w:tcPr>
            <w:tcW w:w="2940" w:type="dxa"/>
            <w:vAlign w:val="bottom"/>
          </w:tcPr>
          <w:p>
            <w:pPr>
              <w:ind w:left="60"/>
              <w:spacing w:after="0"/>
              <w:rPr>
                <w:sz w:val="20"/>
                <w:szCs w:val="20"/>
                <w:color w:val="auto"/>
              </w:rPr>
            </w:pPr>
            <w:r>
              <w:rPr>
                <w:rFonts w:ascii="Arial" w:cs="Arial" w:eastAsia="Arial" w:hAnsi="Arial"/>
                <w:sz w:val="14"/>
                <w:szCs w:val="14"/>
                <w:color w:val="auto"/>
              </w:rPr>
              <w:t>Biogen Inc.*</w:t>
            </w:r>
          </w:p>
        </w:tc>
        <w:tc>
          <w:tcPr>
            <w:tcW w:w="35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39"/>
        </w:trPr>
        <w:tc>
          <w:tcPr>
            <w:tcW w:w="2940" w:type="dxa"/>
            <w:vAlign w:val="bottom"/>
            <w:tcBorders>
              <w:bottom w:val="single" w:sz="8" w:color="215AA8"/>
            </w:tcBorders>
          </w:tcPr>
          <w:p>
            <w:pPr>
              <w:spacing w:after="0"/>
              <w:rPr>
                <w:sz w:val="3"/>
                <w:szCs w:val="3"/>
                <w:color w:val="auto"/>
              </w:rPr>
            </w:pPr>
          </w:p>
        </w:tc>
        <w:tc>
          <w:tcPr>
            <w:tcW w:w="3500" w:type="dxa"/>
            <w:vAlign w:val="bottom"/>
            <w:tcBorders>
              <w:bottom w:val="single" w:sz="8" w:color="215AA8"/>
            </w:tcBorders>
          </w:tcPr>
          <w:p>
            <w:pPr>
              <w:spacing w:after="0"/>
              <w:rPr>
                <w:sz w:val="3"/>
                <w:szCs w:val="3"/>
                <w:color w:val="auto"/>
              </w:rPr>
            </w:pPr>
          </w:p>
        </w:tc>
        <w:tc>
          <w:tcPr>
            <w:tcW w:w="3720" w:type="dxa"/>
            <w:vAlign w:val="bottom"/>
            <w:tcBorders>
              <w:bottom w:val="single" w:sz="8" w:color="215AA8"/>
            </w:tcBorders>
          </w:tcPr>
          <w:p>
            <w:pPr>
              <w:spacing w:after="0"/>
              <w:rPr>
                <w:sz w:val="3"/>
                <w:szCs w:val="3"/>
                <w:color w:val="auto"/>
              </w:rPr>
            </w:pPr>
          </w:p>
        </w:tc>
      </w:tr>
    </w:tbl>
    <w:p>
      <w:pPr>
        <w:spacing w:after="0" w:line="180" w:lineRule="exact"/>
        <w:rPr>
          <w:sz w:val="20"/>
          <w:szCs w:val="20"/>
          <w:color w:val="auto"/>
        </w:rPr>
      </w:pPr>
    </w:p>
    <w:p>
      <w:pPr>
        <w:ind w:left="540"/>
        <w:spacing w:after="0"/>
        <w:tabs>
          <w:tab w:leader="none" w:pos="700" w:val="left"/>
        </w:tabs>
        <w:rPr>
          <w:sz w:val="20"/>
          <w:szCs w:val="20"/>
          <w:color w:val="auto"/>
        </w:rPr>
      </w:pPr>
      <w:r>
        <w:rPr>
          <w:rFonts w:ascii="Arial" w:cs="Arial" w:eastAsia="Arial" w:hAnsi="Arial"/>
          <w:sz w:val="14"/>
          <w:szCs w:val="14"/>
          <w:color w:val="1A1A1A"/>
        </w:rPr>
        <w:t>*</w:t>
        <w:tab/>
        <w:t>Regeneron’s Biotech R&amp;D Peer.</w:t>
      </w:r>
    </w:p>
    <w:p>
      <w:pPr>
        <w:ind w:left="720" w:hanging="172"/>
        <w:spacing w:after="0" w:line="181" w:lineRule="auto"/>
        <w:tabs>
          <w:tab w:leader="none" w:pos="720" w:val="left"/>
        </w:tabs>
        <w:numPr>
          <w:ilvl w:val="0"/>
          <w:numId w:val="145"/>
        </w:numPr>
        <w:rPr>
          <w:rFonts w:ascii="Arial" w:cs="Arial" w:eastAsia="Arial" w:hAnsi="Arial"/>
          <w:sz w:val="23"/>
          <w:szCs w:val="23"/>
          <w:color w:val="1A1A1A"/>
          <w:vertAlign w:val="superscript"/>
        </w:rPr>
      </w:pPr>
      <w:r>
        <w:rPr>
          <w:rFonts w:ascii="Arial" w:cs="Arial" w:eastAsia="Arial" w:hAnsi="Arial"/>
          <w:sz w:val="14"/>
          <w:szCs w:val="14"/>
          <w:color w:val="1A1A1A"/>
        </w:rPr>
        <w:t>Acquisition by AstraZeneca PLC was completed in July 2021.</w:t>
      </w:r>
    </w:p>
    <w:p>
      <w:pPr>
        <w:spacing w:after="0" w:line="168" w:lineRule="exact"/>
        <w:rPr>
          <w:sz w:val="20"/>
          <w:szCs w:val="20"/>
          <w:color w:val="auto"/>
        </w:rPr>
      </w:pPr>
    </w:p>
    <w:p>
      <w:pPr>
        <w:ind w:left="540" w:right="660"/>
        <w:spacing w:after="0" w:line="232" w:lineRule="auto"/>
        <w:rPr>
          <w:sz w:val="20"/>
          <w:szCs w:val="20"/>
          <w:color w:val="auto"/>
        </w:rPr>
      </w:pPr>
      <w:r>
        <w:rPr>
          <w:rFonts w:ascii="Arial" w:cs="Arial" w:eastAsia="Arial" w:hAnsi="Arial"/>
          <w:sz w:val="16"/>
          <w:szCs w:val="16"/>
          <w:color w:val="auto"/>
        </w:rPr>
        <w:t>The Compensation Committee reviewed the Peer Group in June 2021 and, based on the recommendation of Frederic W. Cook &amp; Co., did not make any changes. As part of its assessment, the Compensation Committee took into account that Regeneron ranked at the 45th-50th percentile in the Peer Group based on market capitalization, revenues for the last four completed quarters, and the then-available reported number of employees, based on the data provided to the Committee, as shown in the table below.</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157"/>
        </w:trPr>
        <w:tc>
          <w:tcPr>
            <w:tcW w:w="1560" w:type="dxa"/>
            <w:vAlign w:val="bottom"/>
            <w:tcBorders>
              <w:bottom w:val="single" w:sz="8" w:color="215AA8"/>
            </w:tcBorders>
          </w:tcPr>
          <w:p>
            <w:pPr>
              <w:spacing w:after="0"/>
              <w:rPr>
                <w:sz w:val="13"/>
                <w:szCs w:val="13"/>
                <w:color w:val="auto"/>
              </w:rPr>
            </w:pPr>
          </w:p>
        </w:tc>
        <w:tc>
          <w:tcPr>
            <w:tcW w:w="2820" w:type="dxa"/>
            <w:vAlign w:val="bottom"/>
            <w:tcBorders>
              <w:bottom w:val="single" w:sz="8" w:color="215AA8"/>
            </w:tcBorders>
            <w:gridSpan w:val="3"/>
          </w:tcPr>
          <w:p>
            <w:pPr>
              <w:ind w:left="40"/>
              <w:spacing w:after="0"/>
              <w:rPr>
                <w:sz w:val="20"/>
                <w:szCs w:val="20"/>
                <w:color w:val="auto"/>
              </w:rPr>
            </w:pPr>
            <w:r>
              <w:rPr>
                <w:rFonts w:ascii="Arial" w:cs="Arial" w:eastAsia="Arial" w:hAnsi="Arial"/>
                <w:sz w:val="12"/>
                <w:szCs w:val="12"/>
                <w:b w:val="1"/>
                <w:bCs w:val="1"/>
                <w:color w:val="215AA8"/>
              </w:rPr>
              <w:t>Market Capitalization ($ Millions)</w:t>
            </w:r>
          </w:p>
        </w:tc>
        <w:tc>
          <w:tcPr>
            <w:tcW w:w="600" w:type="dxa"/>
            <w:vAlign w:val="bottom"/>
            <w:tcBorders>
              <w:bottom w:val="single" w:sz="8" w:color="215AA8"/>
            </w:tcBorders>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tcBorders>
              <w:bottom w:val="single" w:sz="8" w:color="215AA8"/>
            </w:tcBorders>
          </w:tcPr>
          <w:p>
            <w:pPr>
              <w:ind w:left="660"/>
              <w:spacing w:after="0"/>
              <w:rPr>
                <w:sz w:val="20"/>
                <w:szCs w:val="20"/>
                <w:color w:val="auto"/>
              </w:rPr>
            </w:pPr>
            <w:r>
              <w:rPr>
                <w:rFonts w:ascii="Arial" w:cs="Arial" w:eastAsia="Arial" w:hAnsi="Arial"/>
                <w:sz w:val="12"/>
                <w:szCs w:val="12"/>
                <w:b w:val="1"/>
                <w:bCs w:val="1"/>
                <w:color w:val="215AA8"/>
              </w:rPr>
              <w:t>Last Four Quarters</w:t>
            </w:r>
          </w:p>
        </w:tc>
        <w:tc>
          <w:tcPr>
            <w:tcW w:w="540" w:type="dxa"/>
            <w:vAlign w:val="bottom"/>
            <w:tcBorders>
              <w:bottom w:val="single" w:sz="8" w:color="215AA8"/>
            </w:tcBorders>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Borders>
              <w:bottom w:val="single" w:sz="8" w:color="215AA8"/>
            </w:tcBorders>
          </w:tcPr>
          <w:p>
            <w:pPr>
              <w:ind w:left="920"/>
              <w:spacing w:after="0"/>
              <w:rPr>
                <w:sz w:val="20"/>
                <w:szCs w:val="20"/>
                <w:color w:val="auto"/>
              </w:rPr>
            </w:pPr>
            <w:r>
              <w:rPr>
                <w:rFonts w:ascii="Arial" w:cs="Arial" w:eastAsia="Arial" w:hAnsi="Arial"/>
                <w:sz w:val="12"/>
                <w:szCs w:val="12"/>
                <w:b w:val="1"/>
                <w:bCs w:val="1"/>
                <w:color w:val="215AA8"/>
              </w:rPr>
              <w:t>Employees</w:t>
            </w:r>
          </w:p>
        </w:tc>
        <w:tc>
          <w:tcPr>
            <w:tcW w:w="540" w:type="dxa"/>
            <w:vAlign w:val="bottom"/>
            <w:tcBorders>
              <w:bottom w:val="single" w:sz="8" w:color="215AA8"/>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560" w:type="dxa"/>
            <w:vAlign w:val="bottom"/>
            <w:tcBorders>
              <w:bottom w:val="single" w:sz="8" w:color="215AA8"/>
            </w:tcBorders>
          </w:tcPr>
          <w:p>
            <w:pPr>
              <w:ind w:left="840"/>
              <w:spacing w:after="0"/>
              <w:rPr>
                <w:sz w:val="20"/>
                <w:szCs w:val="20"/>
                <w:color w:val="auto"/>
              </w:rPr>
            </w:pPr>
            <w:r>
              <w:rPr>
                <w:rFonts w:ascii="Arial" w:cs="Arial" w:eastAsia="Arial" w:hAnsi="Arial"/>
                <w:sz w:val="12"/>
                <w:szCs w:val="12"/>
                <w:b w:val="1"/>
                <w:bCs w:val="1"/>
                <w:color w:val="215AA8"/>
                <w:w w:val="98"/>
              </w:rPr>
              <w:t>as of 4/30/21</w:t>
            </w:r>
          </w:p>
        </w:tc>
        <w:tc>
          <w:tcPr>
            <w:tcW w:w="820" w:type="dxa"/>
            <w:vAlign w:val="bottom"/>
            <w:tcBorders>
              <w:bottom w:val="single" w:sz="8" w:color="215AA8"/>
            </w:tcBorders>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215AA8"/>
            </w:tcBorders>
          </w:tcPr>
          <w:p>
            <w:pPr>
              <w:ind w:left="620"/>
              <w:spacing w:after="0"/>
              <w:rPr>
                <w:sz w:val="20"/>
                <w:szCs w:val="20"/>
                <w:color w:val="auto"/>
              </w:rPr>
            </w:pPr>
            <w:r>
              <w:rPr>
                <w:rFonts w:ascii="Arial" w:cs="Arial" w:eastAsia="Arial" w:hAnsi="Arial"/>
                <w:sz w:val="12"/>
                <w:szCs w:val="12"/>
                <w:b w:val="1"/>
                <w:bCs w:val="1"/>
                <w:color w:val="215AA8"/>
                <w:w w:val="97"/>
              </w:rPr>
              <w:t>2020 (12-Month Avg.)</w:t>
            </w:r>
          </w:p>
        </w:tc>
        <w:tc>
          <w:tcPr>
            <w:tcW w:w="600" w:type="dxa"/>
            <w:vAlign w:val="bottom"/>
            <w:tcBorders>
              <w:bottom w:val="single" w:sz="8" w:color="215AA8"/>
            </w:tcBorders>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Borders>
              <w:bottom w:val="single" w:sz="8" w:color="215AA8"/>
            </w:tcBorders>
          </w:tcPr>
          <w:p>
            <w:pPr>
              <w:ind w:left="580"/>
              <w:spacing w:after="0"/>
              <w:rPr>
                <w:sz w:val="20"/>
                <w:szCs w:val="20"/>
                <w:color w:val="auto"/>
              </w:rPr>
            </w:pPr>
            <w:r>
              <w:rPr>
                <w:rFonts w:ascii="Arial" w:cs="Arial" w:eastAsia="Arial" w:hAnsi="Arial"/>
                <w:sz w:val="12"/>
                <w:szCs w:val="12"/>
                <w:b w:val="1"/>
                <w:bCs w:val="1"/>
                <w:color w:val="215AA8"/>
                <w:w w:val="99"/>
              </w:rPr>
              <w:t>Revenues ($ Millions)</w:t>
            </w:r>
          </w:p>
        </w:tc>
        <w:tc>
          <w:tcPr>
            <w:tcW w:w="540" w:type="dxa"/>
            <w:vAlign w:val="bottom"/>
            <w:tcBorders>
              <w:bottom w:val="single" w:sz="8" w:color="215AA8"/>
            </w:tcBorders>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Borders>
              <w:bottom w:val="single" w:sz="8" w:color="215AA8"/>
            </w:tcBorders>
          </w:tcPr>
          <w:p>
            <w:pPr>
              <w:ind w:left="640"/>
              <w:spacing w:after="0"/>
              <w:rPr>
                <w:sz w:val="20"/>
                <w:szCs w:val="20"/>
                <w:color w:val="auto"/>
              </w:rPr>
            </w:pPr>
            <w:r>
              <w:rPr>
                <w:rFonts w:ascii="Arial" w:cs="Arial" w:eastAsia="Arial" w:hAnsi="Arial"/>
                <w:sz w:val="12"/>
                <w:szCs w:val="12"/>
                <w:b w:val="1"/>
                <w:bCs w:val="1"/>
                <w:color w:val="215AA8"/>
              </w:rPr>
              <w:t>(as of last 10-K filing)</w:t>
            </w:r>
          </w:p>
        </w:tc>
        <w:tc>
          <w:tcPr>
            <w:tcW w:w="540" w:type="dxa"/>
            <w:vAlign w:val="bottom"/>
            <w:tcBorders>
              <w:bottom w:val="single" w:sz="8" w:color="215AA8"/>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560" w:type="dxa"/>
            <w:vAlign w:val="bottom"/>
          </w:tcPr>
          <w:p>
            <w:pPr>
              <w:ind w:left="40"/>
              <w:spacing w:after="0"/>
              <w:rPr>
                <w:sz w:val="20"/>
                <w:szCs w:val="20"/>
                <w:color w:val="auto"/>
              </w:rPr>
            </w:pPr>
            <w:r>
              <w:rPr>
                <w:rFonts w:ascii="Arial" w:cs="Arial" w:eastAsia="Arial" w:hAnsi="Arial"/>
                <w:sz w:val="13"/>
                <w:szCs w:val="13"/>
                <w:color w:val="auto"/>
              </w:rPr>
              <w:t>AbbVie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$196,778</w:t>
            </w:r>
          </w:p>
        </w:tc>
        <w:tc>
          <w:tcPr>
            <w:tcW w:w="1820" w:type="dxa"/>
            <w:vAlign w:val="bottom"/>
          </w:tcPr>
          <w:p>
            <w:pPr>
              <w:ind w:left="40"/>
              <w:spacing w:after="0"/>
              <w:rPr>
                <w:sz w:val="20"/>
                <w:szCs w:val="20"/>
                <w:color w:val="auto"/>
              </w:rPr>
            </w:pPr>
            <w:r>
              <w:rPr>
                <w:rFonts w:ascii="Arial" w:cs="Arial" w:eastAsia="Arial" w:hAnsi="Arial"/>
                <w:sz w:val="13"/>
                <w:szCs w:val="13"/>
                <w:color w:val="auto"/>
              </w:rPr>
              <w:t>Merck</w:t>
            </w:r>
          </w:p>
        </w:tc>
        <w:tc>
          <w:tcPr>
            <w:tcW w:w="600" w:type="dxa"/>
            <w:vAlign w:val="bottom"/>
          </w:tcPr>
          <w:p>
            <w:pPr>
              <w:jc w:val="right"/>
              <w:spacing w:after="0"/>
              <w:rPr>
                <w:sz w:val="20"/>
                <w:szCs w:val="20"/>
                <w:color w:val="auto"/>
              </w:rPr>
            </w:pPr>
            <w:r>
              <w:rPr>
                <w:rFonts w:ascii="Arial" w:cs="Arial" w:eastAsia="Arial" w:hAnsi="Arial"/>
                <w:sz w:val="13"/>
                <w:szCs w:val="13"/>
                <w:color w:val="auto"/>
              </w:rPr>
              <w:t>$204,801</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AbbVie</w:t>
            </w:r>
          </w:p>
        </w:tc>
        <w:tc>
          <w:tcPr>
            <w:tcW w:w="540" w:type="dxa"/>
            <w:vAlign w:val="bottom"/>
          </w:tcPr>
          <w:p>
            <w:pPr>
              <w:jc w:val="right"/>
              <w:spacing w:after="0"/>
              <w:rPr>
                <w:sz w:val="20"/>
                <w:szCs w:val="20"/>
                <w:color w:val="auto"/>
              </w:rPr>
            </w:pPr>
            <w:r>
              <w:rPr>
                <w:rFonts w:ascii="Arial" w:cs="Arial" w:eastAsia="Arial" w:hAnsi="Arial"/>
                <w:sz w:val="13"/>
                <w:szCs w:val="13"/>
                <w:color w:val="auto"/>
              </w:rPr>
              <w:t>$50,195</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Merck</w:t>
            </w:r>
          </w:p>
        </w:tc>
        <w:tc>
          <w:tcPr>
            <w:tcW w:w="540" w:type="dxa"/>
            <w:vAlign w:val="bottom"/>
          </w:tcPr>
          <w:p>
            <w:pPr>
              <w:jc w:val="right"/>
              <w:spacing w:after="0"/>
              <w:rPr>
                <w:sz w:val="20"/>
                <w:szCs w:val="20"/>
                <w:color w:val="auto"/>
              </w:rPr>
            </w:pPr>
            <w:r>
              <w:rPr>
                <w:rFonts w:ascii="Arial" w:cs="Arial" w:eastAsia="Arial" w:hAnsi="Arial"/>
                <w:sz w:val="13"/>
                <w:szCs w:val="13"/>
                <w:color w:val="auto"/>
              </w:rPr>
              <w:t>73,500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Merck</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$188,582</w:t>
            </w:r>
          </w:p>
        </w:tc>
        <w:tc>
          <w:tcPr>
            <w:tcW w:w="1820" w:type="dxa"/>
            <w:vAlign w:val="bottom"/>
          </w:tcPr>
          <w:p>
            <w:pPr>
              <w:ind w:left="40"/>
              <w:spacing w:after="0"/>
              <w:rPr>
                <w:sz w:val="20"/>
                <w:szCs w:val="20"/>
                <w:color w:val="auto"/>
              </w:rPr>
            </w:pPr>
            <w:r>
              <w:rPr>
                <w:rFonts w:ascii="Arial" w:cs="Arial" w:eastAsia="Arial" w:hAnsi="Arial"/>
                <w:sz w:val="13"/>
                <w:szCs w:val="13"/>
                <w:color w:val="auto"/>
              </w:rPr>
              <w:t>AbbVie</w:t>
            </w:r>
          </w:p>
        </w:tc>
        <w:tc>
          <w:tcPr>
            <w:tcW w:w="600" w:type="dxa"/>
            <w:vAlign w:val="bottom"/>
          </w:tcPr>
          <w:p>
            <w:pPr>
              <w:jc w:val="right"/>
              <w:spacing w:after="0"/>
              <w:rPr>
                <w:sz w:val="20"/>
                <w:szCs w:val="20"/>
                <w:color w:val="auto"/>
              </w:rPr>
            </w:pPr>
            <w:r>
              <w:rPr>
                <w:rFonts w:ascii="Arial" w:cs="Arial" w:eastAsia="Arial" w:hAnsi="Arial"/>
                <w:sz w:val="13"/>
                <w:szCs w:val="13"/>
                <w:color w:val="auto"/>
              </w:rPr>
              <w:t>$151,961</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Merck</w:t>
            </w:r>
          </w:p>
        </w:tc>
        <w:tc>
          <w:tcPr>
            <w:tcW w:w="540" w:type="dxa"/>
            <w:vAlign w:val="bottom"/>
          </w:tcPr>
          <w:p>
            <w:pPr>
              <w:jc w:val="right"/>
              <w:spacing w:after="0"/>
              <w:rPr>
                <w:sz w:val="20"/>
                <w:szCs w:val="20"/>
                <w:color w:val="auto"/>
              </w:rPr>
            </w:pPr>
            <w:r>
              <w:rPr>
                <w:rFonts w:ascii="Arial" w:cs="Arial" w:eastAsia="Arial" w:hAnsi="Arial"/>
                <w:sz w:val="13"/>
                <w:szCs w:val="13"/>
                <w:color w:val="auto"/>
              </w:rPr>
              <w:t>$48,017</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AbbVie</w:t>
            </w:r>
          </w:p>
        </w:tc>
        <w:tc>
          <w:tcPr>
            <w:tcW w:w="540" w:type="dxa"/>
            <w:vAlign w:val="bottom"/>
          </w:tcPr>
          <w:p>
            <w:pPr>
              <w:jc w:val="right"/>
              <w:spacing w:after="0"/>
              <w:rPr>
                <w:sz w:val="20"/>
                <w:szCs w:val="20"/>
                <w:color w:val="auto"/>
              </w:rPr>
            </w:pPr>
            <w:r>
              <w:rPr>
                <w:rFonts w:ascii="Arial" w:cs="Arial" w:eastAsia="Arial" w:hAnsi="Arial"/>
                <w:sz w:val="13"/>
                <w:szCs w:val="13"/>
                <w:color w:val="auto"/>
              </w:rPr>
              <w:t>47,000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Lilly</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$166,136</w:t>
            </w:r>
          </w:p>
        </w:tc>
        <w:tc>
          <w:tcPr>
            <w:tcW w:w="1820" w:type="dxa"/>
            <w:vAlign w:val="bottom"/>
          </w:tcPr>
          <w:p>
            <w:pPr>
              <w:ind w:left="40"/>
              <w:spacing w:after="0"/>
              <w:rPr>
                <w:sz w:val="20"/>
                <w:szCs w:val="20"/>
                <w:color w:val="auto"/>
              </w:rPr>
            </w:pPr>
            <w:r>
              <w:rPr>
                <w:rFonts w:ascii="Arial" w:cs="Arial" w:eastAsia="Arial" w:hAnsi="Arial"/>
                <w:sz w:val="13"/>
                <w:szCs w:val="13"/>
                <w:color w:val="auto"/>
              </w:rPr>
              <w:t>Bristol Myers Squibb</w:t>
            </w:r>
          </w:p>
        </w:tc>
        <w:tc>
          <w:tcPr>
            <w:tcW w:w="600" w:type="dxa"/>
            <w:vAlign w:val="bottom"/>
          </w:tcPr>
          <w:p>
            <w:pPr>
              <w:jc w:val="right"/>
              <w:spacing w:after="0"/>
              <w:rPr>
                <w:sz w:val="20"/>
                <w:szCs w:val="20"/>
                <w:color w:val="auto"/>
              </w:rPr>
            </w:pPr>
            <w:r>
              <w:rPr>
                <w:rFonts w:ascii="Arial" w:cs="Arial" w:eastAsia="Arial" w:hAnsi="Arial"/>
                <w:sz w:val="13"/>
                <w:szCs w:val="13"/>
                <w:color w:val="auto"/>
              </w:rPr>
              <w:t>$137,544</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Bristol Myers Squibb</w:t>
            </w:r>
          </w:p>
        </w:tc>
        <w:tc>
          <w:tcPr>
            <w:tcW w:w="540" w:type="dxa"/>
            <w:vAlign w:val="bottom"/>
          </w:tcPr>
          <w:p>
            <w:pPr>
              <w:jc w:val="right"/>
              <w:spacing w:after="0"/>
              <w:rPr>
                <w:sz w:val="20"/>
                <w:szCs w:val="20"/>
                <w:color w:val="auto"/>
              </w:rPr>
            </w:pPr>
            <w:r>
              <w:rPr>
                <w:rFonts w:ascii="Arial" w:cs="Arial" w:eastAsia="Arial" w:hAnsi="Arial"/>
                <w:sz w:val="13"/>
                <w:szCs w:val="13"/>
                <w:color w:val="auto"/>
              </w:rPr>
              <w:t>$42,810</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Lilly</w:t>
            </w:r>
          </w:p>
        </w:tc>
        <w:tc>
          <w:tcPr>
            <w:tcW w:w="540" w:type="dxa"/>
            <w:vAlign w:val="bottom"/>
          </w:tcPr>
          <w:p>
            <w:pPr>
              <w:jc w:val="right"/>
              <w:spacing w:after="0"/>
              <w:rPr>
                <w:sz w:val="20"/>
                <w:szCs w:val="20"/>
                <w:color w:val="auto"/>
              </w:rPr>
            </w:pPr>
            <w:r>
              <w:rPr>
                <w:rFonts w:ascii="Arial" w:cs="Arial" w:eastAsia="Arial" w:hAnsi="Arial"/>
                <w:sz w:val="13"/>
                <w:szCs w:val="13"/>
                <w:color w:val="auto"/>
              </w:rPr>
              <w:t>35,000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Bristol Myers Squibb</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$139,374</w:t>
            </w:r>
          </w:p>
        </w:tc>
        <w:tc>
          <w:tcPr>
            <w:tcW w:w="1820" w:type="dxa"/>
            <w:vAlign w:val="bottom"/>
          </w:tcPr>
          <w:p>
            <w:pPr>
              <w:ind w:left="40"/>
              <w:spacing w:after="0"/>
              <w:rPr>
                <w:sz w:val="20"/>
                <w:szCs w:val="20"/>
                <w:color w:val="auto"/>
              </w:rPr>
            </w:pPr>
            <w:r>
              <w:rPr>
                <w:rFonts w:ascii="Arial" w:cs="Arial" w:eastAsia="Arial" w:hAnsi="Arial"/>
                <w:sz w:val="13"/>
                <w:szCs w:val="13"/>
                <w:color w:val="auto"/>
              </w:rPr>
              <w:t>Amgen</w:t>
            </w:r>
          </w:p>
        </w:tc>
        <w:tc>
          <w:tcPr>
            <w:tcW w:w="600" w:type="dxa"/>
            <w:vAlign w:val="bottom"/>
          </w:tcPr>
          <w:p>
            <w:pPr>
              <w:jc w:val="right"/>
              <w:spacing w:after="0"/>
              <w:rPr>
                <w:sz w:val="20"/>
                <w:szCs w:val="20"/>
                <w:color w:val="auto"/>
              </w:rPr>
            </w:pPr>
            <w:r>
              <w:rPr>
                <w:rFonts w:ascii="Arial" w:cs="Arial" w:eastAsia="Arial" w:hAnsi="Arial"/>
                <w:sz w:val="13"/>
                <w:szCs w:val="13"/>
                <w:color w:val="auto"/>
              </w:rPr>
              <w:t>$135,894</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Gilead</w:t>
            </w:r>
          </w:p>
        </w:tc>
        <w:tc>
          <w:tcPr>
            <w:tcW w:w="540" w:type="dxa"/>
            <w:vAlign w:val="bottom"/>
          </w:tcPr>
          <w:p>
            <w:pPr>
              <w:jc w:val="right"/>
              <w:spacing w:after="0"/>
              <w:rPr>
                <w:sz w:val="20"/>
                <w:szCs w:val="20"/>
                <w:color w:val="auto"/>
              </w:rPr>
            </w:pPr>
            <w:r>
              <w:rPr>
                <w:rFonts w:ascii="Arial" w:cs="Arial" w:eastAsia="Arial" w:hAnsi="Arial"/>
                <w:sz w:val="13"/>
                <w:szCs w:val="13"/>
                <w:color w:val="auto"/>
              </w:rPr>
              <w:t>$25,564</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Bristol Myers Squibb</w:t>
            </w:r>
          </w:p>
        </w:tc>
        <w:tc>
          <w:tcPr>
            <w:tcW w:w="540" w:type="dxa"/>
            <w:vAlign w:val="bottom"/>
          </w:tcPr>
          <w:p>
            <w:pPr>
              <w:jc w:val="right"/>
              <w:spacing w:after="0"/>
              <w:rPr>
                <w:sz w:val="20"/>
                <w:szCs w:val="20"/>
                <w:color w:val="auto"/>
              </w:rPr>
            </w:pPr>
            <w:r>
              <w:rPr>
                <w:rFonts w:ascii="Arial" w:cs="Arial" w:eastAsia="Arial" w:hAnsi="Arial"/>
                <w:sz w:val="13"/>
                <w:szCs w:val="13"/>
                <w:color w:val="auto"/>
              </w:rPr>
              <w:t>30,250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Amgen</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$137,686</w:t>
            </w:r>
          </w:p>
        </w:tc>
        <w:tc>
          <w:tcPr>
            <w:tcW w:w="1820" w:type="dxa"/>
            <w:vAlign w:val="bottom"/>
          </w:tcPr>
          <w:p>
            <w:pPr>
              <w:ind w:left="40"/>
              <w:spacing w:after="0"/>
              <w:rPr>
                <w:sz w:val="20"/>
                <w:szCs w:val="20"/>
                <w:color w:val="auto"/>
              </w:rPr>
            </w:pPr>
            <w:r>
              <w:rPr>
                <w:rFonts w:ascii="Arial" w:cs="Arial" w:eastAsia="Arial" w:hAnsi="Arial"/>
                <w:sz w:val="13"/>
                <w:szCs w:val="13"/>
                <w:color w:val="auto"/>
              </w:rPr>
              <w:t>Lilly</w:t>
            </w:r>
          </w:p>
        </w:tc>
        <w:tc>
          <w:tcPr>
            <w:tcW w:w="600" w:type="dxa"/>
            <w:vAlign w:val="bottom"/>
          </w:tcPr>
          <w:p>
            <w:pPr>
              <w:jc w:val="right"/>
              <w:spacing w:after="0"/>
              <w:rPr>
                <w:sz w:val="20"/>
                <w:szCs w:val="20"/>
                <w:color w:val="auto"/>
              </w:rPr>
            </w:pPr>
            <w:r>
              <w:rPr>
                <w:rFonts w:ascii="Arial" w:cs="Arial" w:eastAsia="Arial" w:hAnsi="Arial"/>
                <w:sz w:val="13"/>
                <w:szCs w:val="13"/>
                <w:color w:val="auto"/>
              </w:rPr>
              <w:t>$135,819</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Lilly</w:t>
            </w:r>
          </w:p>
        </w:tc>
        <w:tc>
          <w:tcPr>
            <w:tcW w:w="540" w:type="dxa"/>
            <w:vAlign w:val="bottom"/>
          </w:tcPr>
          <w:p>
            <w:pPr>
              <w:jc w:val="right"/>
              <w:spacing w:after="0"/>
              <w:rPr>
                <w:sz w:val="20"/>
                <w:szCs w:val="20"/>
                <w:color w:val="auto"/>
              </w:rPr>
            </w:pPr>
            <w:r>
              <w:rPr>
                <w:rFonts w:ascii="Arial" w:cs="Arial" w:eastAsia="Arial" w:hAnsi="Arial"/>
                <w:sz w:val="13"/>
                <w:szCs w:val="13"/>
                <w:color w:val="auto"/>
              </w:rPr>
              <w:t>$25,486</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Amgen</w:t>
            </w:r>
          </w:p>
        </w:tc>
        <w:tc>
          <w:tcPr>
            <w:tcW w:w="540" w:type="dxa"/>
            <w:vAlign w:val="bottom"/>
          </w:tcPr>
          <w:p>
            <w:pPr>
              <w:jc w:val="right"/>
              <w:spacing w:after="0"/>
              <w:rPr>
                <w:sz w:val="20"/>
                <w:szCs w:val="20"/>
                <w:color w:val="auto"/>
              </w:rPr>
            </w:pPr>
            <w:r>
              <w:rPr>
                <w:rFonts w:ascii="Arial" w:cs="Arial" w:eastAsia="Arial" w:hAnsi="Arial"/>
                <w:sz w:val="13"/>
                <w:szCs w:val="13"/>
                <w:color w:val="auto"/>
              </w:rPr>
              <w:t>24,300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Gilead</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$79,912</w:t>
            </w:r>
          </w:p>
        </w:tc>
        <w:tc>
          <w:tcPr>
            <w:tcW w:w="1820" w:type="dxa"/>
            <w:vAlign w:val="bottom"/>
          </w:tcPr>
          <w:p>
            <w:pPr>
              <w:ind w:left="40"/>
              <w:spacing w:after="0"/>
              <w:rPr>
                <w:sz w:val="20"/>
                <w:szCs w:val="20"/>
                <w:color w:val="auto"/>
              </w:rPr>
            </w:pPr>
            <w:r>
              <w:rPr>
                <w:rFonts w:ascii="Arial" w:cs="Arial" w:eastAsia="Arial" w:hAnsi="Arial"/>
                <w:sz w:val="13"/>
                <w:szCs w:val="13"/>
                <w:color w:val="auto"/>
              </w:rPr>
              <w:t>Gilead</w:t>
            </w:r>
          </w:p>
        </w:tc>
        <w:tc>
          <w:tcPr>
            <w:tcW w:w="600" w:type="dxa"/>
            <w:vAlign w:val="bottom"/>
          </w:tcPr>
          <w:p>
            <w:pPr>
              <w:jc w:val="right"/>
              <w:spacing w:after="0"/>
              <w:rPr>
                <w:sz w:val="20"/>
                <w:szCs w:val="20"/>
                <w:color w:val="auto"/>
              </w:rPr>
            </w:pPr>
            <w:r>
              <w:rPr>
                <w:rFonts w:ascii="Arial" w:cs="Arial" w:eastAsia="Arial" w:hAnsi="Arial"/>
                <w:sz w:val="13"/>
                <w:szCs w:val="13"/>
                <w:color w:val="auto"/>
              </w:rPr>
              <w:t>$86,485</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Amgen</w:t>
            </w:r>
          </w:p>
        </w:tc>
        <w:tc>
          <w:tcPr>
            <w:tcW w:w="540" w:type="dxa"/>
            <w:vAlign w:val="bottom"/>
          </w:tcPr>
          <w:p>
            <w:pPr>
              <w:jc w:val="right"/>
              <w:spacing w:after="0"/>
              <w:rPr>
                <w:sz w:val="20"/>
                <w:szCs w:val="20"/>
                <w:color w:val="auto"/>
              </w:rPr>
            </w:pPr>
            <w:r>
              <w:rPr>
                <w:rFonts w:ascii="Arial" w:cs="Arial" w:eastAsia="Arial" w:hAnsi="Arial"/>
                <w:sz w:val="13"/>
                <w:szCs w:val="13"/>
                <w:color w:val="auto"/>
              </w:rPr>
              <w:t>$25,164</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Gilead</w:t>
            </w:r>
          </w:p>
        </w:tc>
        <w:tc>
          <w:tcPr>
            <w:tcW w:w="540" w:type="dxa"/>
            <w:vAlign w:val="bottom"/>
          </w:tcPr>
          <w:p>
            <w:pPr>
              <w:jc w:val="right"/>
              <w:spacing w:after="0"/>
              <w:rPr>
                <w:sz w:val="20"/>
                <w:szCs w:val="20"/>
                <w:color w:val="auto"/>
              </w:rPr>
            </w:pPr>
            <w:r>
              <w:rPr>
                <w:rFonts w:ascii="Arial" w:cs="Arial" w:eastAsia="Arial" w:hAnsi="Arial"/>
                <w:sz w:val="13"/>
                <w:szCs w:val="13"/>
                <w:color w:val="auto"/>
              </w:rPr>
              <w:t>13,600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Vertex</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$56,484</w:t>
            </w:r>
          </w:p>
        </w:tc>
        <w:tc>
          <w:tcPr>
            <w:tcW w:w="1820" w:type="dxa"/>
            <w:vAlign w:val="bottom"/>
          </w:tcPr>
          <w:p>
            <w:pPr>
              <w:ind w:left="40"/>
              <w:spacing w:after="0"/>
              <w:rPr>
                <w:sz w:val="20"/>
                <w:szCs w:val="20"/>
                <w:color w:val="auto"/>
              </w:rPr>
            </w:pPr>
            <w:r>
              <w:rPr>
                <w:rFonts w:ascii="Arial" w:cs="Arial" w:eastAsia="Arial" w:hAnsi="Arial"/>
                <w:sz w:val="13"/>
                <w:szCs w:val="13"/>
                <w:color w:val="auto"/>
              </w:rPr>
              <w:t>Vertex</w:t>
            </w:r>
          </w:p>
        </w:tc>
        <w:tc>
          <w:tcPr>
            <w:tcW w:w="600" w:type="dxa"/>
            <w:vAlign w:val="bottom"/>
          </w:tcPr>
          <w:p>
            <w:pPr>
              <w:jc w:val="right"/>
              <w:spacing w:after="0"/>
              <w:rPr>
                <w:sz w:val="20"/>
                <w:szCs w:val="20"/>
                <w:color w:val="auto"/>
              </w:rPr>
            </w:pPr>
            <w:r>
              <w:rPr>
                <w:rFonts w:ascii="Arial" w:cs="Arial" w:eastAsia="Arial" w:hAnsi="Arial"/>
                <w:sz w:val="13"/>
                <w:szCs w:val="13"/>
                <w:color w:val="auto"/>
              </w:rPr>
              <w:t>$65,255</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Biogen</w:t>
            </w:r>
          </w:p>
        </w:tc>
        <w:tc>
          <w:tcPr>
            <w:tcW w:w="540" w:type="dxa"/>
            <w:vAlign w:val="bottom"/>
          </w:tcPr>
          <w:p>
            <w:pPr>
              <w:jc w:val="right"/>
              <w:spacing w:after="0"/>
              <w:rPr>
                <w:sz w:val="20"/>
                <w:szCs w:val="20"/>
                <w:color w:val="auto"/>
              </w:rPr>
            </w:pPr>
            <w:r>
              <w:rPr>
                <w:rFonts w:ascii="Arial" w:cs="Arial" w:eastAsia="Arial" w:hAnsi="Arial"/>
                <w:sz w:val="13"/>
                <w:szCs w:val="13"/>
                <w:color w:val="auto"/>
              </w:rPr>
              <w:t>$12,604</w:t>
            </w:r>
          </w:p>
        </w:tc>
        <w:tc>
          <w:tcPr>
            <w:tcW w:w="180" w:type="dxa"/>
            <w:vAlign w:val="bottom"/>
          </w:tcPr>
          <w:p>
            <w:pPr>
              <w:spacing w:after="0"/>
              <w:rPr>
                <w:sz w:val="14"/>
                <w:szCs w:val="14"/>
                <w:color w:val="auto"/>
              </w:rPr>
            </w:pPr>
          </w:p>
        </w:tc>
        <w:tc>
          <w:tcPr>
            <w:tcW w:w="1920" w:type="dxa"/>
            <w:vAlign w:val="bottom"/>
            <w:shd w:val="clear" w:color="auto" w:fill="215AA8"/>
          </w:tcPr>
          <w:p>
            <w:pPr>
              <w:ind w:left="40"/>
              <w:spacing w:after="0"/>
              <w:rPr>
                <w:sz w:val="20"/>
                <w:szCs w:val="20"/>
                <w:color w:val="auto"/>
              </w:rPr>
            </w:pPr>
            <w:r>
              <w:rPr>
                <w:rFonts w:ascii="Arial" w:cs="Arial" w:eastAsia="Arial" w:hAnsi="Arial"/>
                <w:sz w:val="13"/>
                <w:szCs w:val="13"/>
                <w:b w:val="1"/>
                <w:bCs w:val="1"/>
                <w:color w:val="FFFFFF"/>
              </w:rPr>
              <w:t>Regeneron</w:t>
            </w:r>
          </w:p>
        </w:tc>
        <w:tc>
          <w:tcPr>
            <w:tcW w:w="540" w:type="dxa"/>
            <w:vAlign w:val="bottom"/>
            <w:shd w:val="clear" w:color="auto" w:fill="215AA8"/>
          </w:tcPr>
          <w:p>
            <w:pPr>
              <w:jc w:val="right"/>
              <w:spacing w:after="0"/>
              <w:rPr>
                <w:sz w:val="20"/>
                <w:szCs w:val="20"/>
                <w:color w:val="auto"/>
              </w:rPr>
            </w:pPr>
            <w:r>
              <w:rPr>
                <w:rFonts w:ascii="Arial" w:cs="Arial" w:eastAsia="Arial" w:hAnsi="Arial"/>
                <w:sz w:val="13"/>
                <w:szCs w:val="13"/>
                <w:color w:val="FFFFFF"/>
              </w:rPr>
              <w:t>9, 123</w:t>
            </w:r>
          </w:p>
        </w:tc>
        <w:tc>
          <w:tcPr>
            <w:tcW w:w="0" w:type="dxa"/>
            <w:vAlign w:val="bottom"/>
          </w:tcPr>
          <w:p>
            <w:pPr>
              <w:spacing w:after="0"/>
              <w:rPr>
                <w:sz w:val="1"/>
                <w:szCs w:val="1"/>
                <w:color w:val="auto"/>
              </w:rPr>
            </w:pPr>
          </w:p>
        </w:tc>
      </w:tr>
      <w:tr>
        <w:trPr>
          <w:trHeight w:val="169"/>
        </w:trPr>
        <w:tc>
          <w:tcPr>
            <w:tcW w:w="1560" w:type="dxa"/>
            <w:vAlign w:val="bottom"/>
            <w:tcBorders>
              <w:top w:val="single" w:sz="8" w:color="auto"/>
              <w:bottom w:val="single" w:sz="8" w:color="auto"/>
            </w:tcBorders>
            <w:shd w:val="clear" w:color="auto" w:fill="215AA8"/>
          </w:tcPr>
          <w:p>
            <w:pPr>
              <w:ind w:left="40"/>
              <w:spacing w:after="0"/>
              <w:rPr>
                <w:sz w:val="20"/>
                <w:szCs w:val="20"/>
                <w:color w:val="auto"/>
              </w:rPr>
            </w:pPr>
            <w:r>
              <w:rPr>
                <w:rFonts w:ascii="Arial" w:cs="Arial" w:eastAsia="Arial" w:hAnsi="Arial"/>
                <w:sz w:val="13"/>
                <w:szCs w:val="13"/>
                <w:b w:val="1"/>
                <w:bCs w:val="1"/>
                <w:color w:val="FFFFFF"/>
              </w:rPr>
              <w:t>Regeneron</w:t>
            </w:r>
          </w:p>
        </w:tc>
        <w:tc>
          <w:tcPr>
            <w:tcW w:w="820" w:type="dxa"/>
            <w:vAlign w:val="bottom"/>
            <w:tcBorders>
              <w:top w:val="single" w:sz="8" w:color="auto"/>
              <w:bottom w:val="single" w:sz="8" w:color="auto"/>
            </w:tcBorders>
            <w:shd w:val="clear" w:color="auto" w:fill="215AA8"/>
          </w:tcPr>
          <w:p>
            <w:pPr>
              <w:jc w:val="right"/>
              <w:spacing w:after="0"/>
              <w:rPr>
                <w:sz w:val="20"/>
                <w:szCs w:val="20"/>
                <w:color w:val="auto"/>
              </w:rPr>
            </w:pPr>
            <w:r>
              <w:rPr>
                <w:rFonts w:ascii="Arial" w:cs="Arial" w:eastAsia="Arial" w:hAnsi="Arial"/>
                <w:sz w:val="13"/>
                <w:szCs w:val="13"/>
                <w:b w:val="1"/>
                <w:bCs w:val="1"/>
                <w:color w:val="FFFFFF"/>
              </w:rPr>
              <w:t>$49,832</w:t>
            </w:r>
          </w:p>
        </w:tc>
        <w:tc>
          <w:tcPr>
            <w:tcW w:w="180" w:type="dxa"/>
            <w:vAlign w:val="bottom"/>
          </w:tcPr>
          <w:p>
            <w:pPr>
              <w:spacing w:after="0"/>
              <w:rPr>
                <w:sz w:val="14"/>
                <w:szCs w:val="14"/>
                <w:color w:val="auto"/>
              </w:rPr>
            </w:pPr>
          </w:p>
        </w:tc>
        <w:tc>
          <w:tcPr>
            <w:tcW w:w="1820" w:type="dxa"/>
            <w:vAlign w:val="bottom"/>
            <w:tcBorders>
              <w:top w:val="single" w:sz="8" w:color="auto"/>
              <w:bottom w:val="single" w:sz="8" w:color="auto"/>
            </w:tcBorders>
            <w:shd w:val="clear" w:color="auto" w:fill="215AA8"/>
          </w:tcPr>
          <w:p>
            <w:pPr>
              <w:ind w:left="40"/>
              <w:spacing w:after="0"/>
              <w:rPr>
                <w:sz w:val="20"/>
                <w:szCs w:val="20"/>
                <w:color w:val="auto"/>
              </w:rPr>
            </w:pPr>
            <w:r>
              <w:rPr>
                <w:rFonts w:ascii="Arial" w:cs="Arial" w:eastAsia="Arial" w:hAnsi="Arial"/>
                <w:sz w:val="13"/>
                <w:szCs w:val="13"/>
                <w:b w:val="1"/>
                <w:bCs w:val="1"/>
                <w:color w:val="FFFFFF"/>
              </w:rPr>
              <w:t>Regeneron</w:t>
            </w:r>
          </w:p>
        </w:tc>
        <w:tc>
          <w:tcPr>
            <w:tcW w:w="600" w:type="dxa"/>
            <w:vAlign w:val="bottom"/>
            <w:tcBorders>
              <w:top w:val="single" w:sz="8" w:color="auto"/>
              <w:bottom w:val="single" w:sz="8" w:color="auto"/>
            </w:tcBorders>
            <w:shd w:val="clear" w:color="auto" w:fill="215AA8"/>
          </w:tcPr>
          <w:p>
            <w:pPr>
              <w:jc w:val="right"/>
              <w:spacing w:after="0"/>
              <w:rPr>
                <w:sz w:val="20"/>
                <w:szCs w:val="20"/>
                <w:color w:val="auto"/>
              </w:rPr>
            </w:pPr>
            <w:r>
              <w:rPr>
                <w:rFonts w:ascii="Arial" w:cs="Arial" w:eastAsia="Arial" w:hAnsi="Arial"/>
                <w:sz w:val="13"/>
                <w:szCs w:val="13"/>
                <w:color w:val="FFFFFF"/>
              </w:rPr>
              <w:t>$56,366</w:t>
            </w:r>
          </w:p>
        </w:tc>
        <w:tc>
          <w:tcPr>
            <w:tcW w:w="180" w:type="dxa"/>
            <w:vAlign w:val="bottom"/>
          </w:tcPr>
          <w:p>
            <w:pPr>
              <w:spacing w:after="0"/>
              <w:rPr>
                <w:sz w:val="14"/>
                <w:szCs w:val="14"/>
                <w:color w:val="auto"/>
              </w:rPr>
            </w:pPr>
          </w:p>
        </w:tc>
        <w:tc>
          <w:tcPr>
            <w:tcW w:w="1820" w:type="dxa"/>
            <w:vAlign w:val="bottom"/>
            <w:tcBorders>
              <w:top w:val="single" w:sz="8" w:color="auto"/>
              <w:bottom w:val="single" w:sz="8" w:color="auto"/>
            </w:tcBorders>
            <w:shd w:val="clear" w:color="auto" w:fill="215AA8"/>
          </w:tcPr>
          <w:p>
            <w:pPr>
              <w:ind w:left="40"/>
              <w:spacing w:after="0"/>
              <w:rPr>
                <w:sz w:val="20"/>
                <w:szCs w:val="20"/>
                <w:color w:val="auto"/>
              </w:rPr>
            </w:pPr>
            <w:r>
              <w:rPr>
                <w:rFonts w:ascii="Arial" w:cs="Arial" w:eastAsia="Arial" w:hAnsi="Arial"/>
                <w:sz w:val="13"/>
                <w:szCs w:val="13"/>
                <w:b w:val="1"/>
                <w:bCs w:val="1"/>
                <w:color w:val="FFFFFF"/>
              </w:rPr>
              <w:t>Regeneron</w:t>
            </w:r>
          </w:p>
        </w:tc>
        <w:tc>
          <w:tcPr>
            <w:tcW w:w="540" w:type="dxa"/>
            <w:vAlign w:val="bottom"/>
            <w:tcBorders>
              <w:top w:val="single" w:sz="8" w:color="auto"/>
              <w:bottom w:val="single" w:sz="8" w:color="auto"/>
            </w:tcBorders>
            <w:shd w:val="clear" w:color="auto" w:fill="215AA8"/>
          </w:tcPr>
          <w:p>
            <w:pPr>
              <w:jc w:val="right"/>
              <w:spacing w:after="0"/>
              <w:rPr>
                <w:sz w:val="20"/>
                <w:szCs w:val="20"/>
                <w:color w:val="auto"/>
              </w:rPr>
            </w:pPr>
            <w:r>
              <w:rPr>
                <w:rFonts w:ascii="Arial" w:cs="Arial" w:eastAsia="Arial" w:hAnsi="Arial"/>
                <w:sz w:val="13"/>
                <w:szCs w:val="13"/>
                <w:color w:val="FFFFFF"/>
              </w:rPr>
              <w:t>$8,310</w:t>
            </w:r>
          </w:p>
        </w:tc>
        <w:tc>
          <w:tcPr>
            <w:tcW w:w="180" w:type="dxa"/>
            <w:vAlign w:val="bottom"/>
          </w:tcPr>
          <w:p>
            <w:pPr>
              <w:spacing w:after="0"/>
              <w:rPr>
                <w:sz w:val="14"/>
                <w:szCs w:val="14"/>
                <w:color w:val="auto"/>
              </w:rPr>
            </w:pPr>
          </w:p>
        </w:tc>
        <w:tc>
          <w:tcPr>
            <w:tcW w:w="1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Biogen</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9,100</w:t>
            </w:r>
          </w:p>
        </w:tc>
        <w:tc>
          <w:tcPr>
            <w:tcW w:w="0" w:type="dxa"/>
            <w:vAlign w:val="bottom"/>
          </w:tcPr>
          <w:p>
            <w:pPr>
              <w:spacing w:after="0"/>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Biogen</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$40,248</w:t>
            </w:r>
          </w:p>
        </w:tc>
        <w:tc>
          <w:tcPr>
            <w:tcW w:w="1820" w:type="dxa"/>
            <w:vAlign w:val="bottom"/>
          </w:tcPr>
          <w:p>
            <w:pPr>
              <w:ind w:left="40"/>
              <w:spacing w:after="0"/>
              <w:rPr>
                <w:sz w:val="20"/>
                <w:szCs w:val="20"/>
                <w:color w:val="auto"/>
              </w:rPr>
            </w:pPr>
            <w:r>
              <w:rPr>
                <w:rFonts w:ascii="Arial" w:cs="Arial" w:eastAsia="Arial" w:hAnsi="Arial"/>
                <w:sz w:val="13"/>
                <w:szCs w:val="13"/>
                <w:color w:val="auto"/>
              </w:rPr>
              <w:t>Biogen</w:t>
            </w:r>
          </w:p>
        </w:tc>
        <w:tc>
          <w:tcPr>
            <w:tcW w:w="600" w:type="dxa"/>
            <w:vAlign w:val="bottom"/>
          </w:tcPr>
          <w:p>
            <w:pPr>
              <w:jc w:val="right"/>
              <w:spacing w:after="0"/>
              <w:rPr>
                <w:sz w:val="20"/>
                <w:szCs w:val="20"/>
                <w:color w:val="auto"/>
              </w:rPr>
            </w:pPr>
            <w:r>
              <w:rPr>
                <w:rFonts w:ascii="Arial" w:cs="Arial" w:eastAsia="Arial" w:hAnsi="Arial"/>
                <w:sz w:val="13"/>
                <w:szCs w:val="13"/>
                <w:color w:val="auto"/>
              </w:rPr>
              <w:t>$46,920</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Vertex</w:t>
            </w:r>
          </w:p>
        </w:tc>
        <w:tc>
          <w:tcPr>
            <w:tcW w:w="540" w:type="dxa"/>
            <w:vAlign w:val="bottom"/>
          </w:tcPr>
          <w:p>
            <w:pPr>
              <w:jc w:val="right"/>
              <w:spacing w:after="0"/>
              <w:rPr>
                <w:sz w:val="20"/>
                <w:szCs w:val="20"/>
                <w:color w:val="auto"/>
              </w:rPr>
            </w:pPr>
            <w:r>
              <w:rPr>
                <w:rFonts w:ascii="Arial" w:cs="Arial" w:eastAsia="Arial" w:hAnsi="Arial"/>
                <w:sz w:val="13"/>
                <w:szCs w:val="13"/>
                <w:color w:val="auto"/>
              </w:rPr>
              <w:t>$6,415</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Alexion</w:t>
            </w:r>
          </w:p>
        </w:tc>
        <w:tc>
          <w:tcPr>
            <w:tcW w:w="540" w:type="dxa"/>
            <w:vAlign w:val="bottom"/>
          </w:tcPr>
          <w:p>
            <w:pPr>
              <w:jc w:val="right"/>
              <w:spacing w:after="0"/>
              <w:rPr>
                <w:sz w:val="20"/>
                <w:szCs w:val="20"/>
                <w:color w:val="auto"/>
              </w:rPr>
            </w:pPr>
            <w:r>
              <w:rPr>
                <w:rFonts w:ascii="Arial" w:cs="Arial" w:eastAsia="Arial" w:hAnsi="Arial"/>
                <w:sz w:val="13"/>
                <w:szCs w:val="13"/>
                <w:color w:val="auto"/>
              </w:rPr>
              <w:t>3,837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Alexion</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$37,061</w:t>
            </w:r>
          </w:p>
        </w:tc>
        <w:tc>
          <w:tcPr>
            <w:tcW w:w="1820" w:type="dxa"/>
            <w:vAlign w:val="bottom"/>
          </w:tcPr>
          <w:p>
            <w:pPr>
              <w:ind w:left="40"/>
              <w:spacing w:after="0"/>
              <w:rPr>
                <w:sz w:val="20"/>
                <w:szCs w:val="20"/>
                <w:color w:val="auto"/>
              </w:rPr>
            </w:pPr>
            <w:r>
              <w:rPr>
                <w:rFonts w:ascii="Arial" w:cs="Arial" w:eastAsia="Arial" w:hAnsi="Arial"/>
                <w:sz w:val="13"/>
                <w:szCs w:val="13"/>
                <w:color w:val="auto"/>
              </w:rPr>
              <w:t>Seagen</w:t>
            </w:r>
          </w:p>
        </w:tc>
        <w:tc>
          <w:tcPr>
            <w:tcW w:w="600" w:type="dxa"/>
            <w:vAlign w:val="bottom"/>
          </w:tcPr>
          <w:p>
            <w:pPr>
              <w:jc w:val="right"/>
              <w:spacing w:after="0"/>
              <w:rPr>
                <w:sz w:val="20"/>
                <w:szCs w:val="20"/>
                <w:color w:val="auto"/>
              </w:rPr>
            </w:pPr>
            <w:r>
              <w:rPr>
                <w:rFonts w:ascii="Arial" w:cs="Arial" w:eastAsia="Arial" w:hAnsi="Arial"/>
                <w:sz w:val="13"/>
                <w:szCs w:val="13"/>
                <w:color w:val="auto"/>
              </w:rPr>
              <w:t>$26,818</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Alexion</w:t>
            </w:r>
          </w:p>
        </w:tc>
        <w:tc>
          <w:tcPr>
            <w:tcW w:w="540" w:type="dxa"/>
            <w:vAlign w:val="bottom"/>
          </w:tcPr>
          <w:p>
            <w:pPr>
              <w:jc w:val="right"/>
              <w:spacing w:after="0"/>
              <w:rPr>
                <w:sz w:val="20"/>
                <w:szCs w:val="20"/>
                <w:color w:val="auto"/>
              </w:rPr>
            </w:pPr>
            <w:r>
              <w:rPr>
                <w:rFonts w:ascii="Arial" w:cs="Arial" w:eastAsia="Arial" w:hAnsi="Arial"/>
                <w:sz w:val="13"/>
                <w:szCs w:val="13"/>
                <w:color w:val="auto"/>
              </w:rPr>
              <w:t>$6,262</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Vertex</w:t>
            </w:r>
          </w:p>
        </w:tc>
        <w:tc>
          <w:tcPr>
            <w:tcW w:w="540" w:type="dxa"/>
            <w:vAlign w:val="bottom"/>
          </w:tcPr>
          <w:p>
            <w:pPr>
              <w:jc w:val="right"/>
              <w:spacing w:after="0"/>
              <w:rPr>
                <w:sz w:val="20"/>
                <w:szCs w:val="20"/>
                <w:color w:val="auto"/>
              </w:rPr>
            </w:pPr>
            <w:r>
              <w:rPr>
                <w:rFonts w:ascii="Arial" w:cs="Arial" w:eastAsia="Arial" w:hAnsi="Arial"/>
                <w:sz w:val="13"/>
                <w:szCs w:val="13"/>
                <w:color w:val="auto"/>
              </w:rPr>
              <w:t>3,400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Seagen</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$26,089</w:t>
            </w:r>
          </w:p>
        </w:tc>
        <w:tc>
          <w:tcPr>
            <w:tcW w:w="1820" w:type="dxa"/>
            <w:vAlign w:val="bottom"/>
          </w:tcPr>
          <w:p>
            <w:pPr>
              <w:ind w:left="40"/>
              <w:spacing w:after="0"/>
              <w:rPr>
                <w:sz w:val="20"/>
                <w:szCs w:val="20"/>
                <w:color w:val="auto"/>
              </w:rPr>
            </w:pPr>
            <w:r>
              <w:rPr>
                <w:rFonts w:ascii="Arial" w:cs="Arial" w:eastAsia="Arial" w:hAnsi="Arial"/>
                <w:sz w:val="13"/>
                <w:szCs w:val="13"/>
                <w:color w:val="auto"/>
              </w:rPr>
              <w:t>Alexion</w:t>
            </w:r>
          </w:p>
        </w:tc>
        <w:tc>
          <w:tcPr>
            <w:tcW w:w="600" w:type="dxa"/>
            <w:vAlign w:val="bottom"/>
          </w:tcPr>
          <w:p>
            <w:pPr>
              <w:jc w:val="right"/>
              <w:spacing w:after="0"/>
              <w:rPr>
                <w:sz w:val="20"/>
                <w:szCs w:val="20"/>
                <w:color w:val="auto"/>
              </w:rPr>
            </w:pPr>
            <w:r>
              <w:rPr>
                <w:rFonts w:ascii="Arial" w:cs="Arial" w:eastAsia="Arial" w:hAnsi="Arial"/>
                <w:sz w:val="13"/>
                <w:szCs w:val="13"/>
                <w:color w:val="auto"/>
              </w:rPr>
              <w:t>$24,285</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lncyte</w:t>
            </w:r>
          </w:p>
        </w:tc>
        <w:tc>
          <w:tcPr>
            <w:tcW w:w="540" w:type="dxa"/>
            <w:vAlign w:val="bottom"/>
          </w:tcPr>
          <w:p>
            <w:pPr>
              <w:jc w:val="right"/>
              <w:spacing w:after="0"/>
              <w:rPr>
                <w:sz w:val="20"/>
                <w:szCs w:val="20"/>
                <w:color w:val="auto"/>
              </w:rPr>
            </w:pPr>
            <w:r>
              <w:rPr>
                <w:rFonts w:ascii="Arial" w:cs="Arial" w:eastAsia="Arial" w:hAnsi="Arial"/>
                <w:sz w:val="13"/>
                <w:szCs w:val="13"/>
                <w:color w:val="auto"/>
              </w:rPr>
              <w:t>$2,703</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BioMarin</w:t>
            </w:r>
          </w:p>
        </w:tc>
        <w:tc>
          <w:tcPr>
            <w:tcW w:w="540" w:type="dxa"/>
            <w:vAlign w:val="bottom"/>
          </w:tcPr>
          <w:p>
            <w:pPr>
              <w:jc w:val="right"/>
              <w:spacing w:after="0"/>
              <w:rPr>
                <w:sz w:val="20"/>
                <w:szCs w:val="20"/>
                <w:color w:val="auto"/>
              </w:rPr>
            </w:pPr>
            <w:r>
              <w:rPr>
                <w:rFonts w:ascii="Arial" w:cs="Arial" w:eastAsia="Arial" w:hAnsi="Arial"/>
                <w:sz w:val="13"/>
                <w:szCs w:val="13"/>
                <w:color w:val="auto"/>
              </w:rPr>
              <w:t>3,059</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Incyte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$18,773</w:t>
            </w:r>
          </w:p>
        </w:tc>
        <w:tc>
          <w:tcPr>
            <w:tcW w:w="1820" w:type="dxa"/>
            <w:vAlign w:val="bottom"/>
          </w:tcPr>
          <w:p>
            <w:pPr>
              <w:ind w:left="40"/>
              <w:spacing w:after="0"/>
              <w:rPr>
                <w:sz w:val="20"/>
                <w:szCs w:val="20"/>
                <w:color w:val="auto"/>
              </w:rPr>
            </w:pPr>
            <w:r>
              <w:rPr>
                <w:rFonts w:ascii="Arial" w:cs="Arial" w:eastAsia="Arial" w:hAnsi="Arial"/>
                <w:sz w:val="13"/>
                <w:szCs w:val="13"/>
                <w:color w:val="auto"/>
              </w:rPr>
              <w:t>Incyte</w:t>
            </w:r>
          </w:p>
        </w:tc>
        <w:tc>
          <w:tcPr>
            <w:tcW w:w="600" w:type="dxa"/>
            <w:vAlign w:val="bottom"/>
          </w:tcPr>
          <w:p>
            <w:pPr>
              <w:jc w:val="right"/>
              <w:spacing w:after="0"/>
              <w:rPr>
                <w:sz w:val="20"/>
                <w:szCs w:val="20"/>
                <w:color w:val="auto"/>
              </w:rPr>
            </w:pPr>
            <w:r>
              <w:rPr>
                <w:rFonts w:ascii="Arial" w:cs="Arial" w:eastAsia="Arial" w:hAnsi="Arial"/>
                <w:sz w:val="13"/>
                <w:szCs w:val="13"/>
                <w:color w:val="auto"/>
              </w:rPr>
              <w:t>$19,325</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Seagen</w:t>
            </w:r>
          </w:p>
        </w:tc>
        <w:tc>
          <w:tcPr>
            <w:tcW w:w="540" w:type="dxa"/>
            <w:vAlign w:val="bottom"/>
          </w:tcPr>
          <w:p>
            <w:pPr>
              <w:jc w:val="right"/>
              <w:spacing w:after="0"/>
              <w:rPr>
                <w:sz w:val="20"/>
                <w:szCs w:val="20"/>
                <w:color w:val="auto"/>
              </w:rPr>
            </w:pPr>
            <w:r>
              <w:rPr>
                <w:rFonts w:ascii="Arial" w:cs="Arial" w:eastAsia="Arial" w:hAnsi="Arial"/>
                <w:sz w:val="13"/>
                <w:szCs w:val="13"/>
                <w:color w:val="auto"/>
              </w:rPr>
              <w:t>$2,273</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Seagen</w:t>
            </w:r>
          </w:p>
        </w:tc>
        <w:tc>
          <w:tcPr>
            <w:tcW w:w="540" w:type="dxa"/>
            <w:vAlign w:val="bottom"/>
          </w:tcPr>
          <w:p>
            <w:pPr>
              <w:jc w:val="right"/>
              <w:spacing w:after="0"/>
              <w:rPr>
                <w:sz w:val="20"/>
                <w:szCs w:val="20"/>
                <w:color w:val="auto"/>
              </w:rPr>
            </w:pPr>
            <w:r>
              <w:rPr>
                <w:rFonts w:ascii="Arial" w:cs="Arial" w:eastAsia="Arial" w:hAnsi="Arial"/>
                <w:sz w:val="13"/>
                <w:szCs w:val="13"/>
                <w:color w:val="auto"/>
              </w:rPr>
              <w:t>2,092</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Alnylam</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$16,532</w:t>
            </w:r>
          </w:p>
        </w:tc>
        <w:tc>
          <w:tcPr>
            <w:tcW w:w="1820" w:type="dxa"/>
            <w:vAlign w:val="bottom"/>
          </w:tcPr>
          <w:p>
            <w:pPr>
              <w:ind w:left="40"/>
              <w:spacing w:after="0"/>
              <w:rPr>
                <w:sz w:val="20"/>
                <w:szCs w:val="20"/>
                <w:color w:val="auto"/>
              </w:rPr>
            </w:pPr>
            <w:r>
              <w:rPr>
                <w:rFonts w:ascii="Arial" w:cs="Arial" w:eastAsia="Arial" w:hAnsi="Arial"/>
                <w:sz w:val="13"/>
                <w:szCs w:val="13"/>
                <w:color w:val="auto"/>
              </w:rPr>
              <w:t>BioMarin</w:t>
            </w:r>
          </w:p>
        </w:tc>
        <w:tc>
          <w:tcPr>
            <w:tcW w:w="600" w:type="dxa"/>
            <w:vAlign w:val="bottom"/>
          </w:tcPr>
          <w:p>
            <w:pPr>
              <w:jc w:val="right"/>
              <w:spacing w:after="0"/>
              <w:rPr>
                <w:sz w:val="20"/>
                <w:szCs w:val="20"/>
                <w:color w:val="auto"/>
              </w:rPr>
            </w:pPr>
            <w:r>
              <w:rPr>
                <w:rFonts w:ascii="Arial" w:cs="Arial" w:eastAsia="Arial" w:hAnsi="Arial"/>
                <w:sz w:val="13"/>
                <w:szCs w:val="13"/>
                <w:color w:val="auto"/>
              </w:rPr>
              <w:t>$16,534</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BioMarin</w:t>
            </w:r>
          </w:p>
        </w:tc>
        <w:tc>
          <w:tcPr>
            <w:tcW w:w="540" w:type="dxa"/>
            <w:vAlign w:val="bottom"/>
          </w:tcPr>
          <w:p>
            <w:pPr>
              <w:jc w:val="right"/>
              <w:spacing w:after="0"/>
              <w:rPr>
                <w:sz w:val="20"/>
                <w:szCs w:val="20"/>
                <w:color w:val="auto"/>
              </w:rPr>
            </w:pPr>
            <w:r>
              <w:rPr>
                <w:rFonts w:ascii="Arial" w:cs="Arial" w:eastAsia="Arial" w:hAnsi="Arial"/>
                <w:sz w:val="13"/>
                <w:szCs w:val="13"/>
                <w:color w:val="auto"/>
              </w:rPr>
              <w:t>$1,844</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Incyte</w:t>
            </w:r>
          </w:p>
        </w:tc>
        <w:tc>
          <w:tcPr>
            <w:tcW w:w="540" w:type="dxa"/>
            <w:vAlign w:val="bottom"/>
          </w:tcPr>
          <w:p>
            <w:pPr>
              <w:jc w:val="right"/>
              <w:spacing w:after="0"/>
              <w:rPr>
                <w:sz w:val="20"/>
                <w:szCs w:val="20"/>
                <w:color w:val="auto"/>
              </w:rPr>
            </w:pPr>
            <w:r>
              <w:rPr>
                <w:rFonts w:ascii="Arial" w:cs="Arial" w:eastAsia="Arial" w:hAnsi="Arial"/>
                <w:sz w:val="13"/>
                <w:szCs w:val="13"/>
                <w:color w:val="auto"/>
              </w:rPr>
              <w:t>1,773</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color w:val="auto"/>
              </w:rPr>
              <w:t>BioMarin</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$14,233</w:t>
            </w:r>
          </w:p>
        </w:tc>
        <w:tc>
          <w:tcPr>
            <w:tcW w:w="1820" w:type="dxa"/>
            <w:vAlign w:val="bottom"/>
          </w:tcPr>
          <w:p>
            <w:pPr>
              <w:ind w:left="40"/>
              <w:spacing w:after="0"/>
              <w:rPr>
                <w:sz w:val="20"/>
                <w:szCs w:val="20"/>
                <w:color w:val="auto"/>
              </w:rPr>
            </w:pPr>
            <w:r>
              <w:rPr>
                <w:rFonts w:ascii="Arial" w:cs="Arial" w:eastAsia="Arial" w:hAnsi="Arial"/>
                <w:sz w:val="13"/>
                <w:szCs w:val="13"/>
                <w:color w:val="auto"/>
              </w:rPr>
              <w:t>Alnylam</w:t>
            </w:r>
          </w:p>
        </w:tc>
        <w:tc>
          <w:tcPr>
            <w:tcW w:w="600" w:type="dxa"/>
            <w:vAlign w:val="bottom"/>
          </w:tcPr>
          <w:p>
            <w:pPr>
              <w:jc w:val="right"/>
              <w:spacing w:after="0"/>
              <w:rPr>
                <w:sz w:val="20"/>
                <w:szCs w:val="20"/>
                <w:color w:val="auto"/>
              </w:rPr>
            </w:pPr>
            <w:r>
              <w:rPr>
                <w:rFonts w:ascii="Arial" w:cs="Arial" w:eastAsia="Arial" w:hAnsi="Arial"/>
                <w:sz w:val="13"/>
                <w:szCs w:val="13"/>
                <w:color w:val="auto"/>
              </w:rPr>
              <w:t>$15,084</w:t>
            </w:r>
          </w:p>
        </w:tc>
        <w:tc>
          <w:tcPr>
            <w:tcW w:w="18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Arial" w:cs="Arial" w:eastAsia="Arial" w:hAnsi="Arial"/>
                <w:sz w:val="13"/>
                <w:szCs w:val="13"/>
                <w:color w:val="auto"/>
              </w:rPr>
              <w:t>Alnylam</w:t>
            </w:r>
          </w:p>
        </w:tc>
        <w:tc>
          <w:tcPr>
            <w:tcW w:w="540" w:type="dxa"/>
            <w:vAlign w:val="bottom"/>
          </w:tcPr>
          <w:p>
            <w:pPr>
              <w:jc w:val="right"/>
              <w:spacing w:after="0"/>
              <w:rPr>
                <w:sz w:val="20"/>
                <w:szCs w:val="20"/>
                <w:color w:val="auto"/>
              </w:rPr>
            </w:pPr>
            <w:r>
              <w:rPr>
                <w:rFonts w:ascii="Arial" w:cs="Arial" w:eastAsia="Arial" w:hAnsi="Arial"/>
                <w:sz w:val="13"/>
                <w:szCs w:val="13"/>
                <w:color w:val="auto"/>
              </w:rPr>
              <w:t>$571</w:t>
            </w:r>
          </w:p>
        </w:tc>
        <w:tc>
          <w:tcPr>
            <w:tcW w:w="18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3"/>
                <w:szCs w:val="13"/>
                <w:color w:val="auto"/>
              </w:rPr>
              <w:t>Alnylam</w:t>
            </w:r>
          </w:p>
        </w:tc>
        <w:tc>
          <w:tcPr>
            <w:tcW w:w="540" w:type="dxa"/>
            <w:vAlign w:val="bottom"/>
          </w:tcPr>
          <w:p>
            <w:pPr>
              <w:jc w:val="right"/>
              <w:spacing w:after="0"/>
              <w:rPr>
                <w:sz w:val="20"/>
                <w:szCs w:val="20"/>
                <w:color w:val="auto"/>
              </w:rPr>
            </w:pPr>
            <w:r>
              <w:rPr>
                <w:rFonts w:ascii="Arial" w:cs="Arial" w:eastAsia="Arial" w:hAnsi="Arial"/>
                <w:sz w:val="13"/>
                <w:szCs w:val="13"/>
                <w:color w:val="auto"/>
              </w:rPr>
              <w:t>1,453</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b w:val="1"/>
                <w:bCs w:val="1"/>
                <w:color w:val="auto"/>
              </w:rPr>
              <w:t>75th Percentile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$152,755</w:t>
            </w:r>
          </w:p>
        </w:tc>
        <w:tc>
          <w:tcPr>
            <w:tcW w:w="1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$136,719</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$34,187</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32,625</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b w:val="1"/>
                <w:bCs w:val="1"/>
                <w:color w:val="auto"/>
              </w:rPr>
              <w:t>Median</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$56,484</w:t>
            </w:r>
          </w:p>
        </w:tc>
        <w:tc>
          <w:tcPr>
            <w:tcW w:w="1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$65,255</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$12,604</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9,100</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560" w:type="dxa"/>
            <w:vAlign w:val="bottom"/>
          </w:tcPr>
          <w:p>
            <w:pPr>
              <w:ind w:left="40"/>
              <w:spacing w:after="0"/>
              <w:rPr>
                <w:sz w:val="20"/>
                <w:szCs w:val="20"/>
                <w:color w:val="auto"/>
              </w:rPr>
            </w:pPr>
            <w:r>
              <w:rPr>
                <w:rFonts w:ascii="Arial" w:cs="Arial" w:eastAsia="Arial" w:hAnsi="Arial"/>
                <w:sz w:val="13"/>
                <w:szCs w:val="13"/>
                <w:b w:val="1"/>
                <w:bCs w:val="1"/>
                <w:color w:val="auto"/>
              </w:rPr>
              <w:t>25th Percentile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$22,431</w:t>
            </w:r>
          </w:p>
        </w:tc>
        <w:tc>
          <w:tcPr>
            <w:tcW w:w="18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$21,805</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$2,488</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2,576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56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Regeneron Percentile</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47P</w:t>
            </w:r>
          </w:p>
        </w:tc>
        <w:tc>
          <w:tcPr>
            <w:tcW w:w="18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47P</w:t>
            </w: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45P</w:t>
            </w:r>
          </w:p>
        </w:tc>
        <w:tc>
          <w:tcPr>
            <w:tcW w:w="19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50P</w:t>
            </w:r>
          </w:p>
        </w:tc>
        <w:tc>
          <w:tcPr>
            <w:tcW w:w="0" w:type="dxa"/>
            <w:vAlign w:val="bottom"/>
          </w:tcPr>
          <w:p>
            <w:pPr>
              <w:spacing w:after="0"/>
              <w:rPr>
                <w:sz w:val="1"/>
                <w:szCs w:val="1"/>
                <w:color w:val="auto"/>
              </w:rPr>
            </w:pPr>
          </w:p>
        </w:tc>
      </w:tr>
      <w:tr>
        <w:trPr>
          <w:trHeight w:val="91"/>
        </w:trPr>
        <w:tc>
          <w:tcPr>
            <w:tcW w:w="15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Rank</w:t>
            </w:r>
          </w:p>
        </w:tc>
        <w:tc>
          <w:tcPr>
            <w:tcW w:w="100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560" w:type="dxa"/>
            <w:vAlign w:val="bottom"/>
            <w:tcBorders>
              <w:bottom w:val="single" w:sz="8" w:color="215AA8"/>
            </w:tcBorders>
            <w:vMerge w:val="continue"/>
          </w:tcPr>
          <w:p>
            <w:pPr>
              <w:spacing w:after="0"/>
              <w:rPr>
                <w:sz w:val="7"/>
                <w:szCs w:val="7"/>
                <w:color w:val="auto"/>
              </w:rPr>
            </w:pPr>
          </w:p>
        </w:tc>
        <w:tc>
          <w:tcPr>
            <w:tcW w:w="820" w:type="dxa"/>
            <w:vAlign w:val="bottom"/>
            <w:tcBorders>
              <w:bottom w:val="single" w:sz="8" w:color="215AA8"/>
            </w:tcBorders>
          </w:tcPr>
          <w:p>
            <w:pPr>
              <w:spacing w:after="0"/>
              <w:rPr>
                <w:sz w:val="7"/>
                <w:szCs w:val="7"/>
                <w:color w:val="auto"/>
              </w:rPr>
            </w:pPr>
          </w:p>
        </w:tc>
        <w:tc>
          <w:tcPr>
            <w:tcW w:w="180" w:type="dxa"/>
            <w:vAlign w:val="bottom"/>
            <w:tcBorders>
              <w:bottom w:val="single" w:sz="8" w:color="215AA8"/>
            </w:tcBorders>
          </w:tcPr>
          <w:p>
            <w:pPr>
              <w:spacing w:after="0"/>
              <w:rPr>
                <w:sz w:val="7"/>
                <w:szCs w:val="7"/>
                <w:color w:val="auto"/>
              </w:rPr>
            </w:pPr>
          </w:p>
        </w:tc>
        <w:tc>
          <w:tcPr>
            <w:tcW w:w="1820" w:type="dxa"/>
            <w:vAlign w:val="bottom"/>
            <w:tcBorders>
              <w:bottom w:val="single" w:sz="8" w:color="215AA8"/>
            </w:tcBorders>
          </w:tcPr>
          <w:p>
            <w:pPr>
              <w:spacing w:after="0"/>
              <w:rPr>
                <w:sz w:val="7"/>
                <w:szCs w:val="7"/>
                <w:color w:val="auto"/>
              </w:rPr>
            </w:pPr>
          </w:p>
        </w:tc>
        <w:tc>
          <w:tcPr>
            <w:tcW w:w="600" w:type="dxa"/>
            <w:vAlign w:val="bottom"/>
            <w:tcBorders>
              <w:bottom w:val="single" w:sz="8" w:color="215AA8"/>
            </w:tcBorders>
          </w:tcPr>
          <w:p>
            <w:pPr>
              <w:spacing w:after="0"/>
              <w:rPr>
                <w:sz w:val="7"/>
                <w:szCs w:val="7"/>
                <w:color w:val="auto"/>
              </w:rPr>
            </w:pPr>
          </w:p>
        </w:tc>
        <w:tc>
          <w:tcPr>
            <w:tcW w:w="180" w:type="dxa"/>
            <w:vAlign w:val="bottom"/>
            <w:tcBorders>
              <w:bottom w:val="single" w:sz="8" w:color="215AA8"/>
            </w:tcBorders>
          </w:tcPr>
          <w:p>
            <w:pPr>
              <w:spacing w:after="0"/>
              <w:rPr>
                <w:sz w:val="7"/>
                <w:szCs w:val="7"/>
                <w:color w:val="auto"/>
              </w:rPr>
            </w:pPr>
          </w:p>
        </w:tc>
        <w:tc>
          <w:tcPr>
            <w:tcW w:w="1820" w:type="dxa"/>
            <w:vAlign w:val="bottom"/>
            <w:tcBorders>
              <w:bottom w:val="single" w:sz="8" w:color="215AA8"/>
            </w:tcBorders>
          </w:tcPr>
          <w:p>
            <w:pPr>
              <w:spacing w:after="0"/>
              <w:rPr>
                <w:sz w:val="7"/>
                <w:szCs w:val="7"/>
                <w:color w:val="auto"/>
              </w:rPr>
            </w:pPr>
          </w:p>
        </w:tc>
        <w:tc>
          <w:tcPr>
            <w:tcW w:w="540" w:type="dxa"/>
            <w:vAlign w:val="bottom"/>
            <w:tcBorders>
              <w:bottom w:val="single" w:sz="8" w:color="215AA8"/>
            </w:tcBorders>
          </w:tcPr>
          <w:p>
            <w:pPr>
              <w:spacing w:after="0"/>
              <w:rPr>
                <w:sz w:val="7"/>
                <w:szCs w:val="7"/>
                <w:color w:val="auto"/>
              </w:rPr>
            </w:pPr>
          </w:p>
        </w:tc>
        <w:tc>
          <w:tcPr>
            <w:tcW w:w="180" w:type="dxa"/>
            <w:vAlign w:val="bottom"/>
            <w:tcBorders>
              <w:bottom w:val="single" w:sz="8" w:color="215AA8"/>
            </w:tcBorders>
          </w:tcPr>
          <w:p>
            <w:pPr>
              <w:spacing w:after="0"/>
              <w:rPr>
                <w:sz w:val="7"/>
                <w:szCs w:val="7"/>
                <w:color w:val="auto"/>
              </w:rPr>
            </w:pPr>
          </w:p>
        </w:tc>
        <w:tc>
          <w:tcPr>
            <w:tcW w:w="1920" w:type="dxa"/>
            <w:vAlign w:val="bottom"/>
            <w:tcBorders>
              <w:bottom w:val="single" w:sz="8" w:color="215AA8"/>
            </w:tcBorders>
          </w:tcPr>
          <w:p>
            <w:pPr>
              <w:spacing w:after="0"/>
              <w:rPr>
                <w:sz w:val="7"/>
                <w:szCs w:val="7"/>
                <w:color w:val="auto"/>
              </w:rPr>
            </w:pPr>
          </w:p>
        </w:tc>
        <w:tc>
          <w:tcPr>
            <w:tcW w:w="540" w:type="dxa"/>
            <w:vAlign w:val="bottom"/>
            <w:tcBorders>
              <w:bottom w:val="single" w:sz="8" w:color="215AA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40"/>
        <w:spacing w:after="0"/>
        <w:rPr>
          <w:sz w:val="20"/>
          <w:szCs w:val="20"/>
          <w:color w:val="auto"/>
        </w:rPr>
      </w:pPr>
      <w:r>
        <w:rPr>
          <w:rFonts w:ascii="Arial" w:cs="Arial" w:eastAsia="Arial" w:hAnsi="Arial"/>
          <w:sz w:val="14"/>
          <w:szCs w:val="14"/>
          <w:color w:val="1A1A1A"/>
        </w:rPr>
        <w:t>Note: Seagen was formerly known as Seattle Genetics.</w:t>
      </w:r>
    </w:p>
    <w:p>
      <w:pPr>
        <w:spacing w:after="0" w:line="186"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78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93" w:name="page94"/>
    <w:bookmarkEnd w:id="93"/>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900"/>
        <w:spacing w:after="0" w:line="234" w:lineRule="auto"/>
        <w:rPr>
          <w:sz w:val="20"/>
          <w:szCs w:val="20"/>
          <w:color w:val="auto"/>
        </w:rPr>
      </w:pPr>
      <w:r>
        <w:rPr>
          <w:rFonts w:ascii="Arial" w:cs="Arial" w:eastAsia="Arial" w:hAnsi="Arial"/>
          <w:sz w:val="16"/>
          <w:szCs w:val="16"/>
          <w:color w:val="auto"/>
        </w:rPr>
        <w:t>Further, in our review of the Peer Group data, we consider the practices of the sub-group of peers viewed as having businesses and drug discovery and development cultures that are most similar to Regeneron’s, with similarly-sized employee bases (marked with an asterisk in the table above and referred to as “Biotech R&amp;D Peers”).</w:t>
      </w:r>
    </w:p>
    <w:p>
      <w:pPr>
        <w:spacing w:after="0" w:line="164" w:lineRule="exact"/>
        <w:rPr>
          <w:sz w:val="20"/>
          <w:szCs w:val="20"/>
          <w:color w:val="auto"/>
        </w:rPr>
      </w:pPr>
    </w:p>
    <w:p>
      <w:pPr>
        <w:jc w:val="both"/>
        <w:ind w:left="540" w:right="600"/>
        <w:spacing w:after="0" w:line="231" w:lineRule="auto"/>
        <w:rPr>
          <w:sz w:val="20"/>
          <w:szCs w:val="20"/>
          <w:color w:val="auto"/>
        </w:rPr>
      </w:pPr>
      <w:r>
        <w:rPr>
          <w:rFonts w:ascii="Arial" w:cs="Arial" w:eastAsia="Arial" w:hAnsi="Arial"/>
          <w:sz w:val="16"/>
          <w:szCs w:val="16"/>
          <w:color w:val="auto"/>
        </w:rPr>
        <w:t>In making the compensation decisions in December 2021, we used data from publicly filed proxy statements of the companies in the Peer Group (as compiled by the Compensation Committee’s compensation consultant) to review each component of compensation of our NEOs against their peers in the Peer Group as well as their total annual compensation in relation to the Peer Group, while taking into account various factors such as the executive’s performance, past compensation history, experience, and their role in the Company’s success. We use Peer Group data as a point of reference for measurement, but Peer Group data do not represent the only factor considered and there is no targeted pay level percentile. The Compensation Committee retains discretion in determining the nature and extent of the use of Peer Group data.</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540"/>
        <w:spacing w:after="0" w:line="231" w:lineRule="auto"/>
        <w:rPr>
          <w:sz w:val="20"/>
          <w:szCs w:val="20"/>
          <w:color w:val="auto"/>
        </w:rPr>
      </w:pPr>
      <w:r>
        <w:rPr>
          <w:rFonts w:ascii="Arial" w:cs="Arial" w:eastAsia="Arial" w:hAnsi="Arial"/>
          <w:sz w:val="16"/>
          <w:szCs w:val="16"/>
          <w:color w:val="auto"/>
        </w:rPr>
        <w:t>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 We regularly review the Company’s compensation and benefits programs, including its executive compensation program and its incentive-based compensation programs (such as sales incentive plans). At least annually the Compensation Committee reviews and considers a compensation program risk assessment performed by its independent compensation consultant.</w:t>
      </w:r>
    </w:p>
    <w:p>
      <w:pPr>
        <w:spacing w:after="0" w:line="166"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The Company’s compensation and governance-related policies are further enhanced by our stock ownership guidelines applicable to our senior officers and our policy regarding recoupment or reduction (clawback) of incentive compensation of our officers and other specified employees for compliance violations. Our policy regarding recoupment or reduction (clawback) of incentive compensation for compliance violations applies to bonus and other incentive compensation, regardless of whether paid or payable in cash, equity, or otherwise and regardless of whether such compensation has been earned or vested. In addition, the policy covers both financial and non-financial violations resulting in a significant harm to the Company’s business, prospects, results of operations, or financial condition. Under the policy, the board and any designated committee of the board have full discretion to make recoupment and reduction decisions as they may deem appropriate subject to applicable law, the Company’s compensation plans in effect from time to time, and all relevant contractual obligations.</w:t>
      </w:r>
    </w:p>
    <w:p>
      <w:pPr>
        <w:spacing w:after="0" w:line="169" w:lineRule="exact"/>
        <w:rPr>
          <w:sz w:val="20"/>
          <w:szCs w:val="20"/>
          <w:color w:val="auto"/>
        </w:rPr>
      </w:pPr>
    </w:p>
    <w:p>
      <w:pPr>
        <w:jc w:val="both"/>
        <w:ind w:left="540" w:right="680"/>
        <w:spacing w:after="0" w:line="232" w:lineRule="auto"/>
        <w:rPr>
          <w:sz w:val="20"/>
          <w:szCs w:val="20"/>
          <w:color w:val="auto"/>
        </w:rPr>
      </w:pPr>
      <w:r>
        <w:rPr>
          <w:rFonts w:ascii="Arial" w:cs="Arial" w:eastAsia="Arial" w:hAnsi="Arial"/>
          <w:sz w:val="16"/>
          <w:szCs w:val="16"/>
          <w:color w:val="auto"/>
        </w:rPr>
        <w:t>We also have adopted policies against hedging and pledging of our securities by our directors and employees, including the NEOs; and against including excise tax gross-up provisions with respect to payments contingent upon a change in control of Regeneron in contracts, compensatory plans, or other arrangements with the Company’s executive officers, including the NEOs (other than the existing employment agreement with our CEO or any amendments thereto, which we expressly exempted).</w:t>
      </w:r>
    </w:p>
    <w:p>
      <w:pPr>
        <w:spacing w:after="0" w:line="166" w:lineRule="exact"/>
        <w:rPr>
          <w:sz w:val="20"/>
          <w:szCs w:val="20"/>
          <w:color w:val="auto"/>
        </w:rPr>
      </w:pPr>
    </w:p>
    <w:p>
      <w:pPr>
        <w:ind w:left="540" w:right="720"/>
        <w:spacing w:after="0" w:line="265" w:lineRule="auto"/>
        <w:rPr>
          <w:sz w:val="20"/>
          <w:szCs w:val="20"/>
          <w:color w:val="auto"/>
        </w:rPr>
      </w:pPr>
      <w:r>
        <w:rPr>
          <w:rFonts w:ascii="Arial" w:cs="Arial" w:eastAsia="Arial" w:hAnsi="Arial"/>
          <w:sz w:val="15"/>
          <w:szCs w:val="15"/>
          <w:color w:val="auto"/>
        </w:rPr>
        <w:t>These policies demonstrate Regeneron’s continued commitment to robust corporate governance and are meant to reduce compensation-related risks and ensure greater alignment of the interests of our employees, including the NEOs, and those of the Company and our shareholders.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TAX IMPLICATIONS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take tax considerations into account in making our compensation-related assessments and decisions.</w:t>
      </w:r>
    </w:p>
    <w:p>
      <w:pPr>
        <w:spacing w:after="0" w:line="167" w:lineRule="exact"/>
        <w:rPr>
          <w:sz w:val="20"/>
          <w:szCs w:val="20"/>
          <w:color w:val="auto"/>
        </w:rPr>
      </w:pPr>
    </w:p>
    <w:p>
      <w:pPr>
        <w:ind w:left="540" w:right="620"/>
        <w:spacing w:after="0" w:line="231" w:lineRule="auto"/>
        <w:rPr>
          <w:sz w:val="20"/>
          <w:szCs w:val="20"/>
          <w:color w:val="auto"/>
        </w:rPr>
      </w:pPr>
      <w:r>
        <w:rPr>
          <w:rFonts w:ascii="Arial" w:cs="Arial" w:eastAsia="Arial" w:hAnsi="Arial"/>
          <w:sz w:val="16"/>
          <w:szCs w:val="16"/>
          <w:color w:val="auto"/>
        </w:rPr>
        <w:t>Prior to the enactment of the Tax Cuts and Jobs Act in December 2017, Section 162(m) of the Internal Revenue Code generally limited the deductibility for federal income tax purposes of compensation in any year paid to the CEO and the other NEOs (other than the Chief Financial Officer) (the “covered employees”) to the extent such compensation exceeded $1 million, subject to certain exceptions. “Performance-based” compensation, as defined under Section 162(m) of the Internal Revenue Code, was exempt from such deduction limitation if specified requirements set forth in the Internal Revenue Code and applicable Treasury regulations were met. The Regeneron Pharmaceuticals, Inc. Cash Incentive Bonus Plan, adopted prior to the enactment of the Tax Cuts and Jobs Act, allows (but does not require) awards thereunder to be subject to the attainment of performance goals in order to qualify for this performance-based compensation exception.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79</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94" w:name="page95"/>
    <w:bookmarkEnd w:id="94"/>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Under the Tax Cuts and Jobs Act, which generally became effective for us commencing with our 2018 fiscal year, the exception under Section 162(m) for performance-based compensation is no longer generally available, subject to transition relief for certain grandfathered arrangements in effect as of November 2, 2017. Further, the definition of covered employees has been expanded to include our CFO. In addition, once one of our NEOs is considered a covered employee subject to the deduction limitation of Section 162(m), the NEO will remain a covered employee so long as he or she receives compensation from us. Despite the elimination of the performance-based compensation exception, we have continued to use the Cash Incentive Bonus Plan for annual cash incentives of the NEOs because we believe it furthers our compensation philosophy and objectives regardless of tax treatment. The Compensation Committee will continue to review the full impact of Section 162(m) (as revised by the Tax Cuts and Jobs Act) on the Company, our compensation programs, and executive compensation trends generally as it makes compensation-related assessments and decisions in the future.</w:t>
      </w:r>
    </w:p>
    <w:p>
      <w:pPr>
        <w:spacing w:after="0" w:line="168" w:lineRule="exact"/>
        <w:rPr>
          <w:sz w:val="20"/>
          <w:szCs w:val="20"/>
          <w:color w:val="auto"/>
        </w:rPr>
      </w:pPr>
    </w:p>
    <w:p>
      <w:pPr>
        <w:ind w:left="540" w:right="740"/>
        <w:spacing w:after="0" w:line="232" w:lineRule="auto"/>
        <w:rPr>
          <w:sz w:val="20"/>
          <w:szCs w:val="20"/>
          <w:color w:val="auto"/>
        </w:rPr>
      </w:pPr>
      <w:r>
        <w:rPr>
          <w:rFonts w:ascii="Arial" w:cs="Arial" w:eastAsia="Arial" w:hAnsi="Arial"/>
          <w:sz w:val="16"/>
          <w:szCs w:val="16"/>
          <w:color w:val="auto"/>
        </w:rPr>
        <w:t>Due to the requirements set forth in Section 274(e)(2) of the Internal Revenue Code, Company-provided personal and guest air travel (which is provided by the Company only to the extent permitted under board-approved guidelines and a security policy adopted by the board based on an independent, third-party security study) results in a partial disallowance of the related corporate tax deductions. In 2021, this disallowance amounted to approximately $3.2 million.</w:t>
      </w:r>
    </w:p>
    <w:p>
      <w:pPr>
        <w:spacing w:after="0" w:line="166" w:lineRule="exact"/>
        <w:rPr>
          <w:sz w:val="20"/>
          <w:szCs w:val="20"/>
          <w:color w:val="auto"/>
        </w:rPr>
      </w:pPr>
    </w:p>
    <w:p>
      <w:pPr>
        <w:ind w:left="540" w:right="620"/>
        <w:spacing w:after="0" w:line="232" w:lineRule="auto"/>
        <w:rPr>
          <w:sz w:val="20"/>
          <w:szCs w:val="20"/>
          <w:color w:val="auto"/>
        </w:rPr>
      </w:pPr>
      <w:r>
        <w:rPr>
          <w:rFonts w:ascii="Arial" w:cs="Arial" w:eastAsia="Arial" w:hAnsi="Arial"/>
          <w:sz w:val="16"/>
          <w:szCs w:val="16"/>
          <w:color w:val="auto"/>
        </w:rPr>
        <w:t>We take into account the deductibility of compensation in determining NEOs’ compensation. However, we reserve the right to use our judgment to authorize compensation payments that are not deductible, such as when we believe that such payments are necessary to maintain the flexibility needed to attract talent, promote executive retention, reward performance, or attain other Company objectives, or as required to comply with the Company’s contractual commitments.</w:t>
      </w:r>
    </w:p>
    <w:p>
      <w:pPr>
        <w:spacing w:after="0" w:line="187"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80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95" w:name="page96"/>
    <w:bookmarkEnd w:id="95"/>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COMPENSATION COMMITTEE REPORT</w:t>
      </w:r>
    </w:p>
    <w:p>
      <w:pPr>
        <w:spacing w:after="0" w:line="225" w:lineRule="exact"/>
        <w:rPr>
          <w:sz w:val="20"/>
          <w:szCs w:val="20"/>
          <w:color w:val="auto"/>
        </w:rPr>
      </w:pPr>
    </w:p>
    <w:p>
      <w:pPr>
        <w:ind w:left="540" w:right="700"/>
        <w:spacing w:after="0" w:line="234" w:lineRule="auto"/>
        <w:rPr>
          <w:sz w:val="20"/>
          <w:szCs w:val="20"/>
          <w:color w:val="auto"/>
        </w:rPr>
      </w:pPr>
      <w:r>
        <w:rPr>
          <w:rFonts w:ascii="Arial" w:cs="Arial" w:eastAsia="Arial" w:hAnsi="Arial"/>
          <w:sz w:val="16"/>
          <w:szCs w:val="16"/>
          <w:color w:val="auto"/>
        </w:rPr>
        <w:t>We, the members of the Compensation Committee, have reviewed and discussed with management the Compensation Discussion and Analysis set forth above. Based on that review and discussion, we have recommended to the board of directors that the Compensation Discussion and Analysis be included in this proxy statement.</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15BA8"/>
        </w:rPr>
        <w:t>The Compensation Committee</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Christine A. Poon, Chair</w:t>
      </w:r>
    </w:p>
    <w:p>
      <w:pPr>
        <w:ind w:left="540"/>
        <w:spacing w:after="0" w:line="228" w:lineRule="auto"/>
        <w:rPr>
          <w:sz w:val="20"/>
          <w:szCs w:val="20"/>
          <w:color w:val="auto"/>
        </w:rPr>
      </w:pPr>
      <w:r>
        <w:rPr>
          <w:rFonts w:ascii="Arial" w:cs="Arial" w:eastAsia="Arial" w:hAnsi="Arial"/>
          <w:sz w:val="16"/>
          <w:szCs w:val="16"/>
          <w:color w:val="auto"/>
        </w:rPr>
        <w:t>George L. Sing</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Huda Y. Zoghbi,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0" w:right="1360"/>
        <w:spacing w:after="0" w:line="274" w:lineRule="auto"/>
        <w:rPr>
          <w:sz w:val="20"/>
          <w:szCs w:val="20"/>
          <w:color w:val="auto"/>
        </w:rPr>
      </w:pPr>
      <w:r>
        <w:rPr>
          <w:rFonts w:ascii="Arial" w:cs="Arial" w:eastAsia="Arial" w:hAnsi="Arial"/>
          <w:sz w:val="40"/>
          <w:szCs w:val="40"/>
          <w:b w:val="1"/>
          <w:bCs w:val="1"/>
          <w:color w:val="215BA8"/>
        </w:rPr>
        <w:t>COMPENSATION COMMITTEE INTERLOCKS AND INSIDER PARTICIPATION</w:t>
      </w:r>
    </w:p>
    <w:p>
      <w:pPr>
        <w:spacing w:after="0" w:line="94" w:lineRule="exact"/>
        <w:rPr>
          <w:sz w:val="20"/>
          <w:szCs w:val="20"/>
          <w:color w:val="auto"/>
        </w:rPr>
      </w:pPr>
    </w:p>
    <w:p>
      <w:pPr>
        <w:ind w:left="540" w:right="640"/>
        <w:spacing w:after="0" w:line="234" w:lineRule="auto"/>
        <w:rPr>
          <w:sz w:val="20"/>
          <w:szCs w:val="20"/>
          <w:color w:val="auto"/>
        </w:rPr>
      </w:pPr>
      <w:r>
        <w:rPr>
          <w:rFonts w:ascii="Arial" w:cs="Arial" w:eastAsia="Arial" w:hAnsi="Arial"/>
          <w:sz w:val="16"/>
          <w:szCs w:val="16"/>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81</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96" w:name="page97"/>
    <w:bookmarkEnd w:id="96"/>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405765</wp:posOffset>
            </wp:positionV>
            <wp:extent cx="6858000" cy="11912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2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47"/>
          <w:szCs w:val="47"/>
          <w:b w:val="1"/>
          <w:bCs w:val="1"/>
          <w:color w:val="215AA8"/>
        </w:rPr>
        <w:t>COMPENSATION DASHBOARD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2021 EXECUTIVE COMPENSATION TABLES</w:t>
      </w:r>
    </w:p>
    <w:p>
      <w:pPr>
        <w:spacing w:after="0" w:line="212" w:lineRule="exact"/>
        <w:rPr>
          <w:sz w:val="20"/>
          <w:szCs w:val="20"/>
          <w:color w:val="auto"/>
        </w:rPr>
      </w:pPr>
    </w:p>
    <w:p>
      <w:pPr>
        <w:ind w:left="540" w:right="580"/>
        <w:spacing w:after="0" w:line="236" w:lineRule="auto"/>
        <w:rPr>
          <w:sz w:val="20"/>
          <w:szCs w:val="20"/>
          <w:color w:val="auto"/>
        </w:rPr>
      </w:pPr>
      <w:r>
        <w:rPr>
          <w:rFonts w:ascii="Arial" w:cs="Arial" w:eastAsia="Arial" w:hAnsi="Arial"/>
          <w:sz w:val="16"/>
          <w:szCs w:val="16"/>
          <w:color w:val="auto"/>
        </w:rPr>
        <w:t>The following table and accompanying footnotes provide information regarding compensation earned by, or paid to, our NEOs during the last three fiscal years (other than with respect to Mr. LaRosa, who qualified as an NEO for 2021 but not for 2020 or 2019).</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2021 Summary Compensation Table</w:t>
      </w:r>
    </w:p>
    <w:p>
      <w:pPr>
        <w:spacing w:after="0" w:line="160"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700" w:type="dxa"/>
            <w:vAlign w:val="bottom"/>
            <w:tcBorders>
              <w:top w:val="single" w:sz="8" w:color="2459A8"/>
              <w:bottom w:val="single" w:sz="8" w:color="2459A8"/>
            </w:tcBorders>
          </w:tcPr>
          <w:p>
            <w:pPr>
              <w:ind w:left="1300"/>
              <w:spacing w:after="0"/>
              <w:rPr>
                <w:sz w:val="20"/>
                <w:szCs w:val="20"/>
                <w:color w:val="auto"/>
              </w:rPr>
            </w:pPr>
            <w:r>
              <w:rPr>
                <w:rFonts w:ascii="Arial" w:cs="Arial" w:eastAsia="Arial" w:hAnsi="Arial"/>
                <w:sz w:val="12"/>
                <w:szCs w:val="12"/>
                <w:b w:val="1"/>
                <w:bCs w:val="1"/>
                <w:color w:val="215AA8"/>
              </w:rPr>
              <w:t>A</w:t>
            </w:r>
          </w:p>
        </w:tc>
        <w:tc>
          <w:tcPr>
            <w:tcW w:w="80" w:type="dxa"/>
            <w:vAlign w:val="bottom"/>
            <w:tcBorders>
              <w:top w:val="single" w:sz="8" w:color="2459A8"/>
              <w:bottom w:val="single" w:sz="8" w:color="2459A8"/>
            </w:tcBorders>
          </w:tcPr>
          <w:p>
            <w:pPr>
              <w:spacing w:after="0"/>
              <w:rPr>
                <w:sz w:val="14"/>
                <w:szCs w:val="14"/>
                <w:color w:val="auto"/>
              </w:rPr>
            </w:pPr>
          </w:p>
        </w:tc>
        <w:tc>
          <w:tcPr>
            <w:tcW w:w="660" w:type="dxa"/>
            <w:vAlign w:val="bottom"/>
            <w:tcBorders>
              <w:top w:val="single" w:sz="8" w:color="2459A8"/>
              <w:bottom w:val="single" w:sz="8" w:color="2459A8"/>
            </w:tcBorders>
            <w:gridSpan w:val="2"/>
          </w:tcPr>
          <w:p>
            <w:pPr>
              <w:ind w:left="220"/>
              <w:spacing w:after="0"/>
              <w:rPr>
                <w:sz w:val="20"/>
                <w:szCs w:val="20"/>
                <w:color w:val="auto"/>
              </w:rPr>
            </w:pPr>
            <w:r>
              <w:rPr>
                <w:rFonts w:ascii="Arial" w:cs="Arial" w:eastAsia="Arial" w:hAnsi="Arial"/>
                <w:sz w:val="12"/>
                <w:szCs w:val="12"/>
                <w:b w:val="1"/>
                <w:bCs w:val="1"/>
                <w:color w:val="215AA8"/>
              </w:rPr>
              <w:t>B</w:t>
            </w:r>
          </w:p>
        </w:tc>
        <w:tc>
          <w:tcPr>
            <w:tcW w:w="1080" w:type="dxa"/>
            <w:vAlign w:val="bottom"/>
            <w:tcBorders>
              <w:top w:val="single" w:sz="8" w:color="2459A8"/>
              <w:bottom w:val="single" w:sz="8" w:color="2459A8"/>
            </w:tcBorders>
          </w:tcPr>
          <w:p>
            <w:pPr>
              <w:jc w:val="right"/>
              <w:ind w:right="516"/>
              <w:spacing w:after="0"/>
              <w:rPr>
                <w:sz w:val="20"/>
                <w:szCs w:val="20"/>
                <w:color w:val="auto"/>
              </w:rPr>
            </w:pPr>
            <w:r>
              <w:rPr>
                <w:rFonts w:ascii="Arial" w:cs="Arial" w:eastAsia="Arial" w:hAnsi="Arial"/>
                <w:sz w:val="12"/>
                <w:szCs w:val="12"/>
                <w:b w:val="1"/>
                <w:bCs w:val="1"/>
                <w:color w:val="215AA8"/>
              </w:rPr>
              <w:t>C</w:t>
            </w:r>
          </w:p>
        </w:tc>
        <w:tc>
          <w:tcPr>
            <w:tcW w:w="1120" w:type="dxa"/>
            <w:vAlign w:val="bottom"/>
            <w:tcBorders>
              <w:top w:val="single" w:sz="8" w:color="2459A8"/>
              <w:bottom w:val="single" w:sz="8" w:color="2459A8"/>
            </w:tcBorders>
          </w:tcPr>
          <w:p>
            <w:pPr>
              <w:jc w:val="center"/>
              <w:ind w:right="96"/>
              <w:spacing w:after="0"/>
              <w:rPr>
                <w:sz w:val="20"/>
                <w:szCs w:val="20"/>
                <w:color w:val="auto"/>
              </w:rPr>
            </w:pPr>
            <w:r>
              <w:rPr>
                <w:rFonts w:ascii="Arial" w:cs="Arial" w:eastAsia="Arial" w:hAnsi="Arial"/>
                <w:sz w:val="12"/>
                <w:szCs w:val="12"/>
                <w:b w:val="1"/>
                <w:bCs w:val="1"/>
                <w:color w:val="215AA8"/>
                <w:w w:val="99"/>
              </w:rPr>
              <w:t>E</w:t>
            </w:r>
          </w:p>
        </w:tc>
        <w:tc>
          <w:tcPr>
            <w:tcW w:w="1020" w:type="dxa"/>
            <w:vAlign w:val="bottom"/>
            <w:tcBorders>
              <w:top w:val="single" w:sz="8" w:color="2459A8"/>
              <w:bottom w:val="single" w:sz="8" w:color="2459A8"/>
            </w:tcBorders>
          </w:tcPr>
          <w:p>
            <w:pPr>
              <w:jc w:val="center"/>
              <w:ind w:right="36"/>
              <w:spacing w:after="0"/>
              <w:rPr>
                <w:sz w:val="20"/>
                <w:szCs w:val="20"/>
                <w:color w:val="auto"/>
              </w:rPr>
            </w:pPr>
            <w:r>
              <w:rPr>
                <w:rFonts w:ascii="Arial" w:cs="Arial" w:eastAsia="Arial" w:hAnsi="Arial"/>
                <w:sz w:val="12"/>
                <w:szCs w:val="12"/>
                <w:b w:val="1"/>
                <w:bCs w:val="1"/>
                <w:color w:val="215AA8"/>
              </w:rPr>
              <w:t>F</w:t>
            </w:r>
          </w:p>
        </w:tc>
        <w:tc>
          <w:tcPr>
            <w:tcW w:w="118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2"/>
                <w:szCs w:val="12"/>
                <w:b w:val="1"/>
                <w:bCs w:val="1"/>
                <w:color w:val="215AA8"/>
                <w:w w:val="85"/>
              </w:rPr>
              <w:t>G</w:t>
            </w:r>
          </w:p>
        </w:tc>
        <w:tc>
          <w:tcPr>
            <w:tcW w:w="1340" w:type="dxa"/>
            <w:vAlign w:val="bottom"/>
            <w:tcBorders>
              <w:top w:val="single" w:sz="8" w:color="2459A8"/>
              <w:bottom w:val="single" w:sz="8" w:color="2459A8"/>
            </w:tcBorders>
          </w:tcPr>
          <w:p>
            <w:pPr>
              <w:jc w:val="right"/>
              <w:ind w:right="718"/>
              <w:spacing w:after="0"/>
              <w:rPr>
                <w:sz w:val="20"/>
                <w:szCs w:val="20"/>
                <w:color w:val="auto"/>
              </w:rPr>
            </w:pPr>
            <w:r>
              <w:rPr>
                <w:rFonts w:ascii="Arial" w:cs="Arial" w:eastAsia="Arial" w:hAnsi="Arial"/>
                <w:sz w:val="12"/>
                <w:szCs w:val="12"/>
                <w:b w:val="1"/>
                <w:bCs w:val="1"/>
                <w:color w:val="215AA8"/>
              </w:rPr>
              <w:t>I</w:t>
            </w:r>
          </w:p>
        </w:tc>
        <w:tc>
          <w:tcPr>
            <w:tcW w:w="980" w:type="dxa"/>
            <w:vAlign w:val="bottom"/>
            <w:tcBorders>
              <w:top w:val="single" w:sz="8" w:color="2459A8"/>
              <w:bottom w:val="single" w:sz="8" w:color="2459A8"/>
            </w:tcBorders>
          </w:tcPr>
          <w:p>
            <w:pPr>
              <w:jc w:val="right"/>
              <w:ind w:right="496"/>
              <w:spacing w:after="0"/>
              <w:rPr>
                <w:sz w:val="20"/>
                <w:szCs w:val="20"/>
                <w:color w:val="auto"/>
              </w:rPr>
            </w:pPr>
            <w:r>
              <w:rPr>
                <w:rFonts w:ascii="Arial" w:cs="Arial" w:eastAsia="Arial" w:hAnsi="Arial"/>
                <w:sz w:val="12"/>
                <w:szCs w:val="12"/>
                <w:b w:val="1"/>
                <w:bCs w:val="1"/>
                <w:color w:val="215AA8"/>
              </w:rPr>
              <w:t>J</w:t>
            </w:r>
          </w:p>
        </w:tc>
        <w:tc>
          <w:tcPr>
            <w:tcW w:w="0" w:type="dxa"/>
            <w:vAlign w:val="bottom"/>
          </w:tcPr>
          <w:p>
            <w:pPr>
              <w:spacing w:after="0"/>
              <w:rPr>
                <w:sz w:val="1"/>
                <w:szCs w:val="1"/>
                <w:color w:val="auto"/>
              </w:rPr>
            </w:pPr>
          </w:p>
        </w:tc>
      </w:tr>
      <w:tr>
        <w:trPr>
          <w:trHeight w:val="90"/>
        </w:trPr>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vMerge w:val="restart"/>
          </w:tcPr>
          <w:p>
            <w:pPr>
              <w:jc w:val="center"/>
              <w:ind w:right="136"/>
              <w:spacing w:after="0"/>
              <w:rPr>
                <w:sz w:val="20"/>
                <w:szCs w:val="20"/>
                <w:color w:val="auto"/>
              </w:rPr>
            </w:pPr>
            <w:r>
              <w:rPr>
                <w:rFonts w:ascii="Arial" w:cs="Arial" w:eastAsia="Arial" w:hAnsi="Arial"/>
                <w:sz w:val="12"/>
                <w:szCs w:val="12"/>
                <w:b w:val="1"/>
                <w:bCs w:val="1"/>
                <w:color w:val="215AA8"/>
                <w:w w:val="97"/>
              </w:rPr>
              <w:t>Stock</w:t>
            </w:r>
          </w:p>
        </w:tc>
        <w:tc>
          <w:tcPr>
            <w:tcW w:w="102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215AA8"/>
                <w:w w:val="98"/>
              </w:rPr>
              <w:t>Option</w:t>
            </w:r>
          </w:p>
        </w:tc>
        <w:tc>
          <w:tcPr>
            <w:tcW w:w="1180" w:type="dxa"/>
            <w:vAlign w:val="bottom"/>
          </w:tcPr>
          <w:p>
            <w:pPr>
              <w:jc w:val="center"/>
              <w:spacing w:after="0" w:line="90" w:lineRule="exact"/>
              <w:rPr>
                <w:sz w:val="20"/>
                <w:szCs w:val="20"/>
                <w:color w:val="auto"/>
              </w:rPr>
            </w:pPr>
            <w:r>
              <w:rPr>
                <w:rFonts w:ascii="Arial" w:cs="Arial" w:eastAsia="Arial" w:hAnsi="Arial"/>
                <w:sz w:val="9"/>
                <w:szCs w:val="9"/>
                <w:b w:val="1"/>
                <w:bCs w:val="1"/>
                <w:color w:val="215AA8"/>
              </w:rPr>
              <w:t>Non-Equity</w:t>
            </w:r>
          </w:p>
        </w:tc>
        <w:tc>
          <w:tcPr>
            <w:tcW w:w="1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2"/>
                <w:szCs w:val="12"/>
                <w:b w:val="1"/>
                <w:bCs w:val="1"/>
                <w:color w:val="215AA8"/>
                <w:w w:val="96"/>
              </w:rPr>
              <w:t>Incentive Plan</w:t>
            </w:r>
          </w:p>
        </w:tc>
        <w:tc>
          <w:tcPr>
            <w:tcW w:w="1340" w:type="dxa"/>
            <w:vAlign w:val="bottom"/>
          </w:tcPr>
          <w:p>
            <w:pPr>
              <w:jc w:val="right"/>
              <w:ind w:right="398"/>
              <w:spacing w:after="0"/>
              <w:rPr>
                <w:sz w:val="20"/>
                <w:szCs w:val="20"/>
                <w:color w:val="auto"/>
              </w:rPr>
            </w:pPr>
            <w:r>
              <w:rPr>
                <w:rFonts w:ascii="Arial" w:cs="Arial" w:eastAsia="Arial" w:hAnsi="Arial"/>
                <w:sz w:val="12"/>
                <w:szCs w:val="12"/>
                <w:b w:val="1"/>
                <w:bCs w:val="1"/>
                <w:color w:val="215AA8"/>
              </w:rPr>
              <w:t>All Other</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700" w:type="dxa"/>
            <w:vAlign w:val="bottom"/>
            <w:tcBorders>
              <w:bottom w:val="single" w:sz="8" w:color="2459A8"/>
            </w:tcBorders>
          </w:tcPr>
          <w:p>
            <w:pPr>
              <w:spacing w:after="0"/>
              <w:rPr>
                <w:sz w:val="20"/>
                <w:szCs w:val="20"/>
                <w:color w:val="auto"/>
              </w:rPr>
            </w:pPr>
            <w:r>
              <w:rPr>
                <w:rFonts w:ascii="Arial" w:cs="Arial" w:eastAsia="Arial" w:hAnsi="Arial"/>
                <w:sz w:val="12"/>
                <w:szCs w:val="12"/>
                <w:b w:val="1"/>
                <w:bCs w:val="1"/>
                <w:color w:val="215AA8"/>
              </w:rPr>
              <w:t>Name and principal position</w:t>
            </w:r>
          </w:p>
        </w:tc>
        <w:tc>
          <w:tcPr>
            <w:tcW w:w="80" w:type="dxa"/>
            <w:vAlign w:val="bottom"/>
            <w:tcBorders>
              <w:bottom w:val="single" w:sz="8" w:color="2459A8"/>
            </w:tcBorders>
          </w:tcPr>
          <w:p>
            <w:pPr>
              <w:spacing w:after="0"/>
              <w:rPr>
                <w:sz w:val="15"/>
                <w:szCs w:val="15"/>
                <w:color w:val="auto"/>
              </w:rPr>
            </w:pPr>
          </w:p>
        </w:tc>
        <w:tc>
          <w:tcPr>
            <w:tcW w:w="660" w:type="dxa"/>
            <w:vAlign w:val="bottom"/>
            <w:tcBorders>
              <w:bottom w:val="single" w:sz="8" w:color="2459A8"/>
            </w:tcBorders>
            <w:gridSpan w:val="2"/>
          </w:tcPr>
          <w:p>
            <w:pPr>
              <w:ind w:left="140"/>
              <w:spacing w:after="0"/>
              <w:rPr>
                <w:sz w:val="20"/>
                <w:szCs w:val="20"/>
                <w:color w:val="auto"/>
              </w:rPr>
            </w:pPr>
            <w:r>
              <w:rPr>
                <w:rFonts w:ascii="Arial" w:cs="Arial" w:eastAsia="Arial" w:hAnsi="Arial"/>
                <w:sz w:val="12"/>
                <w:szCs w:val="12"/>
                <w:b w:val="1"/>
                <w:bCs w:val="1"/>
                <w:color w:val="215AA8"/>
              </w:rPr>
              <w:t>Year</w:t>
            </w:r>
          </w:p>
        </w:tc>
        <w:tc>
          <w:tcPr>
            <w:tcW w:w="1080" w:type="dxa"/>
            <w:vAlign w:val="bottom"/>
            <w:tcBorders>
              <w:bottom w:val="single" w:sz="8" w:color="2459A8"/>
            </w:tcBorders>
          </w:tcPr>
          <w:p>
            <w:pPr>
              <w:jc w:val="right"/>
              <w:ind w:right="296"/>
              <w:spacing w:after="0" w:line="172" w:lineRule="exact"/>
              <w:rPr>
                <w:sz w:val="20"/>
                <w:szCs w:val="20"/>
                <w:color w:val="auto"/>
              </w:rPr>
            </w:pPr>
            <w:r>
              <w:rPr>
                <w:rFonts w:ascii="Arial" w:cs="Arial" w:eastAsia="Arial" w:hAnsi="Arial"/>
                <w:sz w:val="12"/>
                <w:szCs w:val="12"/>
                <w:b w:val="1"/>
                <w:bCs w:val="1"/>
                <w:color w:val="215AA8"/>
              </w:rPr>
              <w:t>Salary ($)</w:t>
            </w:r>
            <w:r>
              <w:rPr>
                <w:rFonts w:ascii="Arial" w:cs="Arial" w:eastAsia="Arial" w:hAnsi="Arial"/>
                <w:sz w:val="19"/>
                <w:szCs w:val="19"/>
                <w:b w:val="1"/>
                <w:bCs w:val="1"/>
                <w:color w:val="215AA8"/>
                <w:vertAlign w:val="superscript"/>
              </w:rPr>
              <w:t>1</w:t>
            </w:r>
          </w:p>
        </w:tc>
        <w:tc>
          <w:tcPr>
            <w:tcW w:w="1120" w:type="dxa"/>
            <w:vAlign w:val="bottom"/>
            <w:tcBorders>
              <w:bottom w:val="single" w:sz="8" w:color="2459A8"/>
            </w:tcBorders>
          </w:tcPr>
          <w:p>
            <w:pPr>
              <w:jc w:val="center"/>
              <w:ind w:right="136"/>
              <w:spacing w:after="0" w:line="172" w:lineRule="exact"/>
              <w:rPr>
                <w:sz w:val="20"/>
                <w:szCs w:val="20"/>
                <w:color w:val="auto"/>
              </w:rPr>
            </w:pPr>
            <w:r>
              <w:rPr>
                <w:rFonts w:ascii="Arial" w:cs="Arial" w:eastAsia="Arial" w:hAnsi="Arial"/>
                <w:sz w:val="12"/>
                <w:szCs w:val="12"/>
                <w:b w:val="1"/>
                <w:bCs w:val="1"/>
                <w:color w:val="215AA8"/>
                <w:w w:val="96"/>
              </w:rPr>
              <w:t>awards ($)</w:t>
            </w:r>
            <w:r>
              <w:rPr>
                <w:rFonts w:ascii="Arial" w:cs="Arial" w:eastAsia="Arial" w:hAnsi="Arial"/>
                <w:sz w:val="19"/>
                <w:szCs w:val="19"/>
                <w:b w:val="1"/>
                <w:bCs w:val="1"/>
                <w:color w:val="215AA8"/>
                <w:w w:val="96"/>
                <w:vertAlign w:val="superscript"/>
              </w:rPr>
              <w:t>2</w:t>
            </w:r>
          </w:p>
        </w:tc>
        <w:tc>
          <w:tcPr>
            <w:tcW w:w="1020" w:type="dxa"/>
            <w:vAlign w:val="bottom"/>
            <w:tcBorders>
              <w:bottom w:val="single" w:sz="8" w:color="2459A8"/>
            </w:tcBorders>
          </w:tcPr>
          <w:p>
            <w:pPr>
              <w:jc w:val="center"/>
              <w:ind w:right="56"/>
              <w:spacing w:after="0" w:line="172" w:lineRule="exact"/>
              <w:rPr>
                <w:sz w:val="20"/>
                <w:szCs w:val="20"/>
                <w:color w:val="auto"/>
              </w:rPr>
            </w:pPr>
            <w:r>
              <w:rPr>
                <w:rFonts w:ascii="Arial" w:cs="Arial" w:eastAsia="Arial" w:hAnsi="Arial"/>
                <w:sz w:val="12"/>
                <w:szCs w:val="12"/>
                <w:b w:val="1"/>
                <w:bCs w:val="1"/>
                <w:color w:val="215AA8"/>
                <w:w w:val="93"/>
              </w:rPr>
              <w:t>awards ($)</w:t>
            </w:r>
            <w:r>
              <w:rPr>
                <w:rFonts w:ascii="Arial" w:cs="Arial" w:eastAsia="Arial" w:hAnsi="Arial"/>
                <w:sz w:val="19"/>
                <w:szCs w:val="19"/>
                <w:b w:val="1"/>
                <w:bCs w:val="1"/>
                <w:color w:val="215AA8"/>
                <w:w w:val="93"/>
                <w:vertAlign w:val="superscript"/>
              </w:rPr>
              <w:t>2</w:t>
            </w:r>
          </w:p>
        </w:tc>
        <w:tc>
          <w:tcPr>
            <w:tcW w:w="1180" w:type="dxa"/>
            <w:vAlign w:val="bottom"/>
            <w:tcBorders>
              <w:bottom w:val="single" w:sz="8" w:color="2459A8"/>
            </w:tcBorders>
          </w:tcPr>
          <w:p>
            <w:pPr>
              <w:jc w:val="center"/>
              <w:spacing w:after="0" w:line="172" w:lineRule="exact"/>
              <w:rPr>
                <w:sz w:val="20"/>
                <w:szCs w:val="20"/>
                <w:color w:val="auto"/>
              </w:rPr>
            </w:pPr>
            <w:r>
              <w:rPr>
                <w:rFonts w:ascii="Arial" w:cs="Arial" w:eastAsia="Arial" w:hAnsi="Arial"/>
                <w:sz w:val="12"/>
                <w:szCs w:val="12"/>
                <w:b w:val="1"/>
                <w:bCs w:val="1"/>
                <w:color w:val="215AA8"/>
                <w:w w:val="95"/>
              </w:rPr>
              <w:t>Compensation ($)</w:t>
            </w:r>
            <w:r>
              <w:rPr>
                <w:rFonts w:ascii="Arial" w:cs="Arial" w:eastAsia="Arial" w:hAnsi="Arial"/>
                <w:sz w:val="19"/>
                <w:szCs w:val="19"/>
                <w:b w:val="1"/>
                <w:bCs w:val="1"/>
                <w:color w:val="215AA8"/>
                <w:w w:val="95"/>
                <w:vertAlign w:val="superscript"/>
              </w:rPr>
              <w:t>3</w:t>
            </w:r>
          </w:p>
        </w:tc>
        <w:tc>
          <w:tcPr>
            <w:tcW w:w="1340" w:type="dxa"/>
            <w:vAlign w:val="bottom"/>
            <w:tcBorders>
              <w:bottom w:val="single" w:sz="8" w:color="2459A8"/>
            </w:tcBorders>
          </w:tcPr>
          <w:p>
            <w:pPr>
              <w:jc w:val="right"/>
              <w:ind w:right="138"/>
              <w:spacing w:after="0" w:line="172" w:lineRule="exact"/>
              <w:rPr>
                <w:sz w:val="20"/>
                <w:szCs w:val="20"/>
                <w:color w:val="auto"/>
              </w:rPr>
            </w:pPr>
            <w:r>
              <w:rPr>
                <w:rFonts w:ascii="Arial" w:cs="Arial" w:eastAsia="Arial" w:hAnsi="Arial"/>
                <w:sz w:val="12"/>
                <w:szCs w:val="12"/>
                <w:b w:val="1"/>
                <w:bCs w:val="1"/>
                <w:color w:val="215AA8"/>
              </w:rPr>
              <w:t>Compensation ($)</w:t>
            </w:r>
            <w:r>
              <w:rPr>
                <w:rFonts w:ascii="Arial" w:cs="Arial" w:eastAsia="Arial" w:hAnsi="Arial"/>
                <w:sz w:val="19"/>
                <w:szCs w:val="19"/>
                <w:b w:val="1"/>
                <w:bCs w:val="1"/>
                <w:color w:val="215AA8"/>
                <w:vertAlign w:val="superscript"/>
              </w:rPr>
              <w:t>4</w:t>
            </w:r>
          </w:p>
        </w:tc>
        <w:tc>
          <w:tcPr>
            <w:tcW w:w="980" w:type="dxa"/>
            <w:vAlign w:val="bottom"/>
            <w:tcBorders>
              <w:bottom w:val="single" w:sz="8" w:color="2459A8"/>
            </w:tcBorders>
          </w:tcPr>
          <w:p>
            <w:pPr>
              <w:jc w:val="right"/>
              <w:ind w:right="216"/>
              <w:spacing w:after="0"/>
              <w:rPr>
                <w:sz w:val="20"/>
                <w:szCs w:val="20"/>
                <w:color w:val="auto"/>
              </w:rPr>
            </w:pPr>
            <w:r>
              <w:rPr>
                <w:rFonts w:ascii="Arial" w:cs="Arial" w:eastAsia="Arial" w:hAnsi="Arial"/>
                <w:sz w:val="12"/>
                <w:szCs w:val="12"/>
                <w:b w:val="1"/>
                <w:bCs w:val="1"/>
                <w:color w:val="215AA8"/>
              </w:rPr>
              <w:t>Total ($)</w:t>
            </w:r>
          </w:p>
        </w:tc>
        <w:tc>
          <w:tcPr>
            <w:tcW w:w="0" w:type="dxa"/>
            <w:vAlign w:val="bottom"/>
          </w:tcPr>
          <w:p>
            <w:pPr>
              <w:spacing w:after="0"/>
              <w:rPr>
                <w:sz w:val="1"/>
                <w:szCs w:val="1"/>
                <w:color w:val="auto"/>
              </w:rPr>
            </w:pPr>
          </w:p>
        </w:tc>
      </w:tr>
      <w:tr>
        <w:trPr>
          <w:trHeight w:val="175"/>
        </w:trPr>
        <w:tc>
          <w:tcPr>
            <w:tcW w:w="2700" w:type="dxa"/>
            <w:vAlign w:val="bottom"/>
            <w:vMerge w:val="restart"/>
          </w:tcPr>
          <w:p>
            <w:pPr>
              <w:spacing w:after="0"/>
              <w:rPr>
                <w:sz w:val="20"/>
                <w:szCs w:val="20"/>
                <w:color w:val="auto"/>
              </w:rPr>
            </w:pPr>
            <w:r>
              <w:rPr>
                <w:rFonts w:ascii="Arial" w:cs="Arial" w:eastAsia="Arial" w:hAnsi="Arial"/>
                <w:sz w:val="13"/>
                <w:szCs w:val="13"/>
                <w:b w:val="1"/>
                <w:bCs w:val="1"/>
                <w:color w:val="D60058"/>
              </w:rPr>
              <w:t>Leonard S. Schleifer, M.D., Ph.D.</w:t>
            </w:r>
          </w:p>
        </w:tc>
        <w:tc>
          <w:tcPr>
            <w:tcW w:w="80" w:type="dxa"/>
            <w:vAlign w:val="bottom"/>
          </w:tcPr>
          <w:p>
            <w:pPr>
              <w:spacing w:after="0"/>
              <w:rPr>
                <w:sz w:val="15"/>
                <w:szCs w:val="15"/>
                <w:color w:val="auto"/>
              </w:rPr>
            </w:pPr>
          </w:p>
        </w:tc>
        <w:tc>
          <w:tcPr>
            <w:tcW w:w="660" w:type="dxa"/>
            <w:vAlign w:val="bottom"/>
            <w:tcBorders>
              <w:bottom w:val="single" w:sz="8" w:color="58585A"/>
            </w:tcBorders>
            <w:gridSpan w:val="2"/>
          </w:tcPr>
          <w:p>
            <w:pPr>
              <w:ind w:left="220"/>
              <w:spacing w:after="0"/>
              <w:rPr>
                <w:sz w:val="20"/>
                <w:szCs w:val="20"/>
                <w:color w:val="auto"/>
              </w:rPr>
            </w:pPr>
            <w:r>
              <w:rPr>
                <w:rFonts w:ascii="Arial" w:cs="Arial" w:eastAsia="Arial" w:hAnsi="Arial"/>
                <w:sz w:val="13"/>
                <w:szCs w:val="13"/>
                <w:color w:val="231F20"/>
              </w:rPr>
              <w:t>2021</w:t>
            </w:r>
          </w:p>
        </w:tc>
        <w:tc>
          <w:tcPr>
            <w:tcW w:w="108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231F20"/>
              </w:rPr>
              <w:t>1,767,800</w:t>
            </w:r>
          </w:p>
        </w:tc>
        <w:tc>
          <w:tcPr>
            <w:tcW w:w="1120" w:type="dxa"/>
            <w:vAlign w:val="bottom"/>
            <w:tcBorders>
              <w:bottom w:val="single" w:sz="8" w:color="58585A"/>
            </w:tcBorders>
          </w:tcPr>
          <w:p>
            <w:pPr>
              <w:jc w:val="right"/>
              <w:ind w:right="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58585A"/>
            </w:tcBorders>
          </w:tcPr>
          <w:p>
            <w:pPr>
              <w:jc w:val="right"/>
              <w:ind w:right="77"/>
              <w:spacing w:after="0"/>
              <w:rPr>
                <w:sz w:val="20"/>
                <w:szCs w:val="20"/>
                <w:color w:val="auto"/>
              </w:rPr>
            </w:pPr>
            <w:r>
              <w:rPr>
                <w:rFonts w:ascii="Arial" w:cs="Arial" w:eastAsia="Arial" w:hAnsi="Arial"/>
                <w:sz w:val="13"/>
                <w:szCs w:val="13"/>
                <w:color w:val="231F20"/>
              </w:rPr>
              <w:t>4,030,584</w:t>
            </w:r>
          </w:p>
        </w:tc>
        <w:tc>
          <w:tcPr>
            <w:tcW w:w="1340" w:type="dxa"/>
            <w:vAlign w:val="bottom"/>
            <w:tcBorders>
              <w:bottom w:val="single" w:sz="8" w:color="58585A"/>
            </w:tcBorders>
          </w:tcPr>
          <w:p>
            <w:pPr>
              <w:jc w:val="right"/>
              <w:ind w:right="158"/>
              <w:spacing w:after="0" w:line="176" w:lineRule="exact"/>
              <w:rPr>
                <w:sz w:val="20"/>
                <w:szCs w:val="20"/>
                <w:color w:val="auto"/>
              </w:rPr>
            </w:pPr>
            <w:r>
              <w:rPr>
                <w:rFonts w:ascii="Arial" w:cs="Arial" w:eastAsia="Arial" w:hAnsi="Arial"/>
                <w:sz w:val="13"/>
                <w:szCs w:val="13"/>
                <w:color w:val="231F20"/>
              </w:rPr>
              <w:t>672,130</w:t>
            </w:r>
            <w:r>
              <w:rPr>
                <w:rFonts w:ascii="Arial" w:cs="Arial" w:eastAsia="Arial" w:hAnsi="Arial"/>
                <w:sz w:val="20"/>
                <w:szCs w:val="20"/>
                <w:color w:val="000000"/>
                <w:vertAlign w:val="superscript"/>
              </w:rPr>
              <w:t>5</w:t>
            </w:r>
          </w:p>
        </w:tc>
        <w:tc>
          <w:tcPr>
            <w:tcW w:w="98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231F20"/>
              </w:rPr>
              <w:t>6,470,514</w:t>
            </w:r>
          </w:p>
        </w:tc>
        <w:tc>
          <w:tcPr>
            <w:tcW w:w="0" w:type="dxa"/>
            <w:vAlign w:val="bottom"/>
          </w:tcPr>
          <w:p>
            <w:pPr>
              <w:spacing w:after="0"/>
              <w:rPr>
                <w:sz w:val="1"/>
                <w:szCs w:val="1"/>
                <w:color w:val="auto"/>
              </w:rPr>
            </w:pPr>
          </w:p>
        </w:tc>
      </w:tr>
      <w:tr>
        <w:trPr>
          <w:trHeight w:val="51"/>
        </w:trPr>
        <w:tc>
          <w:tcPr>
            <w:tcW w:w="2700" w:type="dxa"/>
            <w:vAlign w:val="bottom"/>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660" w:type="dxa"/>
            <w:vAlign w:val="bottom"/>
            <w:gridSpan w:val="2"/>
            <w:vMerge w:val="restart"/>
          </w:tcPr>
          <w:p>
            <w:pPr>
              <w:ind w:left="220"/>
              <w:spacing w:after="0" w:line="142" w:lineRule="exact"/>
              <w:rPr>
                <w:sz w:val="20"/>
                <w:szCs w:val="20"/>
                <w:color w:val="auto"/>
              </w:rPr>
            </w:pPr>
            <w:r>
              <w:rPr>
                <w:rFonts w:ascii="Arial" w:cs="Arial" w:eastAsia="Arial" w:hAnsi="Arial"/>
                <w:sz w:val="13"/>
                <w:szCs w:val="13"/>
                <w:color w:val="231F20"/>
              </w:rPr>
              <w:t>2020</w:t>
            </w:r>
          </w:p>
        </w:tc>
        <w:tc>
          <w:tcPr>
            <w:tcW w:w="1080" w:type="dxa"/>
            <w:vAlign w:val="bottom"/>
            <w:vMerge w:val="restart"/>
          </w:tcPr>
          <w:p>
            <w:pPr>
              <w:jc w:val="right"/>
              <w:ind w:right="56"/>
              <w:spacing w:after="0" w:line="142" w:lineRule="exact"/>
              <w:rPr>
                <w:sz w:val="20"/>
                <w:szCs w:val="20"/>
                <w:color w:val="auto"/>
              </w:rPr>
            </w:pPr>
            <w:r>
              <w:rPr>
                <w:rFonts w:ascii="Arial" w:cs="Arial" w:eastAsia="Arial" w:hAnsi="Arial"/>
                <w:sz w:val="13"/>
                <w:szCs w:val="13"/>
                <w:color w:val="231F20"/>
              </w:rPr>
              <w:t>1,480,119</w:t>
            </w:r>
          </w:p>
        </w:tc>
        <w:tc>
          <w:tcPr>
            <w:tcW w:w="1120" w:type="dxa"/>
            <w:vAlign w:val="bottom"/>
            <w:vMerge w:val="restart"/>
          </w:tcPr>
          <w:p>
            <w:pPr>
              <w:jc w:val="right"/>
              <w:ind w:right="76"/>
              <w:spacing w:after="0" w:line="142" w:lineRule="exact"/>
              <w:rPr>
                <w:sz w:val="20"/>
                <w:szCs w:val="20"/>
                <w:color w:val="auto"/>
              </w:rPr>
            </w:pPr>
            <w:r>
              <w:rPr>
                <w:rFonts w:ascii="Arial" w:cs="Arial" w:eastAsia="Arial" w:hAnsi="Arial"/>
                <w:sz w:val="13"/>
                <w:szCs w:val="13"/>
                <w:color w:val="231F20"/>
              </w:rPr>
              <w:t>130,000,032</w:t>
            </w:r>
          </w:p>
        </w:tc>
        <w:tc>
          <w:tcPr>
            <w:tcW w:w="102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w:t>
            </w:r>
          </w:p>
        </w:tc>
        <w:tc>
          <w:tcPr>
            <w:tcW w:w="1180" w:type="dxa"/>
            <w:vAlign w:val="bottom"/>
            <w:vMerge w:val="restart"/>
          </w:tcPr>
          <w:p>
            <w:pPr>
              <w:jc w:val="right"/>
              <w:ind w:right="77"/>
              <w:spacing w:after="0" w:line="142" w:lineRule="exact"/>
              <w:rPr>
                <w:sz w:val="20"/>
                <w:szCs w:val="20"/>
                <w:color w:val="auto"/>
              </w:rPr>
            </w:pPr>
            <w:r>
              <w:rPr>
                <w:rFonts w:ascii="Arial" w:cs="Arial" w:eastAsia="Arial" w:hAnsi="Arial"/>
                <w:sz w:val="13"/>
                <w:szCs w:val="13"/>
                <w:color w:val="231F20"/>
              </w:rPr>
              <w:t>3,567,714</w:t>
            </w:r>
          </w:p>
        </w:tc>
        <w:tc>
          <w:tcPr>
            <w:tcW w:w="1340" w:type="dxa"/>
            <w:vAlign w:val="bottom"/>
            <w:vMerge w:val="restart"/>
          </w:tcPr>
          <w:p>
            <w:pPr>
              <w:jc w:val="right"/>
              <w:ind w:right="218"/>
              <w:spacing w:after="0" w:line="142" w:lineRule="exact"/>
              <w:rPr>
                <w:sz w:val="20"/>
                <w:szCs w:val="20"/>
                <w:color w:val="auto"/>
              </w:rPr>
            </w:pPr>
            <w:r>
              <w:rPr>
                <w:rFonts w:ascii="Arial" w:cs="Arial" w:eastAsia="Arial" w:hAnsi="Arial"/>
                <w:sz w:val="13"/>
                <w:szCs w:val="13"/>
                <w:color w:val="231F20"/>
              </w:rPr>
              <w:t>302,256</w:t>
            </w:r>
          </w:p>
        </w:tc>
        <w:tc>
          <w:tcPr>
            <w:tcW w:w="980" w:type="dxa"/>
            <w:vAlign w:val="bottom"/>
            <w:vMerge w:val="restart"/>
          </w:tcPr>
          <w:p>
            <w:pPr>
              <w:jc w:val="right"/>
              <w:ind w:right="36"/>
              <w:spacing w:after="0" w:line="142" w:lineRule="exact"/>
              <w:rPr>
                <w:sz w:val="20"/>
                <w:szCs w:val="20"/>
                <w:color w:val="auto"/>
              </w:rPr>
            </w:pPr>
            <w:r>
              <w:rPr>
                <w:rFonts w:ascii="Arial" w:cs="Arial" w:eastAsia="Arial" w:hAnsi="Arial"/>
                <w:sz w:val="13"/>
                <w:szCs w:val="13"/>
                <w:color w:val="231F20"/>
              </w:rPr>
              <w:t>135,350,121</w:t>
            </w:r>
          </w:p>
        </w:tc>
        <w:tc>
          <w:tcPr>
            <w:tcW w:w="0" w:type="dxa"/>
            <w:vAlign w:val="bottom"/>
          </w:tcPr>
          <w:p>
            <w:pPr>
              <w:spacing w:after="0"/>
              <w:rPr>
                <w:sz w:val="1"/>
                <w:szCs w:val="1"/>
                <w:color w:val="auto"/>
              </w:rPr>
            </w:pPr>
          </w:p>
        </w:tc>
      </w:tr>
      <w:tr>
        <w:trPr>
          <w:trHeight w:val="96"/>
        </w:trPr>
        <w:tc>
          <w:tcPr>
            <w:tcW w:w="2700" w:type="dxa"/>
            <w:vAlign w:val="bottom"/>
            <w:vMerge w:val="restart"/>
          </w:tcPr>
          <w:p>
            <w:pPr>
              <w:spacing w:after="0"/>
              <w:rPr>
                <w:sz w:val="20"/>
                <w:szCs w:val="20"/>
                <w:color w:val="auto"/>
              </w:rPr>
            </w:pPr>
            <w:r>
              <w:rPr>
                <w:rFonts w:ascii="Arial" w:cs="Arial" w:eastAsia="Arial" w:hAnsi="Arial"/>
                <w:sz w:val="13"/>
                <w:szCs w:val="13"/>
                <w:color w:val="231F20"/>
              </w:rPr>
              <w:t>President and Chief Executive Officer</w:t>
            </w:r>
          </w:p>
        </w:tc>
        <w:tc>
          <w:tcPr>
            <w:tcW w:w="80" w:type="dxa"/>
            <w:vAlign w:val="bottom"/>
            <w:vMerge w:val="continue"/>
          </w:tcPr>
          <w:p>
            <w:pPr>
              <w:spacing w:after="0"/>
              <w:rPr>
                <w:sz w:val="7"/>
                <w:szCs w:val="7"/>
                <w:color w:val="auto"/>
              </w:rPr>
            </w:pPr>
          </w:p>
        </w:tc>
        <w:tc>
          <w:tcPr>
            <w:tcW w:w="660" w:type="dxa"/>
            <w:vAlign w:val="bottom"/>
            <w:tcBorders>
              <w:bottom w:val="single" w:sz="8" w:color="58585A"/>
            </w:tcBorders>
            <w:gridSpan w:val="2"/>
            <w:vMerge w:val="continue"/>
          </w:tcPr>
          <w:p>
            <w:pPr>
              <w:spacing w:after="0"/>
              <w:rPr>
                <w:sz w:val="7"/>
                <w:szCs w:val="7"/>
                <w:color w:val="auto"/>
              </w:rPr>
            </w:pPr>
          </w:p>
        </w:tc>
        <w:tc>
          <w:tcPr>
            <w:tcW w:w="1080" w:type="dxa"/>
            <w:vAlign w:val="bottom"/>
            <w:tcBorders>
              <w:bottom w:val="single" w:sz="8" w:color="58585A"/>
            </w:tcBorders>
            <w:vMerge w:val="continue"/>
          </w:tcPr>
          <w:p>
            <w:pPr>
              <w:spacing w:after="0"/>
              <w:rPr>
                <w:sz w:val="7"/>
                <w:szCs w:val="7"/>
                <w:color w:val="auto"/>
              </w:rPr>
            </w:pPr>
          </w:p>
        </w:tc>
        <w:tc>
          <w:tcPr>
            <w:tcW w:w="1120" w:type="dxa"/>
            <w:vAlign w:val="bottom"/>
            <w:tcBorders>
              <w:bottom w:val="single" w:sz="8" w:color="58585A"/>
            </w:tcBorders>
            <w:vMerge w:val="continue"/>
          </w:tcPr>
          <w:p>
            <w:pPr>
              <w:spacing w:after="0"/>
              <w:rPr>
                <w:sz w:val="7"/>
                <w:szCs w:val="7"/>
                <w:color w:val="auto"/>
              </w:rPr>
            </w:pPr>
          </w:p>
        </w:tc>
        <w:tc>
          <w:tcPr>
            <w:tcW w:w="1020" w:type="dxa"/>
            <w:vAlign w:val="bottom"/>
            <w:tcBorders>
              <w:bottom w:val="single" w:sz="8" w:color="58585A"/>
            </w:tcBorders>
            <w:vMerge w:val="continue"/>
          </w:tcPr>
          <w:p>
            <w:pPr>
              <w:spacing w:after="0"/>
              <w:rPr>
                <w:sz w:val="7"/>
                <w:szCs w:val="7"/>
                <w:color w:val="auto"/>
              </w:rPr>
            </w:pPr>
          </w:p>
        </w:tc>
        <w:tc>
          <w:tcPr>
            <w:tcW w:w="1180" w:type="dxa"/>
            <w:vAlign w:val="bottom"/>
            <w:tcBorders>
              <w:bottom w:val="single" w:sz="8" w:color="58585A"/>
            </w:tcBorders>
            <w:vMerge w:val="continue"/>
          </w:tcPr>
          <w:p>
            <w:pPr>
              <w:spacing w:after="0"/>
              <w:rPr>
                <w:sz w:val="7"/>
                <w:szCs w:val="7"/>
                <w:color w:val="auto"/>
              </w:rPr>
            </w:pPr>
          </w:p>
        </w:tc>
        <w:tc>
          <w:tcPr>
            <w:tcW w:w="1340" w:type="dxa"/>
            <w:vAlign w:val="bottom"/>
            <w:tcBorders>
              <w:bottom w:val="single" w:sz="8" w:color="58585A"/>
            </w:tcBorders>
            <w:vMerge w:val="continue"/>
          </w:tcPr>
          <w:p>
            <w:pPr>
              <w:spacing w:after="0"/>
              <w:rPr>
                <w:sz w:val="7"/>
                <w:szCs w:val="7"/>
                <w:color w:val="auto"/>
              </w:rPr>
            </w:pPr>
          </w:p>
        </w:tc>
        <w:tc>
          <w:tcPr>
            <w:tcW w:w="980" w:type="dxa"/>
            <w:vAlign w:val="bottom"/>
            <w:tcBorders>
              <w:bottom w:val="single" w:sz="8" w:color="58585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740" w:type="dxa"/>
            <w:vAlign w:val="bottom"/>
            <w:gridSpan w:val="3"/>
            <w:vMerge w:val="restart"/>
          </w:tcPr>
          <w:p>
            <w:pPr>
              <w:ind w:left="300"/>
              <w:spacing w:after="0" w:line="142" w:lineRule="exact"/>
              <w:rPr>
                <w:sz w:val="20"/>
                <w:szCs w:val="20"/>
                <w:color w:val="auto"/>
              </w:rPr>
            </w:pPr>
            <w:r>
              <w:rPr>
                <w:rFonts w:ascii="Arial" w:cs="Arial" w:eastAsia="Arial" w:hAnsi="Arial"/>
                <w:sz w:val="13"/>
                <w:szCs w:val="13"/>
                <w:color w:val="231F20"/>
              </w:rPr>
              <w:t>2019</w:t>
            </w:r>
          </w:p>
        </w:tc>
        <w:tc>
          <w:tcPr>
            <w:tcW w:w="1080" w:type="dxa"/>
            <w:vAlign w:val="bottom"/>
            <w:vMerge w:val="restart"/>
          </w:tcPr>
          <w:p>
            <w:pPr>
              <w:jc w:val="right"/>
              <w:ind w:right="56"/>
              <w:spacing w:after="0" w:line="142" w:lineRule="exact"/>
              <w:rPr>
                <w:sz w:val="20"/>
                <w:szCs w:val="20"/>
                <w:color w:val="auto"/>
              </w:rPr>
            </w:pPr>
            <w:r>
              <w:rPr>
                <w:rFonts w:ascii="Arial" w:cs="Arial" w:eastAsia="Arial" w:hAnsi="Arial"/>
                <w:sz w:val="13"/>
                <w:szCs w:val="13"/>
                <w:color w:val="231F20"/>
              </w:rPr>
              <w:t>1,377,100</w:t>
            </w:r>
          </w:p>
        </w:tc>
        <w:tc>
          <w:tcPr>
            <w:tcW w:w="1120" w:type="dxa"/>
            <w:vAlign w:val="bottom"/>
            <w:vMerge w:val="restart"/>
          </w:tcPr>
          <w:p>
            <w:pPr>
              <w:jc w:val="right"/>
              <w:ind w:right="76"/>
              <w:spacing w:after="0" w:line="142" w:lineRule="exact"/>
              <w:rPr>
                <w:sz w:val="20"/>
                <w:szCs w:val="20"/>
                <w:color w:val="auto"/>
              </w:rPr>
            </w:pPr>
            <w:r>
              <w:rPr>
                <w:rFonts w:ascii="Arial" w:cs="Arial" w:eastAsia="Arial" w:hAnsi="Arial"/>
                <w:sz w:val="13"/>
                <w:szCs w:val="13"/>
                <w:color w:val="231F20"/>
              </w:rPr>
              <w:t>4,983,226</w:t>
            </w:r>
          </w:p>
        </w:tc>
        <w:tc>
          <w:tcPr>
            <w:tcW w:w="102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11,699,586</w:t>
            </w:r>
          </w:p>
        </w:tc>
        <w:tc>
          <w:tcPr>
            <w:tcW w:w="1180" w:type="dxa"/>
            <w:vAlign w:val="bottom"/>
            <w:vMerge w:val="restart"/>
          </w:tcPr>
          <w:p>
            <w:pPr>
              <w:jc w:val="right"/>
              <w:ind w:right="77"/>
              <w:spacing w:after="0" w:line="142" w:lineRule="exact"/>
              <w:rPr>
                <w:sz w:val="20"/>
                <w:szCs w:val="20"/>
                <w:color w:val="auto"/>
              </w:rPr>
            </w:pPr>
            <w:r>
              <w:rPr>
                <w:rFonts w:ascii="Arial" w:cs="Arial" w:eastAsia="Arial" w:hAnsi="Arial"/>
                <w:sz w:val="13"/>
                <w:szCs w:val="13"/>
                <w:color w:val="231F20"/>
              </w:rPr>
              <w:t>3,057,162</w:t>
            </w:r>
          </w:p>
        </w:tc>
        <w:tc>
          <w:tcPr>
            <w:tcW w:w="1340" w:type="dxa"/>
            <w:vAlign w:val="bottom"/>
            <w:vMerge w:val="restart"/>
          </w:tcPr>
          <w:p>
            <w:pPr>
              <w:jc w:val="right"/>
              <w:ind w:right="218"/>
              <w:spacing w:after="0" w:line="142" w:lineRule="exact"/>
              <w:rPr>
                <w:sz w:val="20"/>
                <w:szCs w:val="20"/>
                <w:color w:val="auto"/>
              </w:rPr>
            </w:pPr>
            <w:r>
              <w:rPr>
                <w:rFonts w:ascii="Arial" w:cs="Arial" w:eastAsia="Arial" w:hAnsi="Arial"/>
                <w:sz w:val="13"/>
                <w:szCs w:val="13"/>
                <w:color w:val="231F20"/>
              </w:rPr>
              <w:t>338,043</w:t>
            </w:r>
          </w:p>
        </w:tc>
        <w:tc>
          <w:tcPr>
            <w:tcW w:w="980" w:type="dxa"/>
            <w:vAlign w:val="bottom"/>
            <w:vMerge w:val="restart"/>
          </w:tcPr>
          <w:p>
            <w:pPr>
              <w:jc w:val="right"/>
              <w:ind w:right="36"/>
              <w:spacing w:after="0" w:line="142" w:lineRule="exact"/>
              <w:rPr>
                <w:sz w:val="20"/>
                <w:szCs w:val="20"/>
                <w:color w:val="auto"/>
              </w:rPr>
            </w:pPr>
            <w:r>
              <w:rPr>
                <w:rFonts w:ascii="Arial" w:cs="Arial" w:eastAsia="Arial" w:hAnsi="Arial"/>
                <w:sz w:val="13"/>
                <w:szCs w:val="13"/>
                <w:color w:val="231F20"/>
              </w:rPr>
              <w:t>21,455,117</w:t>
            </w:r>
          </w:p>
        </w:tc>
        <w:tc>
          <w:tcPr>
            <w:tcW w:w="0" w:type="dxa"/>
            <w:vAlign w:val="bottom"/>
          </w:tcPr>
          <w:p>
            <w:pPr>
              <w:spacing w:after="0"/>
              <w:rPr>
                <w:sz w:val="1"/>
                <w:szCs w:val="1"/>
                <w:color w:val="auto"/>
              </w:rPr>
            </w:pPr>
          </w:p>
        </w:tc>
      </w:tr>
      <w:tr>
        <w:trPr>
          <w:trHeight w:val="97"/>
        </w:trPr>
        <w:tc>
          <w:tcPr>
            <w:tcW w:w="2700" w:type="dxa"/>
            <w:vAlign w:val="bottom"/>
            <w:tcBorders>
              <w:bottom w:val="single" w:sz="8" w:color="58585A"/>
            </w:tcBorders>
          </w:tcPr>
          <w:p>
            <w:pPr>
              <w:spacing w:after="0"/>
              <w:rPr>
                <w:sz w:val="8"/>
                <w:szCs w:val="8"/>
                <w:color w:val="auto"/>
              </w:rPr>
            </w:pPr>
          </w:p>
        </w:tc>
        <w:tc>
          <w:tcPr>
            <w:tcW w:w="740" w:type="dxa"/>
            <w:vAlign w:val="bottom"/>
            <w:tcBorders>
              <w:bottom w:val="single" w:sz="8" w:color="58585A"/>
            </w:tcBorders>
            <w:gridSpan w:val="3"/>
            <w:vMerge w:val="continue"/>
          </w:tcPr>
          <w:p>
            <w:pPr>
              <w:spacing w:after="0"/>
              <w:rPr>
                <w:sz w:val="8"/>
                <w:szCs w:val="8"/>
                <w:color w:val="auto"/>
              </w:rPr>
            </w:pPr>
          </w:p>
        </w:tc>
        <w:tc>
          <w:tcPr>
            <w:tcW w:w="1080" w:type="dxa"/>
            <w:vAlign w:val="bottom"/>
            <w:tcBorders>
              <w:bottom w:val="single" w:sz="8" w:color="58585A"/>
            </w:tcBorders>
            <w:vMerge w:val="continue"/>
          </w:tcPr>
          <w:p>
            <w:pPr>
              <w:spacing w:after="0"/>
              <w:rPr>
                <w:sz w:val="8"/>
                <w:szCs w:val="8"/>
                <w:color w:val="auto"/>
              </w:rPr>
            </w:pPr>
          </w:p>
        </w:tc>
        <w:tc>
          <w:tcPr>
            <w:tcW w:w="1120" w:type="dxa"/>
            <w:vAlign w:val="bottom"/>
            <w:tcBorders>
              <w:bottom w:val="single" w:sz="8" w:color="58585A"/>
            </w:tcBorders>
            <w:vMerge w:val="continue"/>
          </w:tcPr>
          <w:p>
            <w:pPr>
              <w:spacing w:after="0"/>
              <w:rPr>
                <w:sz w:val="8"/>
                <w:szCs w:val="8"/>
                <w:color w:val="auto"/>
              </w:rPr>
            </w:pPr>
          </w:p>
        </w:tc>
        <w:tc>
          <w:tcPr>
            <w:tcW w:w="1020" w:type="dxa"/>
            <w:vAlign w:val="bottom"/>
            <w:tcBorders>
              <w:bottom w:val="single" w:sz="8" w:color="58585A"/>
            </w:tcBorders>
            <w:vMerge w:val="continue"/>
          </w:tcPr>
          <w:p>
            <w:pPr>
              <w:spacing w:after="0"/>
              <w:rPr>
                <w:sz w:val="8"/>
                <w:szCs w:val="8"/>
                <w:color w:val="auto"/>
              </w:rPr>
            </w:pPr>
          </w:p>
        </w:tc>
        <w:tc>
          <w:tcPr>
            <w:tcW w:w="1180" w:type="dxa"/>
            <w:vAlign w:val="bottom"/>
            <w:tcBorders>
              <w:bottom w:val="single" w:sz="8" w:color="58585A"/>
            </w:tcBorders>
            <w:vMerge w:val="continue"/>
          </w:tcPr>
          <w:p>
            <w:pPr>
              <w:spacing w:after="0"/>
              <w:rPr>
                <w:sz w:val="8"/>
                <w:szCs w:val="8"/>
                <w:color w:val="auto"/>
              </w:rPr>
            </w:pPr>
          </w:p>
        </w:tc>
        <w:tc>
          <w:tcPr>
            <w:tcW w:w="1340" w:type="dxa"/>
            <w:vAlign w:val="bottom"/>
            <w:tcBorders>
              <w:bottom w:val="single" w:sz="8" w:color="58585A"/>
            </w:tcBorders>
            <w:vMerge w:val="continue"/>
          </w:tcPr>
          <w:p>
            <w:pPr>
              <w:spacing w:after="0"/>
              <w:rPr>
                <w:sz w:val="8"/>
                <w:szCs w:val="8"/>
                <w:color w:val="auto"/>
              </w:rPr>
            </w:pPr>
          </w:p>
        </w:tc>
        <w:tc>
          <w:tcPr>
            <w:tcW w:w="980" w:type="dxa"/>
            <w:vAlign w:val="bottom"/>
            <w:tcBorders>
              <w:bottom w:val="single" w:sz="8" w:color="58585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700" w:type="dxa"/>
            <w:vAlign w:val="bottom"/>
            <w:tcBorders>
              <w:bottom w:val="single" w:sz="8" w:color="EEEEEF"/>
            </w:tcBorders>
            <w:vMerge w:val="restart"/>
            <w:shd w:val="clear" w:color="auto" w:fill="EEEEEF"/>
          </w:tcPr>
          <w:p>
            <w:pPr>
              <w:spacing w:after="0"/>
              <w:rPr>
                <w:sz w:val="20"/>
                <w:szCs w:val="20"/>
                <w:color w:val="auto"/>
              </w:rPr>
            </w:pPr>
            <w:r>
              <w:rPr>
                <w:rFonts w:ascii="Arial" w:cs="Arial" w:eastAsia="Arial" w:hAnsi="Arial"/>
                <w:sz w:val="13"/>
                <w:szCs w:val="13"/>
                <w:b w:val="1"/>
                <w:bCs w:val="1"/>
                <w:color w:val="D60058"/>
              </w:rPr>
              <w:t>George D. Yancopoulos, M.D., Ph.D.</w:t>
            </w:r>
          </w:p>
        </w:tc>
        <w:tc>
          <w:tcPr>
            <w:tcW w:w="80" w:type="dxa"/>
            <w:vAlign w:val="bottom"/>
            <w:tcBorders>
              <w:bottom w:val="single" w:sz="8" w:color="EEEEEF"/>
            </w:tcBorders>
            <w:shd w:val="clear" w:color="auto" w:fill="EEEEEF"/>
          </w:tcPr>
          <w:p>
            <w:pPr>
              <w:spacing w:after="0"/>
              <w:rPr>
                <w:sz w:val="14"/>
                <w:szCs w:val="14"/>
                <w:color w:val="auto"/>
              </w:rPr>
            </w:pPr>
          </w:p>
        </w:tc>
        <w:tc>
          <w:tcPr>
            <w:tcW w:w="660" w:type="dxa"/>
            <w:vAlign w:val="bottom"/>
            <w:tcBorders>
              <w:bottom w:val="single" w:sz="8" w:color="58585A"/>
            </w:tcBorders>
            <w:gridSpan w:val="2"/>
            <w:shd w:val="clear" w:color="auto" w:fill="EEEEEF"/>
          </w:tcPr>
          <w:p>
            <w:pPr>
              <w:ind w:left="220"/>
              <w:spacing w:after="0"/>
              <w:rPr>
                <w:sz w:val="20"/>
                <w:szCs w:val="20"/>
                <w:color w:val="auto"/>
              </w:rPr>
            </w:pPr>
            <w:r>
              <w:rPr>
                <w:rFonts w:ascii="Arial" w:cs="Arial" w:eastAsia="Arial" w:hAnsi="Arial"/>
                <w:sz w:val="13"/>
                <w:szCs w:val="13"/>
                <w:color w:val="231F20"/>
              </w:rPr>
              <w:t>2021</w:t>
            </w:r>
          </w:p>
        </w:tc>
        <w:tc>
          <w:tcPr>
            <w:tcW w:w="108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231F20"/>
              </w:rPr>
              <w:t>1,767,800</w:t>
            </w:r>
          </w:p>
        </w:tc>
        <w:tc>
          <w:tcPr>
            <w:tcW w:w="1120" w:type="dxa"/>
            <w:vAlign w:val="bottom"/>
            <w:tcBorders>
              <w:bottom w:val="single" w:sz="8" w:color="58585A"/>
            </w:tcBorders>
            <w:shd w:val="clear" w:color="auto" w:fill="EEEEEF"/>
          </w:tcPr>
          <w:p>
            <w:pPr>
              <w:jc w:val="right"/>
              <w:ind w:right="76"/>
              <w:spacing w:after="0"/>
              <w:rPr>
                <w:sz w:val="20"/>
                <w:szCs w:val="20"/>
                <w:color w:val="auto"/>
              </w:rPr>
            </w:pPr>
            <w:r>
              <w:rPr>
                <w:rFonts w:ascii="Arial" w:cs="Arial" w:eastAsia="Arial" w:hAnsi="Arial"/>
                <w:sz w:val="13"/>
                <w:szCs w:val="13"/>
                <w:color w:val="231F20"/>
              </w:rPr>
              <w:t>—</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58585A"/>
            </w:tcBorders>
            <w:shd w:val="clear" w:color="auto" w:fill="EEEEEF"/>
          </w:tcPr>
          <w:p>
            <w:pPr>
              <w:jc w:val="right"/>
              <w:ind w:right="77"/>
              <w:spacing w:after="0"/>
              <w:rPr>
                <w:sz w:val="20"/>
                <w:szCs w:val="20"/>
                <w:color w:val="auto"/>
              </w:rPr>
            </w:pPr>
            <w:r>
              <w:rPr>
                <w:rFonts w:ascii="Arial" w:cs="Arial" w:eastAsia="Arial" w:hAnsi="Arial"/>
                <w:sz w:val="13"/>
                <w:szCs w:val="13"/>
                <w:color w:val="231F20"/>
              </w:rPr>
              <w:t>4,030,584</w:t>
            </w:r>
          </w:p>
        </w:tc>
        <w:tc>
          <w:tcPr>
            <w:tcW w:w="1340" w:type="dxa"/>
            <w:vAlign w:val="bottom"/>
            <w:tcBorders>
              <w:bottom w:val="single" w:sz="8" w:color="58585A"/>
            </w:tcBorders>
            <w:shd w:val="clear" w:color="auto" w:fill="EEEEEF"/>
          </w:tcPr>
          <w:p>
            <w:pPr>
              <w:jc w:val="right"/>
              <w:ind w:right="158"/>
              <w:spacing w:after="0" w:line="169" w:lineRule="exact"/>
              <w:rPr>
                <w:sz w:val="20"/>
                <w:szCs w:val="20"/>
                <w:color w:val="auto"/>
              </w:rPr>
            </w:pPr>
            <w:r>
              <w:rPr>
                <w:rFonts w:ascii="Arial" w:cs="Arial" w:eastAsia="Arial" w:hAnsi="Arial"/>
                <w:sz w:val="12"/>
                <w:szCs w:val="12"/>
                <w:color w:val="231F20"/>
              </w:rPr>
              <w:t>599,980</w:t>
            </w:r>
            <w:r>
              <w:rPr>
                <w:rFonts w:ascii="Arial" w:cs="Arial" w:eastAsia="Arial" w:hAnsi="Arial"/>
                <w:sz w:val="19"/>
                <w:szCs w:val="19"/>
                <w:color w:val="000000"/>
                <w:vertAlign w:val="superscript"/>
              </w:rPr>
              <w:t>6</w:t>
            </w:r>
          </w:p>
        </w:tc>
        <w:tc>
          <w:tcPr>
            <w:tcW w:w="98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231F20"/>
              </w:rPr>
              <w:t>6,398,364</w:t>
            </w:r>
          </w:p>
        </w:tc>
        <w:tc>
          <w:tcPr>
            <w:tcW w:w="0" w:type="dxa"/>
            <w:vAlign w:val="bottom"/>
          </w:tcPr>
          <w:p>
            <w:pPr>
              <w:spacing w:after="0"/>
              <w:rPr>
                <w:sz w:val="1"/>
                <w:szCs w:val="1"/>
                <w:color w:val="auto"/>
              </w:rPr>
            </w:pPr>
          </w:p>
        </w:tc>
      </w:tr>
      <w:tr>
        <w:trPr>
          <w:trHeight w:val="51"/>
        </w:trPr>
        <w:tc>
          <w:tcPr>
            <w:tcW w:w="2700" w:type="dxa"/>
            <w:vAlign w:val="bottom"/>
            <w:vMerge w:val="continue"/>
            <w:shd w:val="clear" w:color="auto" w:fill="EEEEEF"/>
          </w:tcPr>
          <w:p>
            <w:pPr>
              <w:spacing w:after="0"/>
              <w:rPr>
                <w:sz w:val="4"/>
                <w:szCs w:val="4"/>
                <w:color w:val="auto"/>
              </w:rPr>
            </w:pPr>
          </w:p>
        </w:tc>
        <w:tc>
          <w:tcPr>
            <w:tcW w:w="80" w:type="dxa"/>
            <w:vAlign w:val="bottom"/>
            <w:shd w:val="clear" w:color="auto" w:fill="EEEEEF"/>
          </w:tcPr>
          <w:p>
            <w:pPr>
              <w:spacing w:after="0"/>
              <w:rPr>
                <w:sz w:val="4"/>
                <w:szCs w:val="4"/>
                <w:color w:val="auto"/>
              </w:rPr>
            </w:pPr>
          </w:p>
        </w:tc>
        <w:tc>
          <w:tcPr>
            <w:tcW w:w="500" w:type="dxa"/>
            <w:vAlign w:val="bottom"/>
            <w:vMerge w:val="restart"/>
            <w:shd w:val="clear" w:color="auto" w:fill="EEEEEF"/>
          </w:tcPr>
          <w:p>
            <w:pPr>
              <w:ind w:left="220"/>
              <w:spacing w:after="0" w:line="142" w:lineRule="exact"/>
              <w:rPr>
                <w:sz w:val="20"/>
                <w:szCs w:val="20"/>
                <w:color w:val="auto"/>
              </w:rPr>
            </w:pPr>
            <w:r>
              <w:rPr>
                <w:rFonts w:ascii="Arial" w:cs="Arial" w:eastAsia="Arial" w:hAnsi="Arial"/>
                <w:sz w:val="13"/>
                <w:szCs w:val="13"/>
                <w:color w:val="231F20"/>
                <w:w w:val="89"/>
              </w:rPr>
              <w:t>2020</w:t>
            </w:r>
          </w:p>
        </w:tc>
        <w:tc>
          <w:tcPr>
            <w:tcW w:w="160" w:type="dxa"/>
            <w:vAlign w:val="bottom"/>
            <w:shd w:val="clear" w:color="auto" w:fill="EEEEEF"/>
          </w:tcPr>
          <w:p>
            <w:pPr>
              <w:spacing w:after="0"/>
              <w:rPr>
                <w:sz w:val="4"/>
                <w:szCs w:val="4"/>
                <w:color w:val="auto"/>
              </w:rPr>
            </w:pPr>
          </w:p>
        </w:tc>
        <w:tc>
          <w:tcPr>
            <w:tcW w:w="1080" w:type="dxa"/>
            <w:vAlign w:val="bottom"/>
            <w:vMerge w:val="restart"/>
            <w:shd w:val="clear" w:color="auto" w:fill="EEEEEF"/>
          </w:tcPr>
          <w:p>
            <w:pPr>
              <w:jc w:val="right"/>
              <w:ind w:right="56"/>
              <w:spacing w:after="0" w:line="142" w:lineRule="exact"/>
              <w:rPr>
                <w:sz w:val="20"/>
                <w:szCs w:val="20"/>
                <w:color w:val="auto"/>
              </w:rPr>
            </w:pPr>
            <w:r>
              <w:rPr>
                <w:rFonts w:ascii="Arial" w:cs="Arial" w:eastAsia="Arial" w:hAnsi="Arial"/>
                <w:sz w:val="13"/>
                <w:szCs w:val="13"/>
                <w:color w:val="231F20"/>
              </w:rPr>
              <w:t>1,258,096</w:t>
            </w:r>
          </w:p>
        </w:tc>
        <w:tc>
          <w:tcPr>
            <w:tcW w:w="1120" w:type="dxa"/>
            <w:vAlign w:val="bottom"/>
            <w:vMerge w:val="restart"/>
            <w:shd w:val="clear" w:color="auto" w:fill="EEEEEF"/>
          </w:tcPr>
          <w:p>
            <w:pPr>
              <w:jc w:val="right"/>
              <w:ind w:right="76"/>
              <w:spacing w:after="0" w:line="142" w:lineRule="exact"/>
              <w:rPr>
                <w:sz w:val="20"/>
                <w:szCs w:val="20"/>
                <w:color w:val="auto"/>
              </w:rPr>
            </w:pPr>
            <w:r>
              <w:rPr>
                <w:rFonts w:ascii="Arial" w:cs="Arial" w:eastAsia="Arial" w:hAnsi="Arial"/>
                <w:sz w:val="13"/>
                <w:szCs w:val="13"/>
                <w:color w:val="231F20"/>
              </w:rPr>
              <w:t>130,000,032</w:t>
            </w:r>
          </w:p>
        </w:tc>
        <w:tc>
          <w:tcPr>
            <w:tcW w:w="1020" w:type="dxa"/>
            <w:vAlign w:val="bottom"/>
            <w:vMerge w:val="restart"/>
            <w:shd w:val="clear" w:color="auto" w:fill="EEEEEF"/>
          </w:tcPr>
          <w:p>
            <w:pPr>
              <w:jc w:val="right"/>
              <w:spacing w:after="0" w:line="142" w:lineRule="exact"/>
              <w:rPr>
                <w:sz w:val="20"/>
                <w:szCs w:val="20"/>
                <w:color w:val="auto"/>
              </w:rPr>
            </w:pPr>
            <w:r>
              <w:rPr>
                <w:rFonts w:ascii="Arial" w:cs="Arial" w:eastAsia="Arial" w:hAnsi="Arial"/>
                <w:sz w:val="13"/>
                <w:szCs w:val="13"/>
                <w:color w:val="231F20"/>
              </w:rPr>
              <w:t>—</w:t>
            </w:r>
          </w:p>
        </w:tc>
        <w:tc>
          <w:tcPr>
            <w:tcW w:w="1180" w:type="dxa"/>
            <w:vAlign w:val="bottom"/>
            <w:vMerge w:val="restart"/>
            <w:shd w:val="clear" w:color="auto" w:fill="EEEEEF"/>
          </w:tcPr>
          <w:p>
            <w:pPr>
              <w:jc w:val="right"/>
              <w:ind w:right="77"/>
              <w:spacing w:after="0" w:line="142" w:lineRule="exact"/>
              <w:rPr>
                <w:sz w:val="20"/>
                <w:szCs w:val="20"/>
                <w:color w:val="auto"/>
              </w:rPr>
            </w:pPr>
            <w:r>
              <w:rPr>
                <w:rFonts w:ascii="Arial" w:cs="Arial" w:eastAsia="Arial" w:hAnsi="Arial"/>
                <w:sz w:val="13"/>
                <w:szCs w:val="13"/>
                <w:color w:val="231F20"/>
              </w:rPr>
              <w:t>3,004,391</w:t>
            </w:r>
          </w:p>
        </w:tc>
        <w:tc>
          <w:tcPr>
            <w:tcW w:w="1340" w:type="dxa"/>
            <w:vAlign w:val="bottom"/>
            <w:vMerge w:val="restart"/>
            <w:shd w:val="clear" w:color="auto" w:fill="EEEEEF"/>
          </w:tcPr>
          <w:p>
            <w:pPr>
              <w:jc w:val="right"/>
              <w:ind w:right="218"/>
              <w:spacing w:after="0" w:line="142" w:lineRule="exact"/>
              <w:rPr>
                <w:sz w:val="20"/>
                <w:szCs w:val="20"/>
                <w:color w:val="auto"/>
              </w:rPr>
            </w:pPr>
            <w:r>
              <w:rPr>
                <w:rFonts w:ascii="Arial" w:cs="Arial" w:eastAsia="Arial" w:hAnsi="Arial"/>
                <w:sz w:val="13"/>
                <w:szCs w:val="13"/>
                <w:color w:val="231F20"/>
              </w:rPr>
              <w:t>120,800</w:t>
            </w:r>
          </w:p>
        </w:tc>
        <w:tc>
          <w:tcPr>
            <w:tcW w:w="980" w:type="dxa"/>
            <w:vAlign w:val="bottom"/>
            <w:vMerge w:val="restart"/>
            <w:shd w:val="clear" w:color="auto" w:fill="EEEEEF"/>
          </w:tcPr>
          <w:p>
            <w:pPr>
              <w:jc w:val="right"/>
              <w:ind w:right="36"/>
              <w:spacing w:after="0" w:line="142" w:lineRule="exact"/>
              <w:rPr>
                <w:sz w:val="20"/>
                <w:szCs w:val="20"/>
                <w:color w:val="auto"/>
              </w:rPr>
            </w:pPr>
            <w:r>
              <w:rPr>
                <w:rFonts w:ascii="Arial" w:cs="Arial" w:eastAsia="Arial" w:hAnsi="Arial"/>
                <w:sz w:val="13"/>
                <w:szCs w:val="13"/>
                <w:color w:val="231F20"/>
              </w:rPr>
              <w:t>134,383,319</w:t>
            </w:r>
          </w:p>
        </w:tc>
        <w:tc>
          <w:tcPr>
            <w:tcW w:w="0" w:type="dxa"/>
            <w:vAlign w:val="bottom"/>
          </w:tcPr>
          <w:p>
            <w:pPr>
              <w:spacing w:after="0"/>
              <w:rPr>
                <w:sz w:val="1"/>
                <w:szCs w:val="1"/>
                <w:color w:val="auto"/>
              </w:rPr>
            </w:pPr>
          </w:p>
        </w:tc>
      </w:tr>
      <w:tr>
        <w:trPr>
          <w:trHeight w:val="91"/>
        </w:trPr>
        <w:tc>
          <w:tcPr>
            <w:tcW w:w="2700" w:type="dxa"/>
            <w:vAlign w:val="bottom"/>
            <w:tcBorders>
              <w:bottom w:val="single" w:sz="8" w:color="EEEEEF"/>
            </w:tcBorders>
            <w:vMerge w:val="restart"/>
            <w:shd w:val="clear" w:color="auto" w:fill="EEEEEF"/>
          </w:tcPr>
          <w:p>
            <w:pPr>
              <w:spacing w:after="0"/>
              <w:rPr>
                <w:sz w:val="20"/>
                <w:szCs w:val="20"/>
                <w:color w:val="auto"/>
              </w:rPr>
            </w:pPr>
            <w:r>
              <w:rPr>
                <w:rFonts w:ascii="Arial" w:cs="Arial" w:eastAsia="Arial" w:hAnsi="Arial"/>
                <w:sz w:val="13"/>
                <w:szCs w:val="13"/>
                <w:color w:val="231F20"/>
              </w:rPr>
              <w:t>President and Chief Scientific Officer</w:t>
            </w:r>
          </w:p>
        </w:tc>
        <w:tc>
          <w:tcPr>
            <w:tcW w:w="80" w:type="dxa"/>
            <w:vAlign w:val="bottom"/>
            <w:tcBorders>
              <w:bottom w:val="single" w:sz="8" w:color="EEEEEF"/>
            </w:tcBorders>
            <w:shd w:val="clear" w:color="auto" w:fill="EEEEEF"/>
          </w:tcPr>
          <w:p>
            <w:pPr>
              <w:spacing w:after="0"/>
              <w:rPr>
                <w:sz w:val="7"/>
                <w:szCs w:val="7"/>
                <w:color w:val="auto"/>
              </w:rPr>
            </w:pPr>
          </w:p>
        </w:tc>
        <w:tc>
          <w:tcPr>
            <w:tcW w:w="500" w:type="dxa"/>
            <w:vAlign w:val="bottom"/>
            <w:tcBorders>
              <w:bottom w:val="single" w:sz="8" w:color="58585A"/>
            </w:tcBorders>
            <w:vMerge w:val="continue"/>
            <w:shd w:val="clear" w:color="auto" w:fill="EEEEEF"/>
          </w:tcPr>
          <w:p>
            <w:pPr>
              <w:spacing w:after="0"/>
              <w:rPr>
                <w:sz w:val="7"/>
                <w:szCs w:val="7"/>
                <w:color w:val="auto"/>
              </w:rPr>
            </w:pPr>
          </w:p>
        </w:tc>
        <w:tc>
          <w:tcPr>
            <w:tcW w:w="160" w:type="dxa"/>
            <w:vAlign w:val="bottom"/>
            <w:tcBorders>
              <w:bottom w:val="single" w:sz="8" w:color="58585A"/>
            </w:tcBorders>
            <w:shd w:val="clear" w:color="auto" w:fill="EEEEEF"/>
          </w:tcPr>
          <w:p>
            <w:pPr>
              <w:spacing w:after="0"/>
              <w:rPr>
                <w:sz w:val="7"/>
                <w:szCs w:val="7"/>
                <w:color w:val="auto"/>
              </w:rPr>
            </w:pPr>
          </w:p>
        </w:tc>
        <w:tc>
          <w:tcPr>
            <w:tcW w:w="1080" w:type="dxa"/>
            <w:vAlign w:val="bottom"/>
            <w:tcBorders>
              <w:bottom w:val="single" w:sz="8" w:color="58585A"/>
            </w:tcBorders>
            <w:vMerge w:val="continue"/>
            <w:shd w:val="clear" w:color="auto" w:fill="EEEEEF"/>
          </w:tcPr>
          <w:p>
            <w:pPr>
              <w:spacing w:after="0"/>
              <w:rPr>
                <w:sz w:val="7"/>
                <w:szCs w:val="7"/>
                <w:color w:val="auto"/>
              </w:rPr>
            </w:pPr>
          </w:p>
        </w:tc>
        <w:tc>
          <w:tcPr>
            <w:tcW w:w="1120" w:type="dxa"/>
            <w:vAlign w:val="bottom"/>
            <w:tcBorders>
              <w:bottom w:val="single" w:sz="8" w:color="58585A"/>
            </w:tcBorders>
            <w:vMerge w:val="continue"/>
            <w:shd w:val="clear" w:color="auto" w:fill="EEEEEF"/>
          </w:tcPr>
          <w:p>
            <w:pPr>
              <w:spacing w:after="0"/>
              <w:rPr>
                <w:sz w:val="7"/>
                <w:szCs w:val="7"/>
                <w:color w:val="auto"/>
              </w:rPr>
            </w:pPr>
          </w:p>
        </w:tc>
        <w:tc>
          <w:tcPr>
            <w:tcW w:w="1020" w:type="dxa"/>
            <w:vAlign w:val="bottom"/>
            <w:tcBorders>
              <w:bottom w:val="single" w:sz="8" w:color="58585A"/>
            </w:tcBorders>
            <w:vMerge w:val="continue"/>
            <w:shd w:val="clear" w:color="auto" w:fill="EEEEEF"/>
          </w:tcPr>
          <w:p>
            <w:pPr>
              <w:spacing w:after="0"/>
              <w:rPr>
                <w:sz w:val="7"/>
                <w:szCs w:val="7"/>
                <w:color w:val="auto"/>
              </w:rPr>
            </w:pPr>
          </w:p>
        </w:tc>
        <w:tc>
          <w:tcPr>
            <w:tcW w:w="1180" w:type="dxa"/>
            <w:vAlign w:val="bottom"/>
            <w:tcBorders>
              <w:bottom w:val="single" w:sz="8" w:color="58585A"/>
            </w:tcBorders>
            <w:vMerge w:val="continue"/>
            <w:shd w:val="clear" w:color="auto" w:fill="EEEEEF"/>
          </w:tcPr>
          <w:p>
            <w:pPr>
              <w:spacing w:after="0"/>
              <w:rPr>
                <w:sz w:val="7"/>
                <w:szCs w:val="7"/>
                <w:color w:val="auto"/>
              </w:rPr>
            </w:pPr>
          </w:p>
        </w:tc>
        <w:tc>
          <w:tcPr>
            <w:tcW w:w="1340" w:type="dxa"/>
            <w:vAlign w:val="bottom"/>
            <w:tcBorders>
              <w:bottom w:val="single" w:sz="8" w:color="58585A"/>
            </w:tcBorders>
            <w:vMerge w:val="continue"/>
            <w:shd w:val="clear" w:color="auto" w:fill="EEEEEF"/>
          </w:tcPr>
          <w:p>
            <w:pPr>
              <w:spacing w:after="0"/>
              <w:rPr>
                <w:sz w:val="7"/>
                <w:szCs w:val="7"/>
                <w:color w:val="auto"/>
              </w:rPr>
            </w:pPr>
          </w:p>
        </w:tc>
        <w:tc>
          <w:tcPr>
            <w:tcW w:w="980" w:type="dxa"/>
            <w:vAlign w:val="bottom"/>
            <w:tcBorders>
              <w:bottom w:val="single" w:sz="8" w:color="58585A"/>
            </w:tcBorders>
            <w:vMerge w:val="continue"/>
            <w:shd w:val="clear" w:color="auto" w:fill="EEEEEF"/>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700" w:type="dxa"/>
            <w:vAlign w:val="bottom"/>
            <w:vMerge w:val="continue"/>
            <w:shd w:val="clear" w:color="auto" w:fill="EEEEEF"/>
          </w:tcPr>
          <w:p>
            <w:pPr>
              <w:spacing w:after="0"/>
              <w:rPr>
                <w:sz w:val="3"/>
                <w:szCs w:val="3"/>
                <w:color w:val="auto"/>
              </w:rPr>
            </w:pPr>
          </w:p>
        </w:tc>
        <w:tc>
          <w:tcPr>
            <w:tcW w:w="80" w:type="dxa"/>
            <w:vAlign w:val="bottom"/>
            <w:shd w:val="clear" w:color="auto" w:fill="EEEEEF"/>
          </w:tcPr>
          <w:p>
            <w:pPr>
              <w:spacing w:after="0"/>
              <w:rPr>
                <w:sz w:val="3"/>
                <w:szCs w:val="3"/>
                <w:color w:val="auto"/>
              </w:rPr>
            </w:pPr>
          </w:p>
        </w:tc>
        <w:tc>
          <w:tcPr>
            <w:tcW w:w="500" w:type="dxa"/>
            <w:vAlign w:val="bottom"/>
            <w:vMerge w:val="restart"/>
            <w:shd w:val="clear" w:color="auto" w:fill="EEEEEF"/>
          </w:tcPr>
          <w:p>
            <w:pPr>
              <w:ind w:left="220"/>
              <w:spacing w:after="0" w:line="142" w:lineRule="exact"/>
              <w:rPr>
                <w:sz w:val="20"/>
                <w:szCs w:val="20"/>
                <w:color w:val="auto"/>
              </w:rPr>
            </w:pPr>
            <w:r>
              <w:rPr>
                <w:rFonts w:ascii="Arial" w:cs="Arial" w:eastAsia="Arial" w:hAnsi="Arial"/>
                <w:sz w:val="13"/>
                <w:szCs w:val="13"/>
                <w:color w:val="231F20"/>
                <w:w w:val="89"/>
              </w:rPr>
              <w:t>2019</w:t>
            </w:r>
          </w:p>
        </w:tc>
        <w:tc>
          <w:tcPr>
            <w:tcW w:w="160" w:type="dxa"/>
            <w:vAlign w:val="bottom"/>
            <w:shd w:val="clear" w:color="auto" w:fill="EEEEEF"/>
          </w:tcPr>
          <w:p>
            <w:pPr>
              <w:spacing w:after="0"/>
              <w:rPr>
                <w:sz w:val="3"/>
                <w:szCs w:val="3"/>
                <w:color w:val="auto"/>
              </w:rPr>
            </w:pPr>
          </w:p>
        </w:tc>
        <w:tc>
          <w:tcPr>
            <w:tcW w:w="1080" w:type="dxa"/>
            <w:vAlign w:val="bottom"/>
            <w:vMerge w:val="restart"/>
            <w:shd w:val="clear" w:color="auto" w:fill="EEEEEF"/>
          </w:tcPr>
          <w:p>
            <w:pPr>
              <w:jc w:val="right"/>
              <w:ind w:right="56"/>
              <w:spacing w:after="0" w:line="142" w:lineRule="exact"/>
              <w:rPr>
                <w:sz w:val="20"/>
                <w:szCs w:val="20"/>
                <w:color w:val="auto"/>
              </w:rPr>
            </w:pPr>
            <w:r>
              <w:rPr>
                <w:rFonts w:ascii="Arial" w:cs="Arial" w:eastAsia="Arial" w:hAnsi="Arial"/>
                <w:sz w:val="13"/>
                <w:szCs w:val="13"/>
                <w:color w:val="231F20"/>
              </w:rPr>
              <w:t>1,170,500</w:t>
            </w:r>
          </w:p>
        </w:tc>
        <w:tc>
          <w:tcPr>
            <w:tcW w:w="1120" w:type="dxa"/>
            <w:vAlign w:val="bottom"/>
            <w:vMerge w:val="restart"/>
            <w:shd w:val="clear" w:color="auto" w:fill="EEEEEF"/>
          </w:tcPr>
          <w:p>
            <w:pPr>
              <w:jc w:val="right"/>
              <w:ind w:right="76"/>
              <w:spacing w:after="0" w:line="142" w:lineRule="exact"/>
              <w:rPr>
                <w:sz w:val="20"/>
                <w:szCs w:val="20"/>
                <w:color w:val="auto"/>
              </w:rPr>
            </w:pPr>
            <w:r>
              <w:rPr>
                <w:rFonts w:ascii="Arial" w:cs="Arial" w:eastAsia="Arial" w:hAnsi="Arial"/>
                <w:sz w:val="13"/>
                <w:szCs w:val="13"/>
                <w:color w:val="231F20"/>
              </w:rPr>
              <w:t>4,983,226</w:t>
            </w:r>
          </w:p>
        </w:tc>
        <w:tc>
          <w:tcPr>
            <w:tcW w:w="1020" w:type="dxa"/>
            <w:vAlign w:val="bottom"/>
            <w:vMerge w:val="restart"/>
            <w:shd w:val="clear" w:color="auto" w:fill="EEEEEF"/>
          </w:tcPr>
          <w:p>
            <w:pPr>
              <w:jc w:val="right"/>
              <w:spacing w:after="0" w:line="142" w:lineRule="exact"/>
              <w:rPr>
                <w:sz w:val="20"/>
                <w:szCs w:val="20"/>
                <w:color w:val="auto"/>
              </w:rPr>
            </w:pPr>
            <w:r>
              <w:rPr>
                <w:rFonts w:ascii="Arial" w:cs="Arial" w:eastAsia="Arial" w:hAnsi="Arial"/>
                <w:sz w:val="13"/>
                <w:szCs w:val="13"/>
                <w:color w:val="231F20"/>
              </w:rPr>
              <w:t>11,699,586</w:t>
            </w:r>
          </w:p>
        </w:tc>
        <w:tc>
          <w:tcPr>
            <w:tcW w:w="1180" w:type="dxa"/>
            <w:vAlign w:val="bottom"/>
            <w:vMerge w:val="restart"/>
            <w:shd w:val="clear" w:color="auto" w:fill="EEEEEF"/>
          </w:tcPr>
          <w:p>
            <w:pPr>
              <w:jc w:val="right"/>
              <w:ind w:right="77"/>
              <w:spacing w:after="0" w:line="142" w:lineRule="exact"/>
              <w:rPr>
                <w:sz w:val="20"/>
                <w:szCs w:val="20"/>
                <w:color w:val="auto"/>
              </w:rPr>
            </w:pPr>
            <w:r>
              <w:rPr>
                <w:rFonts w:ascii="Arial" w:cs="Arial" w:eastAsia="Arial" w:hAnsi="Arial"/>
                <w:sz w:val="13"/>
                <w:szCs w:val="13"/>
                <w:color w:val="231F20"/>
              </w:rPr>
              <w:t>2,598,510</w:t>
            </w:r>
          </w:p>
        </w:tc>
        <w:tc>
          <w:tcPr>
            <w:tcW w:w="1340" w:type="dxa"/>
            <w:vAlign w:val="bottom"/>
            <w:vMerge w:val="restart"/>
            <w:shd w:val="clear" w:color="auto" w:fill="EEEEEF"/>
          </w:tcPr>
          <w:p>
            <w:pPr>
              <w:jc w:val="right"/>
              <w:ind w:right="218"/>
              <w:spacing w:after="0" w:line="142" w:lineRule="exact"/>
              <w:rPr>
                <w:sz w:val="20"/>
                <w:szCs w:val="20"/>
                <w:color w:val="auto"/>
              </w:rPr>
            </w:pPr>
            <w:r>
              <w:rPr>
                <w:rFonts w:ascii="Arial" w:cs="Arial" w:eastAsia="Arial" w:hAnsi="Arial"/>
                <w:sz w:val="13"/>
                <w:szCs w:val="13"/>
                <w:color w:val="231F20"/>
              </w:rPr>
              <w:t>212,313</w:t>
            </w:r>
          </w:p>
        </w:tc>
        <w:tc>
          <w:tcPr>
            <w:tcW w:w="980" w:type="dxa"/>
            <w:vAlign w:val="bottom"/>
            <w:vMerge w:val="restart"/>
            <w:shd w:val="clear" w:color="auto" w:fill="EEEEEF"/>
          </w:tcPr>
          <w:p>
            <w:pPr>
              <w:jc w:val="right"/>
              <w:ind w:right="36"/>
              <w:spacing w:after="0" w:line="142" w:lineRule="exact"/>
              <w:rPr>
                <w:sz w:val="20"/>
                <w:szCs w:val="20"/>
                <w:color w:val="auto"/>
              </w:rPr>
            </w:pPr>
            <w:r>
              <w:rPr>
                <w:rFonts w:ascii="Arial" w:cs="Arial" w:eastAsia="Arial" w:hAnsi="Arial"/>
                <w:sz w:val="13"/>
                <w:szCs w:val="13"/>
                <w:color w:val="231F20"/>
              </w:rPr>
              <w:t>20,664,135</w:t>
            </w:r>
          </w:p>
        </w:tc>
        <w:tc>
          <w:tcPr>
            <w:tcW w:w="0" w:type="dxa"/>
            <w:vAlign w:val="bottom"/>
          </w:tcPr>
          <w:p>
            <w:pPr>
              <w:spacing w:after="0"/>
              <w:rPr>
                <w:sz w:val="1"/>
                <w:szCs w:val="1"/>
                <w:color w:val="auto"/>
              </w:rPr>
            </w:pPr>
          </w:p>
        </w:tc>
      </w:tr>
      <w:tr>
        <w:trPr>
          <w:trHeight w:val="97"/>
        </w:trPr>
        <w:tc>
          <w:tcPr>
            <w:tcW w:w="2700" w:type="dxa"/>
            <w:vAlign w:val="bottom"/>
            <w:tcBorders>
              <w:bottom w:val="single" w:sz="8" w:color="58585A"/>
            </w:tcBorders>
            <w:shd w:val="clear" w:color="auto" w:fill="EEEEEF"/>
          </w:tcPr>
          <w:p>
            <w:pPr>
              <w:spacing w:after="0"/>
              <w:rPr>
                <w:sz w:val="8"/>
                <w:szCs w:val="8"/>
                <w:color w:val="auto"/>
              </w:rPr>
            </w:pPr>
          </w:p>
        </w:tc>
        <w:tc>
          <w:tcPr>
            <w:tcW w:w="80" w:type="dxa"/>
            <w:vAlign w:val="bottom"/>
            <w:tcBorders>
              <w:bottom w:val="single" w:sz="8" w:color="58585A"/>
            </w:tcBorders>
            <w:shd w:val="clear" w:color="auto" w:fill="EEEEEF"/>
          </w:tcPr>
          <w:p>
            <w:pPr>
              <w:spacing w:after="0"/>
              <w:rPr>
                <w:sz w:val="8"/>
                <w:szCs w:val="8"/>
                <w:color w:val="auto"/>
              </w:rPr>
            </w:pPr>
          </w:p>
        </w:tc>
        <w:tc>
          <w:tcPr>
            <w:tcW w:w="500" w:type="dxa"/>
            <w:vAlign w:val="bottom"/>
            <w:tcBorders>
              <w:bottom w:val="single" w:sz="8" w:color="58585A"/>
            </w:tcBorders>
            <w:vMerge w:val="continue"/>
            <w:shd w:val="clear" w:color="auto" w:fill="EEEEEF"/>
          </w:tcPr>
          <w:p>
            <w:pPr>
              <w:spacing w:after="0"/>
              <w:rPr>
                <w:sz w:val="8"/>
                <w:szCs w:val="8"/>
                <w:color w:val="auto"/>
              </w:rPr>
            </w:pPr>
          </w:p>
        </w:tc>
        <w:tc>
          <w:tcPr>
            <w:tcW w:w="160" w:type="dxa"/>
            <w:vAlign w:val="bottom"/>
            <w:tcBorders>
              <w:bottom w:val="single" w:sz="8" w:color="58585A"/>
            </w:tcBorders>
            <w:shd w:val="clear" w:color="auto" w:fill="EEEEEF"/>
          </w:tcPr>
          <w:p>
            <w:pPr>
              <w:spacing w:after="0"/>
              <w:rPr>
                <w:sz w:val="8"/>
                <w:szCs w:val="8"/>
                <w:color w:val="auto"/>
              </w:rPr>
            </w:pPr>
          </w:p>
        </w:tc>
        <w:tc>
          <w:tcPr>
            <w:tcW w:w="1080" w:type="dxa"/>
            <w:vAlign w:val="bottom"/>
            <w:tcBorders>
              <w:bottom w:val="single" w:sz="8" w:color="58585A"/>
            </w:tcBorders>
            <w:vMerge w:val="continue"/>
            <w:shd w:val="clear" w:color="auto" w:fill="EEEEEF"/>
          </w:tcPr>
          <w:p>
            <w:pPr>
              <w:spacing w:after="0"/>
              <w:rPr>
                <w:sz w:val="8"/>
                <w:szCs w:val="8"/>
                <w:color w:val="auto"/>
              </w:rPr>
            </w:pPr>
          </w:p>
        </w:tc>
        <w:tc>
          <w:tcPr>
            <w:tcW w:w="1120" w:type="dxa"/>
            <w:vAlign w:val="bottom"/>
            <w:tcBorders>
              <w:bottom w:val="single" w:sz="8" w:color="58585A"/>
            </w:tcBorders>
            <w:vMerge w:val="continue"/>
            <w:shd w:val="clear" w:color="auto" w:fill="EEEEEF"/>
          </w:tcPr>
          <w:p>
            <w:pPr>
              <w:spacing w:after="0"/>
              <w:rPr>
                <w:sz w:val="8"/>
                <w:szCs w:val="8"/>
                <w:color w:val="auto"/>
              </w:rPr>
            </w:pPr>
          </w:p>
        </w:tc>
        <w:tc>
          <w:tcPr>
            <w:tcW w:w="1020" w:type="dxa"/>
            <w:vAlign w:val="bottom"/>
            <w:tcBorders>
              <w:bottom w:val="single" w:sz="8" w:color="58585A"/>
            </w:tcBorders>
            <w:vMerge w:val="continue"/>
            <w:shd w:val="clear" w:color="auto" w:fill="EEEEEF"/>
          </w:tcPr>
          <w:p>
            <w:pPr>
              <w:spacing w:after="0"/>
              <w:rPr>
                <w:sz w:val="8"/>
                <w:szCs w:val="8"/>
                <w:color w:val="auto"/>
              </w:rPr>
            </w:pPr>
          </w:p>
        </w:tc>
        <w:tc>
          <w:tcPr>
            <w:tcW w:w="1180" w:type="dxa"/>
            <w:vAlign w:val="bottom"/>
            <w:tcBorders>
              <w:bottom w:val="single" w:sz="8" w:color="58585A"/>
            </w:tcBorders>
            <w:vMerge w:val="continue"/>
            <w:shd w:val="clear" w:color="auto" w:fill="EEEEEF"/>
          </w:tcPr>
          <w:p>
            <w:pPr>
              <w:spacing w:after="0"/>
              <w:rPr>
                <w:sz w:val="8"/>
                <w:szCs w:val="8"/>
                <w:color w:val="auto"/>
              </w:rPr>
            </w:pPr>
          </w:p>
        </w:tc>
        <w:tc>
          <w:tcPr>
            <w:tcW w:w="1340" w:type="dxa"/>
            <w:vAlign w:val="bottom"/>
            <w:tcBorders>
              <w:bottom w:val="single" w:sz="8" w:color="58585A"/>
            </w:tcBorders>
            <w:vMerge w:val="continue"/>
            <w:shd w:val="clear" w:color="auto" w:fill="EEEEEF"/>
          </w:tcPr>
          <w:p>
            <w:pPr>
              <w:spacing w:after="0"/>
              <w:rPr>
                <w:sz w:val="8"/>
                <w:szCs w:val="8"/>
                <w:color w:val="auto"/>
              </w:rPr>
            </w:pPr>
          </w:p>
        </w:tc>
        <w:tc>
          <w:tcPr>
            <w:tcW w:w="980" w:type="dxa"/>
            <w:vAlign w:val="bottom"/>
            <w:tcBorders>
              <w:bottom w:val="single" w:sz="8" w:color="58585A"/>
            </w:tcBorders>
            <w:vMerge w:val="continue"/>
            <w:shd w:val="clear" w:color="auto" w:fill="EEEEE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700" w:type="dxa"/>
            <w:vAlign w:val="bottom"/>
          </w:tcPr>
          <w:p>
            <w:pPr>
              <w:spacing w:after="0"/>
              <w:rPr>
                <w:sz w:val="20"/>
                <w:szCs w:val="20"/>
                <w:color w:val="auto"/>
              </w:rPr>
            </w:pPr>
            <w:r>
              <w:rPr>
                <w:rFonts w:ascii="Arial" w:cs="Arial" w:eastAsia="Arial" w:hAnsi="Arial"/>
                <w:sz w:val="13"/>
                <w:szCs w:val="13"/>
                <w:b w:val="1"/>
                <w:bCs w:val="1"/>
                <w:color w:val="D60058"/>
              </w:rPr>
              <w:t>Robert E. Landry</w:t>
            </w:r>
          </w:p>
        </w:tc>
        <w:tc>
          <w:tcPr>
            <w:tcW w:w="740" w:type="dxa"/>
            <w:vAlign w:val="bottom"/>
            <w:gridSpan w:val="3"/>
          </w:tcPr>
          <w:p>
            <w:pPr>
              <w:ind w:left="300"/>
              <w:spacing w:after="0"/>
              <w:rPr>
                <w:sz w:val="20"/>
                <w:szCs w:val="20"/>
                <w:color w:val="auto"/>
              </w:rPr>
            </w:pPr>
            <w:r>
              <w:rPr>
                <w:rFonts w:ascii="Arial" w:cs="Arial" w:eastAsia="Arial" w:hAnsi="Arial"/>
                <w:sz w:val="13"/>
                <w:szCs w:val="13"/>
                <w:color w:val="231F20"/>
              </w:rPr>
              <w:t>2021</w:t>
            </w:r>
          </w:p>
        </w:tc>
        <w:tc>
          <w:tcPr>
            <w:tcW w:w="1080" w:type="dxa"/>
            <w:vAlign w:val="bottom"/>
          </w:tcPr>
          <w:p>
            <w:pPr>
              <w:jc w:val="right"/>
              <w:ind w:right="56"/>
              <w:spacing w:after="0"/>
              <w:rPr>
                <w:sz w:val="20"/>
                <w:szCs w:val="20"/>
                <w:color w:val="auto"/>
              </w:rPr>
            </w:pPr>
            <w:r>
              <w:rPr>
                <w:rFonts w:ascii="Arial" w:cs="Arial" w:eastAsia="Arial" w:hAnsi="Arial"/>
                <w:sz w:val="13"/>
                <w:szCs w:val="13"/>
                <w:color w:val="231F20"/>
              </w:rPr>
              <w:t>822,800</w:t>
            </w:r>
          </w:p>
        </w:tc>
        <w:tc>
          <w:tcPr>
            <w:tcW w:w="1120" w:type="dxa"/>
            <w:vAlign w:val="bottom"/>
          </w:tcPr>
          <w:p>
            <w:pPr>
              <w:jc w:val="right"/>
              <w:ind w:right="76"/>
              <w:spacing w:after="0"/>
              <w:rPr>
                <w:sz w:val="20"/>
                <w:szCs w:val="20"/>
                <w:color w:val="auto"/>
              </w:rPr>
            </w:pPr>
            <w:r>
              <w:rPr>
                <w:rFonts w:ascii="Arial" w:cs="Arial" w:eastAsia="Arial" w:hAnsi="Arial"/>
                <w:sz w:val="13"/>
                <w:szCs w:val="13"/>
                <w:color w:val="231F20"/>
              </w:rPr>
              <w:t>2,559,468</w:t>
            </w:r>
          </w:p>
        </w:tc>
        <w:tc>
          <w:tcPr>
            <w:tcW w:w="1020" w:type="dxa"/>
            <w:vAlign w:val="bottom"/>
          </w:tcPr>
          <w:p>
            <w:pPr>
              <w:jc w:val="right"/>
              <w:spacing w:after="0"/>
              <w:rPr>
                <w:sz w:val="20"/>
                <w:szCs w:val="20"/>
                <w:color w:val="auto"/>
              </w:rPr>
            </w:pPr>
            <w:r>
              <w:rPr>
                <w:rFonts w:ascii="Arial" w:cs="Arial" w:eastAsia="Arial" w:hAnsi="Arial"/>
                <w:sz w:val="13"/>
                <w:szCs w:val="13"/>
                <w:color w:val="231F20"/>
              </w:rPr>
              <w:t>3,839,805</w:t>
            </w:r>
          </w:p>
        </w:tc>
        <w:tc>
          <w:tcPr>
            <w:tcW w:w="1180" w:type="dxa"/>
            <w:vAlign w:val="bottom"/>
          </w:tcPr>
          <w:p>
            <w:pPr>
              <w:jc w:val="right"/>
              <w:ind w:right="77"/>
              <w:spacing w:after="0"/>
              <w:rPr>
                <w:sz w:val="20"/>
                <w:szCs w:val="20"/>
                <w:color w:val="auto"/>
              </w:rPr>
            </w:pPr>
            <w:r>
              <w:rPr>
                <w:rFonts w:ascii="Arial" w:cs="Arial" w:eastAsia="Arial" w:hAnsi="Arial"/>
                <w:sz w:val="13"/>
                <w:szCs w:val="13"/>
                <w:color w:val="231F20"/>
              </w:rPr>
              <w:t>1,052,182</w:t>
            </w:r>
          </w:p>
        </w:tc>
        <w:tc>
          <w:tcPr>
            <w:tcW w:w="1340" w:type="dxa"/>
            <w:vAlign w:val="bottom"/>
          </w:tcPr>
          <w:p>
            <w:pPr>
              <w:jc w:val="right"/>
              <w:ind w:right="158"/>
              <w:spacing w:after="0" w:line="159" w:lineRule="exact"/>
              <w:rPr>
                <w:sz w:val="20"/>
                <w:szCs w:val="20"/>
                <w:color w:val="auto"/>
              </w:rPr>
            </w:pPr>
            <w:r>
              <w:rPr>
                <w:rFonts w:ascii="Arial" w:cs="Arial" w:eastAsia="Arial" w:hAnsi="Arial"/>
                <w:sz w:val="12"/>
                <w:szCs w:val="12"/>
                <w:color w:val="231F20"/>
              </w:rPr>
              <w:t>24,200</w:t>
            </w:r>
            <w:r>
              <w:rPr>
                <w:rFonts w:ascii="Arial" w:cs="Arial" w:eastAsia="Arial" w:hAnsi="Arial"/>
                <w:sz w:val="18"/>
                <w:szCs w:val="18"/>
                <w:color w:val="000000"/>
                <w:vertAlign w:val="superscript"/>
              </w:rPr>
              <w:t>7</w:t>
            </w:r>
          </w:p>
        </w:tc>
        <w:tc>
          <w:tcPr>
            <w:tcW w:w="980" w:type="dxa"/>
            <w:vAlign w:val="bottom"/>
          </w:tcPr>
          <w:p>
            <w:pPr>
              <w:jc w:val="right"/>
              <w:ind w:right="36"/>
              <w:spacing w:after="0"/>
              <w:rPr>
                <w:sz w:val="20"/>
                <w:szCs w:val="20"/>
                <w:color w:val="auto"/>
              </w:rPr>
            </w:pPr>
            <w:r>
              <w:rPr>
                <w:rFonts w:ascii="Arial" w:cs="Arial" w:eastAsia="Arial" w:hAnsi="Arial"/>
                <w:sz w:val="13"/>
                <w:szCs w:val="13"/>
                <w:color w:val="231F20"/>
              </w:rPr>
              <w:t>8,298,455</w:t>
            </w:r>
          </w:p>
        </w:tc>
        <w:tc>
          <w:tcPr>
            <w:tcW w:w="0" w:type="dxa"/>
            <w:vAlign w:val="bottom"/>
          </w:tcPr>
          <w:p>
            <w:pPr>
              <w:spacing w:after="0"/>
              <w:rPr>
                <w:sz w:val="1"/>
                <w:szCs w:val="1"/>
                <w:color w:val="auto"/>
              </w:rPr>
            </w:pPr>
          </w:p>
        </w:tc>
      </w:tr>
      <w:tr>
        <w:trPr>
          <w:trHeight w:val="111"/>
        </w:trPr>
        <w:tc>
          <w:tcPr>
            <w:tcW w:w="2700" w:type="dxa"/>
            <w:vAlign w:val="bottom"/>
          </w:tcPr>
          <w:p>
            <w:pPr>
              <w:spacing w:after="0" w:line="111" w:lineRule="exact"/>
              <w:rPr>
                <w:sz w:val="20"/>
                <w:szCs w:val="20"/>
                <w:color w:val="auto"/>
              </w:rPr>
            </w:pPr>
            <w:r>
              <w:rPr>
                <w:rFonts w:ascii="Arial" w:cs="Arial" w:eastAsia="Arial" w:hAnsi="Arial"/>
                <w:sz w:val="12"/>
                <w:szCs w:val="12"/>
                <w:color w:val="231F20"/>
              </w:rPr>
              <w:t>Executive Vice President,</w:t>
            </w:r>
          </w:p>
        </w:tc>
        <w:tc>
          <w:tcPr>
            <w:tcW w:w="80" w:type="dxa"/>
            <w:vAlign w:val="bottom"/>
          </w:tcPr>
          <w:p>
            <w:pPr>
              <w:spacing w:after="0"/>
              <w:rPr>
                <w:sz w:val="9"/>
                <w:szCs w:val="9"/>
                <w:color w:val="auto"/>
              </w:rPr>
            </w:pPr>
          </w:p>
        </w:tc>
        <w:tc>
          <w:tcPr>
            <w:tcW w:w="660" w:type="dxa"/>
            <w:vAlign w:val="bottom"/>
            <w:tcBorders>
              <w:top w:val="single" w:sz="8" w:color="58585A"/>
            </w:tcBorders>
            <w:gridSpan w:val="2"/>
          </w:tcPr>
          <w:p>
            <w:pPr>
              <w:ind w:left="220"/>
              <w:spacing w:after="0" w:line="111" w:lineRule="exact"/>
              <w:rPr>
                <w:sz w:val="20"/>
                <w:szCs w:val="20"/>
                <w:color w:val="auto"/>
              </w:rPr>
            </w:pPr>
            <w:r>
              <w:rPr>
                <w:rFonts w:ascii="Arial" w:cs="Arial" w:eastAsia="Arial" w:hAnsi="Arial"/>
                <w:sz w:val="12"/>
                <w:szCs w:val="12"/>
                <w:color w:val="231F20"/>
              </w:rPr>
              <w:t>2020</w:t>
            </w:r>
          </w:p>
        </w:tc>
        <w:tc>
          <w:tcPr>
            <w:tcW w:w="1080" w:type="dxa"/>
            <w:vAlign w:val="bottom"/>
            <w:tcBorders>
              <w:top w:val="single" w:sz="8" w:color="58585A"/>
            </w:tcBorders>
          </w:tcPr>
          <w:p>
            <w:pPr>
              <w:jc w:val="right"/>
              <w:ind w:right="56"/>
              <w:spacing w:after="0" w:line="111" w:lineRule="exact"/>
              <w:rPr>
                <w:sz w:val="20"/>
                <w:szCs w:val="20"/>
                <w:color w:val="auto"/>
              </w:rPr>
            </w:pPr>
            <w:r>
              <w:rPr>
                <w:rFonts w:ascii="Arial" w:cs="Arial" w:eastAsia="Arial" w:hAnsi="Arial"/>
                <w:sz w:val="12"/>
                <w:szCs w:val="12"/>
                <w:color w:val="231F20"/>
              </w:rPr>
              <w:t>825,577</w:t>
            </w:r>
          </w:p>
        </w:tc>
        <w:tc>
          <w:tcPr>
            <w:tcW w:w="1120" w:type="dxa"/>
            <w:vAlign w:val="bottom"/>
            <w:tcBorders>
              <w:top w:val="single" w:sz="8" w:color="58585A"/>
            </w:tcBorders>
          </w:tcPr>
          <w:p>
            <w:pPr>
              <w:jc w:val="right"/>
              <w:ind w:right="76"/>
              <w:spacing w:after="0" w:line="111" w:lineRule="exact"/>
              <w:rPr>
                <w:sz w:val="20"/>
                <w:szCs w:val="20"/>
                <w:color w:val="auto"/>
              </w:rPr>
            </w:pPr>
            <w:r>
              <w:rPr>
                <w:rFonts w:ascii="Arial" w:cs="Arial" w:eastAsia="Arial" w:hAnsi="Arial"/>
                <w:sz w:val="12"/>
                <w:szCs w:val="12"/>
                <w:color w:val="231F20"/>
              </w:rPr>
              <w:t>949,560</w:t>
            </w:r>
          </w:p>
        </w:tc>
        <w:tc>
          <w:tcPr>
            <w:tcW w:w="1020" w:type="dxa"/>
            <w:vAlign w:val="bottom"/>
            <w:tcBorders>
              <w:top w:val="single" w:sz="8" w:color="58585A"/>
            </w:tcBorders>
          </w:tcPr>
          <w:p>
            <w:pPr>
              <w:jc w:val="right"/>
              <w:spacing w:after="0" w:line="111" w:lineRule="exact"/>
              <w:rPr>
                <w:sz w:val="20"/>
                <w:szCs w:val="20"/>
                <w:color w:val="auto"/>
              </w:rPr>
            </w:pPr>
            <w:r>
              <w:rPr>
                <w:rFonts w:ascii="Arial" w:cs="Arial" w:eastAsia="Arial" w:hAnsi="Arial"/>
                <w:sz w:val="12"/>
                <w:szCs w:val="12"/>
                <w:color w:val="231F20"/>
              </w:rPr>
              <w:t>3,459,499</w:t>
            </w:r>
          </w:p>
        </w:tc>
        <w:tc>
          <w:tcPr>
            <w:tcW w:w="1180" w:type="dxa"/>
            <w:vAlign w:val="bottom"/>
            <w:tcBorders>
              <w:top w:val="single" w:sz="8" w:color="58585A"/>
            </w:tcBorders>
          </w:tcPr>
          <w:p>
            <w:pPr>
              <w:jc w:val="right"/>
              <w:ind w:right="77"/>
              <w:spacing w:after="0" w:line="111" w:lineRule="exact"/>
              <w:rPr>
                <w:sz w:val="20"/>
                <w:szCs w:val="20"/>
                <w:color w:val="auto"/>
              </w:rPr>
            </w:pPr>
            <w:r>
              <w:rPr>
                <w:rFonts w:ascii="Arial" w:cs="Arial" w:eastAsia="Arial" w:hAnsi="Arial"/>
                <w:sz w:val="12"/>
                <w:szCs w:val="12"/>
                <w:color w:val="231F20"/>
              </w:rPr>
              <w:t>938,872</w:t>
            </w:r>
          </w:p>
        </w:tc>
        <w:tc>
          <w:tcPr>
            <w:tcW w:w="1340" w:type="dxa"/>
            <w:vAlign w:val="bottom"/>
            <w:tcBorders>
              <w:top w:val="single" w:sz="8" w:color="58585A"/>
            </w:tcBorders>
          </w:tcPr>
          <w:p>
            <w:pPr>
              <w:jc w:val="right"/>
              <w:ind w:right="218"/>
              <w:spacing w:after="0" w:line="111" w:lineRule="exact"/>
              <w:rPr>
                <w:sz w:val="20"/>
                <w:szCs w:val="20"/>
                <w:color w:val="auto"/>
              </w:rPr>
            </w:pPr>
            <w:r>
              <w:rPr>
                <w:rFonts w:ascii="Arial" w:cs="Arial" w:eastAsia="Arial" w:hAnsi="Arial"/>
                <w:sz w:val="12"/>
                <w:szCs w:val="12"/>
                <w:color w:val="231F20"/>
              </w:rPr>
              <w:t>24,195</w:t>
            </w:r>
          </w:p>
        </w:tc>
        <w:tc>
          <w:tcPr>
            <w:tcW w:w="980" w:type="dxa"/>
            <w:vAlign w:val="bottom"/>
            <w:tcBorders>
              <w:top w:val="single" w:sz="8" w:color="58585A"/>
            </w:tcBorders>
          </w:tcPr>
          <w:p>
            <w:pPr>
              <w:jc w:val="right"/>
              <w:ind w:right="36"/>
              <w:spacing w:after="0" w:line="111" w:lineRule="exact"/>
              <w:rPr>
                <w:sz w:val="20"/>
                <w:szCs w:val="20"/>
                <w:color w:val="auto"/>
              </w:rPr>
            </w:pPr>
            <w:r>
              <w:rPr>
                <w:rFonts w:ascii="Arial" w:cs="Arial" w:eastAsia="Arial" w:hAnsi="Arial"/>
                <w:sz w:val="12"/>
                <w:szCs w:val="12"/>
                <w:color w:val="231F20"/>
              </w:rPr>
              <w:t>6,197,703</w:t>
            </w:r>
          </w:p>
        </w:tc>
        <w:tc>
          <w:tcPr>
            <w:tcW w:w="0" w:type="dxa"/>
            <w:vAlign w:val="bottom"/>
          </w:tcPr>
          <w:p>
            <w:pPr>
              <w:spacing w:after="0"/>
              <w:rPr>
                <w:sz w:val="1"/>
                <w:szCs w:val="1"/>
                <w:color w:val="auto"/>
              </w:rPr>
            </w:pPr>
          </w:p>
        </w:tc>
      </w:tr>
      <w:tr>
        <w:trPr>
          <w:trHeight w:val="37"/>
        </w:trPr>
        <w:tc>
          <w:tcPr>
            <w:tcW w:w="2700" w:type="dxa"/>
            <w:vAlign w:val="bottom"/>
            <w:vMerge w:val="restart"/>
          </w:tcPr>
          <w:p>
            <w:pPr>
              <w:spacing w:after="0"/>
              <w:rPr>
                <w:sz w:val="20"/>
                <w:szCs w:val="20"/>
                <w:color w:val="auto"/>
              </w:rPr>
            </w:pPr>
            <w:r>
              <w:rPr>
                <w:rFonts w:ascii="Arial" w:cs="Arial" w:eastAsia="Arial" w:hAnsi="Arial"/>
                <w:sz w:val="13"/>
                <w:szCs w:val="13"/>
                <w:color w:val="231F20"/>
              </w:rPr>
              <w:t>Finance and Chief Financial Officer</w:t>
            </w:r>
          </w:p>
        </w:tc>
        <w:tc>
          <w:tcPr>
            <w:tcW w:w="80" w:type="dxa"/>
            <w:vAlign w:val="bottom"/>
          </w:tcPr>
          <w:p>
            <w:pPr>
              <w:spacing w:after="0"/>
              <w:rPr>
                <w:sz w:val="3"/>
                <w:szCs w:val="3"/>
                <w:color w:val="auto"/>
              </w:rPr>
            </w:pPr>
          </w:p>
        </w:tc>
        <w:tc>
          <w:tcPr>
            <w:tcW w:w="500" w:type="dxa"/>
            <w:vAlign w:val="bottom"/>
            <w:tcBorders>
              <w:bottom w:val="single" w:sz="8" w:color="58585A"/>
            </w:tcBorders>
          </w:tcPr>
          <w:p>
            <w:pPr>
              <w:spacing w:after="0"/>
              <w:rPr>
                <w:sz w:val="3"/>
                <w:szCs w:val="3"/>
                <w:color w:val="auto"/>
              </w:rPr>
            </w:pPr>
          </w:p>
        </w:tc>
        <w:tc>
          <w:tcPr>
            <w:tcW w:w="160" w:type="dxa"/>
            <w:vAlign w:val="bottom"/>
            <w:tcBorders>
              <w:bottom w:val="single" w:sz="8" w:color="58585A"/>
            </w:tcBorders>
          </w:tcPr>
          <w:p>
            <w:pPr>
              <w:spacing w:after="0"/>
              <w:rPr>
                <w:sz w:val="3"/>
                <w:szCs w:val="3"/>
                <w:color w:val="auto"/>
              </w:rPr>
            </w:pPr>
          </w:p>
        </w:tc>
        <w:tc>
          <w:tcPr>
            <w:tcW w:w="1080" w:type="dxa"/>
            <w:vAlign w:val="bottom"/>
            <w:tcBorders>
              <w:bottom w:val="single" w:sz="8" w:color="58585A"/>
            </w:tcBorders>
          </w:tcPr>
          <w:p>
            <w:pPr>
              <w:spacing w:after="0"/>
              <w:rPr>
                <w:sz w:val="3"/>
                <w:szCs w:val="3"/>
                <w:color w:val="auto"/>
              </w:rPr>
            </w:pPr>
          </w:p>
        </w:tc>
        <w:tc>
          <w:tcPr>
            <w:tcW w:w="1120" w:type="dxa"/>
            <w:vAlign w:val="bottom"/>
            <w:tcBorders>
              <w:bottom w:val="single" w:sz="8" w:color="58585A"/>
            </w:tcBorders>
          </w:tcPr>
          <w:p>
            <w:pPr>
              <w:spacing w:after="0"/>
              <w:rPr>
                <w:sz w:val="3"/>
                <w:szCs w:val="3"/>
                <w:color w:val="auto"/>
              </w:rPr>
            </w:pPr>
          </w:p>
        </w:tc>
        <w:tc>
          <w:tcPr>
            <w:tcW w:w="1020" w:type="dxa"/>
            <w:vAlign w:val="bottom"/>
            <w:tcBorders>
              <w:bottom w:val="single" w:sz="8" w:color="58585A"/>
            </w:tcBorders>
          </w:tcPr>
          <w:p>
            <w:pPr>
              <w:spacing w:after="0"/>
              <w:rPr>
                <w:sz w:val="3"/>
                <w:szCs w:val="3"/>
                <w:color w:val="auto"/>
              </w:rPr>
            </w:pPr>
          </w:p>
        </w:tc>
        <w:tc>
          <w:tcPr>
            <w:tcW w:w="1180" w:type="dxa"/>
            <w:vAlign w:val="bottom"/>
            <w:tcBorders>
              <w:bottom w:val="single" w:sz="8" w:color="58585A"/>
            </w:tcBorders>
          </w:tcPr>
          <w:p>
            <w:pPr>
              <w:spacing w:after="0"/>
              <w:rPr>
                <w:sz w:val="3"/>
                <w:szCs w:val="3"/>
                <w:color w:val="auto"/>
              </w:rPr>
            </w:pPr>
          </w:p>
        </w:tc>
        <w:tc>
          <w:tcPr>
            <w:tcW w:w="1340" w:type="dxa"/>
            <w:vAlign w:val="bottom"/>
            <w:tcBorders>
              <w:bottom w:val="single" w:sz="8" w:color="58585A"/>
            </w:tcBorders>
          </w:tcPr>
          <w:p>
            <w:pPr>
              <w:spacing w:after="0"/>
              <w:rPr>
                <w:sz w:val="3"/>
                <w:szCs w:val="3"/>
                <w:color w:val="auto"/>
              </w:rPr>
            </w:pPr>
          </w:p>
        </w:tc>
        <w:tc>
          <w:tcPr>
            <w:tcW w:w="980" w:type="dxa"/>
            <w:vAlign w:val="bottom"/>
            <w:tcBorders>
              <w:bottom w:val="single" w:sz="8" w:color="58585A"/>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2700" w:type="dxa"/>
            <w:vAlign w:val="bottom"/>
            <w:vMerge w:val="continue"/>
          </w:tcPr>
          <w:p>
            <w:pPr>
              <w:spacing w:after="0"/>
              <w:rPr>
                <w:sz w:val="8"/>
                <w:szCs w:val="8"/>
                <w:color w:val="auto"/>
              </w:rPr>
            </w:pPr>
          </w:p>
        </w:tc>
        <w:tc>
          <w:tcPr>
            <w:tcW w:w="740" w:type="dxa"/>
            <w:vAlign w:val="bottom"/>
            <w:gridSpan w:val="3"/>
            <w:vMerge w:val="restart"/>
          </w:tcPr>
          <w:p>
            <w:pPr>
              <w:ind w:left="300"/>
              <w:spacing w:after="0" w:line="142" w:lineRule="exact"/>
              <w:rPr>
                <w:sz w:val="20"/>
                <w:szCs w:val="20"/>
                <w:color w:val="auto"/>
              </w:rPr>
            </w:pPr>
            <w:r>
              <w:rPr>
                <w:rFonts w:ascii="Arial" w:cs="Arial" w:eastAsia="Arial" w:hAnsi="Arial"/>
                <w:sz w:val="13"/>
                <w:szCs w:val="13"/>
                <w:color w:val="231F20"/>
              </w:rPr>
              <w:t>2019</w:t>
            </w:r>
          </w:p>
        </w:tc>
        <w:tc>
          <w:tcPr>
            <w:tcW w:w="1080" w:type="dxa"/>
            <w:vAlign w:val="bottom"/>
            <w:vMerge w:val="restart"/>
          </w:tcPr>
          <w:p>
            <w:pPr>
              <w:jc w:val="right"/>
              <w:ind w:right="56"/>
              <w:spacing w:after="0" w:line="142" w:lineRule="exact"/>
              <w:rPr>
                <w:sz w:val="20"/>
                <w:szCs w:val="20"/>
                <w:color w:val="auto"/>
              </w:rPr>
            </w:pPr>
            <w:r>
              <w:rPr>
                <w:rFonts w:ascii="Arial" w:cs="Arial" w:eastAsia="Arial" w:hAnsi="Arial"/>
                <w:sz w:val="13"/>
                <w:szCs w:val="13"/>
                <w:color w:val="231F20"/>
              </w:rPr>
              <w:t>730,000</w:t>
            </w:r>
          </w:p>
        </w:tc>
        <w:tc>
          <w:tcPr>
            <w:tcW w:w="1120" w:type="dxa"/>
            <w:vAlign w:val="bottom"/>
            <w:vMerge w:val="restart"/>
          </w:tcPr>
          <w:p>
            <w:pPr>
              <w:jc w:val="right"/>
              <w:ind w:right="76"/>
              <w:spacing w:after="0" w:line="142" w:lineRule="exact"/>
              <w:rPr>
                <w:sz w:val="20"/>
                <w:szCs w:val="20"/>
                <w:color w:val="auto"/>
              </w:rPr>
            </w:pPr>
            <w:r>
              <w:rPr>
                <w:rFonts w:ascii="Arial" w:cs="Arial" w:eastAsia="Arial" w:hAnsi="Arial"/>
                <w:sz w:val="13"/>
                <w:szCs w:val="13"/>
                <w:color w:val="231F20"/>
              </w:rPr>
              <w:t>2,840,008</w:t>
            </w:r>
          </w:p>
        </w:tc>
        <w:tc>
          <w:tcPr>
            <w:tcW w:w="102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3,526,669</w:t>
            </w:r>
          </w:p>
        </w:tc>
        <w:tc>
          <w:tcPr>
            <w:tcW w:w="1180" w:type="dxa"/>
            <w:vAlign w:val="bottom"/>
            <w:vMerge w:val="restart"/>
          </w:tcPr>
          <w:p>
            <w:pPr>
              <w:jc w:val="right"/>
              <w:ind w:right="77"/>
              <w:spacing w:after="0" w:line="142" w:lineRule="exact"/>
              <w:rPr>
                <w:sz w:val="20"/>
                <w:szCs w:val="20"/>
                <w:color w:val="auto"/>
              </w:rPr>
            </w:pPr>
            <w:r>
              <w:rPr>
                <w:rFonts w:ascii="Arial" w:cs="Arial" w:eastAsia="Arial" w:hAnsi="Arial"/>
                <w:sz w:val="13"/>
                <w:szCs w:val="13"/>
                <w:color w:val="231F20"/>
              </w:rPr>
              <w:t>811,395</w:t>
            </w:r>
          </w:p>
        </w:tc>
        <w:tc>
          <w:tcPr>
            <w:tcW w:w="1340" w:type="dxa"/>
            <w:vAlign w:val="bottom"/>
            <w:vMerge w:val="restart"/>
          </w:tcPr>
          <w:p>
            <w:pPr>
              <w:jc w:val="right"/>
              <w:ind w:right="218"/>
              <w:spacing w:after="0" w:line="142" w:lineRule="exact"/>
              <w:rPr>
                <w:sz w:val="20"/>
                <w:szCs w:val="20"/>
                <w:color w:val="auto"/>
              </w:rPr>
            </w:pPr>
            <w:r>
              <w:rPr>
                <w:rFonts w:ascii="Arial" w:cs="Arial" w:eastAsia="Arial" w:hAnsi="Arial"/>
                <w:sz w:val="13"/>
                <w:szCs w:val="13"/>
                <w:color w:val="231F20"/>
              </w:rPr>
              <w:t>23,470</w:t>
            </w:r>
          </w:p>
        </w:tc>
        <w:tc>
          <w:tcPr>
            <w:tcW w:w="980" w:type="dxa"/>
            <w:vAlign w:val="bottom"/>
            <w:vMerge w:val="restart"/>
          </w:tcPr>
          <w:p>
            <w:pPr>
              <w:jc w:val="right"/>
              <w:ind w:right="36"/>
              <w:spacing w:after="0" w:line="142" w:lineRule="exact"/>
              <w:rPr>
                <w:sz w:val="20"/>
                <w:szCs w:val="20"/>
                <w:color w:val="auto"/>
              </w:rPr>
            </w:pPr>
            <w:r>
              <w:rPr>
                <w:rFonts w:ascii="Arial" w:cs="Arial" w:eastAsia="Arial" w:hAnsi="Arial"/>
                <w:sz w:val="13"/>
                <w:szCs w:val="13"/>
                <w:color w:val="231F20"/>
              </w:rPr>
              <w:t>7,931,542</w:t>
            </w:r>
          </w:p>
        </w:tc>
        <w:tc>
          <w:tcPr>
            <w:tcW w:w="0" w:type="dxa"/>
            <w:vAlign w:val="bottom"/>
          </w:tcPr>
          <w:p>
            <w:pPr>
              <w:spacing w:after="0"/>
              <w:rPr>
                <w:sz w:val="1"/>
                <w:szCs w:val="1"/>
                <w:color w:val="auto"/>
              </w:rPr>
            </w:pPr>
          </w:p>
        </w:tc>
      </w:tr>
      <w:tr>
        <w:trPr>
          <w:trHeight w:val="43"/>
        </w:trPr>
        <w:tc>
          <w:tcPr>
            <w:tcW w:w="2700" w:type="dxa"/>
            <w:vAlign w:val="bottom"/>
            <w:tcBorders>
              <w:bottom w:val="single" w:sz="8" w:color="58585A"/>
            </w:tcBorders>
          </w:tcPr>
          <w:p>
            <w:pPr>
              <w:spacing w:after="0"/>
              <w:rPr>
                <w:sz w:val="3"/>
                <w:szCs w:val="3"/>
                <w:color w:val="auto"/>
              </w:rPr>
            </w:pPr>
          </w:p>
        </w:tc>
        <w:tc>
          <w:tcPr>
            <w:tcW w:w="740" w:type="dxa"/>
            <w:vAlign w:val="bottom"/>
            <w:tcBorders>
              <w:bottom w:val="single" w:sz="8" w:color="58585A"/>
            </w:tcBorders>
            <w:gridSpan w:val="3"/>
            <w:vMerge w:val="continue"/>
          </w:tcPr>
          <w:p>
            <w:pPr>
              <w:spacing w:after="0"/>
              <w:rPr>
                <w:sz w:val="3"/>
                <w:szCs w:val="3"/>
                <w:color w:val="auto"/>
              </w:rPr>
            </w:pPr>
          </w:p>
        </w:tc>
        <w:tc>
          <w:tcPr>
            <w:tcW w:w="1080" w:type="dxa"/>
            <w:vAlign w:val="bottom"/>
            <w:tcBorders>
              <w:bottom w:val="single" w:sz="8" w:color="58585A"/>
            </w:tcBorders>
            <w:vMerge w:val="continue"/>
          </w:tcPr>
          <w:p>
            <w:pPr>
              <w:spacing w:after="0"/>
              <w:rPr>
                <w:sz w:val="3"/>
                <w:szCs w:val="3"/>
                <w:color w:val="auto"/>
              </w:rPr>
            </w:pPr>
          </w:p>
        </w:tc>
        <w:tc>
          <w:tcPr>
            <w:tcW w:w="1120" w:type="dxa"/>
            <w:vAlign w:val="bottom"/>
            <w:tcBorders>
              <w:bottom w:val="single" w:sz="8" w:color="58585A"/>
            </w:tcBorders>
            <w:vMerge w:val="continue"/>
          </w:tcPr>
          <w:p>
            <w:pPr>
              <w:spacing w:after="0"/>
              <w:rPr>
                <w:sz w:val="3"/>
                <w:szCs w:val="3"/>
                <w:color w:val="auto"/>
              </w:rPr>
            </w:pPr>
          </w:p>
        </w:tc>
        <w:tc>
          <w:tcPr>
            <w:tcW w:w="1020" w:type="dxa"/>
            <w:vAlign w:val="bottom"/>
            <w:tcBorders>
              <w:bottom w:val="single" w:sz="8" w:color="58585A"/>
            </w:tcBorders>
            <w:vMerge w:val="continue"/>
          </w:tcPr>
          <w:p>
            <w:pPr>
              <w:spacing w:after="0"/>
              <w:rPr>
                <w:sz w:val="3"/>
                <w:szCs w:val="3"/>
                <w:color w:val="auto"/>
              </w:rPr>
            </w:pPr>
          </w:p>
        </w:tc>
        <w:tc>
          <w:tcPr>
            <w:tcW w:w="1180" w:type="dxa"/>
            <w:vAlign w:val="bottom"/>
            <w:tcBorders>
              <w:bottom w:val="single" w:sz="8" w:color="58585A"/>
            </w:tcBorders>
            <w:vMerge w:val="continue"/>
          </w:tcPr>
          <w:p>
            <w:pPr>
              <w:spacing w:after="0"/>
              <w:rPr>
                <w:sz w:val="3"/>
                <w:szCs w:val="3"/>
                <w:color w:val="auto"/>
              </w:rPr>
            </w:pPr>
          </w:p>
        </w:tc>
        <w:tc>
          <w:tcPr>
            <w:tcW w:w="1340" w:type="dxa"/>
            <w:vAlign w:val="bottom"/>
            <w:tcBorders>
              <w:bottom w:val="single" w:sz="8" w:color="58585A"/>
            </w:tcBorders>
            <w:vMerge w:val="continue"/>
          </w:tcPr>
          <w:p>
            <w:pPr>
              <w:spacing w:after="0"/>
              <w:rPr>
                <w:sz w:val="3"/>
                <w:szCs w:val="3"/>
                <w:color w:val="auto"/>
              </w:rPr>
            </w:pPr>
          </w:p>
        </w:tc>
        <w:tc>
          <w:tcPr>
            <w:tcW w:w="980" w:type="dxa"/>
            <w:vAlign w:val="bottom"/>
            <w:tcBorders>
              <w:bottom w:val="single" w:sz="8" w:color="58585A"/>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700" w:type="dxa"/>
            <w:vAlign w:val="bottom"/>
            <w:tcBorders>
              <w:bottom w:val="single" w:sz="8" w:color="EEEEEF"/>
            </w:tcBorders>
            <w:shd w:val="clear" w:color="auto" w:fill="EEEEEF"/>
          </w:tcPr>
          <w:p>
            <w:pPr>
              <w:spacing w:after="0" w:line="129" w:lineRule="exact"/>
              <w:rPr>
                <w:sz w:val="20"/>
                <w:szCs w:val="20"/>
                <w:color w:val="auto"/>
              </w:rPr>
            </w:pPr>
            <w:r>
              <w:rPr>
                <w:rFonts w:ascii="Arial" w:cs="Arial" w:eastAsia="Arial" w:hAnsi="Arial"/>
                <w:sz w:val="13"/>
                <w:szCs w:val="13"/>
                <w:b w:val="1"/>
                <w:bCs w:val="1"/>
                <w:color w:val="D60058"/>
              </w:rPr>
              <w:t>Daniel P. Van Plew</w:t>
            </w:r>
          </w:p>
        </w:tc>
        <w:tc>
          <w:tcPr>
            <w:tcW w:w="80" w:type="dxa"/>
            <w:vAlign w:val="bottom"/>
            <w:tcBorders>
              <w:bottom w:val="single" w:sz="8" w:color="EEEEEF"/>
            </w:tcBorders>
            <w:shd w:val="clear" w:color="auto" w:fill="EEEEEF"/>
          </w:tcPr>
          <w:p>
            <w:pPr>
              <w:spacing w:after="0"/>
              <w:rPr>
                <w:sz w:val="15"/>
                <w:szCs w:val="15"/>
                <w:color w:val="auto"/>
              </w:rPr>
            </w:pPr>
          </w:p>
        </w:tc>
        <w:tc>
          <w:tcPr>
            <w:tcW w:w="660" w:type="dxa"/>
            <w:vAlign w:val="bottom"/>
            <w:tcBorders>
              <w:bottom w:val="single" w:sz="8" w:color="EEEEEF"/>
            </w:tcBorders>
            <w:gridSpan w:val="2"/>
            <w:shd w:val="clear" w:color="auto" w:fill="EEEEEF"/>
          </w:tcPr>
          <w:p>
            <w:pPr>
              <w:ind w:left="220"/>
              <w:spacing w:after="0" w:line="129" w:lineRule="exact"/>
              <w:rPr>
                <w:sz w:val="20"/>
                <w:szCs w:val="20"/>
                <w:color w:val="auto"/>
              </w:rPr>
            </w:pPr>
            <w:r>
              <w:rPr>
                <w:rFonts w:ascii="Arial" w:cs="Arial" w:eastAsia="Arial" w:hAnsi="Arial"/>
                <w:sz w:val="13"/>
                <w:szCs w:val="13"/>
                <w:color w:val="231F20"/>
              </w:rPr>
              <w:t>2021</w:t>
            </w:r>
          </w:p>
        </w:tc>
        <w:tc>
          <w:tcPr>
            <w:tcW w:w="1080" w:type="dxa"/>
            <w:vAlign w:val="bottom"/>
            <w:tcBorders>
              <w:bottom w:val="single" w:sz="8" w:color="EEEEEF"/>
            </w:tcBorders>
            <w:shd w:val="clear" w:color="auto" w:fill="EEEEEF"/>
          </w:tcPr>
          <w:p>
            <w:pPr>
              <w:jc w:val="right"/>
              <w:ind w:right="56"/>
              <w:spacing w:after="0" w:line="129" w:lineRule="exact"/>
              <w:rPr>
                <w:sz w:val="20"/>
                <w:szCs w:val="20"/>
                <w:color w:val="auto"/>
              </w:rPr>
            </w:pPr>
            <w:r>
              <w:rPr>
                <w:rFonts w:ascii="Arial" w:cs="Arial" w:eastAsia="Arial" w:hAnsi="Arial"/>
                <w:sz w:val="13"/>
                <w:szCs w:val="13"/>
                <w:color w:val="231F20"/>
              </w:rPr>
              <w:t>822,800</w:t>
            </w:r>
          </w:p>
        </w:tc>
        <w:tc>
          <w:tcPr>
            <w:tcW w:w="1120" w:type="dxa"/>
            <w:vAlign w:val="bottom"/>
            <w:tcBorders>
              <w:bottom w:val="single" w:sz="8" w:color="EEEEEF"/>
            </w:tcBorders>
            <w:shd w:val="clear" w:color="auto" w:fill="EEEEEF"/>
          </w:tcPr>
          <w:p>
            <w:pPr>
              <w:jc w:val="right"/>
              <w:ind w:right="76"/>
              <w:spacing w:after="0" w:line="129" w:lineRule="exact"/>
              <w:rPr>
                <w:sz w:val="20"/>
                <w:szCs w:val="20"/>
                <w:color w:val="auto"/>
              </w:rPr>
            </w:pPr>
            <w:r>
              <w:rPr>
                <w:rFonts w:ascii="Arial" w:cs="Arial" w:eastAsia="Arial" w:hAnsi="Arial"/>
                <w:sz w:val="13"/>
                <w:szCs w:val="13"/>
                <w:color w:val="231F20"/>
              </w:rPr>
              <w:t>2,799,882</w:t>
            </w:r>
          </w:p>
        </w:tc>
        <w:tc>
          <w:tcPr>
            <w:tcW w:w="1020" w:type="dxa"/>
            <w:vAlign w:val="bottom"/>
            <w:tcBorders>
              <w:bottom w:val="single" w:sz="8" w:color="EEEEEF"/>
            </w:tcBorders>
            <w:shd w:val="clear" w:color="auto" w:fill="EEEEEF"/>
          </w:tcPr>
          <w:p>
            <w:pPr>
              <w:jc w:val="right"/>
              <w:spacing w:after="0" w:line="129" w:lineRule="exact"/>
              <w:rPr>
                <w:sz w:val="20"/>
                <w:szCs w:val="20"/>
                <w:color w:val="auto"/>
              </w:rPr>
            </w:pPr>
            <w:r>
              <w:rPr>
                <w:rFonts w:ascii="Arial" w:cs="Arial" w:eastAsia="Arial" w:hAnsi="Arial"/>
                <w:sz w:val="13"/>
                <w:szCs w:val="13"/>
                <w:color w:val="231F20"/>
              </w:rPr>
              <w:t>4,199,871</w:t>
            </w:r>
          </w:p>
        </w:tc>
        <w:tc>
          <w:tcPr>
            <w:tcW w:w="1180" w:type="dxa"/>
            <w:vAlign w:val="bottom"/>
            <w:tcBorders>
              <w:bottom w:val="single" w:sz="8" w:color="EEEEEF"/>
            </w:tcBorders>
            <w:shd w:val="clear" w:color="auto" w:fill="EEEEEF"/>
          </w:tcPr>
          <w:p>
            <w:pPr>
              <w:jc w:val="right"/>
              <w:ind w:right="77"/>
              <w:spacing w:after="0" w:line="129" w:lineRule="exact"/>
              <w:rPr>
                <w:sz w:val="20"/>
                <w:szCs w:val="20"/>
                <w:color w:val="auto"/>
              </w:rPr>
            </w:pPr>
            <w:r>
              <w:rPr>
                <w:rFonts w:ascii="Arial" w:cs="Arial" w:eastAsia="Arial" w:hAnsi="Arial"/>
                <w:sz w:val="13"/>
                <w:szCs w:val="13"/>
                <w:color w:val="231F20"/>
              </w:rPr>
              <w:t>930,587</w:t>
            </w:r>
          </w:p>
        </w:tc>
        <w:tc>
          <w:tcPr>
            <w:tcW w:w="1340" w:type="dxa"/>
            <w:vAlign w:val="bottom"/>
            <w:tcBorders>
              <w:bottom w:val="single" w:sz="8" w:color="EEEEEF"/>
            </w:tcBorders>
            <w:shd w:val="clear" w:color="auto" w:fill="EEEEEF"/>
          </w:tcPr>
          <w:p>
            <w:pPr>
              <w:jc w:val="right"/>
              <w:ind w:right="158"/>
              <w:spacing w:after="0" w:line="129" w:lineRule="exact"/>
              <w:rPr>
                <w:sz w:val="20"/>
                <w:szCs w:val="20"/>
                <w:color w:val="auto"/>
              </w:rPr>
            </w:pPr>
            <w:r>
              <w:rPr>
                <w:rFonts w:ascii="Arial" w:cs="Arial" w:eastAsia="Arial" w:hAnsi="Arial"/>
                <w:sz w:val="10"/>
                <w:szCs w:val="10"/>
                <w:color w:val="231F20"/>
              </w:rPr>
              <w:t>20,950</w:t>
            </w:r>
            <w:r>
              <w:rPr>
                <w:rFonts w:ascii="Arial" w:cs="Arial" w:eastAsia="Arial" w:hAnsi="Arial"/>
                <w:sz w:val="14"/>
                <w:szCs w:val="14"/>
                <w:color w:val="000000"/>
                <w:vertAlign w:val="superscript"/>
              </w:rPr>
              <w:t>8</w:t>
            </w:r>
          </w:p>
        </w:tc>
        <w:tc>
          <w:tcPr>
            <w:tcW w:w="980" w:type="dxa"/>
            <w:vAlign w:val="bottom"/>
            <w:tcBorders>
              <w:bottom w:val="single" w:sz="8" w:color="EEEEEF"/>
            </w:tcBorders>
            <w:shd w:val="clear" w:color="auto" w:fill="EEEEEF"/>
          </w:tcPr>
          <w:p>
            <w:pPr>
              <w:jc w:val="right"/>
              <w:ind w:right="36"/>
              <w:spacing w:after="0" w:line="129" w:lineRule="exact"/>
              <w:rPr>
                <w:sz w:val="20"/>
                <w:szCs w:val="20"/>
                <w:color w:val="auto"/>
              </w:rPr>
            </w:pPr>
            <w:r>
              <w:rPr>
                <w:rFonts w:ascii="Arial" w:cs="Arial" w:eastAsia="Arial" w:hAnsi="Arial"/>
                <w:sz w:val="13"/>
                <w:szCs w:val="13"/>
                <w:color w:val="231F20"/>
              </w:rPr>
              <w:t>8,774,090</w:t>
            </w:r>
          </w:p>
        </w:tc>
        <w:tc>
          <w:tcPr>
            <w:tcW w:w="0" w:type="dxa"/>
            <w:vAlign w:val="bottom"/>
          </w:tcPr>
          <w:p>
            <w:pPr>
              <w:spacing w:after="0"/>
              <w:rPr>
                <w:sz w:val="1"/>
                <w:szCs w:val="1"/>
                <w:color w:val="auto"/>
              </w:rPr>
            </w:pPr>
          </w:p>
        </w:tc>
      </w:tr>
      <w:tr>
        <w:trPr>
          <w:trHeight w:val="51"/>
        </w:trPr>
        <w:tc>
          <w:tcPr>
            <w:tcW w:w="2700" w:type="dxa"/>
            <w:vAlign w:val="bottom"/>
            <w:tcBorders>
              <w:top w:val="single" w:sz="8" w:color="EEEEEF"/>
            </w:tcBorders>
            <w:shd w:val="clear" w:color="auto" w:fill="EEEEEF"/>
          </w:tcPr>
          <w:p>
            <w:pPr>
              <w:spacing w:after="0" w:line="51" w:lineRule="exact"/>
              <w:rPr>
                <w:sz w:val="20"/>
                <w:szCs w:val="20"/>
                <w:color w:val="auto"/>
              </w:rPr>
            </w:pPr>
            <w:r>
              <w:rPr>
                <w:rFonts w:ascii="Arial" w:cs="Arial" w:eastAsia="Arial" w:hAnsi="Arial"/>
                <w:sz w:val="5"/>
                <w:szCs w:val="5"/>
                <w:color w:val="231F20"/>
              </w:rPr>
              <w:t>Executive Vice President and General</w:t>
            </w:r>
          </w:p>
        </w:tc>
        <w:tc>
          <w:tcPr>
            <w:tcW w:w="80" w:type="dxa"/>
            <w:vAlign w:val="bottom"/>
            <w:tcBorders>
              <w:top w:val="single" w:sz="8" w:color="EEEEEF"/>
            </w:tcBorders>
            <w:shd w:val="clear" w:color="auto" w:fill="EEEEEF"/>
          </w:tcPr>
          <w:p>
            <w:pPr>
              <w:spacing w:after="0"/>
              <w:rPr>
                <w:sz w:val="4"/>
                <w:szCs w:val="4"/>
                <w:color w:val="auto"/>
              </w:rPr>
            </w:pPr>
          </w:p>
        </w:tc>
        <w:tc>
          <w:tcPr>
            <w:tcW w:w="500" w:type="dxa"/>
            <w:vAlign w:val="bottom"/>
            <w:tcBorders>
              <w:top w:val="single" w:sz="8" w:color="58585A"/>
            </w:tcBorders>
            <w:vMerge w:val="restart"/>
            <w:shd w:val="clear" w:color="auto" w:fill="EEEEEF"/>
          </w:tcPr>
          <w:p>
            <w:pPr>
              <w:ind w:left="220"/>
              <w:spacing w:after="0"/>
              <w:rPr>
                <w:sz w:val="20"/>
                <w:szCs w:val="20"/>
                <w:color w:val="auto"/>
              </w:rPr>
            </w:pPr>
            <w:r>
              <w:rPr>
                <w:rFonts w:ascii="Arial" w:cs="Arial" w:eastAsia="Arial" w:hAnsi="Arial"/>
                <w:sz w:val="13"/>
                <w:szCs w:val="13"/>
                <w:color w:val="231F20"/>
                <w:w w:val="89"/>
              </w:rPr>
              <w:t>2020</w:t>
            </w:r>
          </w:p>
        </w:tc>
        <w:tc>
          <w:tcPr>
            <w:tcW w:w="160" w:type="dxa"/>
            <w:vAlign w:val="bottom"/>
            <w:tcBorders>
              <w:top w:val="single" w:sz="8" w:color="58585A"/>
            </w:tcBorders>
            <w:shd w:val="clear" w:color="auto" w:fill="EEEEEF"/>
          </w:tcPr>
          <w:p>
            <w:pPr>
              <w:spacing w:after="0"/>
              <w:rPr>
                <w:sz w:val="4"/>
                <w:szCs w:val="4"/>
                <w:color w:val="auto"/>
              </w:rPr>
            </w:pPr>
          </w:p>
        </w:tc>
        <w:tc>
          <w:tcPr>
            <w:tcW w:w="1080" w:type="dxa"/>
            <w:vAlign w:val="bottom"/>
            <w:tcBorders>
              <w:top w:val="single" w:sz="8" w:color="58585A"/>
            </w:tcBorders>
            <w:vMerge w:val="restart"/>
            <w:shd w:val="clear" w:color="auto" w:fill="EEEEEF"/>
          </w:tcPr>
          <w:p>
            <w:pPr>
              <w:jc w:val="right"/>
              <w:ind w:right="56"/>
              <w:spacing w:after="0"/>
              <w:rPr>
                <w:sz w:val="20"/>
                <w:szCs w:val="20"/>
                <w:color w:val="auto"/>
              </w:rPr>
            </w:pPr>
            <w:r>
              <w:rPr>
                <w:rFonts w:ascii="Arial" w:cs="Arial" w:eastAsia="Arial" w:hAnsi="Arial"/>
                <w:sz w:val="13"/>
                <w:szCs w:val="13"/>
                <w:color w:val="231F20"/>
              </w:rPr>
              <w:t>825,577</w:t>
            </w:r>
          </w:p>
        </w:tc>
        <w:tc>
          <w:tcPr>
            <w:tcW w:w="1120" w:type="dxa"/>
            <w:vAlign w:val="bottom"/>
            <w:tcBorders>
              <w:top w:val="single" w:sz="8" w:color="58585A"/>
            </w:tcBorders>
            <w:vMerge w:val="restart"/>
            <w:shd w:val="clear" w:color="auto" w:fill="EEEEEF"/>
          </w:tcPr>
          <w:p>
            <w:pPr>
              <w:jc w:val="right"/>
              <w:ind w:right="76"/>
              <w:spacing w:after="0"/>
              <w:rPr>
                <w:sz w:val="20"/>
                <w:szCs w:val="20"/>
                <w:color w:val="auto"/>
              </w:rPr>
            </w:pPr>
            <w:r>
              <w:rPr>
                <w:rFonts w:ascii="Arial" w:cs="Arial" w:eastAsia="Arial" w:hAnsi="Arial"/>
                <w:sz w:val="13"/>
                <w:szCs w:val="13"/>
                <w:color w:val="231F20"/>
              </w:rPr>
              <w:t>3,409,560</w:t>
            </w:r>
          </w:p>
        </w:tc>
        <w:tc>
          <w:tcPr>
            <w:tcW w:w="1020" w:type="dxa"/>
            <w:vAlign w:val="bottom"/>
            <w:tcBorders>
              <w:top w:val="single" w:sz="8" w:color="58585A"/>
            </w:tcBorders>
            <w:vMerge w:val="restart"/>
            <w:shd w:val="clear" w:color="auto" w:fill="EEEEEF"/>
          </w:tcPr>
          <w:p>
            <w:pPr>
              <w:jc w:val="right"/>
              <w:spacing w:after="0"/>
              <w:rPr>
                <w:sz w:val="20"/>
                <w:szCs w:val="20"/>
                <w:color w:val="auto"/>
              </w:rPr>
            </w:pPr>
            <w:r>
              <w:rPr>
                <w:rFonts w:ascii="Arial" w:cs="Arial" w:eastAsia="Arial" w:hAnsi="Arial"/>
                <w:sz w:val="13"/>
                <w:szCs w:val="13"/>
                <w:color w:val="231F20"/>
              </w:rPr>
              <w:t>3,459,499</w:t>
            </w:r>
          </w:p>
        </w:tc>
        <w:tc>
          <w:tcPr>
            <w:tcW w:w="1180" w:type="dxa"/>
            <w:vAlign w:val="bottom"/>
            <w:tcBorders>
              <w:top w:val="single" w:sz="8" w:color="58585A"/>
            </w:tcBorders>
            <w:vMerge w:val="restart"/>
            <w:shd w:val="clear" w:color="auto" w:fill="EEEEEF"/>
          </w:tcPr>
          <w:p>
            <w:pPr>
              <w:jc w:val="right"/>
              <w:ind w:right="77"/>
              <w:spacing w:after="0"/>
              <w:rPr>
                <w:sz w:val="20"/>
                <w:szCs w:val="20"/>
                <w:color w:val="auto"/>
              </w:rPr>
            </w:pPr>
            <w:r>
              <w:rPr>
                <w:rFonts w:ascii="Arial" w:cs="Arial" w:eastAsia="Arial" w:hAnsi="Arial"/>
                <w:sz w:val="13"/>
                <w:szCs w:val="13"/>
                <w:color w:val="231F20"/>
              </w:rPr>
              <w:t>938,872</w:t>
            </w:r>
          </w:p>
        </w:tc>
        <w:tc>
          <w:tcPr>
            <w:tcW w:w="1340" w:type="dxa"/>
            <w:vAlign w:val="bottom"/>
            <w:tcBorders>
              <w:top w:val="single" w:sz="8" w:color="58585A"/>
            </w:tcBorders>
            <w:vMerge w:val="restart"/>
            <w:shd w:val="clear" w:color="auto" w:fill="EEEEEF"/>
          </w:tcPr>
          <w:p>
            <w:pPr>
              <w:jc w:val="right"/>
              <w:ind w:right="218"/>
              <w:spacing w:after="0"/>
              <w:rPr>
                <w:sz w:val="20"/>
                <w:szCs w:val="20"/>
                <w:color w:val="auto"/>
              </w:rPr>
            </w:pPr>
            <w:r>
              <w:rPr>
                <w:rFonts w:ascii="Arial" w:cs="Arial" w:eastAsia="Arial" w:hAnsi="Arial"/>
                <w:sz w:val="13"/>
                <w:szCs w:val="13"/>
                <w:color w:val="231F20"/>
              </w:rPr>
              <w:t>20,945</w:t>
            </w:r>
          </w:p>
        </w:tc>
        <w:tc>
          <w:tcPr>
            <w:tcW w:w="980" w:type="dxa"/>
            <w:vAlign w:val="bottom"/>
            <w:tcBorders>
              <w:top w:val="single" w:sz="8" w:color="58585A"/>
            </w:tcBorders>
            <w:vMerge w:val="restart"/>
            <w:shd w:val="clear" w:color="auto" w:fill="EEEEEF"/>
          </w:tcPr>
          <w:p>
            <w:pPr>
              <w:jc w:val="right"/>
              <w:ind w:right="36"/>
              <w:spacing w:after="0"/>
              <w:rPr>
                <w:sz w:val="20"/>
                <w:szCs w:val="20"/>
                <w:color w:val="auto"/>
              </w:rPr>
            </w:pPr>
            <w:r>
              <w:rPr>
                <w:rFonts w:ascii="Arial" w:cs="Arial" w:eastAsia="Arial" w:hAnsi="Arial"/>
                <w:sz w:val="13"/>
                <w:szCs w:val="13"/>
                <w:color w:val="231F20"/>
              </w:rPr>
              <w:t>8,654,453</w:t>
            </w:r>
          </w:p>
        </w:tc>
        <w:tc>
          <w:tcPr>
            <w:tcW w:w="0" w:type="dxa"/>
            <w:vAlign w:val="bottom"/>
          </w:tcPr>
          <w:p>
            <w:pPr>
              <w:spacing w:after="0"/>
              <w:rPr>
                <w:sz w:val="1"/>
                <w:szCs w:val="1"/>
                <w:color w:val="auto"/>
              </w:rPr>
            </w:pPr>
          </w:p>
        </w:tc>
      </w:tr>
      <w:tr>
        <w:trPr>
          <w:trHeight w:val="103"/>
        </w:trPr>
        <w:tc>
          <w:tcPr>
            <w:tcW w:w="2700" w:type="dxa"/>
            <w:vAlign w:val="bottom"/>
            <w:tcBorders>
              <w:bottom w:val="single" w:sz="8" w:color="EEEEEF"/>
            </w:tcBorders>
            <w:shd w:val="clear" w:color="auto" w:fill="EEEEEF"/>
          </w:tcPr>
          <w:p>
            <w:pPr>
              <w:spacing w:after="0" w:line="98" w:lineRule="exact"/>
              <w:rPr>
                <w:sz w:val="20"/>
                <w:szCs w:val="20"/>
                <w:color w:val="auto"/>
              </w:rPr>
            </w:pPr>
            <w:r>
              <w:rPr>
                <w:rFonts w:ascii="Arial" w:cs="Arial" w:eastAsia="Arial" w:hAnsi="Arial"/>
                <w:sz w:val="11"/>
                <w:szCs w:val="11"/>
                <w:color w:val="231F20"/>
              </w:rPr>
              <w:t>Manager, Industrial Operations and Product</w:t>
            </w:r>
          </w:p>
        </w:tc>
        <w:tc>
          <w:tcPr>
            <w:tcW w:w="80" w:type="dxa"/>
            <w:vAlign w:val="bottom"/>
            <w:tcBorders>
              <w:bottom w:val="single" w:sz="8" w:color="EEEEEF"/>
            </w:tcBorders>
            <w:shd w:val="clear" w:color="auto" w:fill="EEEEEF"/>
          </w:tcPr>
          <w:p>
            <w:pPr>
              <w:spacing w:after="0"/>
              <w:rPr>
                <w:sz w:val="8"/>
                <w:szCs w:val="8"/>
                <w:color w:val="auto"/>
              </w:rPr>
            </w:pPr>
          </w:p>
        </w:tc>
        <w:tc>
          <w:tcPr>
            <w:tcW w:w="500" w:type="dxa"/>
            <w:vAlign w:val="bottom"/>
            <w:tcBorders>
              <w:bottom w:val="single" w:sz="8" w:color="58585A"/>
            </w:tcBorders>
            <w:vMerge w:val="continue"/>
            <w:shd w:val="clear" w:color="auto" w:fill="EEEEEF"/>
          </w:tcPr>
          <w:p>
            <w:pPr>
              <w:spacing w:after="0"/>
              <w:rPr>
                <w:sz w:val="8"/>
                <w:szCs w:val="8"/>
                <w:color w:val="auto"/>
              </w:rPr>
            </w:pPr>
          </w:p>
        </w:tc>
        <w:tc>
          <w:tcPr>
            <w:tcW w:w="160" w:type="dxa"/>
            <w:vAlign w:val="bottom"/>
            <w:tcBorders>
              <w:bottom w:val="single" w:sz="8" w:color="58585A"/>
            </w:tcBorders>
            <w:shd w:val="clear" w:color="auto" w:fill="EEEEEF"/>
          </w:tcPr>
          <w:p>
            <w:pPr>
              <w:spacing w:after="0"/>
              <w:rPr>
                <w:sz w:val="8"/>
                <w:szCs w:val="8"/>
                <w:color w:val="auto"/>
              </w:rPr>
            </w:pPr>
          </w:p>
        </w:tc>
        <w:tc>
          <w:tcPr>
            <w:tcW w:w="1080" w:type="dxa"/>
            <w:vAlign w:val="bottom"/>
            <w:tcBorders>
              <w:bottom w:val="single" w:sz="8" w:color="58585A"/>
            </w:tcBorders>
            <w:vMerge w:val="continue"/>
            <w:shd w:val="clear" w:color="auto" w:fill="EEEEEF"/>
          </w:tcPr>
          <w:p>
            <w:pPr>
              <w:spacing w:after="0"/>
              <w:rPr>
                <w:sz w:val="8"/>
                <w:szCs w:val="8"/>
                <w:color w:val="auto"/>
              </w:rPr>
            </w:pPr>
          </w:p>
        </w:tc>
        <w:tc>
          <w:tcPr>
            <w:tcW w:w="1120" w:type="dxa"/>
            <w:vAlign w:val="bottom"/>
            <w:tcBorders>
              <w:bottom w:val="single" w:sz="8" w:color="58585A"/>
            </w:tcBorders>
            <w:vMerge w:val="continue"/>
            <w:shd w:val="clear" w:color="auto" w:fill="EEEEEF"/>
          </w:tcPr>
          <w:p>
            <w:pPr>
              <w:spacing w:after="0"/>
              <w:rPr>
                <w:sz w:val="8"/>
                <w:szCs w:val="8"/>
                <w:color w:val="auto"/>
              </w:rPr>
            </w:pPr>
          </w:p>
        </w:tc>
        <w:tc>
          <w:tcPr>
            <w:tcW w:w="1020" w:type="dxa"/>
            <w:vAlign w:val="bottom"/>
            <w:tcBorders>
              <w:bottom w:val="single" w:sz="8" w:color="58585A"/>
            </w:tcBorders>
            <w:vMerge w:val="continue"/>
            <w:shd w:val="clear" w:color="auto" w:fill="EEEEEF"/>
          </w:tcPr>
          <w:p>
            <w:pPr>
              <w:spacing w:after="0"/>
              <w:rPr>
                <w:sz w:val="8"/>
                <w:szCs w:val="8"/>
                <w:color w:val="auto"/>
              </w:rPr>
            </w:pPr>
          </w:p>
        </w:tc>
        <w:tc>
          <w:tcPr>
            <w:tcW w:w="1180" w:type="dxa"/>
            <w:vAlign w:val="bottom"/>
            <w:tcBorders>
              <w:bottom w:val="single" w:sz="8" w:color="58585A"/>
            </w:tcBorders>
            <w:vMerge w:val="continue"/>
            <w:shd w:val="clear" w:color="auto" w:fill="EEEEEF"/>
          </w:tcPr>
          <w:p>
            <w:pPr>
              <w:spacing w:after="0"/>
              <w:rPr>
                <w:sz w:val="8"/>
                <w:szCs w:val="8"/>
                <w:color w:val="auto"/>
              </w:rPr>
            </w:pPr>
          </w:p>
        </w:tc>
        <w:tc>
          <w:tcPr>
            <w:tcW w:w="1340" w:type="dxa"/>
            <w:vAlign w:val="bottom"/>
            <w:tcBorders>
              <w:bottom w:val="single" w:sz="8" w:color="58585A"/>
            </w:tcBorders>
            <w:vMerge w:val="continue"/>
            <w:shd w:val="clear" w:color="auto" w:fill="EEEEEF"/>
          </w:tcPr>
          <w:p>
            <w:pPr>
              <w:spacing w:after="0"/>
              <w:rPr>
                <w:sz w:val="8"/>
                <w:szCs w:val="8"/>
                <w:color w:val="auto"/>
              </w:rPr>
            </w:pPr>
          </w:p>
        </w:tc>
        <w:tc>
          <w:tcPr>
            <w:tcW w:w="980" w:type="dxa"/>
            <w:vAlign w:val="bottom"/>
            <w:tcBorders>
              <w:bottom w:val="single" w:sz="8" w:color="58585A"/>
            </w:tcBorders>
            <w:vMerge w:val="continue"/>
            <w:shd w:val="clear" w:color="auto" w:fill="EEEEEF"/>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700" w:type="dxa"/>
            <w:vAlign w:val="bottom"/>
            <w:tcBorders>
              <w:bottom w:val="single" w:sz="8" w:color="58585A"/>
            </w:tcBorders>
            <w:shd w:val="clear" w:color="auto" w:fill="EEEEEF"/>
          </w:tcPr>
          <w:p>
            <w:pPr>
              <w:spacing w:after="0"/>
              <w:rPr>
                <w:sz w:val="20"/>
                <w:szCs w:val="20"/>
                <w:color w:val="auto"/>
              </w:rPr>
            </w:pPr>
            <w:r>
              <w:rPr>
                <w:rFonts w:ascii="Arial" w:cs="Arial" w:eastAsia="Arial" w:hAnsi="Arial"/>
                <w:sz w:val="13"/>
                <w:szCs w:val="13"/>
                <w:color w:val="231F20"/>
              </w:rPr>
              <w:t>Supply</w:t>
            </w:r>
          </w:p>
        </w:tc>
        <w:tc>
          <w:tcPr>
            <w:tcW w:w="80" w:type="dxa"/>
            <w:vAlign w:val="bottom"/>
            <w:tcBorders>
              <w:bottom w:val="single" w:sz="8" w:color="58585A"/>
            </w:tcBorders>
            <w:shd w:val="clear" w:color="auto" w:fill="EEEEEF"/>
          </w:tcPr>
          <w:p>
            <w:pPr>
              <w:spacing w:after="0"/>
              <w:rPr>
                <w:sz w:val="13"/>
                <w:szCs w:val="13"/>
                <w:color w:val="auto"/>
              </w:rPr>
            </w:pPr>
          </w:p>
        </w:tc>
        <w:tc>
          <w:tcPr>
            <w:tcW w:w="500" w:type="dxa"/>
            <w:vAlign w:val="bottom"/>
            <w:tcBorders>
              <w:bottom w:val="single" w:sz="8" w:color="58585A"/>
            </w:tcBorders>
            <w:shd w:val="clear" w:color="auto" w:fill="EEEEEF"/>
          </w:tcPr>
          <w:p>
            <w:pPr>
              <w:ind w:left="220"/>
              <w:spacing w:after="0"/>
              <w:rPr>
                <w:sz w:val="20"/>
                <w:szCs w:val="20"/>
                <w:color w:val="auto"/>
              </w:rPr>
            </w:pPr>
            <w:r>
              <w:rPr>
                <w:rFonts w:ascii="Arial" w:cs="Arial" w:eastAsia="Arial" w:hAnsi="Arial"/>
                <w:sz w:val="13"/>
                <w:szCs w:val="13"/>
                <w:color w:val="231F20"/>
                <w:w w:val="89"/>
              </w:rPr>
              <w:t>2019</w:t>
            </w:r>
          </w:p>
        </w:tc>
        <w:tc>
          <w:tcPr>
            <w:tcW w:w="160" w:type="dxa"/>
            <w:vAlign w:val="bottom"/>
            <w:tcBorders>
              <w:bottom w:val="single" w:sz="8" w:color="58585A"/>
            </w:tcBorders>
            <w:shd w:val="clear" w:color="auto" w:fill="EEEEEF"/>
          </w:tcPr>
          <w:p>
            <w:pPr>
              <w:spacing w:after="0"/>
              <w:rPr>
                <w:sz w:val="13"/>
                <w:szCs w:val="13"/>
                <w:color w:val="auto"/>
              </w:rPr>
            </w:pPr>
          </w:p>
        </w:tc>
        <w:tc>
          <w:tcPr>
            <w:tcW w:w="108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231F20"/>
              </w:rPr>
              <w:t>683,100</w:t>
            </w:r>
          </w:p>
        </w:tc>
        <w:tc>
          <w:tcPr>
            <w:tcW w:w="1120" w:type="dxa"/>
            <w:vAlign w:val="bottom"/>
            <w:tcBorders>
              <w:bottom w:val="single" w:sz="8" w:color="58585A"/>
            </w:tcBorders>
            <w:shd w:val="clear" w:color="auto" w:fill="EEEEEF"/>
          </w:tcPr>
          <w:p>
            <w:pPr>
              <w:jc w:val="right"/>
              <w:ind w:right="76"/>
              <w:spacing w:after="0"/>
              <w:rPr>
                <w:sz w:val="20"/>
                <w:szCs w:val="20"/>
                <w:color w:val="auto"/>
              </w:rPr>
            </w:pPr>
            <w:r>
              <w:rPr>
                <w:rFonts w:ascii="Arial" w:cs="Arial" w:eastAsia="Arial" w:hAnsi="Arial"/>
                <w:sz w:val="13"/>
                <w:szCs w:val="13"/>
                <w:color w:val="231F20"/>
              </w:rPr>
              <w:t>2,840,008</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231F20"/>
              </w:rPr>
              <w:t>3,526,669</w:t>
            </w:r>
          </w:p>
        </w:tc>
        <w:tc>
          <w:tcPr>
            <w:tcW w:w="1180" w:type="dxa"/>
            <w:vAlign w:val="bottom"/>
            <w:tcBorders>
              <w:bottom w:val="single" w:sz="8" w:color="58585A"/>
            </w:tcBorders>
            <w:shd w:val="clear" w:color="auto" w:fill="EEEEEF"/>
          </w:tcPr>
          <w:p>
            <w:pPr>
              <w:jc w:val="right"/>
              <w:ind w:right="77"/>
              <w:spacing w:after="0"/>
              <w:rPr>
                <w:sz w:val="20"/>
                <w:szCs w:val="20"/>
                <w:color w:val="auto"/>
              </w:rPr>
            </w:pPr>
            <w:r>
              <w:rPr>
                <w:rFonts w:ascii="Arial" w:cs="Arial" w:eastAsia="Arial" w:hAnsi="Arial"/>
                <w:sz w:val="13"/>
                <w:szCs w:val="13"/>
                <w:color w:val="231F20"/>
              </w:rPr>
              <w:t>759,266</w:t>
            </w:r>
          </w:p>
        </w:tc>
        <w:tc>
          <w:tcPr>
            <w:tcW w:w="1340" w:type="dxa"/>
            <w:vAlign w:val="bottom"/>
            <w:tcBorders>
              <w:bottom w:val="single" w:sz="8" w:color="58585A"/>
            </w:tcBorders>
            <w:shd w:val="clear" w:color="auto" w:fill="EEEEEF"/>
          </w:tcPr>
          <w:p>
            <w:pPr>
              <w:jc w:val="right"/>
              <w:ind w:right="218"/>
              <w:spacing w:after="0"/>
              <w:rPr>
                <w:sz w:val="20"/>
                <w:szCs w:val="20"/>
                <w:color w:val="auto"/>
              </w:rPr>
            </w:pPr>
            <w:r>
              <w:rPr>
                <w:rFonts w:ascii="Arial" w:cs="Arial" w:eastAsia="Arial" w:hAnsi="Arial"/>
                <w:sz w:val="13"/>
                <w:szCs w:val="13"/>
                <w:color w:val="231F20"/>
              </w:rPr>
              <w:t>20,470</w:t>
            </w:r>
          </w:p>
        </w:tc>
        <w:tc>
          <w:tcPr>
            <w:tcW w:w="98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231F20"/>
              </w:rPr>
              <w:t>7,829,513</w:t>
            </w:r>
          </w:p>
        </w:tc>
        <w:tc>
          <w:tcPr>
            <w:tcW w:w="0" w:type="dxa"/>
            <w:vAlign w:val="bottom"/>
          </w:tcPr>
          <w:p>
            <w:pPr>
              <w:spacing w:after="0"/>
              <w:rPr>
                <w:sz w:val="1"/>
                <w:szCs w:val="1"/>
                <w:color w:val="auto"/>
              </w:rPr>
            </w:pPr>
          </w:p>
        </w:tc>
      </w:tr>
      <w:tr>
        <w:trPr>
          <w:trHeight w:val="169"/>
        </w:trPr>
        <w:tc>
          <w:tcPr>
            <w:tcW w:w="2700" w:type="dxa"/>
            <w:vAlign w:val="bottom"/>
            <w:vMerge w:val="restart"/>
          </w:tcPr>
          <w:p>
            <w:pPr>
              <w:spacing w:after="0"/>
              <w:rPr>
                <w:sz w:val="20"/>
                <w:szCs w:val="20"/>
                <w:color w:val="auto"/>
              </w:rPr>
            </w:pPr>
            <w:r>
              <w:rPr>
                <w:rFonts w:ascii="Arial" w:cs="Arial" w:eastAsia="Arial" w:hAnsi="Arial"/>
                <w:sz w:val="13"/>
                <w:szCs w:val="13"/>
                <w:b w:val="1"/>
                <w:bCs w:val="1"/>
                <w:color w:val="D60058"/>
              </w:rPr>
              <w:t>Andrew J. Murphy, Ph.D.</w:t>
            </w:r>
          </w:p>
        </w:tc>
        <w:tc>
          <w:tcPr>
            <w:tcW w:w="80" w:type="dxa"/>
            <w:vAlign w:val="bottom"/>
          </w:tcPr>
          <w:p>
            <w:pPr>
              <w:spacing w:after="0"/>
              <w:rPr>
                <w:sz w:val="14"/>
                <w:szCs w:val="14"/>
                <w:color w:val="auto"/>
              </w:rPr>
            </w:pPr>
          </w:p>
        </w:tc>
        <w:tc>
          <w:tcPr>
            <w:tcW w:w="660" w:type="dxa"/>
            <w:vAlign w:val="bottom"/>
            <w:tcBorders>
              <w:bottom w:val="single" w:sz="8" w:color="58585A"/>
            </w:tcBorders>
            <w:gridSpan w:val="2"/>
          </w:tcPr>
          <w:p>
            <w:pPr>
              <w:ind w:left="220"/>
              <w:spacing w:after="0"/>
              <w:rPr>
                <w:sz w:val="20"/>
                <w:szCs w:val="20"/>
                <w:color w:val="auto"/>
              </w:rPr>
            </w:pPr>
            <w:r>
              <w:rPr>
                <w:rFonts w:ascii="Arial" w:cs="Arial" w:eastAsia="Arial" w:hAnsi="Arial"/>
                <w:sz w:val="13"/>
                <w:szCs w:val="13"/>
                <w:color w:val="231F20"/>
              </w:rPr>
              <w:t>2021</w:t>
            </w:r>
          </w:p>
        </w:tc>
        <w:tc>
          <w:tcPr>
            <w:tcW w:w="108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231F20"/>
              </w:rPr>
              <w:t>724,500</w:t>
            </w:r>
          </w:p>
        </w:tc>
        <w:tc>
          <w:tcPr>
            <w:tcW w:w="1120" w:type="dxa"/>
            <w:vAlign w:val="bottom"/>
            <w:tcBorders>
              <w:bottom w:val="single" w:sz="8" w:color="58585A"/>
            </w:tcBorders>
          </w:tcPr>
          <w:p>
            <w:pPr>
              <w:jc w:val="right"/>
              <w:ind w:right="76"/>
              <w:spacing w:after="0"/>
              <w:rPr>
                <w:sz w:val="20"/>
                <w:szCs w:val="20"/>
                <w:color w:val="auto"/>
              </w:rPr>
            </w:pPr>
            <w:r>
              <w:rPr>
                <w:rFonts w:ascii="Arial" w:cs="Arial" w:eastAsia="Arial" w:hAnsi="Arial"/>
                <w:sz w:val="13"/>
                <w:szCs w:val="13"/>
                <w:color w:val="231F20"/>
              </w:rPr>
              <w:t>2,231,397</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231F20"/>
              </w:rPr>
              <w:t>3,347,323</w:t>
            </w:r>
          </w:p>
        </w:tc>
        <w:tc>
          <w:tcPr>
            <w:tcW w:w="1180" w:type="dxa"/>
            <w:vAlign w:val="bottom"/>
            <w:tcBorders>
              <w:bottom w:val="single" w:sz="8" w:color="58585A"/>
            </w:tcBorders>
          </w:tcPr>
          <w:p>
            <w:pPr>
              <w:jc w:val="right"/>
              <w:ind w:right="77"/>
              <w:spacing w:after="0"/>
              <w:rPr>
                <w:sz w:val="20"/>
                <w:szCs w:val="20"/>
                <w:color w:val="auto"/>
              </w:rPr>
            </w:pPr>
            <w:r>
              <w:rPr>
                <w:rFonts w:ascii="Arial" w:cs="Arial" w:eastAsia="Arial" w:hAnsi="Arial"/>
                <w:sz w:val="13"/>
                <w:szCs w:val="13"/>
                <w:color w:val="231F20"/>
              </w:rPr>
              <w:t>819,410</w:t>
            </w:r>
          </w:p>
        </w:tc>
        <w:tc>
          <w:tcPr>
            <w:tcW w:w="1340" w:type="dxa"/>
            <w:vAlign w:val="bottom"/>
            <w:tcBorders>
              <w:bottom w:val="single" w:sz="8" w:color="58585A"/>
            </w:tcBorders>
          </w:tcPr>
          <w:p>
            <w:pPr>
              <w:jc w:val="right"/>
              <w:ind w:right="158"/>
              <w:spacing w:after="0" w:line="169" w:lineRule="exact"/>
              <w:rPr>
                <w:sz w:val="20"/>
                <w:szCs w:val="20"/>
                <w:color w:val="auto"/>
              </w:rPr>
            </w:pPr>
            <w:r>
              <w:rPr>
                <w:rFonts w:ascii="Arial" w:cs="Arial" w:eastAsia="Arial" w:hAnsi="Arial"/>
                <w:sz w:val="12"/>
                <w:szCs w:val="12"/>
                <w:color w:val="231F20"/>
              </w:rPr>
              <w:t>24,200</w:t>
            </w:r>
            <w:r>
              <w:rPr>
                <w:rFonts w:ascii="Arial" w:cs="Arial" w:eastAsia="Arial" w:hAnsi="Arial"/>
                <w:sz w:val="19"/>
                <w:szCs w:val="19"/>
                <w:color w:val="000000"/>
                <w:vertAlign w:val="superscript"/>
              </w:rPr>
              <w:t>9</w:t>
            </w:r>
          </w:p>
        </w:tc>
        <w:tc>
          <w:tcPr>
            <w:tcW w:w="98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231F20"/>
              </w:rPr>
              <w:t>7,146,830</w:t>
            </w:r>
          </w:p>
        </w:tc>
        <w:tc>
          <w:tcPr>
            <w:tcW w:w="0" w:type="dxa"/>
            <w:vAlign w:val="bottom"/>
          </w:tcPr>
          <w:p>
            <w:pPr>
              <w:spacing w:after="0"/>
              <w:rPr>
                <w:sz w:val="1"/>
                <w:szCs w:val="1"/>
                <w:color w:val="auto"/>
              </w:rPr>
            </w:pPr>
          </w:p>
        </w:tc>
      </w:tr>
      <w:tr>
        <w:trPr>
          <w:trHeight w:val="51"/>
        </w:trPr>
        <w:tc>
          <w:tcPr>
            <w:tcW w:w="2700" w:type="dxa"/>
            <w:vAlign w:val="bottom"/>
            <w:vMerge w:val="continue"/>
          </w:tcPr>
          <w:p>
            <w:pPr>
              <w:spacing w:after="0"/>
              <w:rPr>
                <w:sz w:val="4"/>
                <w:szCs w:val="4"/>
                <w:color w:val="auto"/>
              </w:rPr>
            </w:pPr>
          </w:p>
        </w:tc>
        <w:tc>
          <w:tcPr>
            <w:tcW w:w="80" w:type="dxa"/>
            <w:vAlign w:val="bottom"/>
            <w:vMerge w:val="restart"/>
          </w:tcPr>
          <w:p>
            <w:pPr>
              <w:spacing w:after="0"/>
              <w:rPr>
                <w:sz w:val="4"/>
                <w:szCs w:val="4"/>
                <w:color w:val="auto"/>
              </w:rPr>
            </w:pPr>
          </w:p>
        </w:tc>
        <w:tc>
          <w:tcPr>
            <w:tcW w:w="660" w:type="dxa"/>
            <w:vAlign w:val="bottom"/>
            <w:gridSpan w:val="2"/>
            <w:vMerge w:val="restart"/>
          </w:tcPr>
          <w:p>
            <w:pPr>
              <w:ind w:left="220"/>
              <w:spacing w:after="0" w:line="142" w:lineRule="exact"/>
              <w:rPr>
                <w:sz w:val="20"/>
                <w:szCs w:val="20"/>
                <w:color w:val="auto"/>
              </w:rPr>
            </w:pPr>
            <w:r>
              <w:rPr>
                <w:rFonts w:ascii="Arial" w:cs="Arial" w:eastAsia="Arial" w:hAnsi="Arial"/>
                <w:sz w:val="13"/>
                <w:szCs w:val="13"/>
                <w:color w:val="231F20"/>
              </w:rPr>
              <w:t>2020</w:t>
            </w:r>
          </w:p>
        </w:tc>
        <w:tc>
          <w:tcPr>
            <w:tcW w:w="1080" w:type="dxa"/>
            <w:vAlign w:val="bottom"/>
            <w:vMerge w:val="restart"/>
          </w:tcPr>
          <w:p>
            <w:pPr>
              <w:jc w:val="right"/>
              <w:ind w:right="56"/>
              <w:spacing w:after="0" w:line="142" w:lineRule="exact"/>
              <w:rPr>
                <w:sz w:val="20"/>
                <w:szCs w:val="20"/>
                <w:color w:val="auto"/>
              </w:rPr>
            </w:pPr>
            <w:r>
              <w:rPr>
                <w:rFonts w:ascii="Arial" w:cs="Arial" w:eastAsia="Arial" w:hAnsi="Arial"/>
                <w:sz w:val="13"/>
                <w:szCs w:val="13"/>
                <w:color w:val="231F20"/>
              </w:rPr>
              <w:t>726,923</w:t>
            </w:r>
          </w:p>
        </w:tc>
        <w:tc>
          <w:tcPr>
            <w:tcW w:w="1120" w:type="dxa"/>
            <w:vAlign w:val="bottom"/>
            <w:vMerge w:val="restart"/>
          </w:tcPr>
          <w:p>
            <w:pPr>
              <w:jc w:val="right"/>
              <w:ind w:right="76"/>
              <w:spacing w:after="0" w:line="142" w:lineRule="exact"/>
              <w:rPr>
                <w:sz w:val="20"/>
                <w:szCs w:val="20"/>
                <w:color w:val="auto"/>
              </w:rPr>
            </w:pPr>
            <w:r>
              <w:rPr>
                <w:rFonts w:ascii="Arial" w:cs="Arial" w:eastAsia="Arial" w:hAnsi="Arial"/>
                <w:sz w:val="13"/>
                <w:szCs w:val="13"/>
                <w:color w:val="231F20"/>
              </w:rPr>
              <w:t>5,025,288</w:t>
            </w:r>
          </w:p>
        </w:tc>
        <w:tc>
          <w:tcPr>
            <w:tcW w:w="102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4,335,258</w:t>
            </w:r>
          </w:p>
        </w:tc>
        <w:tc>
          <w:tcPr>
            <w:tcW w:w="1180" w:type="dxa"/>
            <w:vAlign w:val="bottom"/>
            <w:vMerge w:val="restart"/>
          </w:tcPr>
          <w:p>
            <w:pPr>
              <w:jc w:val="right"/>
              <w:ind w:right="77"/>
              <w:spacing w:after="0" w:line="142" w:lineRule="exact"/>
              <w:rPr>
                <w:sz w:val="20"/>
                <w:szCs w:val="20"/>
                <w:color w:val="auto"/>
              </w:rPr>
            </w:pPr>
            <w:r>
              <w:rPr>
                <w:rFonts w:ascii="Arial" w:cs="Arial" w:eastAsia="Arial" w:hAnsi="Arial"/>
                <w:sz w:val="13"/>
                <w:szCs w:val="13"/>
                <w:color w:val="231F20"/>
              </w:rPr>
              <w:t>887,250</w:t>
            </w:r>
          </w:p>
        </w:tc>
        <w:tc>
          <w:tcPr>
            <w:tcW w:w="1340" w:type="dxa"/>
            <w:vAlign w:val="bottom"/>
            <w:vMerge w:val="restart"/>
          </w:tcPr>
          <w:p>
            <w:pPr>
              <w:jc w:val="right"/>
              <w:ind w:right="218"/>
              <w:spacing w:after="0" w:line="142" w:lineRule="exact"/>
              <w:rPr>
                <w:sz w:val="20"/>
                <w:szCs w:val="20"/>
                <w:color w:val="auto"/>
              </w:rPr>
            </w:pPr>
            <w:r>
              <w:rPr>
                <w:rFonts w:ascii="Arial" w:cs="Arial" w:eastAsia="Arial" w:hAnsi="Arial"/>
                <w:sz w:val="13"/>
                <w:szCs w:val="13"/>
                <w:color w:val="231F20"/>
              </w:rPr>
              <w:t>24,195</w:t>
            </w:r>
          </w:p>
        </w:tc>
        <w:tc>
          <w:tcPr>
            <w:tcW w:w="980" w:type="dxa"/>
            <w:vAlign w:val="bottom"/>
            <w:vMerge w:val="restart"/>
          </w:tcPr>
          <w:p>
            <w:pPr>
              <w:jc w:val="right"/>
              <w:ind w:right="36"/>
              <w:spacing w:after="0" w:line="142" w:lineRule="exact"/>
              <w:rPr>
                <w:sz w:val="20"/>
                <w:szCs w:val="20"/>
                <w:color w:val="auto"/>
              </w:rPr>
            </w:pPr>
            <w:r>
              <w:rPr>
                <w:rFonts w:ascii="Arial" w:cs="Arial" w:eastAsia="Arial" w:hAnsi="Arial"/>
                <w:sz w:val="13"/>
                <w:szCs w:val="13"/>
                <w:color w:val="231F20"/>
              </w:rPr>
              <w:t>10,998,914</w:t>
            </w:r>
          </w:p>
        </w:tc>
        <w:tc>
          <w:tcPr>
            <w:tcW w:w="0" w:type="dxa"/>
            <w:vAlign w:val="bottom"/>
          </w:tcPr>
          <w:p>
            <w:pPr>
              <w:spacing w:after="0"/>
              <w:rPr>
                <w:sz w:val="1"/>
                <w:szCs w:val="1"/>
                <w:color w:val="auto"/>
              </w:rPr>
            </w:pPr>
          </w:p>
        </w:tc>
      </w:tr>
      <w:tr>
        <w:trPr>
          <w:trHeight w:val="96"/>
        </w:trPr>
        <w:tc>
          <w:tcPr>
            <w:tcW w:w="2700" w:type="dxa"/>
            <w:vAlign w:val="bottom"/>
            <w:vMerge w:val="restart"/>
          </w:tcPr>
          <w:p>
            <w:pPr>
              <w:spacing w:after="0"/>
              <w:rPr>
                <w:sz w:val="20"/>
                <w:szCs w:val="20"/>
                <w:color w:val="auto"/>
              </w:rPr>
            </w:pPr>
            <w:r>
              <w:rPr>
                <w:rFonts w:ascii="Arial" w:cs="Arial" w:eastAsia="Arial" w:hAnsi="Arial"/>
                <w:sz w:val="13"/>
                <w:szCs w:val="13"/>
                <w:color w:val="231F20"/>
              </w:rPr>
              <w:t>Executive Vice President, Research</w:t>
            </w:r>
          </w:p>
        </w:tc>
        <w:tc>
          <w:tcPr>
            <w:tcW w:w="80" w:type="dxa"/>
            <w:vAlign w:val="bottom"/>
            <w:vMerge w:val="continue"/>
          </w:tcPr>
          <w:p>
            <w:pPr>
              <w:spacing w:after="0"/>
              <w:rPr>
                <w:sz w:val="7"/>
                <w:szCs w:val="7"/>
                <w:color w:val="auto"/>
              </w:rPr>
            </w:pPr>
          </w:p>
        </w:tc>
        <w:tc>
          <w:tcPr>
            <w:tcW w:w="660" w:type="dxa"/>
            <w:vAlign w:val="bottom"/>
            <w:tcBorders>
              <w:bottom w:val="single" w:sz="8" w:color="58585A"/>
            </w:tcBorders>
            <w:gridSpan w:val="2"/>
            <w:vMerge w:val="continue"/>
          </w:tcPr>
          <w:p>
            <w:pPr>
              <w:spacing w:after="0"/>
              <w:rPr>
                <w:sz w:val="7"/>
                <w:szCs w:val="7"/>
                <w:color w:val="auto"/>
              </w:rPr>
            </w:pPr>
          </w:p>
        </w:tc>
        <w:tc>
          <w:tcPr>
            <w:tcW w:w="1080" w:type="dxa"/>
            <w:vAlign w:val="bottom"/>
            <w:tcBorders>
              <w:bottom w:val="single" w:sz="8" w:color="58585A"/>
            </w:tcBorders>
            <w:vMerge w:val="continue"/>
          </w:tcPr>
          <w:p>
            <w:pPr>
              <w:spacing w:after="0"/>
              <w:rPr>
                <w:sz w:val="7"/>
                <w:szCs w:val="7"/>
                <w:color w:val="auto"/>
              </w:rPr>
            </w:pPr>
          </w:p>
        </w:tc>
        <w:tc>
          <w:tcPr>
            <w:tcW w:w="1120" w:type="dxa"/>
            <w:vAlign w:val="bottom"/>
            <w:tcBorders>
              <w:bottom w:val="single" w:sz="8" w:color="58585A"/>
            </w:tcBorders>
            <w:vMerge w:val="continue"/>
          </w:tcPr>
          <w:p>
            <w:pPr>
              <w:spacing w:after="0"/>
              <w:rPr>
                <w:sz w:val="7"/>
                <w:szCs w:val="7"/>
                <w:color w:val="auto"/>
              </w:rPr>
            </w:pPr>
          </w:p>
        </w:tc>
        <w:tc>
          <w:tcPr>
            <w:tcW w:w="1020" w:type="dxa"/>
            <w:vAlign w:val="bottom"/>
            <w:tcBorders>
              <w:bottom w:val="single" w:sz="8" w:color="58585A"/>
            </w:tcBorders>
            <w:vMerge w:val="continue"/>
          </w:tcPr>
          <w:p>
            <w:pPr>
              <w:spacing w:after="0"/>
              <w:rPr>
                <w:sz w:val="7"/>
                <w:szCs w:val="7"/>
                <w:color w:val="auto"/>
              </w:rPr>
            </w:pPr>
          </w:p>
        </w:tc>
        <w:tc>
          <w:tcPr>
            <w:tcW w:w="1180" w:type="dxa"/>
            <w:vAlign w:val="bottom"/>
            <w:tcBorders>
              <w:bottom w:val="single" w:sz="8" w:color="58585A"/>
            </w:tcBorders>
            <w:vMerge w:val="continue"/>
          </w:tcPr>
          <w:p>
            <w:pPr>
              <w:spacing w:after="0"/>
              <w:rPr>
                <w:sz w:val="7"/>
                <w:szCs w:val="7"/>
                <w:color w:val="auto"/>
              </w:rPr>
            </w:pPr>
          </w:p>
        </w:tc>
        <w:tc>
          <w:tcPr>
            <w:tcW w:w="1340" w:type="dxa"/>
            <w:vAlign w:val="bottom"/>
            <w:tcBorders>
              <w:bottom w:val="single" w:sz="8" w:color="58585A"/>
            </w:tcBorders>
            <w:vMerge w:val="continue"/>
          </w:tcPr>
          <w:p>
            <w:pPr>
              <w:spacing w:after="0"/>
              <w:rPr>
                <w:sz w:val="7"/>
                <w:szCs w:val="7"/>
                <w:color w:val="auto"/>
              </w:rPr>
            </w:pPr>
          </w:p>
        </w:tc>
        <w:tc>
          <w:tcPr>
            <w:tcW w:w="980" w:type="dxa"/>
            <w:vAlign w:val="bottom"/>
            <w:tcBorders>
              <w:bottom w:val="single" w:sz="8" w:color="58585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740" w:type="dxa"/>
            <w:vAlign w:val="bottom"/>
            <w:gridSpan w:val="3"/>
            <w:vMerge w:val="restart"/>
          </w:tcPr>
          <w:p>
            <w:pPr>
              <w:ind w:left="300"/>
              <w:spacing w:after="0" w:line="142" w:lineRule="exact"/>
              <w:rPr>
                <w:sz w:val="20"/>
                <w:szCs w:val="20"/>
                <w:color w:val="auto"/>
              </w:rPr>
            </w:pPr>
            <w:r>
              <w:rPr>
                <w:rFonts w:ascii="Arial" w:cs="Arial" w:eastAsia="Arial" w:hAnsi="Arial"/>
                <w:sz w:val="13"/>
                <w:szCs w:val="13"/>
                <w:color w:val="231F20"/>
              </w:rPr>
              <w:t>2019</w:t>
            </w:r>
          </w:p>
        </w:tc>
        <w:tc>
          <w:tcPr>
            <w:tcW w:w="1080" w:type="dxa"/>
            <w:vAlign w:val="bottom"/>
            <w:vMerge w:val="restart"/>
          </w:tcPr>
          <w:p>
            <w:pPr>
              <w:jc w:val="right"/>
              <w:ind w:right="56"/>
              <w:spacing w:after="0" w:line="142" w:lineRule="exact"/>
              <w:rPr>
                <w:sz w:val="20"/>
                <w:szCs w:val="20"/>
                <w:color w:val="auto"/>
              </w:rPr>
            </w:pPr>
            <w:r>
              <w:rPr>
                <w:rFonts w:ascii="Arial" w:cs="Arial" w:eastAsia="Arial" w:hAnsi="Arial"/>
                <w:sz w:val="13"/>
                <w:szCs w:val="13"/>
                <w:color w:val="231F20"/>
              </w:rPr>
              <w:t>600,000</w:t>
            </w:r>
          </w:p>
        </w:tc>
        <w:tc>
          <w:tcPr>
            <w:tcW w:w="1120" w:type="dxa"/>
            <w:vAlign w:val="bottom"/>
            <w:vMerge w:val="restart"/>
          </w:tcPr>
          <w:p>
            <w:pPr>
              <w:jc w:val="right"/>
              <w:ind w:right="76"/>
              <w:spacing w:after="0" w:line="142" w:lineRule="exact"/>
              <w:rPr>
                <w:sz w:val="20"/>
                <w:szCs w:val="20"/>
                <w:color w:val="auto"/>
              </w:rPr>
            </w:pPr>
            <w:r>
              <w:rPr>
                <w:rFonts w:ascii="Arial" w:cs="Arial" w:eastAsia="Arial" w:hAnsi="Arial"/>
                <w:sz w:val="13"/>
                <w:szCs w:val="13"/>
                <w:color w:val="231F20"/>
              </w:rPr>
              <w:t>4,702,308</w:t>
            </w:r>
          </w:p>
        </w:tc>
        <w:tc>
          <w:tcPr>
            <w:tcW w:w="1020" w:type="dxa"/>
            <w:vAlign w:val="bottom"/>
            <w:vMerge w:val="restart"/>
          </w:tcPr>
          <w:p>
            <w:pPr>
              <w:jc w:val="right"/>
              <w:spacing w:after="0" w:line="142" w:lineRule="exact"/>
              <w:rPr>
                <w:sz w:val="20"/>
                <w:szCs w:val="20"/>
                <w:color w:val="auto"/>
              </w:rPr>
            </w:pPr>
            <w:r>
              <w:rPr>
                <w:rFonts w:ascii="Arial" w:cs="Arial" w:eastAsia="Arial" w:hAnsi="Arial"/>
                <w:sz w:val="13"/>
                <w:szCs w:val="13"/>
                <w:color w:val="231F20"/>
              </w:rPr>
              <w:t>3,526,669</w:t>
            </w:r>
          </w:p>
        </w:tc>
        <w:tc>
          <w:tcPr>
            <w:tcW w:w="1180" w:type="dxa"/>
            <w:vAlign w:val="bottom"/>
            <w:vMerge w:val="restart"/>
          </w:tcPr>
          <w:p>
            <w:pPr>
              <w:jc w:val="right"/>
              <w:ind w:right="77"/>
              <w:spacing w:after="0" w:line="142" w:lineRule="exact"/>
              <w:rPr>
                <w:sz w:val="20"/>
                <w:szCs w:val="20"/>
                <w:color w:val="auto"/>
              </w:rPr>
            </w:pPr>
            <w:r>
              <w:rPr>
                <w:rFonts w:ascii="Arial" w:cs="Arial" w:eastAsia="Arial" w:hAnsi="Arial"/>
                <w:sz w:val="13"/>
                <w:szCs w:val="13"/>
                <w:color w:val="231F20"/>
              </w:rPr>
              <w:t>666,900</w:t>
            </w:r>
          </w:p>
        </w:tc>
        <w:tc>
          <w:tcPr>
            <w:tcW w:w="1340" w:type="dxa"/>
            <w:vAlign w:val="bottom"/>
            <w:vMerge w:val="restart"/>
          </w:tcPr>
          <w:p>
            <w:pPr>
              <w:jc w:val="right"/>
              <w:ind w:right="218"/>
              <w:spacing w:after="0" w:line="142" w:lineRule="exact"/>
              <w:rPr>
                <w:sz w:val="20"/>
                <w:szCs w:val="20"/>
                <w:color w:val="auto"/>
              </w:rPr>
            </w:pPr>
            <w:r>
              <w:rPr>
                <w:rFonts w:ascii="Arial" w:cs="Arial" w:eastAsia="Arial" w:hAnsi="Arial"/>
                <w:sz w:val="13"/>
                <w:szCs w:val="13"/>
                <w:color w:val="231F20"/>
              </w:rPr>
              <w:t>23,470</w:t>
            </w:r>
          </w:p>
        </w:tc>
        <w:tc>
          <w:tcPr>
            <w:tcW w:w="980" w:type="dxa"/>
            <w:vAlign w:val="bottom"/>
            <w:vMerge w:val="restart"/>
          </w:tcPr>
          <w:p>
            <w:pPr>
              <w:jc w:val="right"/>
              <w:ind w:right="36"/>
              <w:spacing w:after="0" w:line="142" w:lineRule="exact"/>
              <w:rPr>
                <w:sz w:val="20"/>
                <w:szCs w:val="20"/>
                <w:color w:val="auto"/>
              </w:rPr>
            </w:pPr>
            <w:r>
              <w:rPr>
                <w:rFonts w:ascii="Arial" w:cs="Arial" w:eastAsia="Arial" w:hAnsi="Arial"/>
                <w:sz w:val="13"/>
                <w:szCs w:val="13"/>
                <w:color w:val="231F20"/>
              </w:rPr>
              <w:t>9,519,347</w:t>
            </w:r>
          </w:p>
        </w:tc>
        <w:tc>
          <w:tcPr>
            <w:tcW w:w="0" w:type="dxa"/>
            <w:vAlign w:val="bottom"/>
          </w:tcPr>
          <w:p>
            <w:pPr>
              <w:spacing w:after="0"/>
              <w:rPr>
                <w:sz w:val="1"/>
                <w:szCs w:val="1"/>
                <w:color w:val="auto"/>
              </w:rPr>
            </w:pPr>
          </w:p>
        </w:tc>
      </w:tr>
      <w:tr>
        <w:trPr>
          <w:trHeight w:val="97"/>
        </w:trPr>
        <w:tc>
          <w:tcPr>
            <w:tcW w:w="2700" w:type="dxa"/>
            <w:vAlign w:val="bottom"/>
            <w:tcBorders>
              <w:bottom w:val="single" w:sz="8" w:color="58585A"/>
            </w:tcBorders>
          </w:tcPr>
          <w:p>
            <w:pPr>
              <w:spacing w:after="0"/>
              <w:rPr>
                <w:sz w:val="8"/>
                <w:szCs w:val="8"/>
                <w:color w:val="auto"/>
              </w:rPr>
            </w:pPr>
          </w:p>
        </w:tc>
        <w:tc>
          <w:tcPr>
            <w:tcW w:w="740" w:type="dxa"/>
            <w:vAlign w:val="bottom"/>
            <w:tcBorders>
              <w:bottom w:val="single" w:sz="8" w:color="58585A"/>
            </w:tcBorders>
            <w:gridSpan w:val="3"/>
            <w:vMerge w:val="continue"/>
          </w:tcPr>
          <w:p>
            <w:pPr>
              <w:spacing w:after="0"/>
              <w:rPr>
                <w:sz w:val="8"/>
                <w:szCs w:val="8"/>
                <w:color w:val="auto"/>
              </w:rPr>
            </w:pPr>
          </w:p>
        </w:tc>
        <w:tc>
          <w:tcPr>
            <w:tcW w:w="1080" w:type="dxa"/>
            <w:vAlign w:val="bottom"/>
            <w:tcBorders>
              <w:bottom w:val="single" w:sz="8" w:color="58585A"/>
            </w:tcBorders>
            <w:vMerge w:val="continue"/>
          </w:tcPr>
          <w:p>
            <w:pPr>
              <w:spacing w:after="0"/>
              <w:rPr>
                <w:sz w:val="8"/>
                <w:szCs w:val="8"/>
                <w:color w:val="auto"/>
              </w:rPr>
            </w:pPr>
          </w:p>
        </w:tc>
        <w:tc>
          <w:tcPr>
            <w:tcW w:w="1120" w:type="dxa"/>
            <w:vAlign w:val="bottom"/>
            <w:tcBorders>
              <w:bottom w:val="single" w:sz="8" w:color="58585A"/>
            </w:tcBorders>
            <w:vMerge w:val="continue"/>
          </w:tcPr>
          <w:p>
            <w:pPr>
              <w:spacing w:after="0"/>
              <w:rPr>
                <w:sz w:val="8"/>
                <w:szCs w:val="8"/>
                <w:color w:val="auto"/>
              </w:rPr>
            </w:pPr>
          </w:p>
        </w:tc>
        <w:tc>
          <w:tcPr>
            <w:tcW w:w="1020" w:type="dxa"/>
            <w:vAlign w:val="bottom"/>
            <w:tcBorders>
              <w:bottom w:val="single" w:sz="8" w:color="58585A"/>
            </w:tcBorders>
            <w:vMerge w:val="continue"/>
          </w:tcPr>
          <w:p>
            <w:pPr>
              <w:spacing w:after="0"/>
              <w:rPr>
                <w:sz w:val="8"/>
                <w:szCs w:val="8"/>
                <w:color w:val="auto"/>
              </w:rPr>
            </w:pPr>
          </w:p>
        </w:tc>
        <w:tc>
          <w:tcPr>
            <w:tcW w:w="1180" w:type="dxa"/>
            <w:vAlign w:val="bottom"/>
            <w:tcBorders>
              <w:bottom w:val="single" w:sz="8" w:color="58585A"/>
            </w:tcBorders>
            <w:vMerge w:val="continue"/>
          </w:tcPr>
          <w:p>
            <w:pPr>
              <w:spacing w:after="0"/>
              <w:rPr>
                <w:sz w:val="8"/>
                <w:szCs w:val="8"/>
                <w:color w:val="auto"/>
              </w:rPr>
            </w:pPr>
          </w:p>
        </w:tc>
        <w:tc>
          <w:tcPr>
            <w:tcW w:w="1340" w:type="dxa"/>
            <w:vAlign w:val="bottom"/>
            <w:tcBorders>
              <w:bottom w:val="single" w:sz="8" w:color="58585A"/>
            </w:tcBorders>
            <w:vMerge w:val="continue"/>
          </w:tcPr>
          <w:p>
            <w:pPr>
              <w:spacing w:after="0"/>
              <w:rPr>
                <w:sz w:val="8"/>
                <w:szCs w:val="8"/>
                <w:color w:val="auto"/>
              </w:rPr>
            </w:pPr>
          </w:p>
        </w:tc>
        <w:tc>
          <w:tcPr>
            <w:tcW w:w="980" w:type="dxa"/>
            <w:vAlign w:val="bottom"/>
            <w:tcBorders>
              <w:bottom w:val="single" w:sz="8" w:color="58585A"/>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700" w:type="dxa"/>
            <w:vAlign w:val="bottom"/>
            <w:shd w:val="clear" w:color="auto" w:fill="EEEEEF"/>
          </w:tcPr>
          <w:p>
            <w:pPr>
              <w:spacing w:after="0" w:line="119" w:lineRule="exact"/>
              <w:rPr>
                <w:sz w:val="20"/>
                <w:szCs w:val="20"/>
                <w:color w:val="auto"/>
              </w:rPr>
            </w:pPr>
            <w:r>
              <w:rPr>
                <w:rFonts w:ascii="Arial" w:cs="Arial" w:eastAsia="Arial" w:hAnsi="Arial"/>
                <w:sz w:val="13"/>
                <w:szCs w:val="13"/>
                <w:b w:val="1"/>
                <w:bCs w:val="1"/>
                <w:color w:val="D60058"/>
              </w:rPr>
              <w:t>Joseph J. LaRosa</w:t>
            </w:r>
          </w:p>
        </w:tc>
        <w:tc>
          <w:tcPr>
            <w:tcW w:w="740" w:type="dxa"/>
            <w:vAlign w:val="bottom"/>
            <w:gridSpan w:val="3"/>
            <w:shd w:val="clear" w:color="auto" w:fill="EEEEEF"/>
          </w:tcPr>
          <w:p>
            <w:pPr>
              <w:ind w:left="300"/>
              <w:spacing w:after="0" w:line="119" w:lineRule="exact"/>
              <w:rPr>
                <w:sz w:val="20"/>
                <w:szCs w:val="20"/>
                <w:color w:val="auto"/>
              </w:rPr>
            </w:pPr>
            <w:r>
              <w:rPr>
                <w:rFonts w:ascii="Arial" w:cs="Arial" w:eastAsia="Arial" w:hAnsi="Arial"/>
                <w:sz w:val="13"/>
                <w:szCs w:val="13"/>
                <w:color w:val="231F20"/>
              </w:rPr>
              <w:t>2021</w:t>
            </w:r>
          </w:p>
        </w:tc>
        <w:tc>
          <w:tcPr>
            <w:tcW w:w="1080" w:type="dxa"/>
            <w:vAlign w:val="bottom"/>
            <w:shd w:val="clear" w:color="auto" w:fill="EEEEEF"/>
          </w:tcPr>
          <w:p>
            <w:pPr>
              <w:jc w:val="right"/>
              <w:ind w:right="56"/>
              <w:spacing w:after="0" w:line="119" w:lineRule="exact"/>
              <w:rPr>
                <w:sz w:val="20"/>
                <w:szCs w:val="20"/>
                <w:color w:val="auto"/>
              </w:rPr>
            </w:pPr>
            <w:r>
              <w:rPr>
                <w:rFonts w:ascii="Arial" w:cs="Arial" w:eastAsia="Arial" w:hAnsi="Arial"/>
                <w:sz w:val="13"/>
                <w:szCs w:val="13"/>
                <w:color w:val="231F20"/>
              </w:rPr>
              <w:t>810,000</w:t>
            </w:r>
          </w:p>
        </w:tc>
        <w:tc>
          <w:tcPr>
            <w:tcW w:w="1120" w:type="dxa"/>
            <w:vAlign w:val="bottom"/>
            <w:shd w:val="clear" w:color="auto" w:fill="EEEEEF"/>
          </w:tcPr>
          <w:p>
            <w:pPr>
              <w:jc w:val="right"/>
              <w:ind w:right="76"/>
              <w:spacing w:after="0" w:line="119" w:lineRule="exact"/>
              <w:rPr>
                <w:sz w:val="20"/>
                <w:szCs w:val="20"/>
                <w:color w:val="auto"/>
              </w:rPr>
            </w:pPr>
            <w:r>
              <w:rPr>
                <w:rFonts w:ascii="Arial" w:cs="Arial" w:eastAsia="Arial" w:hAnsi="Arial"/>
                <w:sz w:val="13"/>
                <w:szCs w:val="13"/>
                <w:color w:val="231F20"/>
              </w:rPr>
              <w:t>2,151,475</w:t>
            </w:r>
          </w:p>
        </w:tc>
        <w:tc>
          <w:tcPr>
            <w:tcW w:w="1020" w:type="dxa"/>
            <w:vAlign w:val="bottom"/>
            <w:shd w:val="clear" w:color="auto" w:fill="EEEEEF"/>
          </w:tcPr>
          <w:p>
            <w:pPr>
              <w:jc w:val="right"/>
              <w:spacing w:after="0" w:line="119" w:lineRule="exact"/>
              <w:rPr>
                <w:sz w:val="20"/>
                <w:szCs w:val="20"/>
                <w:color w:val="auto"/>
              </w:rPr>
            </w:pPr>
            <w:r>
              <w:rPr>
                <w:rFonts w:ascii="Arial" w:cs="Arial" w:eastAsia="Arial" w:hAnsi="Arial"/>
                <w:sz w:val="13"/>
                <w:szCs w:val="13"/>
                <w:color w:val="231F20"/>
              </w:rPr>
              <w:t>3,227,316</w:t>
            </w:r>
          </w:p>
        </w:tc>
        <w:tc>
          <w:tcPr>
            <w:tcW w:w="1180" w:type="dxa"/>
            <w:vAlign w:val="bottom"/>
            <w:shd w:val="clear" w:color="auto" w:fill="EEEEEF"/>
          </w:tcPr>
          <w:p>
            <w:pPr>
              <w:jc w:val="right"/>
              <w:ind w:right="77"/>
              <w:spacing w:after="0" w:line="119" w:lineRule="exact"/>
              <w:rPr>
                <w:sz w:val="20"/>
                <w:szCs w:val="20"/>
                <w:color w:val="auto"/>
              </w:rPr>
            </w:pPr>
            <w:r>
              <w:rPr>
                <w:rFonts w:ascii="Arial" w:cs="Arial" w:eastAsia="Arial" w:hAnsi="Arial"/>
                <w:sz w:val="13"/>
                <w:szCs w:val="13"/>
                <w:color w:val="231F20"/>
              </w:rPr>
              <w:t>916,110</w:t>
            </w:r>
          </w:p>
        </w:tc>
        <w:tc>
          <w:tcPr>
            <w:tcW w:w="1340" w:type="dxa"/>
            <w:vAlign w:val="bottom"/>
            <w:shd w:val="clear" w:color="auto" w:fill="EEEEEF"/>
          </w:tcPr>
          <w:p>
            <w:pPr>
              <w:jc w:val="right"/>
              <w:ind w:right="98"/>
              <w:spacing w:after="0" w:line="119" w:lineRule="exact"/>
              <w:rPr>
                <w:sz w:val="20"/>
                <w:szCs w:val="20"/>
                <w:color w:val="auto"/>
              </w:rPr>
            </w:pPr>
            <w:r>
              <w:rPr>
                <w:rFonts w:ascii="Arial" w:cs="Arial" w:eastAsia="Arial" w:hAnsi="Arial"/>
                <w:sz w:val="13"/>
                <w:szCs w:val="13"/>
                <w:color w:val="231F20"/>
              </w:rPr>
              <w:t>22,000</w:t>
            </w:r>
            <w:r>
              <w:rPr>
                <w:rFonts w:ascii="Arial" w:cs="Arial" w:eastAsia="Arial" w:hAnsi="Arial"/>
                <w:sz w:val="10"/>
                <w:szCs w:val="10"/>
                <w:color w:val="000000"/>
              </w:rPr>
              <w:t>11</w:t>
            </w:r>
          </w:p>
        </w:tc>
        <w:tc>
          <w:tcPr>
            <w:tcW w:w="980" w:type="dxa"/>
            <w:vAlign w:val="bottom"/>
            <w:shd w:val="clear" w:color="auto" w:fill="EEEEEF"/>
          </w:tcPr>
          <w:p>
            <w:pPr>
              <w:jc w:val="right"/>
              <w:ind w:right="36"/>
              <w:spacing w:after="0" w:line="119" w:lineRule="exact"/>
              <w:rPr>
                <w:sz w:val="20"/>
                <w:szCs w:val="20"/>
                <w:color w:val="auto"/>
              </w:rPr>
            </w:pPr>
            <w:r>
              <w:rPr>
                <w:rFonts w:ascii="Arial" w:cs="Arial" w:eastAsia="Arial" w:hAnsi="Arial"/>
                <w:sz w:val="13"/>
                <w:szCs w:val="13"/>
                <w:color w:val="231F20"/>
              </w:rPr>
              <w:t>7,126,901</w:t>
            </w:r>
          </w:p>
        </w:tc>
        <w:tc>
          <w:tcPr>
            <w:tcW w:w="0" w:type="dxa"/>
            <w:vAlign w:val="bottom"/>
          </w:tcPr>
          <w:p>
            <w:pPr>
              <w:spacing w:after="0"/>
              <w:rPr>
                <w:sz w:val="1"/>
                <w:szCs w:val="1"/>
                <w:color w:val="auto"/>
              </w:rPr>
            </w:pPr>
          </w:p>
        </w:tc>
      </w:tr>
      <w:tr>
        <w:trPr>
          <w:trHeight w:val="141"/>
        </w:trPr>
        <w:tc>
          <w:tcPr>
            <w:tcW w:w="2700" w:type="dxa"/>
            <w:vAlign w:val="bottom"/>
            <w:shd w:val="clear" w:color="auto" w:fill="EEEEEF"/>
          </w:tcPr>
          <w:p>
            <w:pPr>
              <w:spacing w:after="0" w:line="141" w:lineRule="exact"/>
              <w:rPr>
                <w:sz w:val="20"/>
                <w:szCs w:val="20"/>
                <w:color w:val="auto"/>
              </w:rPr>
            </w:pPr>
            <w:r>
              <w:rPr>
                <w:rFonts w:ascii="Arial" w:cs="Arial" w:eastAsia="Arial" w:hAnsi="Arial"/>
                <w:sz w:val="13"/>
                <w:szCs w:val="13"/>
                <w:color w:val="231F20"/>
              </w:rPr>
              <w:t>Executive Vice President, General Counsel</w:t>
            </w:r>
          </w:p>
        </w:tc>
        <w:tc>
          <w:tcPr>
            <w:tcW w:w="80" w:type="dxa"/>
            <w:vAlign w:val="bottom"/>
            <w:shd w:val="clear" w:color="auto" w:fill="EEEEEF"/>
          </w:tcPr>
          <w:p>
            <w:pPr>
              <w:spacing w:after="0"/>
              <w:rPr>
                <w:sz w:val="12"/>
                <w:szCs w:val="12"/>
                <w:color w:val="auto"/>
              </w:rPr>
            </w:pPr>
          </w:p>
        </w:tc>
        <w:tc>
          <w:tcPr>
            <w:tcW w:w="500" w:type="dxa"/>
            <w:vAlign w:val="bottom"/>
            <w:shd w:val="clear" w:color="auto" w:fill="EEEEEF"/>
          </w:tcPr>
          <w:p>
            <w:pPr>
              <w:spacing w:after="0"/>
              <w:rPr>
                <w:sz w:val="12"/>
                <w:szCs w:val="12"/>
                <w:color w:val="auto"/>
              </w:rPr>
            </w:pPr>
          </w:p>
        </w:tc>
        <w:tc>
          <w:tcPr>
            <w:tcW w:w="160" w:type="dxa"/>
            <w:vAlign w:val="bottom"/>
            <w:shd w:val="clear" w:color="auto" w:fill="EEEEEF"/>
          </w:tcPr>
          <w:p>
            <w:pPr>
              <w:spacing w:after="0"/>
              <w:rPr>
                <w:sz w:val="12"/>
                <w:szCs w:val="12"/>
                <w:color w:val="auto"/>
              </w:rPr>
            </w:pPr>
          </w:p>
        </w:tc>
        <w:tc>
          <w:tcPr>
            <w:tcW w:w="1080" w:type="dxa"/>
            <w:vAlign w:val="bottom"/>
            <w:shd w:val="clear" w:color="auto" w:fill="EEEEEF"/>
          </w:tcPr>
          <w:p>
            <w:pPr>
              <w:spacing w:after="0"/>
              <w:rPr>
                <w:sz w:val="12"/>
                <w:szCs w:val="12"/>
                <w:color w:val="auto"/>
              </w:rPr>
            </w:pPr>
          </w:p>
        </w:tc>
        <w:tc>
          <w:tcPr>
            <w:tcW w:w="1120" w:type="dxa"/>
            <w:vAlign w:val="bottom"/>
            <w:shd w:val="clear" w:color="auto" w:fill="EEEEEF"/>
          </w:tcPr>
          <w:p>
            <w:pPr>
              <w:spacing w:after="0"/>
              <w:rPr>
                <w:sz w:val="12"/>
                <w:szCs w:val="12"/>
                <w:color w:val="auto"/>
              </w:rPr>
            </w:pPr>
          </w:p>
        </w:tc>
        <w:tc>
          <w:tcPr>
            <w:tcW w:w="1020" w:type="dxa"/>
            <w:vAlign w:val="bottom"/>
            <w:shd w:val="clear" w:color="auto" w:fill="EEEEEF"/>
          </w:tcPr>
          <w:p>
            <w:pPr>
              <w:spacing w:after="0"/>
              <w:rPr>
                <w:sz w:val="12"/>
                <w:szCs w:val="12"/>
                <w:color w:val="auto"/>
              </w:rPr>
            </w:pPr>
          </w:p>
        </w:tc>
        <w:tc>
          <w:tcPr>
            <w:tcW w:w="1180" w:type="dxa"/>
            <w:vAlign w:val="bottom"/>
            <w:shd w:val="clear" w:color="auto" w:fill="EEEEEF"/>
          </w:tcPr>
          <w:p>
            <w:pPr>
              <w:spacing w:after="0"/>
              <w:rPr>
                <w:sz w:val="12"/>
                <w:szCs w:val="12"/>
                <w:color w:val="auto"/>
              </w:rPr>
            </w:pPr>
          </w:p>
        </w:tc>
        <w:tc>
          <w:tcPr>
            <w:tcW w:w="1340" w:type="dxa"/>
            <w:vAlign w:val="bottom"/>
            <w:shd w:val="clear" w:color="auto" w:fill="EEEEEF"/>
          </w:tcPr>
          <w:p>
            <w:pPr>
              <w:spacing w:after="0"/>
              <w:rPr>
                <w:sz w:val="12"/>
                <w:szCs w:val="12"/>
                <w:color w:val="auto"/>
              </w:rPr>
            </w:pPr>
          </w:p>
        </w:tc>
        <w:tc>
          <w:tcPr>
            <w:tcW w:w="980" w:type="dxa"/>
            <w:vAlign w:val="bottom"/>
            <w:shd w:val="clear" w:color="auto" w:fill="EEEEE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tcBorders>
              <w:bottom w:val="single" w:sz="8" w:color="5A78B9"/>
            </w:tcBorders>
            <w:shd w:val="clear" w:color="auto" w:fill="EEEEEF"/>
          </w:tcPr>
          <w:p>
            <w:pPr>
              <w:spacing w:after="0" w:line="180" w:lineRule="exact"/>
              <w:rPr>
                <w:sz w:val="20"/>
                <w:szCs w:val="20"/>
                <w:color w:val="auto"/>
              </w:rPr>
            </w:pPr>
            <w:r>
              <w:rPr>
                <w:rFonts w:ascii="Arial" w:cs="Arial" w:eastAsia="Arial" w:hAnsi="Arial"/>
                <w:sz w:val="13"/>
                <w:szCs w:val="13"/>
                <w:color w:val="231F20"/>
              </w:rPr>
              <w:t>and Secretary</w:t>
            </w:r>
            <w:r>
              <w:rPr>
                <w:rFonts w:ascii="Arial" w:cs="Arial" w:eastAsia="Arial" w:hAnsi="Arial"/>
                <w:sz w:val="20"/>
                <w:szCs w:val="20"/>
                <w:color w:val="231F20"/>
                <w:vertAlign w:val="superscript"/>
              </w:rPr>
              <w:t>10</w:t>
            </w:r>
          </w:p>
        </w:tc>
        <w:tc>
          <w:tcPr>
            <w:tcW w:w="80" w:type="dxa"/>
            <w:vAlign w:val="bottom"/>
            <w:tcBorders>
              <w:bottom w:val="single" w:sz="8" w:color="5A78B9"/>
            </w:tcBorders>
            <w:shd w:val="clear" w:color="auto" w:fill="EEEEEF"/>
          </w:tcPr>
          <w:p>
            <w:pPr>
              <w:spacing w:after="0"/>
              <w:rPr>
                <w:sz w:val="15"/>
                <w:szCs w:val="15"/>
                <w:color w:val="auto"/>
              </w:rPr>
            </w:pPr>
          </w:p>
        </w:tc>
        <w:tc>
          <w:tcPr>
            <w:tcW w:w="500" w:type="dxa"/>
            <w:vAlign w:val="bottom"/>
            <w:tcBorders>
              <w:bottom w:val="single" w:sz="8" w:color="5A78B9"/>
            </w:tcBorders>
            <w:shd w:val="clear" w:color="auto" w:fill="EEEEEF"/>
          </w:tcPr>
          <w:p>
            <w:pPr>
              <w:spacing w:after="0"/>
              <w:rPr>
                <w:sz w:val="15"/>
                <w:szCs w:val="15"/>
                <w:color w:val="auto"/>
              </w:rPr>
            </w:pPr>
          </w:p>
        </w:tc>
        <w:tc>
          <w:tcPr>
            <w:tcW w:w="160" w:type="dxa"/>
            <w:vAlign w:val="bottom"/>
            <w:tcBorders>
              <w:bottom w:val="single" w:sz="8" w:color="5A78B9"/>
            </w:tcBorders>
            <w:shd w:val="clear" w:color="auto" w:fill="EEEEEF"/>
          </w:tcPr>
          <w:p>
            <w:pPr>
              <w:spacing w:after="0"/>
              <w:rPr>
                <w:sz w:val="15"/>
                <w:szCs w:val="15"/>
                <w:color w:val="auto"/>
              </w:rPr>
            </w:pPr>
          </w:p>
        </w:tc>
        <w:tc>
          <w:tcPr>
            <w:tcW w:w="1080" w:type="dxa"/>
            <w:vAlign w:val="bottom"/>
            <w:tcBorders>
              <w:bottom w:val="single" w:sz="8" w:color="5A78B9"/>
            </w:tcBorders>
            <w:shd w:val="clear" w:color="auto" w:fill="EEEEEF"/>
          </w:tcPr>
          <w:p>
            <w:pPr>
              <w:spacing w:after="0"/>
              <w:rPr>
                <w:sz w:val="15"/>
                <w:szCs w:val="15"/>
                <w:color w:val="auto"/>
              </w:rPr>
            </w:pPr>
          </w:p>
        </w:tc>
        <w:tc>
          <w:tcPr>
            <w:tcW w:w="1120" w:type="dxa"/>
            <w:vAlign w:val="bottom"/>
            <w:tcBorders>
              <w:bottom w:val="single" w:sz="8" w:color="5A78B9"/>
            </w:tcBorders>
            <w:shd w:val="clear" w:color="auto" w:fill="EEEEEF"/>
          </w:tcPr>
          <w:p>
            <w:pPr>
              <w:spacing w:after="0"/>
              <w:rPr>
                <w:sz w:val="15"/>
                <w:szCs w:val="15"/>
                <w:color w:val="auto"/>
              </w:rPr>
            </w:pPr>
          </w:p>
        </w:tc>
        <w:tc>
          <w:tcPr>
            <w:tcW w:w="1020" w:type="dxa"/>
            <w:vAlign w:val="bottom"/>
            <w:tcBorders>
              <w:bottom w:val="single" w:sz="8" w:color="5A78B9"/>
            </w:tcBorders>
            <w:shd w:val="clear" w:color="auto" w:fill="EEEEEF"/>
          </w:tcPr>
          <w:p>
            <w:pPr>
              <w:spacing w:after="0"/>
              <w:rPr>
                <w:sz w:val="15"/>
                <w:szCs w:val="15"/>
                <w:color w:val="auto"/>
              </w:rPr>
            </w:pPr>
          </w:p>
        </w:tc>
        <w:tc>
          <w:tcPr>
            <w:tcW w:w="1180" w:type="dxa"/>
            <w:vAlign w:val="bottom"/>
            <w:tcBorders>
              <w:bottom w:val="single" w:sz="8" w:color="5A78B9"/>
            </w:tcBorders>
            <w:shd w:val="clear" w:color="auto" w:fill="EEEEEF"/>
          </w:tcPr>
          <w:p>
            <w:pPr>
              <w:spacing w:after="0"/>
              <w:rPr>
                <w:sz w:val="15"/>
                <w:szCs w:val="15"/>
                <w:color w:val="auto"/>
              </w:rPr>
            </w:pPr>
          </w:p>
        </w:tc>
        <w:tc>
          <w:tcPr>
            <w:tcW w:w="1340" w:type="dxa"/>
            <w:vAlign w:val="bottom"/>
            <w:tcBorders>
              <w:bottom w:val="single" w:sz="8" w:color="5A78B9"/>
            </w:tcBorders>
            <w:shd w:val="clear" w:color="auto" w:fill="EEEEEF"/>
          </w:tcPr>
          <w:p>
            <w:pPr>
              <w:spacing w:after="0"/>
              <w:rPr>
                <w:sz w:val="15"/>
                <w:szCs w:val="15"/>
                <w:color w:val="auto"/>
              </w:rPr>
            </w:pPr>
          </w:p>
        </w:tc>
        <w:tc>
          <w:tcPr>
            <w:tcW w:w="980" w:type="dxa"/>
            <w:vAlign w:val="bottom"/>
            <w:tcBorders>
              <w:bottom w:val="single" w:sz="8" w:color="5A78B9"/>
            </w:tcBorders>
            <w:shd w:val="clear" w:color="auto" w:fill="EEEEEF"/>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720" w:right="20" w:hanging="172"/>
        <w:spacing w:after="0" w:line="209" w:lineRule="auto"/>
        <w:tabs>
          <w:tab w:leader="none" w:pos="720" w:val="left"/>
        </w:tabs>
        <w:numPr>
          <w:ilvl w:val="0"/>
          <w:numId w:val="146"/>
        </w:numPr>
        <w:rPr>
          <w:rFonts w:ascii="Arial" w:cs="Arial" w:eastAsia="Arial" w:hAnsi="Arial"/>
          <w:sz w:val="29"/>
          <w:szCs w:val="29"/>
          <w:color w:val="215BA8"/>
          <w:vertAlign w:val="superscript"/>
        </w:rPr>
      </w:pPr>
      <w:r>
        <w:rPr>
          <w:rFonts w:ascii="Arial" w:cs="Arial" w:eastAsia="Arial" w:hAnsi="Arial"/>
          <w:sz w:val="14"/>
          <w:szCs w:val="14"/>
          <w:color w:val="1A1A1A"/>
        </w:rPr>
        <w:t>The reported salary amounts for 2020 give effect to a 27</w:t>
      </w:r>
      <w:r>
        <w:rPr>
          <w:rFonts w:ascii="Arial" w:cs="Arial" w:eastAsia="Arial" w:hAnsi="Arial"/>
          <w:sz w:val="23"/>
          <w:szCs w:val="23"/>
          <w:color w:val="1A1A1A"/>
          <w:vertAlign w:val="superscript"/>
        </w:rPr>
        <w:t>th</w:t>
      </w:r>
      <w:r>
        <w:rPr>
          <w:rFonts w:ascii="Arial" w:cs="Arial" w:eastAsia="Arial" w:hAnsi="Arial"/>
          <w:sz w:val="14"/>
          <w:szCs w:val="14"/>
          <w:color w:val="1A1A1A"/>
        </w:rPr>
        <w:t xml:space="preserve"> pay period in 2020 as a result of the Company’s payroll schedule, which was accelerated to avoid a delayed funds disbursement. This resulted in each NEO receiving one additional paycheck in 2020 based on the base salaries then in effect.</w:t>
      </w:r>
    </w:p>
    <w:p>
      <w:pPr>
        <w:spacing w:after="0" w:line="72" w:lineRule="exact"/>
        <w:rPr>
          <w:sz w:val="20"/>
          <w:szCs w:val="20"/>
          <w:color w:val="auto"/>
        </w:rPr>
      </w:pPr>
    </w:p>
    <w:p>
      <w:pPr>
        <w:ind w:left="720" w:right="140" w:hanging="172"/>
        <w:spacing w:after="0" w:line="243" w:lineRule="auto"/>
        <w:tabs>
          <w:tab w:leader="none" w:pos="720" w:val="left"/>
        </w:tabs>
        <w:numPr>
          <w:ilvl w:val="0"/>
          <w:numId w:val="147"/>
        </w:numPr>
        <w:rPr>
          <w:rFonts w:ascii="Arial" w:cs="Arial" w:eastAsia="Arial" w:hAnsi="Arial"/>
          <w:sz w:val="14"/>
          <w:szCs w:val="14"/>
          <w:color w:val="215BA8"/>
        </w:rPr>
      </w:pPr>
      <w:r>
        <w:rPr>
          <w:rFonts w:ascii="Arial" w:cs="Arial" w:eastAsia="Arial" w:hAnsi="Arial"/>
          <w:sz w:val="14"/>
          <w:szCs w:val="14"/>
          <w:color w:val="1A1A1A"/>
        </w:rPr>
        <w:t>The amounts in columns E and F reflect the respective aggregate grant date fair values (disregarding estimated forfeitures) of PSUs or RSAs (as applicable) and stock option awards granted in 2021, 2020, and 2019, respectively, pursuant to the Second Amended and Restated Regeneron Pharmaceuticals, Inc. 2014 Long-Term Incentive Plan or its predecessor. Valuation assumptions and methodologies used in the calculation of these amounts for 2021 are included in Note 12 to the Company’s audited financial statements for the fiscal year ended December 31, 2021 included in the 2021 Annual Report.</w:t>
      </w:r>
    </w:p>
    <w:p>
      <w:pPr>
        <w:spacing w:after="0" w:line="72" w:lineRule="exact"/>
        <w:rPr>
          <w:sz w:val="20"/>
          <w:szCs w:val="20"/>
          <w:color w:val="auto"/>
        </w:rPr>
      </w:pPr>
    </w:p>
    <w:p>
      <w:pPr>
        <w:ind w:left="720" w:right="40" w:hanging="172"/>
        <w:spacing w:after="0" w:line="247" w:lineRule="auto"/>
        <w:tabs>
          <w:tab w:leader="none" w:pos="720" w:val="left"/>
        </w:tabs>
        <w:numPr>
          <w:ilvl w:val="0"/>
          <w:numId w:val="148"/>
        </w:numPr>
        <w:rPr>
          <w:rFonts w:ascii="Arial" w:cs="Arial" w:eastAsia="Arial" w:hAnsi="Arial"/>
          <w:sz w:val="14"/>
          <w:szCs w:val="14"/>
          <w:color w:val="215BA8"/>
        </w:rPr>
      </w:pPr>
      <w:r>
        <w:rPr>
          <w:rFonts w:ascii="Arial" w:cs="Arial" w:eastAsia="Arial" w:hAnsi="Arial"/>
          <w:sz w:val="14"/>
          <w:szCs w:val="14"/>
          <w:color w:val="1A1A1A"/>
        </w:rPr>
        <w:t>Non-equity incentive plan compensation amounts (consisting of cash incentives paid to the NEOs in respect of the relevant year under the Regeneron Pharmaceuticals, Inc. Cash Incentive Bonus Plan) are shown in the year in which they were accrued and earned.</w:t>
      </w:r>
    </w:p>
    <w:p>
      <w:pPr>
        <w:spacing w:after="0" w:line="66" w:lineRule="exact"/>
        <w:rPr>
          <w:sz w:val="20"/>
          <w:szCs w:val="20"/>
          <w:color w:val="auto"/>
        </w:rPr>
      </w:pPr>
    </w:p>
    <w:p>
      <w:pPr>
        <w:ind w:left="720" w:right="120" w:hanging="172"/>
        <w:spacing w:after="0" w:line="245" w:lineRule="auto"/>
        <w:tabs>
          <w:tab w:leader="none" w:pos="720" w:val="left"/>
        </w:tabs>
        <w:numPr>
          <w:ilvl w:val="0"/>
          <w:numId w:val="149"/>
        </w:numPr>
        <w:rPr>
          <w:rFonts w:ascii="Arial" w:cs="Arial" w:eastAsia="Arial" w:hAnsi="Arial"/>
          <w:sz w:val="14"/>
          <w:szCs w:val="14"/>
          <w:color w:val="215BA8"/>
        </w:rPr>
      </w:pPr>
      <w:r>
        <w:rPr>
          <w:rFonts w:ascii="Arial" w:cs="Arial" w:eastAsia="Arial" w:hAnsi="Arial"/>
          <w:sz w:val="14"/>
          <w:szCs w:val="14"/>
          <w:color w:val="1A1A1A"/>
        </w:rPr>
        <w:t>See the subsection “Additional Compensation Information— Perquisites and Personal Benefits” below for further information. Certain 2021 perquisites and other personal benefits are quantified for each of the NEOs in the footnotes to this table below based on the actual additional cost incurred by us in providing the perquisite or other personal benefit.</w:t>
      </w:r>
    </w:p>
    <w:p>
      <w:pPr>
        <w:spacing w:after="0" w:line="69" w:lineRule="exact"/>
        <w:rPr>
          <w:sz w:val="20"/>
          <w:szCs w:val="20"/>
          <w:color w:val="auto"/>
        </w:rPr>
      </w:pPr>
    </w:p>
    <w:p>
      <w:pPr>
        <w:ind w:left="720" w:hanging="172"/>
        <w:spacing w:after="0" w:line="244" w:lineRule="auto"/>
        <w:tabs>
          <w:tab w:leader="none" w:pos="720" w:val="left"/>
        </w:tabs>
        <w:numPr>
          <w:ilvl w:val="0"/>
          <w:numId w:val="150"/>
        </w:numPr>
        <w:rPr>
          <w:rFonts w:ascii="Arial" w:cs="Arial" w:eastAsia="Arial" w:hAnsi="Arial"/>
          <w:sz w:val="14"/>
          <w:szCs w:val="14"/>
          <w:color w:val="215BA8"/>
        </w:rPr>
      </w:pPr>
      <w:r>
        <w:rPr>
          <w:rFonts w:ascii="Arial" w:cs="Arial" w:eastAsia="Arial" w:hAnsi="Arial"/>
          <w:sz w:val="14"/>
          <w:szCs w:val="14"/>
          <w:color w:val="1A1A1A"/>
        </w:rPr>
        <w:t>Consists of (i) $20,724 for life insurance premiums, (ii) $7,366 for disability insurance premiums, (iii) $28,318 for medical malpractice insurance premiums, (iv) $13,000 for 401(k) Savings Plan matching contributions in respect of 2021, (v) $11,200 for tax and financial planning advisory services, (vi) $138,036 for personal use of Company-provided aircraft, (vii) $395,745 for secure car</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Arial" w:cs="Arial" w:eastAsia="Arial" w:hAnsi="Arial"/>
          <w:sz w:val="14"/>
          <w:szCs w:val="14"/>
          <w:color w:val="1A1A1A"/>
        </w:rPr>
        <w:t>transportation/personal and residential security services, and (viii)</w:t>
      </w:r>
    </w:p>
    <w:p>
      <w:pPr>
        <w:spacing w:after="0" w:line="1" w:lineRule="exact"/>
        <w:rPr>
          <w:sz w:val="20"/>
          <w:szCs w:val="20"/>
          <w:color w:val="auto"/>
        </w:rPr>
      </w:pPr>
    </w:p>
    <w:p>
      <w:pPr>
        <w:ind w:left="180" w:right="580"/>
        <w:spacing w:after="0" w:line="245" w:lineRule="auto"/>
        <w:rPr>
          <w:sz w:val="20"/>
          <w:szCs w:val="20"/>
          <w:color w:val="auto"/>
        </w:rPr>
      </w:pPr>
      <w:r>
        <w:rPr>
          <w:rFonts w:ascii="Arial" w:cs="Arial" w:eastAsia="Arial" w:hAnsi="Arial"/>
          <w:sz w:val="14"/>
          <w:szCs w:val="14"/>
          <w:color w:val="1A1A1A"/>
        </w:rPr>
        <w:t>$57,741 for expenses incurred by the Company to upgrade the home security systems at the primary residence of Dr. Schleifer (in the case of clauses (vi)-(viii), in accordance with our security policy and calculated as described in the subsection “Additional Compensation Information— Perquisites and Personal Benefits” below).</w:t>
      </w:r>
    </w:p>
    <w:p>
      <w:pPr>
        <w:spacing w:after="0" w:line="69" w:lineRule="exact"/>
        <w:rPr>
          <w:sz w:val="20"/>
          <w:szCs w:val="20"/>
          <w:color w:val="auto"/>
        </w:rPr>
      </w:pPr>
    </w:p>
    <w:p>
      <w:pPr>
        <w:ind w:left="180" w:right="560" w:hanging="173"/>
        <w:spacing w:after="0" w:line="243" w:lineRule="auto"/>
        <w:tabs>
          <w:tab w:leader="none" w:pos="180" w:val="left"/>
        </w:tabs>
        <w:numPr>
          <w:ilvl w:val="0"/>
          <w:numId w:val="151"/>
        </w:numPr>
        <w:rPr>
          <w:rFonts w:ascii="Arial" w:cs="Arial" w:eastAsia="Arial" w:hAnsi="Arial"/>
          <w:sz w:val="14"/>
          <w:szCs w:val="14"/>
          <w:color w:val="215BA8"/>
        </w:rPr>
      </w:pPr>
      <w:r>
        <w:rPr>
          <w:rFonts w:ascii="Arial" w:cs="Arial" w:eastAsia="Arial" w:hAnsi="Arial"/>
          <w:sz w:val="14"/>
          <w:szCs w:val="14"/>
          <w:color w:val="1A1A1A"/>
        </w:rPr>
        <w:t>Consists of (i) $13,000 for 401(k) Savings Plan matching contributions in respect of 2021, (ii) $11,200 for tax and financial planning advisory services, (iii) $215,432 for personal use of Company-provided aircraft, (iv) $164,847 for secure car transportation/personal and residential security services, and (v) $195,501 for expenses incurred by the Company to upgrade the home security systems at the primary residence of Dr. Yancopoulos (in the case of clauses (iii)-(v), in accordance with our security policy and calculated as described in the subsection “Additional Compensation Information—Perquisites and Personal Benefits” below).</w:t>
      </w:r>
    </w:p>
    <w:p>
      <w:pPr>
        <w:spacing w:after="0" w:line="72" w:lineRule="exact"/>
        <w:rPr>
          <w:sz w:val="20"/>
          <w:szCs w:val="20"/>
          <w:color w:val="auto"/>
        </w:rPr>
      </w:pPr>
    </w:p>
    <w:p>
      <w:pPr>
        <w:ind w:left="180" w:right="640" w:hanging="173"/>
        <w:spacing w:after="0" w:line="249" w:lineRule="auto"/>
        <w:tabs>
          <w:tab w:leader="none" w:pos="180" w:val="left"/>
        </w:tabs>
        <w:numPr>
          <w:ilvl w:val="0"/>
          <w:numId w:val="152"/>
        </w:numPr>
        <w:rPr>
          <w:rFonts w:ascii="Arial" w:cs="Arial" w:eastAsia="Arial" w:hAnsi="Arial"/>
          <w:sz w:val="14"/>
          <w:szCs w:val="14"/>
          <w:color w:val="215BA8"/>
        </w:rPr>
      </w:pPr>
      <w:r>
        <w:rPr>
          <w:rFonts w:ascii="Arial" w:cs="Arial" w:eastAsia="Arial" w:hAnsi="Arial"/>
          <w:sz w:val="14"/>
          <w:szCs w:val="14"/>
          <w:color w:val="1A1A1A"/>
        </w:rPr>
        <w:t>Consists of (i) $13,000 for 401(k) Savings Plan matching contributions in respect of 2021 and (ii) $11,200 for tax and financial planning advisory services.</w:t>
      </w:r>
    </w:p>
    <w:p>
      <w:pPr>
        <w:spacing w:after="0" w:line="66" w:lineRule="exact"/>
        <w:rPr>
          <w:sz w:val="20"/>
          <w:szCs w:val="20"/>
          <w:color w:val="auto"/>
        </w:rPr>
      </w:pPr>
    </w:p>
    <w:p>
      <w:pPr>
        <w:jc w:val="both"/>
        <w:ind w:left="180" w:right="720" w:hanging="173"/>
        <w:spacing w:after="0" w:line="249" w:lineRule="auto"/>
        <w:tabs>
          <w:tab w:leader="none" w:pos="180" w:val="left"/>
        </w:tabs>
        <w:numPr>
          <w:ilvl w:val="0"/>
          <w:numId w:val="153"/>
        </w:numPr>
        <w:rPr>
          <w:rFonts w:ascii="Arial" w:cs="Arial" w:eastAsia="Arial" w:hAnsi="Arial"/>
          <w:sz w:val="14"/>
          <w:szCs w:val="14"/>
          <w:color w:val="215BA8"/>
        </w:rPr>
      </w:pPr>
      <w:r>
        <w:rPr>
          <w:rFonts w:ascii="Arial" w:cs="Arial" w:eastAsia="Arial" w:hAnsi="Arial"/>
          <w:sz w:val="14"/>
          <w:szCs w:val="14"/>
          <w:color w:val="1A1A1A"/>
        </w:rPr>
        <w:t>Consists of (i) $9,750 for 401(k) Savings Plan matching contributions in respect of 2021 and (ii) $11,200 for tax and financial planning advisory services.</w:t>
      </w:r>
    </w:p>
    <w:p>
      <w:pPr>
        <w:spacing w:after="0" w:line="66" w:lineRule="exact"/>
        <w:rPr>
          <w:sz w:val="20"/>
          <w:szCs w:val="20"/>
          <w:color w:val="auto"/>
        </w:rPr>
      </w:pPr>
    </w:p>
    <w:p>
      <w:pPr>
        <w:jc w:val="both"/>
        <w:ind w:left="180" w:right="760" w:hanging="173"/>
        <w:spacing w:after="0" w:line="249" w:lineRule="auto"/>
        <w:tabs>
          <w:tab w:leader="none" w:pos="180" w:val="left"/>
        </w:tabs>
        <w:numPr>
          <w:ilvl w:val="0"/>
          <w:numId w:val="154"/>
        </w:numPr>
        <w:rPr>
          <w:rFonts w:ascii="Arial" w:cs="Arial" w:eastAsia="Arial" w:hAnsi="Arial"/>
          <w:sz w:val="14"/>
          <w:szCs w:val="14"/>
          <w:color w:val="215BA8"/>
        </w:rPr>
      </w:pPr>
      <w:r>
        <w:rPr>
          <w:rFonts w:ascii="Arial" w:cs="Arial" w:eastAsia="Arial" w:hAnsi="Arial"/>
          <w:sz w:val="14"/>
          <w:szCs w:val="14"/>
          <w:color w:val="1A1A1A"/>
        </w:rPr>
        <w:t>Consists of $13,000 for 401(k) Savings Plan matching contributions in respect of 2021 and (ii) $11,200 for tax and financial planning advisory services.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215BA8"/>
        </w:rPr>
        <w:t>10</w:t>
      </w:r>
      <w:r>
        <w:rPr>
          <w:rFonts w:ascii="Arial" w:cs="Arial" w:eastAsia="Arial" w:hAnsi="Arial"/>
          <w:sz w:val="14"/>
          <w:szCs w:val="14"/>
          <w:color w:val="1A1A1A"/>
        </w:rPr>
        <w:t>Mr. LaRosa qualified as an NEO for 2021 but not for 2020 or 2019.</w:t>
      </w:r>
    </w:p>
    <w:p>
      <w:pPr>
        <w:spacing w:after="0" w:line="82" w:lineRule="exact"/>
        <w:rPr>
          <w:sz w:val="20"/>
          <w:szCs w:val="20"/>
          <w:color w:val="auto"/>
        </w:rPr>
      </w:pPr>
    </w:p>
    <w:p>
      <w:pPr>
        <w:jc w:val="both"/>
        <w:ind w:left="180" w:right="800" w:hanging="174"/>
        <w:spacing w:after="0" w:line="249" w:lineRule="auto"/>
        <w:rPr>
          <w:sz w:val="20"/>
          <w:szCs w:val="20"/>
          <w:color w:val="auto"/>
        </w:rPr>
      </w:pPr>
      <w:r>
        <w:rPr>
          <w:rFonts w:ascii="Arial" w:cs="Arial" w:eastAsia="Arial" w:hAnsi="Arial"/>
          <w:sz w:val="14"/>
          <w:szCs w:val="14"/>
          <w:color w:val="215BA8"/>
        </w:rPr>
        <w:t>11</w:t>
      </w:r>
      <w:r>
        <w:rPr>
          <w:rFonts w:ascii="Arial" w:cs="Arial" w:eastAsia="Arial" w:hAnsi="Arial"/>
          <w:sz w:val="14"/>
          <w:szCs w:val="14"/>
          <w:color w:val="1A1A1A"/>
        </w:rPr>
        <w:t>Consists of $13,000 for 401(k) Savings Plan matching contributions in</w:t>
      </w:r>
      <w:r>
        <w:rPr>
          <w:rFonts w:ascii="Arial" w:cs="Arial" w:eastAsia="Arial" w:hAnsi="Arial"/>
          <w:sz w:val="14"/>
          <w:szCs w:val="14"/>
          <w:color w:val="215BA8"/>
        </w:rPr>
        <w:t xml:space="preserve"> </w:t>
      </w:r>
      <w:r>
        <w:rPr>
          <w:rFonts w:ascii="Arial" w:cs="Arial" w:eastAsia="Arial" w:hAnsi="Arial"/>
          <w:sz w:val="14"/>
          <w:szCs w:val="14"/>
          <w:color w:val="1A1A1A"/>
        </w:rPr>
        <w:t>respect of 2021 and (ii) $9,000 for tax and financial planning advisory services.</w:t>
      </w:r>
    </w:p>
    <w:p>
      <w:pPr>
        <w:spacing w:after="0" w:line="221" w:lineRule="exact"/>
        <w:rPr>
          <w:sz w:val="20"/>
          <w:szCs w:val="20"/>
          <w:color w:val="auto"/>
        </w:rPr>
      </w:pPr>
    </w:p>
    <w:p>
      <w:pPr>
        <w:sectPr>
          <w:pgSz w:w="11900" w:h="16838" w:orient="portrait"/>
          <w:cols w:equalWidth="0" w:num="2">
            <w:col w:w="5400" w:space="420"/>
            <w:col w:w="5420"/>
          </w:cols>
          <w:pgMar w:left="320" w:top="1440" w:right="339" w:bottom="1440" w:gutter="0" w:footer="0" w:header="0"/>
          <w:type w:val="continuous"/>
        </w:sectPr>
      </w:pPr>
    </w:p>
    <w:p>
      <w:pPr>
        <w:spacing w:after="0" w:line="5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82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7" w:name="page98"/>
    <w:bookmarkEnd w:id="97"/>
    <w:p>
      <w:pPr>
        <w:ind w:left="576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2021 Grants of Plan-Based Awards</w:t>
      </w:r>
    </w:p>
    <w:p>
      <w:pPr>
        <w:spacing w:after="0" w:line="187" w:lineRule="exact"/>
        <w:rPr>
          <w:sz w:val="20"/>
          <w:szCs w:val="20"/>
          <w:color w:val="auto"/>
        </w:rPr>
      </w:pPr>
    </w:p>
    <w:p>
      <w:pPr>
        <w:ind w:left="540" w:right="860"/>
        <w:spacing w:after="0" w:line="236" w:lineRule="auto"/>
        <w:rPr>
          <w:sz w:val="20"/>
          <w:szCs w:val="20"/>
          <w:color w:val="auto"/>
        </w:rPr>
      </w:pPr>
      <w:r>
        <w:rPr>
          <w:rFonts w:ascii="Arial" w:cs="Arial" w:eastAsia="Arial" w:hAnsi="Arial"/>
          <w:sz w:val="16"/>
          <w:szCs w:val="16"/>
          <w:color w:val="auto"/>
        </w:rPr>
        <w:t>The following table and explanatory footnotes provide information regarding the annual cash incentive and equity awards granted to our NEOs during 2021.</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040" w:type="dxa"/>
            <w:vAlign w:val="bottom"/>
            <w:tcBorders>
              <w:top w:val="single" w:sz="8" w:color="2459A8"/>
              <w:bottom w:val="single" w:sz="8" w:color="2459A8"/>
            </w:tcBorders>
          </w:tcPr>
          <w:p>
            <w:pPr>
              <w:ind w:left="980"/>
              <w:spacing w:after="0"/>
              <w:rPr>
                <w:sz w:val="20"/>
                <w:szCs w:val="20"/>
                <w:color w:val="auto"/>
              </w:rPr>
            </w:pPr>
            <w:r>
              <w:rPr>
                <w:rFonts w:ascii="Arial" w:cs="Arial" w:eastAsia="Arial" w:hAnsi="Arial"/>
                <w:sz w:val="12"/>
                <w:szCs w:val="12"/>
                <w:b w:val="1"/>
                <w:bCs w:val="1"/>
                <w:color w:val="2459A8"/>
              </w:rPr>
              <w:t>A</w:t>
            </w:r>
          </w:p>
        </w:tc>
        <w:tc>
          <w:tcPr>
            <w:tcW w:w="80" w:type="dxa"/>
            <w:vAlign w:val="bottom"/>
            <w:tcBorders>
              <w:top w:val="single" w:sz="8" w:color="2459A8"/>
              <w:bottom w:val="single" w:sz="8" w:color="2459A8"/>
            </w:tcBorders>
          </w:tcPr>
          <w:p>
            <w:pPr>
              <w:spacing w:after="0"/>
              <w:rPr>
                <w:sz w:val="14"/>
                <w:szCs w:val="14"/>
                <w:color w:val="auto"/>
              </w:rPr>
            </w:pPr>
          </w:p>
        </w:tc>
        <w:tc>
          <w:tcPr>
            <w:tcW w:w="920" w:type="dxa"/>
            <w:vAlign w:val="bottom"/>
            <w:tcBorders>
              <w:top w:val="single" w:sz="8" w:color="2459A8"/>
              <w:bottom w:val="single" w:sz="8" w:color="2459A8"/>
            </w:tcBorders>
            <w:gridSpan w:val="2"/>
          </w:tcPr>
          <w:p>
            <w:pPr>
              <w:jc w:val="right"/>
              <w:ind w:right="411"/>
              <w:spacing w:after="0"/>
              <w:rPr>
                <w:sz w:val="20"/>
                <w:szCs w:val="20"/>
                <w:color w:val="auto"/>
              </w:rPr>
            </w:pPr>
            <w:r>
              <w:rPr>
                <w:rFonts w:ascii="Arial" w:cs="Arial" w:eastAsia="Arial" w:hAnsi="Arial"/>
                <w:sz w:val="12"/>
                <w:szCs w:val="12"/>
                <w:b w:val="1"/>
                <w:bCs w:val="1"/>
                <w:color w:val="2459A8"/>
              </w:rPr>
              <w:t>B</w:t>
            </w:r>
          </w:p>
        </w:tc>
        <w:tc>
          <w:tcPr>
            <w:tcW w:w="980" w:type="dxa"/>
            <w:vAlign w:val="bottom"/>
            <w:tcBorders>
              <w:top w:val="single" w:sz="8" w:color="2459A8"/>
              <w:bottom w:val="single" w:sz="8" w:color="2459A8"/>
            </w:tcBorders>
          </w:tcPr>
          <w:p>
            <w:pPr>
              <w:jc w:val="center"/>
              <w:ind w:right="97"/>
              <w:spacing w:after="0"/>
              <w:rPr>
                <w:sz w:val="20"/>
                <w:szCs w:val="20"/>
                <w:color w:val="auto"/>
              </w:rPr>
            </w:pPr>
            <w:r>
              <w:rPr>
                <w:rFonts w:ascii="Arial" w:cs="Arial" w:eastAsia="Arial" w:hAnsi="Arial"/>
                <w:sz w:val="12"/>
                <w:szCs w:val="12"/>
                <w:b w:val="1"/>
                <w:bCs w:val="1"/>
                <w:color w:val="2459A8"/>
              </w:rPr>
              <w:t>C</w:t>
            </w:r>
          </w:p>
        </w:tc>
        <w:tc>
          <w:tcPr>
            <w:tcW w:w="960" w:type="dxa"/>
            <w:vAlign w:val="bottom"/>
            <w:tcBorders>
              <w:top w:val="single" w:sz="8" w:color="2459A8"/>
              <w:bottom w:val="single" w:sz="8" w:color="2459A8"/>
            </w:tcBorders>
          </w:tcPr>
          <w:p>
            <w:pPr>
              <w:jc w:val="center"/>
              <w:ind w:right="216"/>
              <w:spacing w:after="0"/>
              <w:rPr>
                <w:sz w:val="20"/>
                <w:szCs w:val="20"/>
                <w:color w:val="auto"/>
              </w:rPr>
            </w:pPr>
            <w:r>
              <w:rPr>
                <w:rFonts w:ascii="Arial" w:cs="Arial" w:eastAsia="Arial" w:hAnsi="Arial"/>
                <w:sz w:val="12"/>
                <w:szCs w:val="12"/>
                <w:b w:val="1"/>
                <w:bCs w:val="1"/>
                <w:color w:val="2459A8"/>
                <w:w w:val="91"/>
              </w:rPr>
              <w:t>D</w:t>
            </w:r>
          </w:p>
        </w:tc>
        <w:tc>
          <w:tcPr>
            <w:tcW w:w="780" w:type="dxa"/>
            <w:vAlign w:val="bottom"/>
            <w:tcBorders>
              <w:top w:val="single" w:sz="8" w:color="2459A8"/>
              <w:bottom w:val="single" w:sz="8" w:color="2459A8"/>
            </w:tcBorders>
            <w:gridSpan w:val="2"/>
          </w:tcPr>
          <w:p>
            <w:pPr>
              <w:jc w:val="center"/>
              <w:ind w:right="220"/>
              <w:spacing w:after="0"/>
              <w:rPr>
                <w:sz w:val="20"/>
                <w:szCs w:val="20"/>
                <w:color w:val="auto"/>
              </w:rPr>
            </w:pPr>
            <w:r>
              <w:rPr>
                <w:rFonts w:ascii="Arial" w:cs="Arial" w:eastAsia="Arial" w:hAnsi="Arial"/>
                <w:sz w:val="12"/>
                <w:szCs w:val="12"/>
                <w:b w:val="1"/>
                <w:bCs w:val="1"/>
                <w:color w:val="2459A8"/>
                <w:w w:val="99"/>
              </w:rPr>
              <w:t>E</w:t>
            </w:r>
          </w:p>
        </w:tc>
        <w:tc>
          <w:tcPr>
            <w:tcW w:w="900" w:type="dxa"/>
            <w:vAlign w:val="bottom"/>
            <w:tcBorders>
              <w:top w:val="single" w:sz="8" w:color="2459A8"/>
              <w:bottom w:val="single" w:sz="8" w:color="2459A8"/>
            </w:tcBorders>
          </w:tcPr>
          <w:p>
            <w:pPr>
              <w:jc w:val="center"/>
              <w:ind w:right="37"/>
              <w:spacing w:after="0"/>
              <w:rPr>
                <w:sz w:val="20"/>
                <w:szCs w:val="20"/>
                <w:color w:val="auto"/>
              </w:rPr>
            </w:pPr>
            <w:r>
              <w:rPr>
                <w:rFonts w:ascii="Arial" w:cs="Arial" w:eastAsia="Arial" w:hAnsi="Arial"/>
                <w:sz w:val="12"/>
                <w:szCs w:val="12"/>
                <w:b w:val="1"/>
                <w:bCs w:val="1"/>
                <w:color w:val="2459A8"/>
              </w:rPr>
              <w:t>I</w:t>
            </w:r>
          </w:p>
        </w:tc>
        <w:tc>
          <w:tcPr>
            <w:tcW w:w="920" w:type="dxa"/>
            <w:vAlign w:val="bottom"/>
            <w:tcBorders>
              <w:top w:val="single" w:sz="8" w:color="2459A8"/>
              <w:bottom w:val="single" w:sz="8" w:color="2459A8"/>
            </w:tcBorders>
          </w:tcPr>
          <w:p>
            <w:pPr>
              <w:jc w:val="center"/>
              <w:ind w:right="77"/>
              <w:spacing w:after="0"/>
              <w:rPr>
                <w:sz w:val="20"/>
                <w:szCs w:val="20"/>
                <w:color w:val="auto"/>
              </w:rPr>
            </w:pPr>
            <w:r>
              <w:rPr>
                <w:rFonts w:ascii="Arial" w:cs="Arial" w:eastAsia="Arial" w:hAnsi="Arial"/>
                <w:sz w:val="12"/>
                <w:szCs w:val="12"/>
                <w:b w:val="1"/>
                <w:bCs w:val="1"/>
                <w:color w:val="2459A8"/>
                <w:w w:val="89"/>
              </w:rPr>
              <w:t>J</w:t>
            </w:r>
          </w:p>
        </w:tc>
        <w:tc>
          <w:tcPr>
            <w:tcW w:w="880" w:type="dxa"/>
            <w:vAlign w:val="bottom"/>
            <w:tcBorders>
              <w:top w:val="single" w:sz="8" w:color="2459A8"/>
              <w:bottom w:val="single" w:sz="8" w:color="2459A8"/>
            </w:tcBorders>
          </w:tcPr>
          <w:p>
            <w:pPr>
              <w:jc w:val="center"/>
              <w:ind w:right="57"/>
              <w:spacing w:after="0"/>
              <w:rPr>
                <w:sz w:val="20"/>
                <w:szCs w:val="20"/>
                <w:color w:val="auto"/>
              </w:rPr>
            </w:pPr>
            <w:r>
              <w:rPr>
                <w:rFonts w:ascii="Arial" w:cs="Arial" w:eastAsia="Arial" w:hAnsi="Arial"/>
                <w:sz w:val="12"/>
                <w:szCs w:val="12"/>
                <w:b w:val="1"/>
                <w:bCs w:val="1"/>
                <w:color w:val="2459A8"/>
                <w:w w:val="91"/>
              </w:rPr>
              <w:t>K</w:t>
            </w:r>
          </w:p>
        </w:tc>
        <w:tc>
          <w:tcPr>
            <w:tcW w:w="840" w:type="dxa"/>
            <w:vAlign w:val="bottom"/>
            <w:tcBorders>
              <w:top w:val="single" w:sz="8" w:color="2459A8"/>
              <w:bottom w:val="single" w:sz="8" w:color="2459A8"/>
            </w:tcBorders>
          </w:tcPr>
          <w:p>
            <w:pPr>
              <w:spacing w:after="0"/>
              <w:rPr>
                <w:sz w:val="14"/>
                <w:szCs w:val="14"/>
                <w:color w:val="auto"/>
              </w:rPr>
            </w:pPr>
          </w:p>
        </w:tc>
        <w:tc>
          <w:tcPr>
            <w:tcW w:w="86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2"/>
                <w:szCs w:val="12"/>
                <w:b w:val="1"/>
                <w:bCs w:val="1"/>
                <w:color w:val="2459A8"/>
              </w:rPr>
              <w:t>L</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7"/>
              <w:spacing w:after="0" w:line="117" w:lineRule="exact"/>
              <w:rPr>
                <w:sz w:val="20"/>
                <w:szCs w:val="20"/>
                <w:color w:val="auto"/>
              </w:rPr>
            </w:pPr>
            <w:r>
              <w:rPr>
                <w:rFonts w:ascii="Arial" w:cs="Arial" w:eastAsia="Arial" w:hAnsi="Arial"/>
                <w:sz w:val="12"/>
                <w:szCs w:val="12"/>
                <w:b w:val="1"/>
                <w:bCs w:val="1"/>
                <w:color w:val="2459A8"/>
                <w:w w:val="98"/>
              </w:rPr>
              <w:t>All other</w:t>
            </w:r>
          </w:p>
        </w:tc>
        <w:tc>
          <w:tcPr>
            <w:tcW w:w="920" w:type="dxa"/>
            <w:vAlign w:val="bottom"/>
          </w:tcPr>
          <w:p>
            <w:pPr>
              <w:jc w:val="center"/>
              <w:ind w:right="57"/>
              <w:spacing w:after="0" w:line="117" w:lineRule="exact"/>
              <w:rPr>
                <w:sz w:val="20"/>
                <w:szCs w:val="20"/>
                <w:color w:val="auto"/>
              </w:rPr>
            </w:pPr>
            <w:r>
              <w:rPr>
                <w:rFonts w:ascii="Arial" w:cs="Arial" w:eastAsia="Arial" w:hAnsi="Arial"/>
                <w:sz w:val="12"/>
                <w:szCs w:val="12"/>
                <w:b w:val="1"/>
                <w:bCs w:val="1"/>
                <w:color w:val="2459A8"/>
                <w:w w:val="98"/>
              </w:rPr>
              <w:t>All other</w:t>
            </w: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5"/>
              </w:rPr>
              <w:t>stock</w:t>
            </w:r>
          </w:p>
        </w:tc>
        <w:tc>
          <w:tcPr>
            <w:tcW w:w="92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8"/>
              </w:rPr>
              <w:t>option</w:t>
            </w:r>
          </w:p>
        </w:tc>
        <w:tc>
          <w:tcPr>
            <w:tcW w:w="8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5"/>
              </w:rPr>
              <w:t>Closing</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gridSpan w:val="4"/>
            <w:vMerge w:val="restart"/>
          </w:tcPr>
          <w:p>
            <w:pPr>
              <w:jc w:val="center"/>
              <w:ind w:right="100"/>
              <w:spacing w:after="0"/>
              <w:rPr>
                <w:sz w:val="20"/>
                <w:szCs w:val="20"/>
                <w:color w:val="auto"/>
              </w:rPr>
            </w:pPr>
            <w:r>
              <w:rPr>
                <w:rFonts w:ascii="Arial" w:cs="Arial" w:eastAsia="Arial" w:hAnsi="Arial"/>
                <w:sz w:val="12"/>
                <w:szCs w:val="12"/>
                <w:b w:val="1"/>
                <w:bCs w:val="1"/>
                <w:color w:val="2459A8"/>
                <w:w w:val="97"/>
              </w:rPr>
              <w:t>Estimated Possible Payouts Under Non-Equity</w:t>
            </w:r>
          </w:p>
        </w:tc>
        <w:tc>
          <w:tcPr>
            <w:tcW w:w="90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6"/>
              </w:rPr>
              <w:t>awards:</w:t>
            </w:r>
          </w:p>
        </w:tc>
        <w:tc>
          <w:tcPr>
            <w:tcW w:w="92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6"/>
              </w:rPr>
              <w:t>awards:</w:t>
            </w:r>
          </w:p>
        </w:tc>
        <w:tc>
          <w:tcPr>
            <w:tcW w:w="88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7"/>
              </w:rPr>
              <w:t>Exercise</w:t>
            </w:r>
          </w:p>
        </w:tc>
        <w:tc>
          <w:tcPr>
            <w:tcW w:w="8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price of</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20" w:type="dxa"/>
            <w:vAlign w:val="bottom"/>
            <w:gridSpan w:val="4"/>
            <w:vMerge w:val="continue"/>
          </w:tcPr>
          <w:p>
            <w:pPr>
              <w:spacing w:after="0"/>
              <w:rPr>
                <w:sz w:val="8"/>
                <w:szCs w:val="8"/>
                <w:color w:val="auto"/>
              </w:rPr>
            </w:pPr>
          </w:p>
        </w:tc>
        <w:tc>
          <w:tcPr>
            <w:tcW w:w="900" w:type="dxa"/>
            <w:vAlign w:val="bottom"/>
            <w:vMerge w:val="restart"/>
          </w:tcPr>
          <w:p>
            <w:pPr>
              <w:jc w:val="center"/>
              <w:ind w:right="37"/>
              <w:spacing w:after="0" w:line="135" w:lineRule="exact"/>
              <w:rPr>
                <w:sz w:val="20"/>
                <w:szCs w:val="20"/>
                <w:color w:val="auto"/>
              </w:rPr>
            </w:pPr>
            <w:r>
              <w:rPr>
                <w:rFonts w:ascii="Arial" w:cs="Arial" w:eastAsia="Arial" w:hAnsi="Arial"/>
                <w:sz w:val="12"/>
                <w:szCs w:val="12"/>
                <w:b w:val="1"/>
                <w:bCs w:val="1"/>
                <w:color w:val="2459A8"/>
                <w:w w:val="95"/>
              </w:rPr>
              <w:t>number of</w:t>
            </w:r>
          </w:p>
        </w:tc>
        <w:tc>
          <w:tcPr>
            <w:tcW w:w="920" w:type="dxa"/>
            <w:vAlign w:val="bottom"/>
            <w:vMerge w:val="restart"/>
          </w:tcPr>
          <w:p>
            <w:pPr>
              <w:jc w:val="center"/>
              <w:ind w:right="77"/>
              <w:spacing w:after="0" w:line="135" w:lineRule="exact"/>
              <w:rPr>
                <w:sz w:val="20"/>
                <w:szCs w:val="20"/>
                <w:color w:val="auto"/>
              </w:rPr>
            </w:pPr>
            <w:r>
              <w:rPr>
                <w:rFonts w:ascii="Arial" w:cs="Arial" w:eastAsia="Arial" w:hAnsi="Arial"/>
                <w:sz w:val="12"/>
                <w:szCs w:val="12"/>
                <w:b w:val="1"/>
                <w:bCs w:val="1"/>
                <w:color w:val="2459A8"/>
                <w:w w:val="98"/>
              </w:rPr>
              <w:t>number of</w:t>
            </w:r>
          </w:p>
        </w:tc>
        <w:tc>
          <w:tcPr>
            <w:tcW w:w="880" w:type="dxa"/>
            <w:vAlign w:val="bottom"/>
            <w:vMerge w:val="restart"/>
          </w:tcPr>
          <w:p>
            <w:pPr>
              <w:jc w:val="center"/>
              <w:ind w:right="77"/>
              <w:spacing w:after="0" w:line="135" w:lineRule="exact"/>
              <w:rPr>
                <w:sz w:val="20"/>
                <w:szCs w:val="20"/>
                <w:color w:val="auto"/>
              </w:rPr>
            </w:pPr>
            <w:r>
              <w:rPr>
                <w:rFonts w:ascii="Arial" w:cs="Arial" w:eastAsia="Arial" w:hAnsi="Arial"/>
                <w:sz w:val="12"/>
                <w:szCs w:val="12"/>
                <w:b w:val="1"/>
                <w:bCs w:val="1"/>
                <w:color w:val="2459A8"/>
                <w:w w:val="98"/>
              </w:rPr>
              <w:t>or base</w:t>
            </w:r>
          </w:p>
        </w:tc>
        <w:tc>
          <w:tcPr>
            <w:tcW w:w="8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459A8"/>
                <w:w w:val="98"/>
              </w:rPr>
              <w:t>Company</w:t>
            </w:r>
          </w:p>
        </w:tc>
        <w:tc>
          <w:tcPr>
            <w:tcW w:w="8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2459A8"/>
                <w:w w:val="97"/>
              </w:rPr>
              <w:t>Grant date fair</w:t>
            </w: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gridSpan w:val="2"/>
            <w:vMerge w:val="restart"/>
          </w:tcPr>
          <w:p>
            <w:pPr>
              <w:jc w:val="center"/>
              <w:ind w:left="597"/>
              <w:spacing w:after="0" w:line="182" w:lineRule="exact"/>
              <w:rPr>
                <w:sz w:val="20"/>
                <w:szCs w:val="20"/>
                <w:color w:val="auto"/>
              </w:rPr>
            </w:pPr>
            <w:r>
              <w:rPr>
                <w:rFonts w:ascii="Arial" w:cs="Arial" w:eastAsia="Arial" w:hAnsi="Arial"/>
                <w:sz w:val="12"/>
                <w:szCs w:val="12"/>
                <w:b w:val="1"/>
                <w:bCs w:val="1"/>
                <w:color w:val="2459A8"/>
                <w:w w:val="95"/>
              </w:rPr>
              <w:t>Incentive Plan Awards</w:t>
            </w:r>
            <w:r>
              <w:rPr>
                <w:rFonts w:ascii="Arial" w:cs="Arial" w:eastAsia="Arial" w:hAnsi="Arial"/>
                <w:sz w:val="19"/>
                <w:szCs w:val="19"/>
                <w:b w:val="1"/>
                <w:bCs w:val="1"/>
                <w:color w:val="2459A8"/>
                <w:w w:val="95"/>
                <w:vertAlign w:val="superscript"/>
              </w:rPr>
              <w:t>1</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bottom w:val="single" w:sz="8" w:color="2459A8"/>
            </w:tcBorders>
            <w:gridSpan w:val="2"/>
            <w:vMerge w:val="continue"/>
          </w:tcPr>
          <w:p>
            <w:pPr>
              <w:spacing w:after="0"/>
              <w:rPr>
                <w:sz w:val="12"/>
                <w:szCs w:val="12"/>
                <w:color w:val="auto"/>
              </w:rPr>
            </w:pPr>
          </w:p>
        </w:tc>
        <w:tc>
          <w:tcPr>
            <w:tcW w:w="680" w:type="dxa"/>
            <w:vAlign w:val="bottom"/>
            <w:tcBorders>
              <w:bottom w:val="single" w:sz="8" w:color="2459A8"/>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rPr>
                <w:sz w:val="20"/>
                <w:szCs w:val="20"/>
                <w:color w:val="auto"/>
              </w:rPr>
            </w:pPr>
            <w:r>
              <w:rPr>
                <w:rFonts w:ascii="Arial" w:cs="Arial" w:eastAsia="Arial" w:hAnsi="Arial"/>
                <w:sz w:val="12"/>
                <w:szCs w:val="12"/>
                <w:b w:val="1"/>
                <w:bCs w:val="1"/>
                <w:color w:val="2459A8"/>
                <w:w w:val="97"/>
              </w:rPr>
              <w:t>shares of</w:t>
            </w:r>
          </w:p>
        </w:tc>
        <w:tc>
          <w:tcPr>
            <w:tcW w:w="920" w:type="dxa"/>
            <w:vAlign w:val="bottom"/>
          </w:tcPr>
          <w:p>
            <w:pPr>
              <w:jc w:val="center"/>
              <w:ind w:right="77"/>
              <w:spacing w:after="0"/>
              <w:rPr>
                <w:sz w:val="20"/>
                <w:szCs w:val="20"/>
                <w:color w:val="auto"/>
              </w:rPr>
            </w:pPr>
            <w:r>
              <w:rPr>
                <w:rFonts w:ascii="Arial" w:cs="Arial" w:eastAsia="Arial" w:hAnsi="Arial"/>
                <w:sz w:val="12"/>
                <w:szCs w:val="12"/>
                <w:b w:val="1"/>
                <w:bCs w:val="1"/>
                <w:color w:val="2459A8"/>
                <w:w w:val="96"/>
              </w:rPr>
              <w:t>securities</w:t>
            </w:r>
          </w:p>
        </w:tc>
        <w:tc>
          <w:tcPr>
            <w:tcW w:w="880" w:type="dxa"/>
            <w:vAlign w:val="bottom"/>
          </w:tcPr>
          <w:p>
            <w:pPr>
              <w:jc w:val="center"/>
              <w:ind w:right="77"/>
              <w:spacing w:after="0"/>
              <w:rPr>
                <w:sz w:val="20"/>
                <w:szCs w:val="20"/>
                <w:color w:val="auto"/>
              </w:rPr>
            </w:pPr>
            <w:r>
              <w:rPr>
                <w:rFonts w:ascii="Arial" w:cs="Arial" w:eastAsia="Arial" w:hAnsi="Arial"/>
                <w:sz w:val="12"/>
                <w:szCs w:val="12"/>
                <w:b w:val="1"/>
                <w:bCs w:val="1"/>
                <w:color w:val="2459A8"/>
                <w:w w:val="96"/>
              </w:rPr>
              <w:t>price of</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2459A8"/>
                <w:w w:val="99"/>
              </w:rPr>
              <w:t>common</w:t>
            </w:r>
          </w:p>
        </w:tc>
        <w:tc>
          <w:tcPr>
            <w:tcW w:w="860" w:type="dxa"/>
            <w:vAlign w:val="bottom"/>
          </w:tcPr>
          <w:p>
            <w:pPr>
              <w:jc w:val="center"/>
              <w:spacing w:after="0"/>
              <w:rPr>
                <w:sz w:val="20"/>
                <w:szCs w:val="20"/>
                <w:color w:val="auto"/>
              </w:rPr>
            </w:pPr>
            <w:r>
              <w:rPr>
                <w:rFonts w:ascii="Arial" w:cs="Arial" w:eastAsia="Arial" w:hAnsi="Arial"/>
                <w:sz w:val="12"/>
                <w:szCs w:val="12"/>
                <w:b w:val="1"/>
                <w:bCs w:val="1"/>
                <w:color w:val="2459A8"/>
                <w:w w:val="97"/>
              </w:rPr>
              <w:t>value of stock</w:t>
            </w:r>
          </w:p>
        </w:tc>
        <w:tc>
          <w:tcPr>
            <w:tcW w:w="0" w:type="dxa"/>
            <w:vAlign w:val="bottom"/>
          </w:tcPr>
          <w:p>
            <w:pPr>
              <w:spacing w:after="0"/>
              <w:rPr>
                <w:sz w:val="1"/>
                <w:szCs w:val="1"/>
                <w:color w:val="auto"/>
              </w:rPr>
            </w:pPr>
          </w:p>
        </w:tc>
      </w:tr>
      <w:tr>
        <w:trPr>
          <w:trHeight w:val="103"/>
        </w:trPr>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vMerge w:val="restart"/>
          </w:tcPr>
          <w:p>
            <w:pPr>
              <w:jc w:val="center"/>
              <w:ind w:right="77"/>
              <w:spacing w:after="0"/>
              <w:rPr>
                <w:sz w:val="20"/>
                <w:szCs w:val="20"/>
                <w:color w:val="auto"/>
              </w:rPr>
            </w:pPr>
            <w:r>
              <w:rPr>
                <w:rFonts w:ascii="Arial" w:cs="Arial" w:eastAsia="Arial" w:hAnsi="Arial"/>
                <w:sz w:val="12"/>
                <w:szCs w:val="12"/>
                <w:b w:val="1"/>
                <w:bCs w:val="1"/>
                <w:color w:val="2459A8"/>
                <w:w w:val="94"/>
              </w:rPr>
              <w:t>stock or</w:t>
            </w:r>
          </w:p>
        </w:tc>
        <w:tc>
          <w:tcPr>
            <w:tcW w:w="920" w:type="dxa"/>
            <w:vAlign w:val="bottom"/>
            <w:vMerge w:val="restart"/>
          </w:tcPr>
          <w:p>
            <w:pPr>
              <w:jc w:val="center"/>
              <w:ind w:right="57"/>
              <w:spacing w:after="0"/>
              <w:rPr>
                <w:sz w:val="20"/>
                <w:szCs w:val="20"/>
                <w:color w:val="auto"/>
              </w:rPr>
            </w:pPr>
            <w:r>
              <w:rPr>
                <w:rFonts w:ascii="Arial" w:cs="Arial" w:eastAsia="Arial" w:hAnsi="Arial"/>
                <w:sz w:val="12"/>
                <w:szCs w:val="12"/>
                <w:b w:val="1"/>
                <w:bCs w:val="1"/>
                <w:color w:val="2459A8"/>
                <w:w w:val="97"/>
              </w:rPr>
              <w:t>underlying</w:t>
            </w:r>
          </w:p>
        </w:tc>
        <w:tc>
          <w:tcPr>
            <w:tcW w:w="880" w:type="dxa"/>
            <w:vAlign w:val="bottom"/>
          </w:tcPr>
          <w:p>
            <w:pPr>
              <w:jc w:val="center"/>
              <w:ind w:right="57"/>
              <w:spacing w:after="0" w:line="103" w:lineRule="exact"/>
              <w:rPr>
                <w:sz w:val="20"/>
                <w:szCs w:val="20"/>
                <w:color w:val="auto"/>
              </w:rPr>
            </w:pPr>
            <w:r>
              <w:rPr>
                <w:rFonts w:ascii="Arial" w:cs="Arial" w:eastAsia="Arial" w:hAnsi="Arial"/>
                <w:sz w:val="11"/>
                <w:szCs w:val="11"/>
                <w:b w:val="1"/>
                <w:bCs w:val="1"/>
                <w:color w:val="2459A8"/>
              </w:rPr>
              <w:t>option</w:t>
            </w:r>
          </w:p>
        </w:tc>
        <w:tc>
          <w:tcPr>
            <w:tcW w:w="840" w:type="dxa"/>
            <w:vAlign w:val="bottom"/>
          </w:tcPr>
          <w:p>
            <w:pPr>
              <w:jc w:val="center"/>
              <w:spacing w:after="0" w:line="103" w:lineRule="exact"/>
              <w:rPr>
                <w:sz w:val="20"/>
                <w:szCs w:val="20"/>
                <w:color w:val="auto"/>
              </w:rPr>
            </w:pPr>
            <w:r>
              <w:rPr>
                <w:rFonts w:ascii="Arial" w:cs="Arial" w:eastAsia="Arial" w:hAnsi="Arial"/>
                <w:sz w:val="11"/>
                <w:szCs w:val="11"/>
                <w:b w:val="1"/>
                <w:bCs w:val="1"/>
                <w:color w:val="2459A8"/>
              </w:rPr>
              <w:t>stock on</w:t>
            </w:r>
          </w:p>
        </w:tc>
        <w:tc>
          <w:tcPr>
            <w:tcW w:w="860" w:type="dxa"/>
            <w:vAlign w:val="bottom"/>
          </w:tcPr>
          <w:p>
            <w:pPr>
              <w:jc w:val="center"/>
              <w:spacing w:after="0" w:line="103" w:lineRule="exact"/>
              <w:rPr>
                <w:sz w:val="20"/>
                <w:szCs w:val="20"/>
                <w:color w:val="auto"/>
              </w:rPr>
            </w:pPr>
            <w:r>
              <w:rPr>
                <w:rFonts w:ascii="Arial" w:cs="Arial" w:eastAsia="Arial" w:hAnsi="Arial"/>
                <w:sz w:val="11"/>
                <w:szCs w:val="11"/>
                <w:b w:val="1"/>
                <w:bCs w:val="1"/>
                <w:color w:val="2459A8"/>
              </w:rPr>
              <w:t>and option</w:t>
            </w:r>
          </w:p>
        </w:tc>
        <w:tc>
          <w:tcPr>
            <w:tcW w:w="0" w:type="dxa"/>
            <w:vAlign w:val="bottom"/>
          </w:tcPr>
          <w:p>
            <w:pPr>
              <w:spacing w:after="0"/>
              <w:rPr>
                <w:sz w:val="1"/>
                <w:szCs w:val="1"/>
                <w:color w:val="auto"/>
              </w:rPr>
            </w:pPr>
          </w:p>
        </w:tc>
      </w:tr>
      <w:tr>
        <w:trPr>
          <w:trHeight w:val="41"/>
        </w:trPr>
        <w:tc>
          <w:tcPr>
            <w:tcW w:w="20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80" w:type="dxa"/>
            <w:vAlign w:val="bottom"/>
            <w:vMerge w:val="restart"/>
          </w:tcPr>
          <w:p>
            <w:pPr>
              <w:jc w:val="center"/>
              <w:ind w:right="57"/>
              <w:spacing w:after="0"/>
              <w:rPr>
                <w:sz w:val="20"/>
                <w:szCs w:val="20"/>
                <w:color w:val="auto"/>
              </w:rPr>
            </w:pPr>
            <w:r>
              <w:rPr>
                <w:rFonts w:ascii="Arial" w:cs="Arial" w:eastAsia="Arial" w:hAnsi="Arial"/>
                <w:sz w:val="12"/>
                <w:szCs w:val="12"/>
                <w:b w:val="1"/>
                <w:bCs w:val="1"/>
                <w:color w:val="2459A8"/>
                <w:w w:val="96"/>
              </w:rPr>
              <w:t>awards</w:t>
            </w: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2459A8"/>
                <w:w w:val="99"/>
              </w:rPr>
              <w:t>grant date</w:t>
            </w: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2459A8"/>
                <w:w w:val="96"/>
              </w:rPr>
              <w:t>awards</w:t>
            </w:r>
          </w:p>
        </w:tc>
        <w:tc>
          <w:tcPr>
            <w:tcW w:w="0" w:type="dxa"/>
            <w:vAlign w:val="bottom"/>
          </w:tcPr>
          <w:p>
            <w:pPr>
              <w:spacing w:after="0"/>
              <w:rPr>
                <w:sz w:val="1"/>
                <w:szCs w:val="1"/>
                <w:color w:val="auto"/>
              </w:rPr>
            </w:pPr>
          </w:p>
        </w:tc>
      </w:tr>
      <w:tr>
        <w:trPr>
          <w:trHeight w:val="101"/>
        </w:trPr>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vMerge w:val="restart"/>
          </w:tcPr>
          <w:p>
            <w:pPr>
              <w:jc w:val="center"/>
              <w:ind w:right="97"/>
              <w:spacing w:after="0" w:line="135" w:lineRule="exact"/>
              <w:rPr>
                <w:sz w:val="20"/>
                <w:szCs w:val="20"/>
                <w:color w:val="auto"/>
              </w:rPr>
            </w:pPr>
            <w:r>
              <w:rPr>
                <w:rFonts w:ascii="Arial" w:cs="Arial" w:eastAsia="Arial" w:hAnsi="Arial"/>
                <w:sz w:val="12"/>
                <w:szCs w:val="12"/>
                <w:b w:val="1"/>
                <w:bCs w:val="1"/>
                <w:color w:val="2459A8"/>
                <w:w w:val="99"/>
              </w:rPr>
              <w:t>Threshold</w:t>
            </w:r>
          </w:p>
        </w:tc>
        <w:tc>
          <w:tcPr>
            <w:tcW w:w="960" w:type="dxa"/>
            <w:vAlign w:val="bottom"/>
            <w:vMerge w:val="restart"/>
          </w:tcPr>
          <w:p>
            <w:pPr>
              <w:jc w:val="center"/>
              <w:ind w:right="236"/>
              <w:spacing w:after="0" w:line="135" w:lineRule="exact"/>
              <w:rPr>
                <w:sz w:val="20"/>
                <w:szCs w:val="20"/>
                <w:color w:val="auto"/>
              </w:rPr>
            </w:pPr>
            <w:r>
              <w:rPr>
                <w:rFonts w:ascii="Arial" w:cs="Arial" w:eastAsia="Arial" w:hAnsi="Arial"/>
                <w:sz w:val="12"/>
                <w:szCs w:val="12"/>
                <w:b w:val="1"/>
                <w:bCs w:val="1"/>
                <w:color w:val="2459A8"/>
                <w:w w:val="92"/>
              </w:rPr>
              <w:t>Target</w:t>
            </w: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2"/>
                <w:szCs w:val="12"/>
                <w:b w:val="1"/>
                <w:bCs w:val="1"/>
                <w:color w:val="2459A8"/>
                <w:w w:val="93"/>
              </w:rPr>
              <w:t>Maximum</w:t>
            </w:r>
          </w:p>
        </w:tc>
        <w:tc>
          <w:tcPr>
            <w:tcW w:w="900" w:type="dxa"/>
            <w:vAlign w:val="bottom"/>
            <w:vMerge w:val="restart"/>
          </w:tcPr>
          <w:p>
            <w:pPr>
              <w:jc w:val="center"/>
              <w:ind w:right="37"/>
              <w:spacing w:after="0" w:line="135" w:lineRule="exact"/>
              <w:rPr>
                <w:sz w:val="20"/>
                <w:szCs w:val="20"/>
                <w:color w:val="auto"/>
              </w:rPr>
            </w:pPr>
            <w:r>
              <w:rPr>
                <w:rFonts w:ascii="Arial" w:cs="Arial" w:eastAsia="Arial" w:hAnsi="Arial"/>
                <w:sz w:val="12"/>
                <w:szCs w:val="12"/>
                <w:b w:val="1"/>
                <w:bCs w:val="1"/>
                <w:color w:val="2459A8"/>
                <w:w w:val="97"/>
              </w:rPr>
              <w:t>units</w:t>
            </w:r>
          </w:p>
        </w:tc>
        <w:tc>
          <w:tcPr>
            <w:tcW w:w="920" w:type="dxa"/>
            <w:vAlign w:val="bottom"/>
            <w:vMerge w:val="restart"/>
          </w:tcPr>
          <w:p>
            <w:pPr>
              <w:jc w:val="center"/>
              <w:ind w:right="77"/>
              <w:spacing w:after="0" w:line="135" w:lineRule="exact"/>
              <w:rPr>
                <w:sz w:val="20"/>
                <w:szCs w:val="20"/>
                <w:color w:val="auto"/>
              </w:rPr>
            </w:pPr>
            <w:r>
              <w:rPr>
                <w:rFonts w:ascii="Arial" w:cs="Arial" w:eastAsia="Arial" w:hAnsi="Arial"/>
                <w:sz w:val="12"/>
                <w:szCs w:val="12"/>
                <w:b w:val="1"/>
                <w:bCs w:val="1"/>
                <w:color w:val="2459A8"/>
                <w:w w:val="96"/>
              </w:rPr>
              <w:t>options</w:t>
            </w:r>
          </w:p>
        </w:tc>
        <w:tc>
          <w:tcPr>
            <w:tcW w:w="8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880" w:type="dxa"/>
            <w:vAlign w:val="bottom"/>
            <w:vMerge w:val="restart"/>
          </w:tcPr>
          <w:p>
            <w:pPr>
              <w:jc w:val="center"/>
              <w:ind w:right="97"/>
              <w:spacing w:after="0" w:line="182" w:lineRule="exact"/>
              <w:rPr>
                <w:sz w:val="20"/>
                <w:szCs w:val="20"/>
                <w:color w:val="auto"/>
              </w:rPr>
            </w:pPr>
            <w:r>
              <w:rPr>
                <w:rFonts w:ascii="Arial" w:cs="Arial" w:eastAsia="Arial" w:hAnsi="Arial"/>
                <w:sz w:val="12"/>
                <w:szCs w:val="12"/>
                <w:b w:val="1"/>
                <w:bCs w:val="1"/>
                <w:color w:val="2459A8"/>
                <w:w w:val="90"/>
              </w:rPr>
              <w:t>($/Sh)</w:t>
            </w:r>
            <w:r>
              <w:rPr>
                <w:rFonts w:ascii="Arial" w:cs="Arial" w:eastAsia="Arial" w:hAnsi="Arial"/>
                <w:sz w:val="19"/>
                <w:szCs w:val="19"/>
                <w:b w:val="1"/>
                <w:bCs w:val="1"/>
                <w:color w:val="2459A8"/>
                <w:w w:val="90"/>
                <w:vertAlign w:val="superscript"/>
              </w:rPr>
              <w:t>(2)</w:t>
            </w:r>
          </w:p>
        </w:tc>
        <w:tc>
          <w:tcPr>
            <w:tcW w:w="840" w:type="dxa"/>
            <w:vAlign w:val="bottom"/>
            <w:vMerge w:val="restart"/>
          </w:tcPr>
          <w:p>
            <w:pPr>
              <w:jc w:val="center"/>
              <w:ind w:right="17"/>
              <w:spacing w:after="0" w:line="182" w:lineRule="exact"/>
              <w:rPr>
                <w:sz w:val="20"/>
                <w:szCs w:val="20"/>
                <w:color w:val="auto"/>
              </w:rPr>
            </w:pPr>
            <w:r>
              <w:rPr>
                <w:rFonts w:ascii="Arial" w:cs="Arial" w:eastAsia="Arial" w:hAnsi="Arial"/>
                <w:sz w:val="12"/>
                <w:szCs w:val="12"/>
                <w:b w:val="1"/>
                <w:bCs w:val="1"/>
                <w:color w:val="2459A8"/>
                <w:w w:val="90"/>
              </w:rPr>
              <w:t>($/Sh)</w:t>
            </w:r>
            <w:r>
              <w:rPr>
                <w:rFonts w:ascii="Arial" w:cs="Arial" w:eastAsia="Arial" w:hAnsi="Arial"/>
                <w:sz w:val="19"/>
                <w:szCs w:val="19"/>
                <w:b w:val="1"/>
                <w:bCs w:val="1"/>
                <w:color w:val="2459A8"/>
                <w:w w:val="90"/>
                <w:vertAlign w:val="superscript"/>
              </w:rPr>
              <w:t>(2)</w:t>
            </w:r>
          </w:p>
        </w:tc>
        <w:tc>
          <w:tcPr>
            <w:tcW w:w="860" w:type="dxa"/>
            <w:vAlign w:val="bottom"/>
            <w:vMerge w:val="restart"/>
          </w:tcPr>
          <w:p>
            <w:pPr>
              <w:jc w:val="center"/>
              <w:spacing w:after="0" w:line="182" w:lineRule="exact"/>
              <w:rPr>
                <w:sz w:val="20"/>
                <w:szCs w:val="20"/>
                <w:color w:val="auto"/>
              </w:rPr>
            </w:pPr>
            <w:r>
              <w:rPr>
                <w:rFonts w:ascii="Arial" w:cs="Arial" w:eastAsia="Arial" w:hAnsi="Arial"/>
                <w:sz w:val="21"/>
                <w:szCs w:val="21"/>
                <w:b w:val="1"/>
                <w:bCs w:val="1"/>
                <w:color w:val="2459A8"/>
                <w:w w:val="92"/>
                <w:vertAlign w:val="subscript"/>
              </w:rPr>
              <w:t>($)</w:t>
            </w:r>
            <w:r>
              <w:rPr>
                <w:rFonts w:ascii="Arial" w:cs="Arial" w:eastAsia="Arial" w:hAnsi="Arial"/>
                <w:sz w:val="9"/>
                <w:szCs w:val="9"/>
                <w:b w:val="1"/>
                <w:bCs w:val="1"/>
                <w:color w:val="2459A8"/>
                <w:w w:val="92"/>
              </w:rPr>
              <w:t>(3)</w:t>
            </w:r>
          </w:p>
        </w:tc>
        <w:tc>
          <w:tcPr>
            <w:tcW w:w="0" w:type="dxa"/>
            <w:vAlign w:val="bottom"/>
          </w:tcPr>
          <w:p>
            <w:pPr>
              <w:spacing w:after="0" w:line="20" w:lineRule="exact"/>
              <w:rPr>
                <w:sz w:val="1"/>
                <w:szCs w:val="1"/>
                <w:color w:val="auto"/>
              </w:rPr>
            </w:pPr>
          </w:p>
        </w:tc>
      </w:tr>
      <w:tr>
        <w:trPr>
          <w:trHeight w:val="154"/>
        </w:trPr>
        <w:tc>
          <w:tcPr>
            <w:tcW w:w="2040" w:type="dxa"/>
            <w:vAlign w:val="bottom"/>
            <w:tcBorders>
              <w:bottom w:val="single" w:sz="8" w:color="2459A8"/>
            </w:tcBorders>
          </w:tcPr>
          <w:p>
            <w:pPr>
              <w:spacing w:after="0"/>
              <w:rPr>
                <w:sz w:val="20"/>
                <w:szCs w:val="20"/>
                <w:color w:val="auto"/>
              </w:rPr>
            </w:pPr>
            <w:r>
              <w:rPr>
                <w:rFonts w:ascii="Arial" w:cs="Arial" w:eastAsia="Arial" w:hAnsi="Arial"/>
                <w:sz w:val="12"/>
                <w:szCs w:val="12"/>
                <w:b w:val="1"/>
                <w:bCs w:val="1"/>
                <w:color w:val="2459A8"/>
              </w:rPr>
              <w:t>Name</w:t>
            </w:r>
          </w:p>
        </w:tc>
        <w:tc>
          <w:tcPr>
            <w:tcW w:w="80" w:type="dxa"/>
            <w:vAlign w:val="bottom"/>
            <w:tcBorders>
              <w:bottom w:val="single" w:sz="8" w:color="2459A8"/>
            </w:tcBorders>
          </w:tcPr>
          <w:p>
            <w:pPr>
              <w:spacing w:after="0"/>
              <w:rPr>
                <w:sz w:val="13"/>
                <w:szCs w:val="13"/>
                <w:color w:val="auto"/>
              </w:rPr>
            </w:pPr>
          </w:p>
        </w:tc>
        <w:tc>
          <w:tcPr>
            <w:tcW w:w="920" w:type="dxa"/>
            <w:vAlign w:val="bottom"/>
            <w:tcBorders>
              <w:bottom w:val="single" w:sz="8" w:color="2459A8"/>
            </w:tcBorders>
            <w:gridSpan w:val="2"/>
          </w:tcPr>
          <w:p>
            <w:pPr>
              <w:jc w:val="right"/>
              <w:ind w:right="171"/>
              <w:spacing w:after="0"/>
              <w:rPr>
                <w:sz w:val="20"/>
                <w:szCs w:val="20"/>
                <w:color w:val="auto"/>
              </w:rPr>
            </w:pPr>
            <w:r>
              <w:rPr>
                <w:rFonts w:ascii="Arial" w:cs="Arial" w:eastAsia="Arial" w:hAnsi="Arial"/>
                <w:sz w:val="12"/>
                <w:szCs w:val="12"/>
                <w:b w:val="1"/>
                <w:bCs w:val="1"/>
                <w:color w:val="2459A8"/>
              </w:rPr>
              <w:t>Grant date</w:t>
            </w:r>
          </w:p>
        </w:tc>
        <w:tc>
          <w:tcPr>
            <w:tcW w:w="980" w:type="dxa"/>
            <w:vAlign w:val="bottom"/>
            <w:tcBorders>
              <w:bottom w:val="single" w:sz="8" w:color="2459A8"/>
            </w:tcBorders>
          </w:tcPr>
          <w:p>
            <w:pPr>
              <w:jc w:val="center"/>
              <w:ind w:right="97"/>
              <w:spacing w:after="0"/>
              <w:rPr>
                <w:sz w:val="20"/>
                <w:szCs w:val="20"/>
                <w:color w:val="auto"/>
              </w:rPr>
            </w:pPr>
            <w:r>
              <w:rPr>
                <w:rFonts w:ascii="Arial" w:cs="Arial" w:eastAsia="Arial" w:hAnsi="Arial"/>
                <w:sz w:val="12"/>
                <w:szCs w:val="12"/>
                <w:b w:val="1"/>
                <w:bCs w:val="1"/>
                <w:color w:val="2459A8"/>
                <w:w w:val="95"/>
              </w:rPr>
              <w:t>($)</w:t>
            </w:r>
          </w:p>
        </w:tc>
        <w:tc>
          <w:tcPr>
            <w:tcW w:w="960" w:type="dxa"/>
            <w:vAlign w:val="bottom"/>
            <w:tcBorders>
              <w:bottom w:val="single" w:sz="8" w:color="2459A8"/>
            </w:tcBorders>
          </w:tcPr>
          <w:p>
            <w:pPr>
              <w:jc w:val="center"/>
              <w:ind w:right="236"/>
              <w:spacing w:after="0"/>
              <w:rPr>
                <w:sz w:val="20"/>
                <w:szCs w:val="20"/>
                <w:color w:val="auto"/>
              </w:rPr>
            </w:pPr>
            <w:r>
              <w:rPr>
                <w:rFonts w:ascii="Arial" w:cs="Arial" w:eastAsia="Arial" w:hAnsi="Arial"/>
                <w:sz w:val="12"/>
                <w:szCs w:val="12"/>
                <w:b w:val="1"/>
                <w:bCs w:val="1"/>
                <w:color w:val="2459A8"/>
                <w:w w:val="95"/>
              </w:rPr>
              <w:t>($)</w:t>
            </w:r>
          </w:p>
        </w:tc>
        <w:tc>
          <w:tcPr>
            <w:tcW w:w="680" w:type="dxa"/>
            <w:vAlign w:val="bottom"/>
            <w:tcBorders>
              <w:bottom w:val="single" w:sz="8" w:color="2459A8"/>
            </w:tcBorders>
          </w:tcPr>
          <w:p>
            <w:pPr>
              <w:jc w:val="center"/>
              <w:ind w:right="56"/>
              <w:spacing w:after="0"/>
              <w:rPr>
                <w:sz w:val="20"/>
                <w:szCs w:val="20"/>
                <w:color w:val="auto"/>
              </w:rPr>
            </w:pPr>
            <w:r>
              <w:rPr>
                <w:rFonts w:ascii="Arial" w:cs="Arial" w:eastAsia="Arial" w:hAnsi="Arial"/>
                <w:sz w:val="12"/>
                <w:szCs w:val="12"/>
                <w:b w:val="1"/>
                <w:bCs w:val="1"/>
                <w:color w:val="2459A8"/>
              </w:rPr>
              <w:t>($)</w:t>
            </w:r>
          </w:p>
        </w:tc>
        <w:tc>
          <w:tcPr>
            <w:tcW w:w="100" w:type="dxa"/>
            <w:vAlign w:val="bottom"/>
            <w:tcBorders>
              <w:bottom w:val="single" w:sz="8" w:color="2459A8"/>
            </w:tcBorders>
          </w:tcPr>
          <w:p>
            <w:pPr>
              <w:spacing w:after="0"/>
              <w:rPr>
                <w:sz w:val="13"/>
                <w:szCs w:val="13"/>
                <w:color w:val="auto"/>
              </w:rPr>
            </w:pPr>
          </w:p>
        </w:tc>
        <w:tc>
          <w:tcPr>
            <w:tcW w:w="900" w:type="dxa"/>
            <w:vAlign w:val="bottom"/>
            <w:tcBorders>
              <w:bottom w:val="single" w:sz="8" w:color="2459A8"/>
            </w:tcBorders>
          </w:tcPr>
          <w:p>
            <w:pPr>
              <w:jc w:val="center"/>
              <w:ind w:right="57"/>
              <w:spacing w:after="0"/>
              <w:rPr>
                <w:sz w:val="20"/>
                <w:szCs w:val="20"/>
                <w:color w:val="auto"/>
              </w:rPr>
            </w:pPr>
            <w:r>
              <w:rPr>
                <w:rFonts w:ascii="Arial" w:cs="Arial" w:eastAsia="Arial" w:hAnsi="Arial"/>
                <w:sz w:val="12"/>
                <w:szCs w:val="12"/>
                <w:b w:val="1"/>
                <w:bCs w:val="1"/>
                <w:color w:val="2459A8"/>
                <w:w w:val="95"/>
              </w:rPr>
              <w:t>(#)</w:t>
            </w:r>
          </w:p>
        </w:tc>
        <w:tc>
          <w:tcPr>
            <w:tcW w:w="920" w:type="dxa"/>
            <w:vAlign w:val="bottom"/>
            <w:tcBorders>
              <w:bottom w:val="single" w:sz="8" w:color="2459A8"/>
            </w:tcBorders>
          </w:tcPr>
          <w:p>
            <w:pPr>
              <w:jc w:val="center"/>
              <w:ind w:right="77"/>
              <w:spacing w:after="0"/>
              <w:rPr>
                <w:sz w:val="20"/>
                <w:szCs w:val="20"/>
                <w:color w:val="auto"/>
              </w:rPr>
            </w:pPr>
            <w:r>
              <w:rPr>
                <w:rFonts w:ascii="Arial" w:cs="Arial" w:eastAsia="Arial" w:hAnsi="Arial"/>
                <w:sz w:val="12"/>
                <w:szCs w:val="12"/>
                <w:b w:val="1"/>
                <w:bCs w:val="1"/>
                <w:color w:val="2459A8"/>
                <w:w w:val="95"/>
              </w:rPr>
              <w:t>(#)</w:t>
            </w:r>
          </w:p>
        </w:tc>
        <w:tc>
          <w:tcPr>
            <w:tcW w:w="880" w:type="dxa"/>
            <w:vAlign w:val="bottom"/>
            <w:tcBorders>
              <w:bottom w:val="single" w:sz="8" w:color="2459A8"/>
            </w:tcBorders>
            <w:vMerge w:val="continue"/>
          </w:tcPr>
          <w:p>
            <w:pPr>
              <w:spacing w:after="0"/>
              <w:rPr>
                <w:sz w:val="13"/>
                <w:szCs w:val="13"/>
                <w:color w:val="auto"/>
              </w:rPr>
            </w:pPr>
          </w:p>
        </w:tc>
        <w:tc>
          <w:tcPr>
            <w:tcW w:w="840" w:type="dxa"/>
            <w:vAlign w:val="bottom"/>
            <w:tcBorders>
              <w:bottom w:val="single" w:sz="8" w:color="2459A8"/>
            </w:tcBorders>
            <w:vMerge w:val="continue"/>
          </w:tcPr>
          <w:p>
            <w:pPr>
              <w:spacing w:after="0"/>
              <w:rPr>
                <w:sz w:val="13"/>
                <w:szCs w:val="13"/>
                <w:color w:val="auto"/>
              </w:rPr>
            </w:pPr>
          </w:p>
        </w:tc>
        <w:tc>
          <w:tcPr>
            <w:tcW w:w="860" w:type="dxa"/>
            <w:vAlign w:val="bottom"/>
            <w:tcBorders>
              <w:bottom w:val="single" w:sz="8" w:color="2459A8"/>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40" w:type="dxa"/>
            <w:vAlign w:val="bottom"/>
          </w:tcPr>
          <w:p>
            <w:pPr>
              <w:spacing w:after="0" w:line="136" w:lineRule="exact"/>
              <w:rPr>
                <w:sz w:val="20"/>
                <w:szCs w:val="20"/>
                <w:color w:val="auto"/>
              </w:rPr>
            </w:pPr>
            <w:r>
              <w:rPr>
                <w:rFonts w:ascii="Arial" w:cs="Arial" w:eastAsia="Arial" w:hAnsi="Arial"/>
                <w:sz w:val="13"/>
                <w:szCs w:val="13"/>
                <w:b w:val="1"/>
                <w:bCs w:val="1"/>
                <w:color w:val="D60058"/>
              </w:rPr>
              <w:t>Leonard S. Schleifer,</w:t>
            </w:r>
          </w:p>
        </w:tc>
        <w:tc>
          <w:tcPr>
            <w:tcW w:w="80" w:type="dxa"/>
            <w:vAlign w:val="bottom"/>
          </w:tcPr>
          <w:p>
            <w:pPr>
              <w:spacing w:after="0"/>
              <w:rPr>
                <w:sz w:val="11"/>
                <w:szCs w:val="11"/>
                <w:color w:val="auto"/>
              </w:rPr>
            </w:pPr>
          </w:p>
        </w:tc>
        <w:tc>
          <w:tcPr>
            <w:tcW w:w="920" w:type="dxa"/>
            <w:vAlign w:val="bottom"/>
            <w:gridSpan w:val="2"/>
            <w:vMerge w:val="restart"/>
          </w:tcPr>
          <w:p>
            <w:pPr>
              <w:jc w:val="right"/>
              <w:ind w:right="51"/>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ind w:left="68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56"/>
              <w:spacing w:after="0"/>
              <w:rPr>
                <w:sz w:val="20"/>
                <w:szCs w:val="20"/>
                <w:color w:val="auto"/>
              </w:rPr>
            </w:pPr>
            <w:r>
              <w:rPr>
                <w:rFonts w:ascii="Arial" w:cs="Arial" w:eastAsia="Arial" w:hAnsi="Arial"/>
                <w:sz w:val="13"/>
                <w:szCs w:val="13"/>
                <w:color w:val="auto"/>
              </w:rPr>
              <w:t>2,121,360</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4,471,775</w:t>
            </w: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1"/>
        </w:trPr>
        <w:tc>
          <w:tcPr>
            <w:tcW w:w="2040" w:type="dxa"/>
            <w:vAlign w:val="bottom"/>
            <w:vMerge w:val="restart"/>
          </w:tcPr>
          <w:p>
            <w:pPr>
              <w:spacing w:after="0"/>
              <w:rPr>
                <w:sz w:val="20"/>
                <w:szCs w:val="20"/>
                <w:color w:val="auto"/>
              </w:rPr>
            </w:pPr>
            <w:r>
              <w:rPr>
                <w:rFonts w:ascii="Arial" w:cs="Arial" w:eastAsia="Arial" w:hAnsi="Arial"/>
                <w:sz w:val="13"/>
                <w:szCs w:val="13"/>
                <w:b w:val="1"/>
                <w:bCs w:val="1"/>
                <w:color w:val="D60058"/>
              </w:rPr>
              <w:t>M.D., Ph.D.</w:t>
            </w: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40" w:type="dxa"/>
            <w:vAlign w:val="bottom"/>
            <w:tcBorders>
              <w:bottom w:val="single" w:sz="8" w:color="58585A"/>
            </w:tcBorders>
            <w:vMerge w:val="continue"/>
          </w:tcPr>
          <w:p>
            <w:pPr>
              <w:spacing w:after="0"/>
              <w:rPr>
                <w:sz w:val="6"/>
                <w:szCs w:val="6"/>
                <w:color w:val="auto"/>
              </w:rPr>
            </w:pPr>
          </w:p>
        </w:tc>
        <w:tc>
          <w:tcPr>
            <w:tcW w:w="80" w:type="dxa"/>
            <w:vAlign w:val="bottom"/>
            <w:tcBorders>
              <w:bottom w:val="single" w:sz="8" w:color="58585A"/>
            </w:tcBorders>
          </w:tcPr>
          <w:p>
            <w:pPr>
              <w:spacing w:after="0"/>
              <w:rPr>
                <w:sz w:val="6"/>
                <w:szCs w:val="6"/>
                <w:color w:val="auto"/>
              </w:rPr>
            </w:pPr>
          </w:p>
        </w:tc>
        <w:tc>
          <w:tcPr>
            <w:tcW w:w="820" w:type="dxa"/>
            <w:vAlign w:val="bottom"/>
            <w:tcBorders>
              <w:bottom w:val="single" w:sz="8" w:color="58585A"/>
            </w:tcBorders>
          </w:tcPr>
          <w:p>
            <w:pPr>
              <w:spacing w:after="0"/>
              <w:rPr>
                <w:sz w:val="6"/>
                <w:szCs w:val="6"/>
                <w:color w:val="auto"/>
              </w:rPr>
            </w:pPr>
          </w:p>
        </w:tc>
        <w:tc>
          <w:tcPr>
            <w:tcW w:w="100" w:type="dxa"/>
            <w:vAlign w:val="bottom"/>
            <w:tcBorders>
              <w:bottom w:val="single" w:sz="8" w:color="58585A"/>
            </w:tcBorders>
          </w:tcPr>
          <w:p>
            <w:pPr>
              <w:spacing w:after="0"/>
              <w:rPr>
                <w:sz w:val="6"/>
                <w:szCs w:val="6"/>
                <w:color w:val="auto"/>
              </w:rPr>
            </w:pPr>
          </w:p>
        </w:tc>
        <w:tc>
          <w:tcPr>
            <w:tcW w:w="980" w:type="dxa"/>
            <w:vAlign w:val="bottom"/>
            <w:tcBorders>
              <w:bottom w:val="single" w:sz="8" w:color="58585A"/>
            </w:tcBorders>
          </w:tcPr>
          <w:p>
            <w:pPr>
              <w:spacing w:after="0"/>
              <w:rPr>
                <w:sz w:val="6"/>
                <w:szCs w:val="6"/>
                <w:color w:val="auto"/>
              </w:rPr>
            </w:pPr>
          </w:p>
        </w:tc>
        <w:tc>
          <w:tcPr>
            <w:tcW w:w="960" w:type="dxa"/>
            <w:vAlign w:val="bottom"/>
            <w:tcBorders>
              <w:bottom w:val="single" w:sz="8" w:color="58585A"/>
            </w:tcBorders>
          </w:tcPr>
          <w:p>
            <w:pPr>
              <w:spacing w:after="0"/>
              <w:rPr>
                <w:sz w:val="6"/>
                <w:szCs w:val="6"/>
                <w:color w:val="auto"/>
              </w:rPr>
            </w:pPr>
          </w:p>
        </w:tc>
        <w:tc>
          <w:tcPr>
            <w:tcW w:w="680" w:type="dxa"/>
            <w:vAlign w:val="bottom"/>
            <w:tcBorders>
              <w:bottom w:val="single" w:sz="8" w:color="58585A"/>
            </w:tcBorders>
          </w:tcPr>
          <w:p>
            <w:pPr>
              <w:spacing w:after="0"/>
              <w:rPr>
                <w:sz w:val="6"/>
                <w:szCs w:val="6"/>
                <w:color w:val="auto"/>
              </w:rPr>
            </w:pPr>
          </w:p>
        </w:tc>
        <w:tc>
          <w:tcPr>
            <w:tcW w:w="100" w:type="dxa"/>
            <w:vAlign w:val="bottom"/>
            <w:tcBorders>
              <w:bottom w:val="single" w:sz="8" w:color="58585A"/>
            </w:tcBorders>
          </w:tcPr>
          <w:p>
            <w:pPr>
              <w:spacing w:after="0"/>
              <w:rPr>
                <w:sz w:val="6"/>
                <w:szCs w:val="6"/>
                <w:color w:val="auto"/>
              </w:rPr>
            </w:pPr>
          </w:p>
        </w:tc>
        <w:tc>
          <w:tcPr>
            <w:tcW w:w="900" w:type="dxa"/>
            <w:vAlign w:val="bottom"/>
            <w:tcBorders>
              <w:bottom w:val="single" w:sz="8" w:color="58585A"/>
            </w:tcBorders>
          </w:tcPr>
          <w:p>
            <w:pPr>
              <w:spacing w:after="0"/>
              <w:rPr>
                <w:sz w:val="6"/>
                <w:szCs w:val="6"/>
                <w:color w:val="auto"/>
              </w:rPr>
            </w:pPr>
          </w:p>
        </w:tc>
        <w:tc>
          <w:tcPr>
            <w:tcW w:w="920" w:type="dxa"/>
            <w:vAlign w:val="bottom"/>
            <w:tcBorders>
              <w:bottom w:val="single" w:sz="8" w:color="58585A"/>
            </w:tcBorders>
          </w:tcPr>
          <w:p>
            <w:pPr>
              <w:spacing w:after="0"/>
              <w:rPr>
                <w:sz w:val="6"/>
                <w:szCs w:val="6"/>
                <w:color w:val="auto"/>
              </w:rPr>
            </w:pPr>
          </w:p>
        </w:tc>
        <w:tc>
          <w:tcPr>
            <w:tcW w:w="880" w:type="dxa"/>
            <w:vAlign w:val="bottom"/>
            <w:tcBorders>
              <w:bottom w:val="single" w:sz="8" w:color="58585A"/>
            </w:tcBorders>
          </w:tcPr>
          <w:p>
            <w:pPr>
              <w:spacing w:after="0"/>
              <w:rPr>
                <w:sz w:val="6"/>
                <w:szCs w:val="6"/>
                <w:color w:val="auto"/>
              </w:rPr>
            </w:pPr>
          </w:p>
        </w:tc>
        <w:tc>
          <w:tcPr>
            <w:tcW w:w="840" w:type="dxa"/>
            <w:vAlign w:val="bottom"/>
            <w:tcBorders>
              <w:bottom w:val="single" w:sz="8" w:color="58585A"/>
            </w:tcBorders>
          </w:tcPr>
          <w:p>
            <w:pPr>
              <w:spacing w:after="0"/>
              <w:rPr>
                <w:sz w:val="6"/>
                <w:szCs w:val="6"/>
                <w:color w:val="auto"/>
              </w:rPr>
            </w:pPr>
          </w:p>
        </w:tc>
        <w:tc>
          <w:tcPr>
            <w:tcW w:w="860" w:type="dxa"/>
            <w:vAlign w:val="bottom"/>
            <w:tcBorders>
              <w:bottom w:val="single" w:sz="8" w:color="58585A"/>
            </w:tcBorders>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040" w:type="dxa"/>
            <w:vAlign w:val="bottom"/>
            <w:shd w:val="clear" w:color="auto" w:fill="EEEEEF"/>
          </w:tcPr>
          <w:p>
            <w:pPr>
              <w:spacing w:after="0" w:line="129" w:lineRule="exact"/>
              <w:rPr>
                <w:sz w:val="20"/>
                <w:szCs w:val="20"/>
                <w:color w:val="auto"/>
              </w:rPr>
            </w:pPr>
            <w:r>
              <w:rPr>
                <w:rFonts w:ascii="Arial" w:cs="Arial" w:eastAsia="Arial" w:hAnsi="Arial"/>
                <w:sz w:val="13"/>
                <w:szCs w:val="13"/>
                <w:b w:val="1"/>
                <w:bCs w:val="1"/>
                <w:color w:val="D60058"/>
              </w:rPr>
              <w:t>George D. Yancopoulos,</w:t>
            </w:r>
          </w:p>
        </w:tc>
        <w:tc>
          <w:tcPr>
            <w:tcW w:w="80" w:type="dxa"/>
            <w:vAlign w:val="bottom"/>
            <w:shd w:val="clear" w:color="auto" w:fill="EEEEEF"/>
          </w:tcPr>
          <w:p>
            <w:pPr>
              <w:spacing w:after="0"/>
              <w:rPr>
                <w:sz w:val="11"/>
                <w:szCs w:val="11"/>
                <w:color w:val="auto"/>
              </w:rPr>
            </w:pPr>
          </w:p>
        </w:tc>
        <w:tc>
          <w:tcPr>
            <w:tcW w:w="920" w:type="dxa"/>
            <w:vAlign w:val="bottom"/>
            <w:gridSpan w:val="2"/>
            <w:vMerge w:val="restart"/>
            <w:shd w:val="clear" w:color="auto" w:fill="EEEEEF"/>
          </w:tcPr>
          <w:p>
            <w:pPr>
              <w:jc w:val="right"/>
              <w:ind w:right="51"/>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EEEEF"/>
          </w:tcPr>
          <w:p>
            <w:pPr>
              <w:jc w:val="right"/>
              <w:ind w:right="156"/>
              <w:spacing w:after="0"/>
              <w:rPr>
                <w:sz w:val="20"/>
                <w:szCs w:val="20"/>
                <w:color w:val="auto"/>
              </w:rPr>
            </w:pPr>
            <w:r>
              <w:rPr>
                <w:rFonts w:ascii="Arial" w:cs="Arial" w:eastAsia="Arial" w:hAnsi="Arial"/>
                <w:sz w:val="13"/>
                <w:szCs w:val="13"/>
                <w:color w:val="auto"/>
              </w:rPr>
              <w:t>2,121,360</w:t>
            </w:r>
          </w:p>
        </w:tc>
        <w:tc>
          <w:tcPr>
            <w:tcW w:w="780" w:type="dxa"/>
            <w:vAlign w:val="bottom"/>
            <w:gridSpan w:val="2"/>
            <w:vMerge w:val="restart"/>
            <w:shd w:val="clear" w:color="auto" w:fill="EEEEEF"/>
          </w:tcPr>
          <w:p>
            <w:pPr>
              <w:jc w:val="right"/>
              <w:ind w:right="100"/>
              <w:spacing w:after="0"/>
              <w:rPr>
                <w:sz w:val="20"/>
                <w:szCs w:val="20"/>
                <w:color w:val="auto"/>
              </w:rPr>
            </w:pPr>
            <w:r>
              <w:rPr>
                <w:rFonts w:ascii="Arial" w:cs="Arial" w:eastAsia="Arial" w:hAnsi="Arial"/>
                <w:sz w:val="13"/>
                <w:szCs w:val="13"/>
                <w:color w:val="auto"/>
              </w:rPr>
              <w:t>4,471,775</w:t>
            </w:r>
          </w:p>
        </w:tc>
        <w:tc>
          <w:tcPr>
            <w:tcW w:w="900" w:type="dxa"/>
            <w:vAlign w:val="bottom"/>
            <w:vMerge w:val="restart"/>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EEEEE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1"/>
        </w:trPr>
        <w:tc>
          <w:tcPr>
            <w:tcW w:w="2040" w:type="dxa"/>
            <w:vAlign w:val="bottom"/>
            <w:vMerge w:val="restart"/>
            <w:shd w:val="clear" w:color="auto" w:fill="EEEEEF"/>
          </w:tcPr>
          <w:p>
            <w:pPr>
              <w:spacing w:after="0"/>
              <w:rPr>
                <w:sz w:val="20"/>
                <w:szCs w:val="20"/>
                <w:color w:val="auto"/>
              </w:rPr>
            </w:pPr>
            <w:r>
              <w:rPr>
                <w:rFonts w:ascii="Arial" w:cs="Arial" w:eastAsia="Arial" w:hAnsi="Arial"/>
                <w:sz w:val="13"/>
                <w:szCs w:val="13"/>
                <w:b w:val="1"/>
                <w:bCs w:val="1"/>
                <w:color w:val="D60058"/>
              </w:rPr>
              <w:t>M.D., Ph.D.</w:t>
            </w:r>
          </w:p>
        </w:tc>
        <w:tc>
          <w:tcPr>
            <w:tcW w:w="80" w:type="dxa"/>
            <w:vAlign w:val="bottom"/>
            <w:shd w:val="clear" w:color="auto" w:fill="EEEEEF"/>
          </w:tcPr>
          <w:p>
            <w:pPr>
              <w:spacing w:after="0"/>
              <w:rPr>
                <w:sz w:val="7"/>
                <w:szCs w:val="7"/>
                <w:color w:val="auto"/>
              </w:rPr>
            </w:pPr>
          </w:p>
        </w:tc>
        <w:tc>
          <w:tcPr>
            <w:tcW w:w="920" w:type="dxa"/>
            <w:vAlign w:val="bottom"/>
            <w:gridSpan w:val="2"/>
            <w:vMerge w:val="continue"/>
            <w:shd w:val="clear" w:color="auto" w:fill="EEEEEF"/>
          </w:tcPr>
          <w:p>
            <w:pPr>
              <w:spacing w:after="0"/>
              <w:rPr>
                <w:sz w:val="7"/>
                <w:szCs w:val="7"/>
                <w:color w:val="auto"/>
              </w:rPr>
            </w:pPr>
          </w:p>
        </w:tc>
        <w:tc>
          <w:tcPr>
            <w:tcW w:w="980" w:type="dxa"/>
            <w:vAlign w:val="bottom"/>
            <w:vMerge w:val="continue"/>
            <w:shd w:val="clear" w:color="auto" w:fill="EEEEEF"/>
          </w:tcPr>
          <w:p>
            <w:pPr>
              <w:spacing w:after="0"/>
              <w:rPr>
                <w:sz w:val="7"/>
                <w:szCs w:val="7"/>
                <w:color w:val="auto"/>
              </w:rPr>
            </w:pPr>
          </w:p>
        </w:tc>
        <w:tc>
          <w:tcPr>
            <w:tcW w:w="960" w:type="dxa"/>
            <w:vAlign w:val="bottom"/>
            <w:vMerge w:val="continue"/>
            <w:shd w:val="clear" w:color="auto" w:fill="EEEEEF"/>
          </w:tcPr>
          <w:p>
            <w:pPr>
              <w:spacing w:after="0"/>
              <w:rPr>
                <w:sz w:val="7"/>
                <w:szCs w:val="7"/>
                <w:color w:val="auto"/>
              </w:rPr>
            </w:pPr>
          </w:p>
        </w:tc>
        <w:tc>
          <w:tcPr>
            <w:tcW w:w="780" w:type="dxa"/>
            <w:vAlign w:val="bottom"/>
            <w:gridSpan w:val="2"/>
            <w:vMerge w:val="continue"/>
            <w:shd w:val="clear" w:color="auto" w:fill="EEEEEF"/>
          </w:tcPr>
          <w:p>
            <w:pPr>
              <w:spacing w:after="0"/>
              <w:rPr>
                <w:sz w:val="7"/>
                <w:szCs w:val="7"/>
                <w:color w:val="auto"/>
              </w:rPr>
            </w:pPr>
          </w:p>
        </w:tc>
        <w:tc>
          <w:tcPr>
            <w:tcW w:w="900" w:type="dxa"/>
            <w:vAlign w:val="bottom"/>
            <w:vMerge w:val="continue"/>
            <w:shd w:val="clear" w:color="auto" w:fill="EEEEEF"/>
          </w:tcPr>
          <w:p>
            <w:pPr>
              <w:spacing w:after="0"/>
              <w:rPr>
                <w:sz w:val="7"/>
                <w:szCs w:val="7"/>
                <w:color w:val="auto"/>
              </w:rPr>
            </w:pPr>
          </w:p>
        </w:tc>
        <w:tc>
          <w:tcPr>
            <w:tcW w:w="920" w:type="dxa"/>
            <w:vAlign w:val="bottom"/>
            <w:vMerge w:val="continue"/>
            <w:shd w:val="clear" w:color="auto" w:fill="EEEEEF"/>
          </w:tcPr>
          <w:p>
            <w:pPr>
              <w:spacing w:after="0"/>
              <w:rPr>
                <w:sz w:val="7"/>
                <w:szCs w:val="7"/>
                <w:color w:val="auto"/>
              </w:rPr>
            </w:pPr>
          </w:p>
        </w:tc>
        <w:tc>
          <w:tcPr>
            <w:tcW w:w="880" w:type="dxa"/>
            <w:vAlign w:val="bottom"/>
            <w:vMerge w:val="continue"/>
            <w:shd w:val="clear" w:color="auto" w:fill="EEEEEF"/>
          </w:tcPr>
          <w:p>
            <w:pPr>
              <w:spacing w:after="0"/>
              <w:rPr>
                <w:sz w:val="7"/>
                <w:szCs w:val="7"/>
                <w:color w:val="auto"/>
              </w:rPr>
            </w:pPr>
          </w:p>
        </w:tc>
        <w:tc>
          <w:tcPr>
            <w:tcW w:w="840" w:type="dxa"/>
            <w:vAlign w:val="bottom"/>
            <w:vMerge w:val="continue"/>
            <w:shd w:val="clear" w:color="auto" w:fill="EEEEEF"/>
          </w:tcPr>
          <w:p>
            <w:pPr>
              <w:spacing w:after="0"/>
              <w:rPr>
                <w:sz w:val="7"/>
                <w:szCs w:val="7"/>
                <w:color w:val="auto"/>
              </w:rPr>
            </w:pPr>
          </w:p>
        </w:tc>
        <w:tc>
          <w:tcPr>
            <w:tcW w:w="860" w:type="dxa"/>
            <w:vAlign w:val="bottom"/>
            <w:vMerge w:val="continue"/>
            <w:shd w:val="clear" w:color="auto" w:fill="EEEEE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040" w:type="dxa"/>
            <w:vAlign w:val="bottom"/>
            <w:tcBorders>
              <w:bottom w:val="single" w:sz="8" w:color="58585A"/>
            </w:tcBorders>
            <w:vMerge w:val="continue"/>
            <w:shd w:val="clear" w:color="auto" w:fill="EEEEEF"/>
          </w:tcPr>
          <w:p>
            <w:pPr>
              <w:spacing w:after="0"/>
              <w:rPr>
                <w:sz w:val="6"/>
                <w:szCs w:val="6"/>
                <w:color w:val="auto"/>
              </w:rPr>
            </w:pPr>
          </w:p>
        </w:tc>
        <w:tc>
          <w:tcPr>
            <w:tcW w:w="80" w:type="dxa"/>
            <w:vAlign w:val="bottom"/>
            <w:tcBorders>
              <w:bottom w:val="single" w:sz="8" w:color="58585A"/>
            </w:tcBorders>
            <w:shd w:val="clear" w:color="auto" w:fill="EEEEEF"/>
          </w:tcPr>
          <w:p>
            <w:pPr>
              <w:spacing w:after="0"/>
              <w:rPr>
                <w:sz w:val="6"/>
                <w:szCs w:val="6"/>
                <w:color w:val="auto"/>
              </w:rPr>
            </w:pPr>
          </w:p>
        </w:tc>
        <w:tc>
          <w:tcPr>
            <w:tcW w:w="820" w:type="dxa"/>
            <w:vAlign w:val="bottom"/>
            <w:tcBorders>
              <w:bottom w:val="single" w:sz="8" w:color="58585A"/>
            </w:tcBorders>
            <w:shd w:val="clear" w:color="auto" w:fill="EEEEEF"/>
          </w:tcPr>
          <w:p>
            <w:pPr>
              <w:spacing w:after="0"/>
              <w:rPr>
                <w:sz w:val="6"/>
                <w:szCs w:val="6"/>
                <w:color w:val="auto"/>
              </w:rPr>
            </w:pPr>
          </w:p>
        </w:tc>
        <w:tc>
          <w:tcPr>
            <w:tcW w:w="100" w:type="dxa"/>
            <w:vAlign w:val="bottom"/>
            <w:tcBorders>
              <w:bottom w:val="single" w:sz="8" w:color="58585A"/>
            </w:tcBorders>
            <w:shd w:val="clear" w:color="auto" w:fill="EEEEEF"/>
          </w:tcPr>
          <w:p>
            <w:pPr>
              <w:spacing w:after="0"/>
              <w:rPr>
                <w:sz w:val="6"/>
                <w:szCs w:val="6"/>
                <w:color w:val="auto"/>
              </w:rPr>
            </w:pPr>
          </w:p>
        </w:tc>
        <w:tc>
          <w:tcPr>
            <w:tcW w:w="980" w:type="dxa"/>
            <w:vAlign w:val="bottom"/>
            <w:tcBorders>
              <w:bottom w:val="single" w:sz="8" w:color="58585A"/>
            </w:tcBorders>
            <w:shd w:val="clear" w:color="auto" w:fill="EEEEEF"/>
          </w:tcPr>
          <w:p>
            <w:pPr>
              <w:spacing w:after="0"/>
              <w:rPr>
                <w:sz w:val="6"/>
                <w:szCs w:val="6"/>
                <w:color w:val="auto"/>
              </w:rPr>
            </w:pPr>
          </w:p>
        </w:tc>
        <w:tc>
          <w:tcPr>
            <w:tcW w:w="960" w:type="dxa"/>
            <w:vAlign w:val="bottom"/>
            <w:tcBorders>
              <w:bottom w:val="single" w:sz="8" w:color="58585A"/>
            </w:tcBorders>
            <w:shd w:val="clear" w:color="auto" w:fill="EEEEEF"/>
          </w:tcPr>
          <w:p>
            <w:pPr>
              <w:spacing w:after="0"/>
              <w:rPr>
                <w:sz w:val="6"/>
                <w:szCs w:val="6"/>
                <w:color w:val="auto"/>
              </w:rPr>
            </w:pPr>
          </w:p>
        </w:tc>
        <w:tc>
          <w:tcPr>
            <w:tcW w:w="680" w:type="dxa"/>
            <w:vAlign w:val="bottom"/>
            <w:tcBorders>
              <w:bottom w:val="single" w:sz="8" w:color="58585A"/>
            </w:tcBorders>
            <w:shd w:val="clear" w:color="auto" w:fill="EEEEEF"/>
          </w:tcPr>
          <w:p>
            <w:pPr>
              <w:spacing w:after="0"/>
              <w:rPr>
                <w:sz w:val="6"/>
                <w:szCs w:val="6"/>
                <w:color w:val="auto"/>
              </w:rPr>
            </w:pPr>
          </w:p>
        </w:tc>
        <w:tc>
          <w:tcPr>
            <w:tcW w:w="100" w:type="dxa"/>
            <w:vAlign w:val="bottom"/>
            <w:tcBorders>
              <w:bottom w:val="single" w:sz="8" w:color="58585A"/>
            </w:tcBorders>
            <w:shd w:val="clear" w:color="auto" w:fill="EEEEEF"/>
          </w:tcPr>
          <w:p>
            <w:pPr>
              <w:spacing w:after="0"/>
              <w:rPr>
                <w:sz w:val="6"/>
                <w:szCs w:val="6"/>
                <w:color w:val="auto"/>
              </w:rPr>
            </w:pPr>
          </w:p>
        </w:tc>
        <w:tc>
          <w:tcPr>
            <w:tcW w:w="900" w:type="dxa"/>
            <w:vAlign w:val="bottom"/>
            <w:tcBorders>
              <w:bottom w:val="single" w:sz="8" w:color="58585A"/>
            </w:tcBorders>
            <w:shd w:val="clear" w:color="auto" w:fill="EEEEEF"/>
          </w:tcPr>
          <w:p>
            <w:pPr>
              <w:spacing w:after="0"/>
              <w:rPr>
                <w:sz w:val="6"/>
                <w:szCs w:val="6"/>
                <w:color w:val="auto"/>
              </w:rPr>
            </w:pPr>
          </w:p>
        </w:tc>
        <w:tc>
          <w:tcPr>
            <w:tcW w:w="920" w:type="dxa"/>
            <w:vAlign w:val="bottom"/>
            <w:tcBorders>
              <w:bottom w:val="single" w:sz="8" w:color="58585A"/>
            </w:tcBorders>
            <w:shd w:val="clear" w:color="auto" w:fill="EEEEEF"/>
          </w:tcPr>
          <w:p>
            <w:pPr>
              <w:spacing w:after="0"/>
              <w:rPr>
                <w:sz w:val="6"/>
                <w:szCs w:val="6"/>
                <w:color w:val="auto"/>
              </w:rPr>
            </w:pPr>
          </w:p>
        </w:tc>
        <w:tc>
          <w:tcPr>
            <w:tcW w:w="880" w:type="dxa"/>
            <w:vAlign w:val="bottom"/>
            <w:tcBorders>
              <w:bottom w:val="single" w:sz="8" w:color="58585A"/>
            </w:tcBorders>
            <w:shd w:val="clear" w:color="auto" w:fill="EEEEEF"/>
          </w:tcPr>
          <w:p>
            <w:pPr>
              <w:spacing w:after="0"/>
              <w:rPr>
                <w:sz w:val="6"/>
                <w:szCs w:val="6"/>
                <w:color w:val="auto"/>
              </w:rPr>
            </w:pPr>
          </w:p>
        </w:tc>
        <w:tc>
          <w:tcPr>
            <w:tcW w:w="840" w:type="dxa"/>
            <w:vAlign w:val="bottom"/>
            <w:tcBorders>
              <w:bottom w:val="single" w:sz="8" w:color="58585A"/>
            </w:tcBorders>
            <w:shd w:val="clear" w:color="auto" w:fill="EEEEEF"/>
          </w:tcPr>
          <w:p>
            <w:pPr>
              <w:spacing w:after="0"/>
              <w:rPr>
                <w:sz w:val="6"/>
                <w:szCs w:val="6"/>
                <w:color w:val="auto"/>
              </w:rPr>
            </w:pPr>
          </w:p>
        </w:tc>
        <w:tc>
          <w:tcPr>
            <w:tcW w:w="860" w:type="dxa"/>
            <w:vAlign w:val="bottom"/>
            <w:tcBorders>
              <w:bottom w:val="single" w:sz="8" w:color="58585A"/>
            </w:tcBorders>
            <w:shd w:val="clear" w:color="auto" w:fill="EEEEE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58585A"/>
            </w:tcBorders>
            <w:gridSpan w:val="2"/>
          </w:tcPr>
          <w:p>
            <w:pPr>
              <w:jc w:val="right"/>
              <w:ind w:right="51"/>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56"/>
              <w:spacing w:after="0"/>
              <w:rPr>
                <w:sz w:val="20"/>
                <w:szCs w:val="20"/>
                <w:color w:val="auto"/>
              </w:rPr>
            </w:pPr>
            <w:r>
              <w:rPr>
                <w:rFonts w:ascii="Arial" w:cs="Arial" w:eastAsia="Arial" w:hAnsi="Arial"/>
                <w:sz w:val="13"/>
                <w:szCs w:val="13"/>
                <w:color w:val="auto"/>
              </w:rPr>
              <w:t>534,820</w:t>
            </w:r>
          </w:p>
        </w:tc>
        <w:tc>
          <w:tcPr>
            <w:tcW w:w="78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1,052,182</w:t>
            </w:r>
          </w:p>
        </w:tc>
        <w:tc>
          <w:tcPr>
            <w:tcW w:w="90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Arial" w:cs="Arial" w:eastAsia="Arial" w:hAnsi="Arial"/>
                <w:sz w:val="13"/>
                <w:szCs w:val="13"/>
                <w:b w:val="1"/>
                <w:bCs w:val="1"/>
                <w:color w:val="D60058"/>
              </w:rPr>
              <w:t>Robert E. Landry</w:t>
            </w:r>
          </w:p>
        </w:tc>
        <w:tc>
          <w:tcPr>
            <w:tcW w:w="80" w:type="dxa"/>
            <w:vAlign w:val="bottom"/>
          </w:tcPr>
          <w:p>
            <w:pPr>
              <w:spacing w:after="0"/>
              <w:rPr>
                <w:sz w:val="14"/>
                <w:szCs w:val="14"/>
                <w:color w:val="auto"/>
              </w:rPr>
            </w:pPr>
          </w:p>
        </w:tc>
        <w:tc>
          <w:tcPr>
            <w:tcW w:w="920" w:type="dxa"/>
            <w:vAlign w:val="bottom"/>
            <w:tcBorders>
              <w:bottom w:val="single" w:sz="8" w:color="58585A"/>
            </w:tcBorders>
            <w:gridSpan w:val="2"/>
          </w:tcPr>
          <w:p>
            <w:pPr>
              <w:jc w:val="right"/>
              <w:spacing w:after="0" w:line="172"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4</w:t>
            </w:r>
          </w:p>
        </w:tc>
        <w:tc>
          <w:tcPr>
            <w:tcW w:w="9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57"/>
              <w:spacing w:after="0"/>
              <w:rPr>
                <w:sz w:val="20"/>
                <w:szCs w:val="20"/>
                <w:color w:val="auto"/>
              </w:rPr>
            </w:pPr>
            <w:r>
              <w:rPr>
                <w:rFonts w:ascii="Arial" w:cs="Arial" w:eastAsia="Arial" w:hAnsi="Arial"/>
                <w:sz w:val="13"/>
                <w:szCs w:val="13"/>
                <w:color w:val="auto"/>
              </w:rPr>
              <w:t>16,958</w:t>
            </w:r>
          </w:p>
        </w:tc>
        <w:tc>
          <w:tcPr>
            <w:tcW w:w="88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644.54</w:t>
            </w:r>
          </w:p>
        </w:tc>
        <w:tc>
          <w:tcPr>
            <w:tcW w:w="84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654.04</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3,839,805</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58585A"/>
            </w:tcBorders>
          </w:tcPr>
          <w:p>
            <w:pPr>
              <w:spacing w:after="0"/>
              <w:rPr>
                <w:sz w:val="14"/>
                <w:szCs w:val="14"/>
                <w:color w:val="auto"/>
              </w:rPr>
            </w:pPr>
          </w:p>
        </w:tc>
        <w:tc>
          <w:tcPr>
            <w:tcW w:w="80" w:type="dxa"/>
            <w:vAlign w:val="bottom"/>
            <w:tcBorders>
              <w:bottom w:val="single" w:sz="8" w:color="58585A"/>
            </w:tcBorders>
          </w:tcPr>
          <w:p>
            <w:pPr>
              <w:spacing w:after="0"/>
              <w:rPr>
                <w:sz w:val="14"/>
                <w:szCs w:val="14"/>
                <w:color w:val="auto"/>
              </w:rPr>
            </w:pPr>
          </w:p>
        </w:tc>
        <w:tc>
          <w:tcPr>
            <w:tcW w:w="920" w:type="dxa"/>
            <w:vAlign w:val="bottom"/>
            <w:tcBorders>
              <w:bottom w:val="single" w:sz="8" w:color="58585A"/>
            </w:tcBorders>
            <w:gridSpan w:val="2"/>
          </w:tcPr>
          <w:p>
            <w:pPr>
              <w:jc w:val="right"/>
              <w:spacing w:after="0" w:line="169"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5</w:t>
            </w:r>
          </w:p>
        </w:tc>
        <w:tc>
          <w:tcPr>
            <w:tcW w:w="98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3,971</w:t>
            </w:r>
          </w:p>
        </w:tc>
        <w:tc>
          <w:tcPr>
            <w:tcW w:w="920" w:type="dxa"/>
            <w:vAlign w:val="bottom"/>
            <w:tcBorders>
              <w:bottom w:val="single" w:sz="8" w:color="58585A"/>
            </w:tcBorders>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2,559,468</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EEEEEF"/>
            </w:tcBorders>
            <w:shd w:val="clear" w:color="auto" w:fill="EEEEEF"/>
          </w:tcPr>
          <w:p>
            <w:pPr>
              <w:spacing w:after="0"/>
              <w:rPr>
                <w:sz w:val="13"/>
                <w:szCs w:val="13"/>
                <w:color w:val="auto"/>
              </w:rPr>
            </w:pPr>
          </w:p>
        </w:tc>
        <w:tc>
          <w:tcPr>
            <w:tcW w:w="80" w:type="dxa"/>
            <w:vAlign w:val="bottom"/>
            <w:tcBorders>
              <w:bottom w:val="single" w:sz="8" w:color="EEEEEF"/>
            </w:tcBorders>
            <w:shd w:val="clear" w:color="auto" w:fill="EEEEEF"/>
          </w:tcPr>
          <w:p>
            <w:pPr>
              <w:spacing w:after="0"/>
              <w:rPr>
                <w:sz w:val="13"/>
                <w:szCs w:val="13"/>
                <w:color w:val="auto"/>
              </w:rPr>
            </w:pPr>
          </w:p>
        </w:tc>
        <w:tc>
          <w:tcPr>
            <w:tcW w:w="920" w:type="dxa"/>
            <w:vAlign w:val="bottom"/>
            <w:tcBorders>
              <w:bottom w:val="single" w:sz="8" w:color="58585A"/>
            </w:tcBorders>
            <w:gridSpan w:val="2"/>
            <w:shd w:val="clear" w:color="auto" w:fill="EEEEEF"/>
          </w:tcPr>
          <w:p>
            <w:pPr>
              <w:jc w:val="right"/>
              <w:ind w:right="51"/>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EEEEF"/>
          </w:tcPr>
          <w:p>
            <w:pPr>
              <w:jc w:val="right"/>
              <w:ind w:right="156"/>
              <w:spacing w:after="0"/>
              <w:rPr>
                <w:sz w:val="20"/>
                <w:szCs w:val="20"/>
                <w:color w:val="auto"/>
              </w:rPr>
            </w:pPr>
            <w:r>
              <w:rPr>
                <w:rFonts w:ascii="Arial" w:cs="Arial" w:eastAsia="Arial" w:hAnsi="Arial"/>
                <w:sz w:val="13"/>
                <w:szCs w:val="13"/>
                <w:color w:val="auto"/>
              </w:rPr>
              <w:t>534,820</w:t>
            </w:r>
          </w:p>
        </w:tc>
        <w:tc>
          <w:tcPr>
            <w:tcW w:w="780" w:type="dxa"/>
            <w:vAlign w:val="bottom"/>
            <w:tcBorders>
              <w:bottom w:val="single" w:sz="8" w:color="58585A"/>
            </w:tcBorders>
            <w:gridSpan w:val="2"/>
            <w:shd w:val="clear" w:color="auto" w:fill="EEEEEF"/>
          </w:tcPr>
          <w:p>
            <w:pPr>
              <w:jc w:val="right"/>
              <w:ind w:right="100"/>
              <w:spacing w:after="0"/>
              <w:rPr>
                <w:sz w:val="20"/>
                <w:szCs w:val="20"/>
                <w:color w:val="auto"/>
              </w:rPr>
            </w:pPr>
            <w:r>
              <w:rPr>
                <w:rFonts w:ascii="Arial" w:cs="Arial" w:eastAsia="Arial" w:hAnsi="Arial"/>
                <w:sz w:val="13"/>
                <w:szCs w:val="13"/>
                <w:color w:val="auto"/>
              </w:rPr>
              <w:t>1,052,182</w:t>
            </w:r>
          </w:p>
        </w:tc>
        <w:tc>
          <w:tcPr>
            <w:tcW w:w="90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3"/>
                <w:szCs w:val="13"/>
                <w:b w:val="1"/>
                <w:bCs w:val="1"/>
                <w:color w:val="D60058"/>
              </w:rPr>
              <w:t>Daniel P. Van Plew</w:t>
            </w:r>
          </w:p>
        </w:tc>
        <w:tc>
          <w:tcPr>
            <w:tcW w:w="80" w:type="dxa"/>
            <w:vAlign w:val="bottom"/>
            <w:tcBorders>
              <w:bottom w:val="single" w:sz="8" w:color="EEEEEF"/>
            </w:tcBorders>
            <w:shd w:val="clear" w:color="auto" w:fill="EEEEEF"/>
          </w:tcPr>
          <w:p>
            <w:pPr>
              <w:spacing w:after="0"/>
              <w:rPr>
                <w:sz w:val="14"/>
                <w:szCs w:val="14"/>
                <w:color w:val="auto"/>
              </w:rPr>
            </w:pPr>
          </w:p>
        </w:tc>
        <w:tc>
          <w:tcPr>
            <w:tcW w:w="920" w:type="dxa"/>
            <w:vAlign w:val="bottom"/>
            <w:tcBorders>
              <w:bottom w:val="single" w:sz="8" w:color="58585A"/>
            </w:tcBorders>
            <w:gridSpan w:val="2"/>
            <w:shd w:val="clear" w:color="auto" w:fill="EEEEEF"/>
          </w:tcPr>
          <w:p>
            <w:pPr>
              <w:jc w:val="right"/>
              <w:spacing w:after="0" w:line="172"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4</w:t>
            </w:r>
          </w:p>
        </w:tc>
        <w:tc>
          <w:tcPr>
            <w:tcW w:w="98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EEEE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gridSpan w:val="2"/>
            <w:shd w:val="clear" w:color="auto" w:fill="EEEEE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57"/>
              <w:spacing w:after="0"/>
              <w:rPr>
                <w:sz w:val="20"/>
                <w:szCs w:val="20"/>
                <w:color w:val="auto"/>
              </w:rPr>
            </w:pPr>
            <w:r>
              <w:rPr>
                <w:rFonts w:ascii="Arial" w:cs="Arial" w:eastAsia="Arial" w:hAnsi="Arial"/>
                <w:sz w:val="13"/>
                <w:szCs w:val="13"/>
                <w:color w:val="auto"/>
              </w:rPr>
              <w:t>18,548</w:t>
            </w:r>
          </w:p>
        </w:tc>
        <w:tc>
          <w:tcPr>
            <w:tcW w:w="88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644.54</w:t>
            </w:r>
          </w:p>
        </w:tc>
        <w:tc>
          <w:tcPr>
            <w:tcW w:w="84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654.04</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4,199,871</w:t>
            </w:r>
          </w:p>
        </w:tc>
        <w:tc>
          <w:tcPr>
            <w:tcW w:w="0" w:type="dxa"/>
            <w:vAlign w:val="bottom"/>
          </w:tcPr>
          <w:p>
            <w:pPr>
              <w:spacing w:after="0"/>
              <w:rPr>
                <w:sz w:val="1"/>
                <w:szCs w:val="1"/>
                <w:color w:val="auto"/>
              </w:rPr>
            </w:pPr>
          </w:p>
        </w:tc>
      </w:tr>
      <w:tr>
        <w:trPr>
          <w:trHeight w:val="168"/>
        </w:trPr>
        <w:tc>
          <w:tcPr>
            <w:tcW w:w="204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12/08/2021</w:t>
            </w:r>
          </w:p>
        </w:tc>
        <w:tc>
          <w:tcPr>
            <w:tcW w:w="10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0"/>
                <w:szCs w:val="10"/>
                <w:color w:val="auto"/>
                <w:w w:val="71"/>
              </w:rPr>
              <w:t>5</w:t>
            </w:r>
          </w:p>
        </w:tc>
        <w:tc>
          <w:tcPr>
            <w:tcW w:w="98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EEEE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gridSpan w:val="2"/>
            <w:shd w:val="clear" w:color="auto" w:fill="EEEEE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4,344</w:t>
            </w:r>
          </w:p>
        </w:tc>
        <w:tc>
          <w:tcPr>
            <w:tcW w:w="920" w:type="dxa"/>
            <w:vAlign w:val="bottom"/>
            <w:tcBorders>
              <w:bottom w:val="single" w:sz="8" w:color="58585A"/>
            </w:tcBorders>
            <w:shd w:val="clear" w:color="auto" w:fill="EEEEE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2,799,882</w:t>
            </w:r>
          </w:p>
        </w:tc>
        <w:tc>
          <w:tcPr>
            <w:tcW w:w="0" w:type="dxa"/>
            <w:vAlign w:val="bottom"/>
          </w:tcPr>
          <w:p>
            <w:pPr>
              <w:spacing w:after="0"/>
              <w:rPr>
                <w:sz w:val="1"/>
                <w:szCs w:val="1"/>
                <w:color w:val="auto"/>
              </w:rPr>
            </w:pPr>
          </w:p>
        </w:tc>
      </w:tr>
      <w:tr>
        <w:trPr>
          <w:trHeight w:val="143"/>
        </w:trPr>
        <w:tc>
          <w:tcPr>
            <w:tcW w:w="2040" w:type="dxa"/>
            <w:vAlign w:val="bottom"/>
            <w:tcBorders>
              <w:bottom w:val="single" w:sz="8" w:color="58585A"/>
            </w:tcBorders>
            <w:shd w:val="clear" w:color="auto" w:fill="EEEEEF"/>
          </w:tcPr>
          <w:p>
            <w:pPr>
              <w:spacing w:after="0"/>
              <w:rPr>
                <w:sz w:val="12"/>
                <w:szCs w:val="12"/>
                <w:color w:val="auto"/>
              </w:rPr>
            </w:pPr>
          </w:p>
        </w:tc>
        <w:tc>
          <w:tcPr>
            <w:tcW w:w="80" w:type="dxa"/>
            <w:vAlign w:val="bottom"/>
            <w:tcBorders>
              <w:bottom w:val="single" w:sz="8" w:color="58585A"/>
            </w:tcBorders>
            <w:shd w:val="clear" w:color="auto" w:fill="EEEEEF"/>
          </w:tcPr>
          <w:p>
            <w:pPr>
              <w:spacing w:after="0"/>
              <w:rPr>
                <w:sz w:val="12"/>
                <w:szCs w:val="12"/>
                <w:color w:val="auto"/>
              </w:rPr>
            </w:pPr>
          </w:p>
        </w:tc>
        <w:tc>
          <w:tcPr>
            <w:tcW w:w="820" w:type="dxa"/>
            <w:vAlign w:val="bottom"/>
            <w:tcBorders>
              <w:bottom w:val="single" w:sz="8" w:color="58585A"/>
            </w:tcBorders>
            <w:shd w:val="clear" w:color="auto" w:fill="EEEEEF"/>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58585A"/>
            </w:tcBorders>
            <w:shd w:val="clear" w:color="auto" w:fill="EEEEEF"/>
          </w:tcPr>
          <w:p>
            <w:pPr>
              <w:spacing w:after="0"/>
              <w:rPr>
                <w:sz w:val="12"/>
                <w:szCs w:val="12"/>
                <w:color w:val="auto"/>
              </w:rPr>
            </w:pPr>
          </w:p>
        </w:tc>
        <w:tc>
          <w:tcPr>
            <w:tcW w:w="980" w:type="dxa"/>
            <w:vAlign w:val="bottom"/>
            <w:tcBorders>
              <w:bottom w:val="single" w:sz="8" w:color="58585A"/>
            </w:tcBorders>
            <w:shd w:val="clear" w:color="auto" w:fill="EEEEEF"/>
          </w:tcPr>
          <w:p>
            <w:pPr>
              <w:ind w:left="680"/>
              <w:spacing w:after="0" w:line="143"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EEEEF"/>
          </w:tcPr>
          <w:p>
            <w:pPr>
              <w:jc w:val="right"/>
              <w:ind w:right="156"/>
              <w:spacing w:after="0" w:line="143" w:lineRule="exact"/>
              <w:rPr>
                <w:sz w:val="20"/>
                <w:szCs w:val="20"/>
                <w:color w:val="auto"/>
              </w:rPr>
            </w:pPr>
            <w:r>
              <w:rPr>
                <w:rFonts w:ascii="Arial" w:cs="Arial" w:eastAsia="Arial" w:hAnsi="Arial"/>
                <w:sz w:val="13"/>
                <w:szCs w:val="13"/>
                <w:color w:val="auto"/>
              </w:rPr>
              <w:t>470,925</w:t>
            </w:r>
          </w:p>
        </w:tc>
        <w:tc>
          <w:tcPr>
            <w:tcW w:w="780" w:type="dxa"/>
            <w:vAlign w:val="bottom"/>
            <w:tcBorders>
              <w:bottom w:val="single" w:sz="8" w:color="58585A"/>
            </w:tcBorders>
            <w:gridSpan w:val="2"/>
            <w:shd w:val="clear" w:color="auto" w:fill="EEEEEF"/>
          </w:tcPr>
          <w:p>
            <w:pPr>
              <w:jc w:val="right"/>
              <w:ind w:right="100"/>
              <w:spacing w:after="0" w:line="143" w:lineRule="exact"/>
              <w:rPr>
                <w:sz w:val="20"/>
                <w:szCs w:val="20"/>
                <w:color w:val="auto"/>
              </w:rPr>
            </w:pPr>
            <w:r>
              <w:rPr>
                <w:rFonts w:ascii="Arial" w:cs="Arial" w:eastAsia="Arial" w:hAnsi="Arial"/>
                <w:sz w:val="13"/>
                <w:szCs w:val="13"/>
                <w:color w:val="auto"/>
              </w:rPr>
              <w:t>1,052,182</w:t>
            </w:r>
          </w:p>
        </w:tc>
        <w:tc>
          <w:tcPr>
            <w:tcW w:w="900" w:type="dxa"/>
            <w:vAlign w:val="bottom"/>
            <w:tcBorders>
              <w:bottom w:val="single" w:sz="8" w:color="58585A"/>
            </w:tcBorders>
            <w:shd w:val="clear" w:color="auto" w:fill="EEEEEF"/>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37"/>
              <w:spacing w:after="0" w:line="143"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jc w:val="right"/>
              <w:spacing w:after="0" w:line="143"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20"/>
                <w:szCs w:val="20"/>
                <w:color w:val="auto"/>
              </w:rPr>
            </w:pPr>
            <w:r>
              <w:rPr>
                <w:rFonts w:ascii="Arial" w:cs="Arial" w:eastAsia="Arial" w:hAnsi="Arial"/>
                <w:sz w:val="13"/>
                <w:szCs w:val="13"/>
                <w:b w:val="1"/>
                <w:bCs w:val="1"/>
                <w:color w:val="D60058"/>
              </w:rPr>
              <w:t>Andrew J. Murphy,</w:t>
            </w:r>
          </w:p>
        </w:tc>
        <w:tc>
          <w:tcPr>
            <w:tcW w:w="1000" w:type="dxa"/>
            <w:vAlign w:val="bottom"/>
            <w:gridSpan w:val="3"/>
          </w:tcPr>
          <w:p>
            <w:pPr>
              <w:jc w:val="right"/>
              <w:spacing w:after="0" w:line="169"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4</w:t>
            </w:r>
          </w:p>
        </w:tc>
        <w:tc>
          <w:tcPr>
            <w:tcW w:w="980" w:type="dxa"/>
            <w:vAlign w:val="bottom"/>
          </w:tcPr>
          <w:p>
            <w:pPr>
              <w:ind w:left="68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14,783</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644.54</w:t>
            </w:r>
          </w:p>
        </w:tc>
        <w:tc>
          <w:tcPr>
            <w:tcW w:w="840" w:type="dxa"/>
            <w:vAlign w:val="bottom"/>
          </w:tcPr>
          <w:p>
            <w:pPr>
              <w:jc w:val="right"/>
              <w:spacing w:after="0"/>
              <w:rPr>
                <w:sz w:val="20"/>
                <w:szCs w:val="20"/>
                <w:color w:val="auto"/>
              </w:rPr>
            </w:pPr>
            <w:r>
              <w:rPr>
                <w:rFonts w:ascii="Arial" w:cs="Arial" w:eastAsia="Arial" w:hAnsi="Arial"/>
                <w:sz w:val="13"/>
                <w:szCs w:val="13"/>
                <w:color w:val="auto"/>
              </w:rPr>
              <w:t>654.04</w:t>
            </w:r>
          </w:p>
        </w:tc>
        <w:tc>
          <w:tcPr>
            <w:tcW w:w="860" w:type="dxa"/>
            <w:vAlign w:val="bottom"/>
          </w:tcPr>
          <w:p>
            <w:pPr>
              <w:jc w:val="right"/>
              <w:spacing w:after="0"/>
              <w:rPr>
                <w:sz w:val="20"/>
                <w:szCs w:val="20"/>
                <w:color w:val="auto"/>
              </w:rPr>
            </w:pPr>
            <w:r>
              <w:rPr>
                <w:rFonts w:ascii="Arial" w:cs="Arial" w:eastAsia="Arial" w:hAnsi="Arial"/>
                <w:sz w:val="13"/>
                <w:szCs w:val="13"/>
                <w:color w:val="auto"/>
              </w:rPr>
              <w:t>3,347,323</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58585A"/>
            </w:tcBorders>
          </w:tcPr>
          <w:p>
            <w:pPr>
              <w:spacing w:after="0"/>
              <w:rPr>
                <w:sz w:val="20"/>
                <w:szCs w:val="20"/>
                <w:color w:val="auto"/>
              </w:rPr>
            </w:pPr>
            <w:r>
              <w:rPr>
                <w:rFonts w:ascii="Arial" w:cs="Arial" w:eastAsia="Arial" w:hAnsi="Arial"/>
                <w:sz w:val="13"/>
                <w:szCs w:val="13"/>
                <w:b w:val="1"/>
                <w:bCs w:val="1"/>
                <w:color w:val="D60058"/>
              </w:rPr>
              <w:t>Ph.D.</w:t>
            </w:r>
          </w:p>
        </w:tc>
        <w:tc>
          <w:tcPr>
            <w:tcW w:w="80" w:type="dxa"/>
            <w:vAlign w:val="bottom"/>
            <w:tcBorders>
              <w:bottom w:val="single" w:sz="8" w:color="58585A"/>
            </w:tcBorders>
          </w:tcPr>
          <w:p>
            <w:pPr>
              <w:spacing w:after="0"/>
              <w:rPr>
                <w:sz w:val="14"/>
                <w:szCs w:val="14"/>
                <w:color w:val="auto"/>
              </w:rPr>
            </w:pPr>
          </w:p>
        </w:tc>
        <w:tc>
          <w:tcPr>
            <w:tcW w:w="920" w:type="dxa"/>
            <w:vAlign w:val="bottom"/>
            <w:tcBorders>
              <w:top w:val="single" w:sz="8" w:color="58585A"/>
              <w:bottom w:val="single" w:sz="8" w:color="58585A"/>
            </w:tcBorders>
            <w:gridSpan w:val="2"/>
          </w:tcPr>
          <w:p>
            <w:pPr>
              <w:jc w:val="right"/>
              <w:spacing w:after="0" w:line="169"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5</w:t>
            </w:r>
          </w:p>
        </w:tc>
        <w:tc>
          <w:tcPr>
            <w:tcW w:w="980" w:type="dxa"/>
            <w:vAlign w:val="bottom"/>
            <w:tcBorders>
              <w:top w:val="single" w:sz="8" w:color="58585A"/>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58585A"/>
              <w:bottom w:val="single" w:sz="8" w:color="58585A"/>
            </w:tcBorders>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58585A"/>
              <w:bottom w:val="single" w:sz="8" w:color="58585A"/>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58585A"/>
              <w:bottom w:val="single" w:sz="8" w:color="58585A"/>
            </w:tcBorders>
          </w:tcPr>
          <w:p>
            <w:pPr>
              <w:jc w:val="right"/>
              <w:ind w:right="37"/>
              <w:spacing w:after="0"/>
              <w:rPr>
                <w:sz w:val="20"/>
                <w:szCs w:val="20"/>
                <w:color w:val="auto"/>
              </w:rPr>
            </w:pPr>
            <w:r>
              <w:rPr>
                <w:rFonts w:ascii="Arial" w:cs="Arial" w:eastAsia="Arial" w:hAnsi="Arial"/>
                <w:sz w:val="13"/>
                <w:szCs w:val="13"/>
                <w:color w:val="auto"/>
              </w:rPr>
              <w:t>3,462</w:t>
            </w:r>
          </w:p>
        </w:tc>
        <w:tc>
          <w:tcPr>
            <w:tcW w:w="920" w:type="dxa"/>
            <w:vAlign w:val="bottom"/>
            <w:tcBorders>
              <w:top w:val="single" w:sz="8" w:color="58585A"/>
              <w:bottom w:val="single" w:sz="8" w:color="58585A"/>
            </w:tcBorders>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58585A"/>
              <w:bottom w:val="single" w:sz="8" w:color="58585A"/>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2,231,397</w:t>
            </w:r>
          </w:p>
        </w:tc>
        <w:tc>
          <w:tcPr>
            <w:tcW w:w="0" w:type="dxa"/>
            <w:vAlign w:val="bottom"/>
          </w:tcPr>
          <w:p>
            <w:pPr>
              <w:spacing w:after="0"/>
              <w:rPr>
                <w:sz w:val="1"/>
                <w:szCs w:val="1"/>
                <w:color w:val="auto"/>
              </w:rPr>
            </w:pPr>
          </w:p>
        </w:tc>
      </w:tr>
      <w:tr>
        <w:trPr>
          <w:trHeight w:val="153"/>
        </w:trPr>
        <w:tc>
          <w:tcPr>
            <w:tcW w:w="2040" w:type="dxa"/>
            <w:vAlign w:val="bottom"/>
            <w:tcBorders>
              <w:bottom w:val="single" w:sz="8" w:color="EEEEEF"/>
            </w:tcBorders>
            <w:shd w:val="clear" w:color="auto" w:fill="EEEEEF"/>
          </w:tcPr>
          <w:p>
            <w:pPr>
              <w:spacing w:after="0"/>
              <w:rPr>
                <w:sz w:val="13"/>
                <w:szCs w:val="13"/>
                <w:color w:val="auto"/>
              </w:rPr>
            </w:pPr>
          </w:p>
        </w:tc>
        <w:tc>
          <w:tcPr>
            <w:tcW w:w="80" w:type="dxa"/>
            <w:vAlign w:val="bottom"/>
            <w:tcBorders>
              <w:bottom w:val="single" w:sz="8" w:color="EEEEEF"/>
            </w:tcBorders>
            <w:shd w:val="clear" w:color="auto" w:fill="EEEEEF"/>
          </w:tcPr>
          <w:p>
            <w:pPr>
              <w:spacing w:after="0"/>
              <w:rPr>
                <w:sz w:val="13"/>
                <w:szCs w:val="13"/>
                <w:color w:val="auto"/>
              </w:rPr>
            </w:pPr>
          </w:p>
        </w:tc>
        <w:tc>
          <w:tcPr>
            <w:tcW w:w="920" w:type="dxa"/>
            <w:vAlign w:val="bottom"/>
            <w:tcBorders>
              <w:bottom w:val="single" w:sz="8" w:color="58585A"/>
            </w:tcBorders>
            <w:gridSpan w:val="2"/>
            <w:shd w:val="clear" w:color="auto" w:fill="EEEEEF"/>
          </w:tcPr>
          <w:p>
            <w:pPr>
              <w:jc w:val="right"/>
              <w:ind w:right="51"/>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EEEEF"/>
          </w:tcPr>
          <w:p>
            <w:pPr>
              <w:jc w:val="right"/>
              <w:ind w:right="156"/>
              <w:spacing w:after="0"/>
              <w:rPr>
                <w:sz w:val="20"/>
                <w:szCs w:val="20"/>
                <w:color w:val="auto"/>
              </w:rPr>
            </w:pPr>
            <w:r>
              <w:rPr>
                <w:rFonts w:ascii="Arial" w:cs="Arial" w:eastAsia="Arial" w:hAnsi="Arial"/>
                <w:sz w:val="13"/>
                <w:szCs w:val="13"/>
                <w:color w:val="auto"/>
              </w:rPr>
              <w:t>526,500</w:t>
            </w:r>
          </w:p>
        </w:tc>
        <w:tc>
          <w:tcPr>
            <w:tcW w:w="780" w:type="dxa"/>
            <w:vAlign w:val="bottom"/>
            <w:tcBorders>
              <w:bottom w:val="single" w:sz="8" w:color="58585A"/>
            </w:tcBorders>
            <w:gridSpan w:val="2"/>
            <w:shd w:val="clear" w:color="auto" w:fill="EEEEEF"/>
          </w:tcPr>
          <w:p>
            <w:pPr>
              <w:jc w:val="right"/>
              <w:ind w:right="100"/>
              <w:spacing w:after="0"/>
              <w:rPr>
                <w:sz w:val="20"/>
                <w:szCs w:val="20"/>
                <w:color w:val="auto"/>
              </w:rPr>
            </w:pPr>
            <w:r>
              <w:rPr>
                <w:rFonts w:ascii="Arial" w:cs="Arial" w:eastAsia="Arial" w:hAnsi="Arial"/>
                <w:sz w:val="13"/>
                <w:szCs w:val="13"/>
                <w:color w:val="auto"/>
              </w:rPr>
              <w:t>1,052,182</w:t>
            </w:r>
          </w:p>
        </w:tc>
        <w:tc>
          <w:tcPr>
            <w:tcW w:w="90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3"/>
                <w:szCs w:val="13"/>
                <w:b w:val="1"/>
                <w:bCs w:val="1"/>
                <w:color w:val="D60058"/>
              </w:rPr>
              <w:t>Joseph J. LaRosa</w:t>
            </w:r>
          </w:p>
        </w:tc>
        <w:tc>
          <w:tcPr>
            <w:tcW w:w="80" w:type="dxa"/>
            <w:vAlign w:val="bottom"/>
            <w:tcBorders>
              <w:bottom w:val="single" w:sz="8" w:color="EEEEEF"/>
            </w:tcBorders>
            <w:shd w:val="clear" w:color="auto" w:fill="EEEEEF"/>
          </w:tcPr>
          <w:p>
            <w:pPr>
              <w:spacing w:after="0"/>
              <w:rPr>
                <w:sz w:val="14"/>
                <w:szCs w:val="14"/>
                <w:color w:val="auto"/>
              </w:rPr>
            </w:pPr>
          </w:p>
        </w:tc>
        <w:tc>
          <w:tcPr>
            <w:tcW w:w="920" w:type="dxa"/>
            <w:vAlign w:val="bottom"/>
            <w:tcBorders>
              <w:bottom w:val="single" w:sz="8" w:color="58585A"/>
            </w:tcBorders>
            <w:gridSpan w:val="2"/>
            <w:shd w:val="clear" w:color="auto" w:fill="EEEEEF"/>
          </w:tcPr>
          <w:p>
            <w:pPr>
              <w:jc w:val="right"/>
              <w:spacing w:after="0" w:line="172"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4</w:t>
            </w:r>
          </w:p>
        </w:tc>
        <w:tc>
          <w:tcPr>
            <w:tcW w:w="98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8585A"/>
            </w:tcBorders>
            <w:shd w:val="clear" w:color="auto" w:fill="EEEEE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8585A"/>
            </w:tcBorders>
            <w:gridSpan w:val="2"/>
            <w:shd w:val="clear" w:color="auto" w:fill="EEEEE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57"/>
              <w:spacing w:after="0"/>
              <w:rPr>
                <w:sz w:val="20"/>
                <w:szCs w:val="20"/>
                <w:color w:val="auto"/>
              </w:rPr>
            </w:pPr>
            <w:r>
              <w:rPr>
                <w:rFonts w:ascii="Arial" w:cs="Arial" w:eastAsia="Arial" w:hAnsi="Arial"/>
                <w:sz w:val="13"/>
                <w:szCs w:val="13"/>
                <w:color w:val="auto"/>
              </w:rPr>
              <w:t>14,253</w:t>
            </w:r>
          </w:p>
        </w:tc>
        <w:tc>
          <w:tcPr>
            <w:tcW w:w="880" w:type="dxa"/>
            <w:vAlign w:val="bottom"/>
            <w:tcBorders>
              <w:bottom w:val="single" w:sz="8" w:color="58585A"/>
            </w:tcBorders>
            <w:shd w:val="clear" w:color="auto" w:fill="EEEEEF"/>
          </w:tcPr>
          <w:p>
            <w:pPr>
              <w:jc w:val="right"/>
              <w:ind w:right="37"/>
              <w:spacing w:after="0"/>
              <w:rPr>
                <w:sz w:val="20"/>
                <w:szCs w:val="20"/>
                <w:color w:val="auto"/>
              </w:rPr>
            </w:pPr>
            <w:r>
              <w:rPr>
                <w:rFonts w:ascii="Arial" w:cs="Arial" w:eastAsia="Arial" w:hAnsi="Arial"/>
                <w:sz w:val="13"/>
                <w:szCs w:val="13"/>
                <w:color w:val="auto"/>
              </w:rPr>
              <w:t>644.54</w:t>
            </w:r>
          </w:p>
        </w:tc>
        <w:tc>
          <w:tcPr>
            <w:tcW w:w="84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654.04</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3,227,316</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5A78B9"/>
            </w:tcBorders>
            <w:shd w:val="clear" w:color="auto" w:fill="EEEEEF"/>
          </w:tcPr>
          <w:p>
            <w:pPr>
              <w:spacing w:after="0"/>
              <w:rPr>
                <w:sz w:val="14"/>
                <w:szCs w:val="14"/>
                <w:color w:val="auto"/>
              </w:rPr>
            </w:pPr>
          </w:p>
        </w:tc>
        <w:tc>
          <w:tcPr>
            <w:tcW w:w="80" w:type="dxa"/>
            <w:vAlign w:val="bottom"/>
            <w:tcBorders>
              <w:bottom w:val="single" w:sz="8" w:color="5A78B9"/>
            </w:tcBorders>
            <w:shd w:val="clear" w:color="auto" w:fill="EEEEEF"/>
          </w:tcPr>
          <w:p>
            <w:pPr>
              <w:spacing w:after="0"/>
              <w:rPr>
                <w:sz w:val="14"/>
                <w:szCs w:val="14"/>
                <w:color w:val="auto"/>
              </w:rPr>
            </w:pPr>
          </w:p>
        </w:tc>
        <w:tc>
          <w:tcPr>
            <w:tcW w:w="920" w:type="dxa"/>
            <w:vAlign w:val="bottom"/>
            <w:tcBorders>
              <w:bottom w:val="single" w:sz="8" w:color="5A78B9"/>
            </w:tcBorders>
            <w:gridSpan w:val="2"/>
            <w:shd w:val="clear" w:color="auto" w:fill="EEEEEF"/>
          </w:tcPr>
          <w:p>
            <w:pPr>
              <w:jc w:val="right"/>
              <w:spacing w:after="0" w:line="169" w:lineRule="exact"/>
              <w:rPr>
                <w:sz w:val="20"/>
                <w:szCs w:val="20"/>
                <w:color w:val="auto"/>
              </w:rPr>
            </w:pPr>
            <w:r>
              <w:rPr>
                <w:rFonts w:ascii="Arial" w:cs="Arial" w:eastAsia="Arial" w:hAnsi="Arial"/>
                <w:sz w:val="12"/>
                <w:szCs w:val="12"/>
                <w:color w:val="auto"/>
              </w:rPr>
              <w:t>12/08/2021</w:t>
            </w:r>
            <w:r>
              <w:rPr>
                <w:rFonts w:ascii="Arial" w:cs="Arial" w:eastAsia="Arial" w:hAnsi="Arial"/>
                <w:sz w:val="19"/>
                <w:szCs w:val="19"/>
                <w:color w:val="auto"/>
                <w:vertAlign w:val="superscript"/>
              </w:rPr>
              <w:t>5</w:t>
            </w:r>
          </w:p>
        </w:tc>
        <w:tc>
          <w:tcPr>
            <w:tcW w:w="980" w:type="dxa"/>
            <w:vAlign w:val="bottom"/>
            <w:tcBorders>
              <w:bottom w:val="single" w:sz="8" w:color="5A78B9"/>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5A78B9"/>
            </w:tcBorders>
            <w:shd w:val="clear" w:color="auto" w:fill="EEEEEF"/>
          </w:tcPr>
          <w:p>
            <w:pPr>
              <w:jc w:val="right"/>
              <w:ind w:right="1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5A78B9"/>
            </w:tcBorders>
            <w:gridSpan w:val="2"/>
            <w:shd w:val="clear" w:color="auto" w:fill="EEEEEF"/>
          </w:tcPr>
          <w:p>
            <w:pPr>
              <w:jc w:val="right"/>
              <w:ind w:right="10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A78B9"/>
            </w:tcBorders>
            <w:shd w:val="clear" w:color="auto" w:fill="EEEEEF"/>
          </w:tcPr>
          <w:p>
            <w:pPr>
              <w:jc w:val="right"/>
              <w:ind w:right="37"/>
              <w:spacing w:after="0"/>
              <w:rPr>
                <w:sz w:val="20"/>
                <w:szCs w:val="20"/>
                <w:color w:val="auto"/>
              </w:rPr>
            </w:pPr>
            <w:r>
              <w:rPr>
                <w:rFonts w:ascii="Arial" w:cs="Arial" w:eastAsia="Arial" w:hAnsi="Arial"/>
                <w:sz w:val="13"/>
                <w:szCs w:val="13"/>
                <w:color w:val="auto"/>
              </w:rPr>
              <w:t>3,338</w:t>
            </w:r>
          </w:p>
        </w:tc>
        <w:tc>
          <w:tcPr>
            <w:tcW w:w="920" w:type="dxa"/>
            <w:vAlign w:val="bottom"/>
            <w:tcBorders>
              <w:bottom w:val="single" w:sz="8" w:color="5A78B9"/>
            </w:tcBorders>
            <w:shd w:val="clear" w:color="auto" w:fill="EEEEEF"/>
          </w:tcPr>
          <w:p>
            <w:pPr>
              <w:jc w:val="right"/>
              <w:ind w:right="5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A78B9"/>
            </w:tcBorders>
            <w:shd w:val="clear" w:color="auto" w:fill="EEEEE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A78B9"/>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A78B9"/>
            </w:tcBorders>
            <w:shd w:val="clear" w:color="auto" w:fill="EEEEEF"/>
          </w:tcPr>
          <w:p>
            <w:pPr>
              <w:jc w:val="right"/>
              <w:spacing w:after="0"/>
              <w:rPr>
                <w:sz w:val="20"/>
                <w:szCs w:val="20"/>
                <w:color w:val="auto"/>
              </w:rPr>
            </w:pPr>
            <w:r>
              <w:rPr>
                <w:rFonts w:ascii="Arial" w:cs="Arial" w:eastAsia="Arial" w:hAnsi="Arial"/>
                <w:sz w:val="13"/>
                <w:szCs w:val="13"/>
                <w:color w:val="auto"/>
              </w:rPr>
              <w:t>2,151,475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720" w:right="540" w:hanging="172"/>
        <w:spacing w:after="0" w:line="247" w:lineRule="auto"/>
        <w:tabs>
          <w:tab w:leader="none" w:pos="720" w:val="left"/>
        </w:tabs>
        <w:numPr>
          <w:ilvl w:val="0"/>
          <w:numId w:val="155"/>
        </w:numPr>
        <w:rPr>
          <w:rFonts w:ascii="Arial" w:cs="Arial" w:eastAsia="Arial" w:hAnsi="Arial"/>
          <w:sz w:val="14"/>
          <w:szCs w:val="14"/>
          <w:color w:val="215BA8"/>
        </w:rPr>
      </w:pPr>
      <w:r>
        <w:rPr>
          <w:rFonts w:ascii="Arial" w:cs="Arial" w:eastAsia="Arial" w:hAnsi="Arial"/>
          <w:sz w:val="14"/>
          <w:szCs w:val="14"/>
          <w:color w:val="1A1A1A"/>
        </w:rPr>
        <w:t>Cash incentive awards under the Regeneron Pharmaceuticals, Inc. Cash Incentive Bonus Plan. The actual cash incentive awards earned in respect of 2021 and paid out in January 2022 are reported as “Non-Equity Incentive Plan Compensation” in the Summary Compensation Table above. The maximum amount in this column represents the maximum cash incentive allocated to each executive by the Compensation Committee in March 2021 under the Cash Incentive Bonus Plan.</w:t>
      </w:r>
    </w:p>
    <w:p>
      <w:pPr>
        <w:spacing w:after="0" w:line="66" w:lineRule="exact"/>
        <w:rPr>
          <w:sz w:val="20"/>
          <w:szCs w:val="20"/>
          <w:color w:val="auto"/>
        </w:rPr>
      </w:pPr>
    </w:p>
    <w:p>
      <w:pPr>
        <w:ind w:left="720" w:right="700" w:hanging="172"/>
        <w:spacing w:after="0" w:line="258" w:lineRule="auto"/>
        <w:tabs>
          <w:tab w:leader="none" w:pos="720" w:val="left"/>
        </w:tabs>
        <w:numPr>
          <w:ilvl w:val="0"/>
          <w:numId w:val="156"/>
        </w:numPr>
        <w:rPr>
          <w:rFonts w:ascii="Arial" w:cs="Arial" w:eastAsia="Arial" w:hAnsi="Arial"/>
          <w:sz w:val="14"/>
          <w:szCs w:val="14"/>
          <w:color w:val="215BA8"/>
        </w:rPr>
      </w:pPr>
      <w:r>
        <w:rPr>
          <w:rFonts w:ascii="Arial" w:cs="Arial" w:eastAsia="Arial" w:hAnsi="Arial"/>
          <w:sz w:val="14"/>
          <w:szCs w:val="14"/>
          <w:color w:val="1A1A1A"/>
        </w:rPr>
        <w:t>These options have an exercise price equal to the average of the high and low sales price per share of the Company’s common stock on the date of grant. Therefore, the closing price of our common stock on the grant date may be higher or lower than the exercise price of these options.</w:t>
      </w:r>
    </w:p>
    <w:p>
      <w:pPr>
        <w:spacing w:after="0" w:line="59" w:lineRule="exact"/>
        <w:rPr>
          <w:sz w:val="20"/>
          <w:szCs w:val="20"/>
          <w:color w:val="auto"/>
        </w:rPr>
      </w:pPr>
    </w:p>
    <w:p>
      <w:pPr>
        <w:ind w:left="720" w:right="800" w:hanging="172"/>
        <w:spacing w:after="0" w:line="247" w:lineRule="auto"/>
        <w:tabs>
          <w:tab w:leader="none" w:pos="720" w:val="left"/>
        </w:tabs>
        <w:numPr>
          <w:ilvl w:val="0"/>
          <w:numId w:val="157"/>
        </w:numPr>
        <w:rPr>
          <w:rFonts w:ascii="Arial" w:cs="Arial" w:eastAsia="Arial" w:hAnsi="Arial"/>
          <w:sz w:val="14"/>
          <w:szCs w:val="14"/>
          <w:color w:val="215BA8"/>
        </w:rPr>
      </w:pPr>
      <w:r>
        <w:rPr>
          <w:rFonts w:ascii="Arial" w:cs="Arial" w:eastAsia="Arial" w:hAnsi="Arial"/>
          <w:sz w:val="14"/>
          <w:szCs w:val="14"/>
          <w:color w:val="1A1A1A"/>
        </w:rPr>
        <w:t>The amounts in this column represent the grant date fair value (disregarding estimated forfeitures) of the awards made pursuant to the Second Amended and Restated Regeneron Pharmaceuticals, Inc. 2014 Long-Term Incentive Plan. The valuation assumptions and methodologies used in the calculation of these amounts are included in Note 12 to the Company’s audited financial statements for the fiscal year ended December 31, 2021 included in the 2021 Annual Report.</w:t>
      </w:r>
    </w:p>
    <w:p>
      <w:pPr>
        <w:spacing w:after="0" w:line="66" w:lineRule="exact"/>
        <w:rPr>
          <w:sz w:val="20"/>
          <w:szCs w:val="20"/>
          <w:color w:val="auto"/>
        </w:rPr>
      </w:pPr>
    </w:p>
    <w:p>
      <w:pPr>
        <w:ind w:left="720" w:right="780" w:hanging="172"/>
        <w:spacing w:after="0" w:line="258" w:lineRule="auto"/>
        <w:tabs>
          <w:tab w:leader="none" w:pos="720" w:val="left"/>
        </w:tabs>
        <w:numPr>
          <w:ilvl w:val="0"/>
          <w:numId w:val="158"/>
        </w:numPr>
        <w:rPr>
          <w:rFonts w:ascii="Arial" w:cs="Arial" w:eastAsia="Arial" w:hAnsi="Arial"/>
          <w:sz w:val="14"/>
          <w:szCs w:val="14"/>
          <w:color w:val="215BA8"/>
        </w:rPr>
      </w:pPr>
      <w:r>
        <w:rPr>
          <w:rFonts w:ascii="Arial" w:cs="Arial" w:eastAsia="Arial" w:hAnsi="Arial"/>
          <w:sz w:val="14"/>
          <w:szCs w:val="14"/>
          <w:color w:val="1A1A1A"/>
        </w:rPr>
        <w:t>The NEO received a non-qualified stock option award that vests subject to continued employment at a rate of 25% per year over the first four years of the maximum ten-year option term.</w:t>
      </w:r>
    </w:p>
    <w:p>
      <w:pPr>
        <w:spacing w:after="0" w:line="59" w:lineRule="exact"/>
        <w:rPr>
          <w:sz w:val="20"/>
          <w:szCs w:val="20"/>
          <w:color w:val="auto"/>
        </w:rPr>
      </w:pPr>
    </w:p>
    <w:p>
      <w:pPr>
        <w:ind w:left="720" w:right="840" w:hanging="172"/>
        <w:spacing w:after="0" w:line="258" w:lineRule="auto"/>
        <w:tabs>
          <w:tab w:leader="none" w:pos="720" w:val="left"/>
        </w:tabs>
        <w:numPr>
          <w:ilvl w:val="0"/>
          <w:numId w:val="159"/>
        </w:numPr>
        <w:rPr>
          <w:rFonts w:ascii="Arial" w:cs="Arial" w:eastAsia="Arial" w:hAnsi="Arial"/>
          <w:sz w:val="14"/>
          <w:szCs w:val="14"/>
          <w:color w:val="215BA8"/>
        </w:rPr>
      </w:pPr>
      <w:r>
        <w:rPr>
          <w:rFonts w:ascii="Arial" w:cs="Arial" w:eastAsia="Arial" w:hAnsi="Arial"/>
          <w:sz w:val="14"/>
          <w:szCs w:val="14"/>
          <w:color w:val="1A1A1A"/>
        </w:rPr>
        <w:t>The NEO received an annual RSA that vests 50% on the second anniversary of the date of grant and 50% on the fourth anniversary of the date of grant, subject to the NEO’s continued employment.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83</w:t>
            </w:r>
          </w:p>
        </w:tc>
      </w:tr>
      <w:tr>
        <w:trPr>
          <w:trHeight w:val="222"/>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98" w:name="page99"/>
    <w:bookmarkEnd w:id="98"/>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Outstanding Equity Awards at 2021 Fiscal Year-End</w:t>
      </w:r>
    </w:p>
    <w:p>
      <w:pPr>
        <w:spacing w:after="0" w:line="187" w:lineRule="exact"/>
        <w:rPr>
          <w:sz w:val="20"/>
          <w:szCs w:val="20"/>
          <w:color w:val="auto"/>
        </w:rPr>
      </w:pPr>
    </w:p>
    <w:p>
      <w:pPr>
        <w:ind w:left="540" w:right="640"/>
        <w:spacing w:after="0" w:line="236" w:lineRule="auto"/>
        <w:rPr>
          <w:sz w:val="20"/>
          <w:szCs w:val="20"/>
          <w:color w:val="auto"/>
        </w:rPr>
      </w:pPr>
      <w:r>
        <w:rPr>
          <w:rFonts w:ascii="Arial" w:cs="Arial" w:eastAsia="Arial" w:hAnsi="Arial"/>
          <w:sz w:val="16"/>
          <w:szCs w:val="16"/>
          <w:color w:val="auto"/>
        </w:rPr>
        <w:t>The following table and explanatory footnotes provide information regarding unexercised stock options and PSUs or RSAs (as applicable) held by our NEOs as of December 31,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1840" w:type="dxa"/>
            <w:vAlign w:val="bottom"/>
            <w:tcBorders>
              <w:top w:val="single" w:sz="8" w:color="2459A8"/>
              <w:bottom w:val="single" w:sz="8" w:color="2459A8"/>
            </w:tcBorders>
            <w:gridSpan w:val="2"/>
          </w:tcPr>
          <w:p>
            <w:pPr>
              <w:ind w:left="840"/>
              <w:spacing w:after="0"/>
              <w:rPr>
                <w:sz w:val="20"/>
                <w:szCs w:val="20"/>
                <w:color w:val="auto"/>
              </w:rPr>
            </w:pPr>
            <w:r>
              <w:rPr>
                <w:rFonts w:ascii="Arial" w:cs="Arial" w:eastAsia="Arial" w:hAnsi="Arial"/>
                <w:sz w:val="13"/>
                <w:szCs w:val="13"/>
                <w:b w:val="1"/>
                <w:bCs w:val="1"/>
                <w:color w:val="2459A8"/>
              </w:rPr>
              <w:t>A</w:t>
            </w:r>
          </w:p>
        </w:tc>
        <w:tc>
          <w:tcPr>
            <w:tcW w:w="86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3"/>
                <w:szCs w:val="13"/>
                <w:b w:val="1"/>
                <w:bCs w:val="1"/>
                <w:color w:val="2459A8"/>
                <w:w w:val="84"/>
              </w:rPr>
              <w:t>B</w:t>
            </w:r>
          </w:p>
        </w:tc>
        <w:tc>
          <w:tcPr>
            <w:tcW w:w="1000" w:type="dxa"/>
            <w:vAlign w:val="bottom"/>
            <w:tcBorders>
              <w:top w:val="single" w:sz="8" w:color="2459A8"/>
              <w:bottom w:val="single" w:sz="8" w:color="2459A8"/>
            </w:tcBorders>
          </w:tcPr>
          <w:p>
            <w:pPr>
              <w:jc w:val="center"/>
              <w:ind w:right="36"/>
              <w:spacing w:after="0"/>
              <w:rPr>
                <w:sz w:val="20"/>
                <w:szCs w:val="20"/>
                <w:color w:val="auto"/>
              </w:rPr>
            </w:pPr>
            <w:r>
              <w:rPr>
                <w:rFonts w:ascii="Arial" w:cs="Arial" w:eastAsia="Arial" w:hAnsi="Arial"/>
                <w:sz w:val="13"/>
                <w:szCs w:val="13"/>
                <w:b w:val="1"/>
                <w:bCs w:val="1"/>
                <w:color w:val="2459A8"/>
              </w:rPr>
              <w:t>C</w:t>
            </w:r>
          </w:p>
        </w:tc>
        <w:tc>
          <w:tcPr>
            <w:tcW w:w="880" w:type="dxa"/>
            <w:vAlign w:val="bottom"/>
            <w:tcBorders>
              <w:top w:val="single" w:sz="8" w:color="2459A8"/>
              <w:bottom w:val="single" w:sz="8" w:color="2459A8"/>
            </w:tcBorders>
          </w:tcPr>
          <w:p>
            <w:pPr>
              <w:jc w:val="center"/>
              <w:ind w:right="15"/>
              <w:spacing w:after="0"/>
              <w:rPr>
                <w:sz w:val="20"/>
                <w:szCs w:val="20"/>
                <w:color w:val="auto"/>
              </w:rPr>
            </w:pPr>
            <w:r>
              <w:rPr>
                <w:rFonts w:ascii="Arial" w:cs="Arial" w:eastAsia="Arial" w:hAnsi="Arial"/>
                <w:sz w:val="13"/>
                <w:szCs w:val="13"/>
                <w:b w:val="1"/>
                <w:bCs w:val="1"/>
                <w:color w:val="2459A8"/>
                <w:w w:val="84"/>
              </w:rPr>
              <w:t>D</w:t>
            </w:r>
          </w:p>
        </w:tc>
        <w:tc>
          <w:tcPr>
            <w:tcW w:w="68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3"/>
                <w:szCs w:val="13"/>
                <w:b w:val="1"/>
                <w:bCs w:val="1"/>
                <w:color w:val="2459A8"/>
                <w:w w:val="91"/>
              </w:rPr>
              <w:t>E</w:t>
            </w:r>
          </w:p>
        </w:tc>
        <w:tc>
          <w:tcPr>
            <w:tcW w:w="102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F</w:t>
            </w:r>
          </w:p>
        </w:tc>
        <w:tc>
          <w:tcPr>
            <w:tcW w:w="900" w:type="dxa"/>
            <w:vAlign w:val="bottom"/>
            <w:tcBorders>
              <w:top w:val="single" w:sz="8" w:color="2459A8"/>
              <w:bottom w:val="single" w:sz="8" w:color="2459A8"/>
            </w:tcBorders>
          </w:tcPr>
          <w:p>
            <w:pPr>
              <w:jc w:val="center"/>
              <w:ind w:right="55"/>
              <w:spacing w:after="0"/>
              <w:rPr>
                <w:sz w:val="20"/>
                <w:szCs w:val="20"/>
                <w:color w:val="auto"/>
              </w:rPr>
            </w:pPr>
            <w:r>
              <w:rPr>
                <w:rFonts w:ascii="Arial" w:cs="Arial" w:eastAsia="Arial" w:hAnsi="Arial"/>
                <w:sz w:val="13"/>
                <w:szCs w:val="13"/>
                <w:b w:val="1"/>
                <w:bCs w:val="1"/>
                <w:color w:val="2459A8"/>
                <w:w w:val="98"/>
              </w:rPr>
              <w:t>G</w:t>
            </w:r>
          </w:p>
        </w:tc>
        <w:tc>
          <w:tcPr>
            <w:tcW w:w="940" w:type="dxa"/>
            <w:vAlign w:val="bottom"/>
            <w:tcBorders>
              <w:top w:val="single" w:sz="8" w:color="2459A8"/>
              <w:bottom w:val="single" w:sz="8" w:color="2459A8"/>
            </w:tcBorders>
          </w:tcPr>
          <w:p>
            <w:pPr>
              <w:jc w:val="center"/>
              <w:ind w:right="15"/>
              <w:spacing w:after="0"/>
              <w:rPr>
                <w:sz w:val="20"/>
                <w:szCs w:val="20"/>
                <w:color w:val="auto"/>
              </w:rPr>
            </w:pPr>
            <w:r>
              <w:rPr>
                <w:rFonts w:ascii="Arial" w:cs="Arial" w:eastAsia="Arial" w:hAnsi="Arial"/>
                <w:sz w:val="13"/>
                <w:szCs w:val="13"/>
                <w:b w:val="1"/>
                <w:bCs w:val="1"/>
                <w:color w:val="2459A8"/>
              </w:rPr>
              <w:t>H</w:t>
            </w:r>
          </w:p>
        </w:tc>
        <w:tc>
          <w:tcPr>
            <w:tcW w:w="112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I</w:t>
            </w:r>
          </w:p>
        </w:tc>
        <w:tc>
          <w:tcPr>
            <w:tcW w:w="92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J</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Borders>
              <w:bottom w:val="single" w:sz="8" w:color="2459A8"/>
            </w:tcBorders>
          </w:tcPr>
          <w:p>
            <w:pPr>
              <w:spacing w:after="0"/>
              <w:rPr>
                <w:sz w:val="12"/>
                <w:szCs w:val="12"/>
                <w:color w:val="auto"/>
              </w:rPr>
            </w:pPr>
          </w:p>
        </w:tc>
        <w:tc>
          <w:tcPr>
            <w:tcW w:w="860" w:type="dxa"/>
            <w:vAlign w:val="bottom"/>
            <w:tcBorders>
              <w:bottom w:val="single" w:sz="8" w:color="2459A8"/>
            </w:tcBorders>
          </w:tcPr>
          <w:p>
            <w:pPr>
              <w:spacing w:after="0"/>
              <w:rPr>
                <w:sz w:val="12"/>
                <w:szCs w:val="12"/>
                <w:color w:val="auto"/>
              </w:rPr>
            </w:pPr>
          </w:p>
        </w:tc>
        <w:tc>
          <w:tcPr>
            <w:tcW w:w="1880" w:type="dxa"/>
            <w:vAlign w:val="bottom"/>
            <w:tcBorders>
              <w:bottom w:val="single" w:sz="8" w:color="2459A8"/>
            </w:tcBorders>
            <w:gridSpan w:val="2"/>
          </w:tcPr>
          <w:p>
            <w:pPr>
              <w:jc w:val="right"/>
              <w:ind w:right="15"/>
              <w:spacing w:after="0" w:line="142" w:lineRule="exact"/>
              <w:rPr>
                <w:sz w:val="20"/>
                <w:szCs w:val="20"/>
                <w:color w:val="auto"/>
              </w:rPr>
            </w:pPr>
            <w:r>
              <w:rPr>
                <w:rFonts w:ascii="Arial" w:cs="Arial" w:eastAsia="Arial" w:hAnsi="Arial"/>
                <w:sz w:val="13"/>
                <w:szCs w:val="13"/>
                <w:b w:val="1"/>
                <w:bCs w:val="1"/>
                <w:color w:val="2459A8"/>
              </w:rPr>
              <w:t>Option Awards</w:t>
            </w:r>
          </w:p>
        </w:tc>
        <w:tc>
          <w:tcPr>
            <w:tcW w:w="680" w:type="dxa"/>
            <w:vAlign w:val="bottom"/>
            <w:tcBorders>
              <w:bottom w:val="single" w:sz="8" w:color="2459A8"/>
            </w:tcBorders>
          </w:tcPr>
          <w:p>
            <w:pPr>
              <w:spacing w:after="0"/>
              <w:rPr>
                <w:sz w:val="12"/>
                <w:szCs w:val="12"/>
                <w:color w:val="auto"/>
              </w:rPr>
            </w:pPr>
          </w:p>
        </w:tc>
        <w:tc>
          <w:tcPr>
            <w:tcW w:w="1020" w:type="dxa"/>
            <w:vAlign w:val="bottom"/>
            <w:tcBorders>
              <w:bottom w:val="single" w:sz="8" w:color="2459A8"/>
            </w:tcBorders>
          </w:tcPr>
          <w:p>
            <w:pPr>
              <w:spacing w:after="0"/>
              <w:rPr>
                <w:sz w:val="12"/>
                <w:szCs w:val="12"/>
                <w:color w:val="auto"/>
              </w:rPr>
            </w:pPr>
          </w:p>
        </w:tc>
        <w:tc>
          <w:tcPr>
            <w:tcW w:w="900" w:type="dxa"/>
            <w:vAlign w:val="bottom"/>
            <w:tcBorders>
              <w:bottom w:val="single" w:sz="8" w:color="2459A8"/>
            </w:tcBorders>
          </w:tcPr>
          <w:p>
            <w:pPr>
              <w:spacing w:after="0"/>
              <w:rPr>
                <w:sz w:val="12"/>
                <w:szCs w:val="12"/>
                <w:color w:val="auto"/>
              </w:rPr>
            </w:pPr>
          </w:p>
        </w:tc>
        <w:tc>
          <w:tcPr>
            <w:tcW w:w="2060" w:type="dxa"/>
            <w:vAlign w:val="bottom"/>
            <w:tcBorders>
              <w:bottom w:val="single" w:sz="8" w:color="2459A8"/>
            </w:tcBorders>
            <w:gridSpan w:val="2"/>
          </w:tcPr>
          <w:p>
            <w:pPr>
              <w:jc w:val="right"/>
              <w:ind w:right="515"/>
              <w:spacing w:after="0" w:line="142" w:lineRule="exact"/>
              <w:rPr>
                <w:sz w:val="20"/>
                <w:szCs w:val="20"/>
                <w:color w:val="auto"/>
              </w:rPr>
            </w:pPr>
            <w:r>
              <w:rPr>
                <w:rFonts w:ascii="Arial" w:cs="Arial" w:eastAsia="Arial" w:hAnsi="Arial"/>
                <w:sz w:val="13"/>
                <w:szCs w:val="13"/>
                <w:b w:val="1"/>
                <w:bCs w:val="1"/>
                <w:color w:val="2459A8"/>
              </w:rPr>
              <w:t>Stock Awards</w:t>
            </w:r>
          </w:p>
        </w:tc>
        <w:tc>
          <w:tcPr>
            <w:tcW w:w="920" w:type="dxa"/>
            <w:vAlign w:val="bottom"/>
            <w:tcBorders>
              <w:bottom w:val="single" w:sz="8" w:color="2459A8"/>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3"/>
                <w:szCs w:val="13"/>
                <w:b w:val="1"/>
                <w:bCs w:val="1"/>
                <w:color w:val="2459A8"/>
              </w:rPr>
              <w:t>Equity</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rPr>
              <w:t>Equity</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2459A8"/>
                <w:w w:val="99"/>
              </w:rPr>
              <w:t>incentive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w w:val="99"/>
              </w:rPr>
              <w:t>incentive</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rPr>
              <w:t>Equity</w:t>
            </w: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2459A8"/>
              </w:rPr>
              <w:t>plan awards:</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jc w:val="right"/>
              <w:ind w:right="15"/>
              <w:spacing w:after="0"/>
              <w:rPr>
                <w:sz w:val="20"/>
                <w:szCs w:val="20"/>
                <w:color w:val="auto"/>
              </w:rPr>
            </w:pPr>
            <w:r>
              <w:rPr>
                <w:rFonts w:ascii="Arial" w:cs="Arial" w:eastAsia="Arial" w:hAnsi="Arial"/>
                <w:sz w:val="13"/>
                <w:szCs w:val="13"/>
                <w:b w:val="1"/>
                <w:bCs w:val="1"/>
                <w:color w:val="2459A8"/>
                <w:w w:val="98"/>
              </w:rPr>
              <w:t>plan awards:</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w w:val="99"/>
              </w:rPr>
              <w:t>incentive plan</w:t>
            </w: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2459A8"/>
              </w:rPr>
              <w:t>market 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2459A8"/>
                <w:w w:val="98"/>
              </w:rPr>
              <w:t>Number of</w:t>
            </w: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2459A8"/>
              </w:rPr>
              <w:t>Number of</w:t>
            </w: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rPr>
              <w:t>number of</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jc w:val="center"/>
              <w:ind w:right="75"/>
              <w:spacing w:after="0"/>
              <w:rPr>
                <w:sz w:val="20"/>
                <w:szCs w:val="20"/>
                <w:color w:val="auto"/>
              </w:rPr>
            </w:pPr>
            <w:r>
              <w:rPr>
                <w:rFonts w:ascii="Arial" w:cs="Arial" w:eastAsia="Arial" w:hAnsi="Arial"/>
                <w:sz w:val="13"/>
                <w:szCs w:val="13"/>
                <w:b w:val="1"/>
                <w:bCs w:val="1"/>
                <w:color w:val="2459A8"/>
                <w:w w:val="97"/>
              </w:rPr>
              <w:t>Number</w:t>
            </w:r>
          </w:p>
        </w:tc>
        <w:tc>
          <w:tcPr>
            <w:tcW w:w="9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w w:val="99"/>
              </w:rPr>
              <w:t>awards: number</w:t>
            </w: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2459A8"/>
              </w:rPr>
              <w:t>payout value</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2459A8"/>
                <w:w w:val="98"/>
              </w:rPr>
              <w:t>securities</w:t>
            </w: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2459A8"/>
              </w:rPr>
              <w:t>securities</w:t>
            </w: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w w:val="98"/>
              </w:rPr>
              <w:t>securities</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jc w:val="center"/>
              <w:ind w:right="55"/>
              <w:spacing w:after="0"/>
              <w:rPr>
                <w:sz w:val="20"/>
                <w:szCs w:val="20"/>
                <w:color w:val="auto"/>
              </w:rPr>
            </w:pPr>
            <w:r>
              <w:rPr>
                <w:rFonts w:ascii="Arial" w:cs="Arial" w:eastAsia="Arial" w:hAnsi="Arial"/>
                <w:sz w:val="13"/>
                <w:szCs w:val="13"/>
                <w:b w:val="1"/>
                <w:bCs w:val="1"/>
                <w:color w:val="2459A8"/>
              </w:rPr>
              <w:t>of shares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2459A8"/>
              </w:rPr>
              <w:t>Market value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w w:val="99"/>
              </w:rPr>
              <w:t>of unearned</w:t>
            </w:r>
          </w:p>
        </w:tc>
        <w:tc>
          <w:tcPr>
            <w:tcW w:w="14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2459A8"/>
                <w:w w:val="99"/>
              </w:rPr>
              <w:t>of unearned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2459A8"/>
              </w:rPr>
              <w:t>underlying</w:t>
            </w: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2459A8"/>
                <w:w w:val="99"/>
              </w:rPr>
              <w:t>underlying</w:t>
            </w: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rPr>
              <w:t>underlying</w:t>
            </w: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jc w:val="center"/>
              <w:ind w:right="75"/>
              <w:spacing w:after="0"/>
              <w:rPr>
                <w:sz w:val="20"/>
                <w:szCs w:val="20"/>
                <w:color w:val="auto"/>
              </w:rPr>
            </w:pPr>
            <w:r>
              <w:rPr>
                <w:rFonts w:ascii="Arial" w:cs="Arial" w:eastAsia="Arial" w:hAnsi="Arial"/>
                <w:sz w:val="13"/>
                <w:szCs w:val="13"/>
                <w:b w:val="1"/>
                <w:bCs w:val="1"/>
                <w:color w:val="2459A8"/>
              </w:rPr>
              <w:t>or units of</w:t>
            </w:r>
          </w:p>
        </w:tc>
        <w:tc>
          <w:tcPr>
            <w:tcW w:w="940" w:type="dxa"/>
            <w:vAlign w:val="bottom"/>
          </w:tcPr>
          <w:p>
            <w:pPr>
              <w:jc w:val="center"/>
              <w:ind w:right="15"/>
              <w:spacing w:after="0"/>
              <w:rPr>
                <w:sz w:val="20"/>
                <w:szCs w:val="20"/>
                <w:color w:val="auto"/>
              </w:rPr>
            </w:pPr>
            <w:r>
              <w:rPr>
                <w:rFonts w:ascii="Arial" w:cs="Arial" w:eastAsia="Arial" w:hAnsi="Arial"/>
                <w:sz w:val="13"/>
                <w:szCs w:val="13"/>
                <w:b w:val="1"/>
                <w:bCs w:val="1"/>
                <w:color w:val="2459A8"/>
                <w:w w:val="99"/>
              </w:rPr>
              <w:t>of shares or</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w w:val="99"/>
              </w:rPr>
              <w:t>shares, units</w:t>
            </w:r>
          </w:p>
        </w:tc>
        <w:tc>
          <w:tcPr>
            <w:tcW w:w="14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2459A8"/>
                <w:w w:val="99"/>
              </w:rPr>
              <w:t>shares, units</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2459A8"/>
              </w:rPr>
              <w:t>unexercised</w:t>
            </w:r>
          </w:p>
        </w:tc>
        <w:tc>
          <w:tcPr>
            <w:tcW w:w="1000" w:type="dxa"/>
            <w:vAlign w:val="bottom"/>
          </w:tcPr>
          <w:p>
            <w:pPr>
              <w:jc w:val="center"/>
              <w:ind w:right="56"/>
              <w:spacing w:after="0"/>
              <w:rPr>
                <w:sz w:val="20"/>
                <w:szCs w:val="20"/>
                <w:color w:val="auto"/>
              </w:rPr>
            </w:pPr>
            <w:r>
              <w:rPr>
                <w:rFonts w:ascii="Arial" w:cs="Arial" w:eastAsia="Arial" w:hAnsi="Arial"/>
                <w:sz w:val="13"/>
                <w:szCs w:val="13"/>
                <w:b w:val="1"/>
                <w:bCs w:val="1"/>
                <w:color w:val="2459A8"/>
              </w:rPr>
              <w:t>unexercised</w:t>
            </w:r>
          </w:p>
        </w:tc>
        <w:tc>
          <w:tcPr>
            <w:tcW w:w="880" w:type="dxa"/>
            <w:vAlign w:val="bottom"/>
          </w:tcPr>
          <w:p>
            <w:pPr>
              <w:jc w:val="right"/>
              <w:ind w:right="35"/>
              <w:spacing w:after="0"/>
              <w:rPr>
                <w:sz w:val="20"/>
                <w:szCs w:val="20"/>
                <w:color w:val="auto"/>
              </w:rPr>
            </w:pPr>
            <w:r>
              <w:rPr>
                <w:rFonts w:ascii="Arial" w:cs="Arial" w:eastAsia="Arial" w:hAnsi="Arial"/>
                <w:sz w:val="13"/>
                <w:szCs w:val="13"/>
                <w:b w:val="1"/>
                <w:bCs w:val="1"/>
                <w:color w:val="2459A8"/>
              </w:rPr>
              <w:t>unexercised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2459A8"/>
              </w:rPr>
              <w:t>Option</w:t>
            </w:r>
          </w:p>
        </w:tc>
        <w:tc>
          <w:tcPr>
            <w:tcW w:w="1020" w:type="dxa"/>
            <w:vAlign w:val="bottom"/>
          </w:tcPr>
          <w:p>
            <w:pPr>
              <w:spacing w:after="0"/>
              <w:rPr>
                <w:sz w:val="12"/>
                <w:szCs w:val="12"/>
                <w:color w:val="auto"/>
              </w:rPr>
            </w:pPr>
          </w:p>
        </w:tc>
        <w:tc>
          <w:tcPr>
            <w:tcW w:w="900" w:type="dxa"/>
            <w:vAlign w:val="bottom"/>
          </w:tcPr>
          <w:p>
            <w:pPr>
              <w:jc w:val="center"/>
              <w:ind w:right="55"/>
              <w:spacing w:after="0"/>
              <w:rPr>
                <w:sz w:val="20"/>
                <w:szCs w:val="20"/>
                <w:color w:val="auto"/>
              </w:rPr>
            </w:pPr>
            <w:r>
              <w:rPr>
                <w:rFonts w:ascii="Arial" w:cs="Arial" w:eastAsia="Arial" w:hAnsi="Arial"/>
                <w:sz w:val="13"/>
                <w:szCs w:val="13"/>
                <w:b w:val="1"/>
                <w:bCs w:val="1"/>
                <w:color w:val="2459A8"/>
              </w:rPr>
              <w:t>stock that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2459A8"/>
                <w:w w:val="99"/>
              </w:rPr>
              <w:t>units of stock</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rPr>
              <w:t>or other rights</w:t>
            </w:r>
          </w:p>
        </w:tc>
        <w:tc>
          <w:tcPr>
            <w:tcW w:w="14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2459A8"/>
              </w:rPr>
              <w:t>or other rights</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2459A8"/>
              </w:rPr>
              <w:t>options</w:t>
            </w: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2459A8"/>
                <w:w w:val="97"/>
              </w:rPr>
              <w:t>options</w:t>
            </w: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rPr>
              <w:t>unearned</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2459A8"/>
                <w:w w:val="99"/>
              </w:rPr>
              <w:t>exercise</w:t>
            </w:r>
          </w:p>
        </w:tc>
        <w:tc>
          <w:tcPr>
            <w:tcW w:w="1020" w:type="dxa"/>
            <w:vAlign w:val="bottom"/>
          </w:tcPr>
          <w:p>
            <w:pPr>
              <w:spacing w:after="0"/>
              <w:rPr>
                <w:sz w:val="12"/>
                <w:szCs w:val="12"/>
                <w:color w:val="auto"/>
              </w:rPr>
            </w:pPr>
          </w:p>
        </w:tc>
        <w:tc>
          <w:tcPr>
            <w:tcW w:w="900" w:type="dxa"/>
            <w:vAlign w:val="bottom"/>
          </w:tcPr>
          <w:p>
            <w:pPr>
              <w:jc w:val="center"/>
              <w:ind w:right="55"/>
              <w:spacing w:after="0"/>
              <w:rPr>
                <w:sz w:val="20"/>
                <w:szCs w:val="20"/>
                <w:color w:val="auto"/>
              </w:rPr>
            </w:pPr>
            <w:r>
              <w:rPr>
                <w:rFonts w:ascii="Arial" w:cs="Arial" w:eastAsia="Arial" w:hAnsi="Arial"/>
                <w:sz w:val="13"/>
                <w:szCs w:val="13"/>
                <w:b w:val="1"/>
                <w:bCs w:val="1"/>
                <w:color w:val="2459A8"/>
              </w:rPr>
              <w:t>have not</w:t>
            </w:r>
          </w:p>
        </w:tc>
        <w:tc>
          <w:tcPr>
            <w:tcW w:w="940" w:type="dxa"/>
            <w:vAlign w:val="bottom"/>
          </w:tcPr>
          <w:p>
            <w:pPr>
              <w:jc w:val="center"/>
              <w:ind w:right="15"/>
              <w:spacing w:after="0"/>
              <w:rPr>
                <w:sz w:val="20"/>
                <w:szCs w:val="20"/>
                <w:color w:val="auto"/>
              </w:rPr>
            </w:pPr>
            <w:r>
              <w:rPr>
                <w:rFonts w:ascii="Arial" w:cs="Arial" w:eastAsia="Arial" w:hAnsi="Arial"/>
                <w:sz w:val="13"/>
                <w:szCs w:val="13"/>
                <w:b w:val="1"/>
                <w:bCs w:val="1"/>
                <w:color w:val="2459A8"/>
              </w:rPr>
              <w:t>that have not</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rPr>
              <w:t>that have not</w:t>
            </w:r>
          </w:p>
        </w:tc>
        <w:tc>
          <w:tcPr>
            <w:tcW w:w="14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2459A8"/>
              </w:rPr>
              <w:t>that have not</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840" w:type="dxa"/>
            <w:vAlign w:val="bottom"/>
            <w:gridSpan w:val="2"/>
            <w:vMerge w:val="restart"/>
          </w:tcPr>
          <w:p>
            <w:pPr>
              <w:spacing w:after="0"/>
              <w:rPr>
                <w:sz w:val="20"/>
                <w:szCs w:val="20"/>
                <w:color w:val="auto"/>
              </w:rPr>
            </w:pPr>
            <w:r>
              <w:rPr>
                <w:rFonts w:ascii="Arial" w:cs="Arial" w:eastAsia="Arial" w:hAnsi="Arial"/>
                <w:sz w:val="13"/>
                <w:szCs w:val="13"/>
                <w:b w:val="1"/>
                <w:bCs w:val="1"/>
                <w:color w:val="2459A8"/>
              </w:rPr>
              <w:t>Name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2459A8"/>
              </w:rPr>
              <w:t>exercisable</w:t>
            </w:r>
          </w:p>
        </w:tc>
        <w:tc>
          <w:tcPr>
            <w:tcW w:w="1000" w:type="dxa"/>
            <w:vAlign w:val="bottom"/>
          </w:tcPr>
          <w:p>
            <w:pPr>
              <w:jc w:val="center"/>
              <w:ind w:right="36"/>
              <w:spacing w:after="0"/>
              <w:rPr>
                <w:sz w:val="20"/>
                <w:szCs w:val="20"/>
                <w:color w:val="auto"/>
              </w:rPr>
            </w:pPr>
            <w:r>
              <w:rPr>
                <w:rFonts w:ascii="Arial" w:cs="Arial" w:eastAsia="Arial" w:hAnsi="Arial"/>
                <w:sz w:val="13"/>
                <w:szCs w:val="13"/>
                <w:b w:val="1"/>
                <w:bCs w:val="1"/>
                <w:color w:val="2459A8"/>
                <w:w w:val="99"/>
              </w:rPr>
              <w:t>unexercisable</w:t>
            </w:r>
          </w:p>
        </w:tc>
        <w:tc>
          <w:tcPr>
            <w:tcW w:w="880" w:type="dxa"/>
            <w:vAlign w:val="bottom"/>
          </w:tcPr>
          <w:p>
            <w:pPr>
              <w:jc w:val="center"/>
              <w:ind w:right="15"/>
              <w:spacing w:after="0"/>
              <w:rPr>
                <w:sz w:val="20"/>
                <w:szCs w:val="20"/>
                <w:color w:val="auto"/>
              </w:rPr>
            </w:pPr>
            <w:r>
              <w:rPr>
                <w:rFonts w:ascii="Arial" w:cs="Arial" w:eastAsia="Arial" w:hAnsi="Arial"/>
                <w:sz w:val="13"/>
                <w:szCs w:val="13"/>
                <w:b w:val="1"/>
                <w:bCs w:val="1"/>
                <w:color w:val="2459A8"/>
              </w:rPr>
              <w:t>options</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2459A8"/>
              </w:rPr>
              <w:t>price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2459A8"/>
              </w:rPr>
              <w:t>Option</w:t>
            </w:r>
          </w:p>
        </w:tc>
        <w:tc>
          <w:tcPr>
            <w:tcW w:w="900" w:type="dxa"/>
            <w:vAlign w:val="bottom"/>
          </w:tcPr>
          <w:p>
            <w:pPr>
              <w:jc w:val="center"/>
              <w:ind w:right="55"/>
              <w:spacing w:after="0"/>
              <w:rPr>
                <w:sz w:val="20"/>
                <w:szCs w:val="20"/>
                <w:color w:val="auto"/>
              </w:rPr>
            </w:pPr>
            <w:r>
              <w:rPr>
                <w:rFonts w:ascii="Arial" w:cs="Arial" w:eastAsia="Arial" w:hAnsi="Arial"/>
                <w:sz w:val="13"/>
                <w:szCs w:val="13"/>
                <w:b w:val="1"/>
                <w:bCs w:val="1"/>
                <w:color w:val="2459A8"/>
              </w:rPr>
              <w:t>vested</w:t>
            </w:r>
          </w:p>
        </w:tc>
        <w:tc>
          <w:tcPr>
            <w:tcW w:w="940" w:type="dxa"/>
            <w:vAlign w:val="bottom"/>
          </w:tcPr>
          <w:p>
            <w:pPr>
              <w:jc w:val="center"/>
              <w:ind w:right="15"/>
              <w:spacing w:after="0"/>
              <w:rPr>
                <w:sz w:val="20"/>
                <w:szCs w:val="20"/>
                <w:color w:val="auto"/>
              </w:rPr>
            </w:pPr>
            <w:r>
              <w:rPr>
                <w:rFonts w:ascii="Arial" w:cs="Arial" w:eastAsia="Arial" w:hAnsi="Arial"/>
                <w:sz w:val="13"/>
                <w:szCs w:val="13"/>
                <w:b w:val="1"/>
                <w:bCs w:val="1"/>
                <w:color w:val="2459A8"/>
              </w:rPr>
              <w:t>vested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2459A8"/>
              </w:rPr>
              <w:t>vested</w:t>
            </w:r>
          </w:p>
        </w:tc>
        <w:tc>
          <w:tcPr>
            <w:tcW w:w="14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2459A8"/>
              </w:rPr>
              <w:t>vested</w:t>
            </w: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840" w:type="dxa"/>
            <w:vAlign w:val="bottom"/>
            <w:tcBorders>
              <w:bottom w:val="single" w:sz="8" w:color="2459A8"/>
            </w:tcBorders>
            <w:gridSpan w:val="2"/>
            <w:vMerge w:val="continue"/>
          </w:tcPr>
          <w:p>
            <w:pPr>
              <w:spacing w:after="0"/>
              <w:rPr>
                <w:sz w:val="14"/>
                <w:szCs w:val="14"/>
                <w:color w:val="auto"/>
              </w:rPr>
            </w:pPr>
          </w:p>
        </w:tc>
        <w:tc>
          <w:tcPr>
            <w:tcW w:w="860" w:type="dxa"/>
            <w:vAlign w:val="bottom"/>
            <w:tcBorders>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w:t>
            </w:r>
          </w:p>
        </w:tc>
        <w:tc>
          <w:tcPr>
            <w:tcW w:w="1000" w:type="dxa"/>
            <w:vAlign w:val="bottom"/>
            <w:tcBorders>
              <w:bottom w:val="single" w:sz="8" w:color="2459A8"/>
            </w:tcBorders>
          </w:tcPr>
          <w:p>
            <w:pPr>
              <w:jc w:val="center"/>
              <w:ind w:right="56"/>
              <w:spacing w:after="0"/>
              <w:rPr>
                <w:sz w:val="20"/>
                <w:szCs w:val="20"/>
                <w:color w:val="auto"/>
              </w:rPr>
            </w:pPr>
            <w:r>
              <w:rPr>
                <w:rFonts w:ascii="Arial" w:cs="Arial" w:eastAsia="Arial" w:hAnsi="Arial"/>
                <w:sz w:val="13"/>
                <w:szCs w:val="13"/>
                <w:b w:val="1"/>
                <w:bCs w:val="1"/>
                <w:color w:val="2459A8"/>
              </w:rPr>
              <w:t>(#)</w:t>
            </w:r>
          </w:p>
        </w:tc>
        <w:tc>
          <w:tcPr>
            <w:tcW w:w="880" w:type="dxa"/>
            <w:vAlign w:val="bottom"/>
            <w:tcBorders>
              <w:bottom w:val="single" w:sz="8" w:color="2459A8"/>
            </w:tcBorders>
          </w:tcPr>
          <w:p>
            <w:pPr>
              <w:jc w:val="center"/>
              <w:ind w:right="15"/>
              <w:spacing w:after="0"/>
              <w:rPr>
                <w:sz w:val="20"/>
                <w:szCs w:val="20"/>
                <w:color w:val="auto"/>
              </w:rPr>
            </w:pPr>
            <w:r>
              <w:rPr>
                <w:rFonts w:ascii="Arial" w:cs="Arial" w:eastAsia="Arial" w:hAnsi="Arial"/>
                <w:sz w:val="13"/>
                <w:szCs w:val="13"/>
                <w:b w:val="1"/>
                <w:bCs w:val="1"/>
                <w:color w:val="2459A8"/>
              </w:rPr>
              <w:t>(#)</w:t>
            </w:r>
          </w:p>
        </w:tc>
        <w:tc>
          <w:tcPr>
            <w:tcW w:w="680" w:type="dxa"/>
            <w:vAlign w:val="bottom"/>
            <w:tcBorders>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w:t>
            </w:r>
          </w:p>
        </w:tc>
        <w:tc>
          <w:tcPr>
            <w:tcW w:w="1020" w:type="dxa"/>
            <w:vAlign w:val="bottom"/>
            <w:tcBorders>
              <w:bottom w:val="single" w:sz="8" w:color="2459A8"/>
            </w:tcBorders>
          </w:tcPr>
          <w:p>
            <w:pPr>
              <w:jc w:val="center"/>
              <w:spacing w:after="0"/>
              <w:rPr>
                <w:sz w:val="20"/>
                <w:szCs w:val="20"/>
                <w:color w:val="auto"/>
              </w:rPr>
            </w:pPr>
            <w:r>
              <w:rPr>
                <w:rFonts w:ascii="Arial" w:cs="Arial" w:eastAsia="Arial" w:hAnsi="Arial"/>
                <w:sz w:val="13"/>
                <w:szCs w:val="13"/>
                <w:b w:val="1"/>
                <w:bCs w:val="1"/>
                <w:color w:val="2459A8"/>
                <w:w w:val="99"/>
              </w:rPr>
              <w:t>expiration date</w:t>
            </w:r>
          </w:p>
        </w:tc>
        <w:tc>
          <w:tcPr>
            <w:tcW w:w="900" w:type="dxa"/>
            <w:vAlign w:val="bottom"/>
            <w:tcBorders>
              <w:bottom w:val="single" w:sz="8" w:color="2459A8"/>
            </w:tcBorders>
          </w:tcPr>
          <w:p>
            <w:pPr>
              <w:jc w:val="center"/>
              <w:ind w:right="75"/>
              <w:spacing w:after="0"/>
              <w:rPr>
                <w:sz w:val="20"/>
                <w:szCs w:val="20"/>
                <w:color w:val="auto"/>
              </w:rPr>
            </w:pPr>
            <w:r>
              <w:rPr>
                <w:rFonts w:ascii="Arial" w:cs="Arial" w:eastAsia="Arial" w:hAnsi="Arial"/>
                <w:sz w:val="13"/>
                <w:szCs w:val="13"/>
                <w:b w:val="1"/>
                <w:bCs w:val="1"/>
                <w:color w:val="2459A8"/>
              </w:rPr>
              <w:t>(#)</w:t>
            </w:r>
          </w:p>
        </w:tc>
        <w:tc>
          <w:tcPr>
            <w:tcW w:w="940" w:type="dxa"/>
            <w:vAlign w:val="bottom"/>
            <w:tcBorders>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w:t>
            </w:r>
          </w:p>
        </w:tc>
        <w:tc>
          <w:tcPr>
            <w:tcW w:w="1120" w:type="dxa"/>
            <w:vAlign w:val="bottom"/>
            <w:tcBorders>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w:t>
            </w:r>
          </w:p>
        </w:tc>
        <w:tc>
          <w:tcPr>
            <w:tcW w:w="920" w:type="dxa"/>
            <w:vAlign w:val="bottom"/>
            <w:tcBorders>
              <w:bottom w:val="single" w:sz="8" w:color="2459A8"/>
            </w:tcBorders>
          </w:tcPr>
          <w:p>
            <w:pPr>
              <w:jc w:val="center"/>
              <w:spacing w:after="0"/>
              <w:rPr>
                <w:sz w:val="20"/>
                <w:szCs w:val="20"/>
                <w:color w:val="auto"/>
              </w:rPr>
            </w:pPr>
            <w:r>
              <w:rPr>
                <w:rFonts w:ascii="Arial" w:cs="Arial" w:eastAsia="Arial" w:hAnsi="Arial"/>
                <w:sz w:val="13"/>
                <w:szCs w:val="13"/>
                <w:b w:val="1"/>
                <w:bCs w:val="1"/>
                <w:color w:val="2459A8"/>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40,640</w:t>
            </w:r>
          </w:p>
        </w:tc>
        <w:tc>
          <w:tcPr>
            <w:tcW w:w="1000" w:type="dxa"/>
            <w:vAlign w:val="bottom"/>
            <w:tcBorders>
              <w:bottom w:val="single" w:sz="8" w:color="58585A"/>
            </w:tcBorders>
          </w:tcPr>
          <w:p>
            <w:pPr>
              <w:jc w:val="right"/>
              <w:spacing w:after="0" w:line="176" w:lineRule="exact"/>
              <w:rPr>
                <w:sz w:val="20"/>
                <w:szCs w:val="20"/>
                <w:color w:val="auto"/>
              </w:rPr>
            </w:pPr>
            <w:r>
              <w:rPr>
                <w:rFonts w:ascii="Arial" w:cs="Arial" w:eastAsia="Arial" w:hAnsi="Arial"/>
                <w:sz w:val="13"/>
                <w:szCs w:val="13"/>
                <w:color w:val="auto"/>
              </w:rPr>
              <w:t>40,638</w:t>
            </w:r>
            <w:r>
              <w:rPr>
                <w:rFonts w:ascii="Arial" w:cs="Arial" w:eastAsia="Arial" w:hAnsi="Arial"/>
                <w:sz w:val="20"/>
                <w:szCs w:val="20"/>
                <w:color w:val="auto"/>
                <w:vertAlign w:val="superscript"/>
              </w:rPr>
              <w:t>3</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372.46</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12/11/2029</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96,760</w:t>
            </w:r>
          </w:p>
        </w:tc>
        <w:tc>
          <w:tcPr>
            <w:tcW w:w="10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32,253</w:t>
            </w:r>
            <w:r>
              <w:rPr>
                <w:rFonts w:ascii="Arial" w:cs="Arial" w:eastAsia="Arial" w:hAnsi="Arial"/>
                <w:sz w:val="19"/>
                <w:szCs w:val="19"/>
                <w:color w:val="auto"/>
                <w:vertAlign w:val="superscript"/>
              </w:rPr>
              <w:t>4</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381.40</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12/12/2028</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139,474</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378.98</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12/12/2027</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3"/>
                <w:szCs w:val="13"/>
                <w:b w:val="1"/>
                <w:bCs w:val="1"/>
                <w:color w:val="D60058"/>
              </w:rPr>
              <w:t>Leonard S. Schleifer,</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146,815</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381.92</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12/16/2026</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3"/>
                <w:szCs w:val="13"/>
                <w:b w:val="1"/>
                <w:bCs w:val="1"/>
                <w:color w:val="D60058"/>
              </w:rPr>
              <w:t>M.D., Ph.D.</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172,723</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555.67</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12/16/2025</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203,204</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399.66</w:t>
            </w:r>
          </w:p>
        </w:tc>
        <w:tc>
          <w:tcPr>
            <w:tcW w:w="102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585A"/>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58585A"/>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58585A"/>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58585A"/>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58585A"/>
              <w:bottom w:val="single" w:sz="8" w:color="58585A"/>
            </w:tcBorders>
          </w:tcPr>
          <w:p>
            <w:pPr>
              <w:jc w:val="right"/>
              <w:spacing w:after="0" w:line="171" w:lineRule="exact"/>
              <w:rPr>
                <w:sz w:val="20"/>
                <w:szCs w:val="20"/>
                <w:color w:val="auto"/>
              </w:rPr>
            </w:pPr>
            <w:r>
              <w:rPr>
                <w:rFonts w:ascii="Arial" w:cs="Arial" w:eastAsia="Arial" w:hAnsi="Arial"/>
                <w:sz w:val="12"/>
                <w:szCs w:val="12"/>
                <w:color w:val="auto"/>
              </w:rPr>
              <w:t>248,108</w:t>
            </w:r>
            <w:r>
              <w:rPr>
                <w:rFonts w:ascii="Arial" w:cs="Arial" w:eastAsia="Arial" w:hAnsi="Arial"/>
                <w:sz w:val="19"/>
                <w:szCs w:val="19"/>
                <w:color w:val="auto"/>
                <w:vertAlign w:val="superscript"/>
              </w:rPr>
              <w:t>5</w:t>
            </w:r>
          </w:p>
        </w:tc>
        <w:tc>
          <w:tcPr>
            <w:tcW w:w="920" w:type="dxa"/>
            <w:vAlign w:val="bottom"/>
            <w:tcBorders>
              <w:top w:val="single" w:sz="8" w:color="58585A"/>
              <w:bottom w:val="single" w:sz="8" w:color="58585A"/>
            </w:tcBorders>
          </w:tcPr>
          <w:p>
            <w:pPr>
              <w:jc w:val="right"/>
              <w:spacing w:after="0" w:line="171" w:lineRule="exact"/>
              <w:rPr>
                <w:sz w:val="20"/>
                <w:szCs w:val="20"/>
                <w:color w:val="auto"/>
              </w:rPr>
            </w:pPr>
            <w:r>
              <w:rPr>
                <w:rFonts w:ascii="Arial" w:cs="Arial" w:eastAsia="Arial" w:hAnsi="Arial"/>
                <w:sz w:val="12"/>
                <w:szCs w:val="12"/>
                <w:color w:val="auto"/>
              </w:rPr>
              <w:t>156,685,164</w:t>
            </w:r>
            <w:r>
              <w:rPr>
                <w:rFonts w:ascii="Arial" w:cs="Arial" w:eastAsia="Arial" w:hAnsi="Arial"/>
                <w:sz w:val="19"/>
                <w:szCs w:val="19"/>
                <w:color w:val="auto"/>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25,155</w:t>
            </w:r>
            <w:r>
              <w:rPr>
                <w:rFonts w:ascii="Arial" w:cs="Arial" w:eastAsia="Arial" w:hAnsi="Arial"/>
                <w:sz w:val="19"/>
                <w:szCs w:val="19"/>
                <w:color w:val="auto"/>
                <w:vertAlign w:val="superscript"/>
              </w:rPr>
              <w:t>6</w:t>
            </w:r>
          </w:p>
        </w:tc>
        <w:tc>
          <w:tcPr>
            <w:tcW w:w="92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15,885,886</w:t>
            </w:r>
            <w:r>
              <w:rPr>
                <w:rFonts w:ascii="Arial" w:cs="Arial" w:eastAsia="Arial" w:hAnsi="Arial"/>
                <w:sz w:val="19"/>
                <w:szCs w:val="19"/>
                <w:color w:val="auto"/>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840" w:type="dxa"/>
            <w:vAlign w:val="bottom"/>
            <w:tcBorders>
              <w:bottom w:val="single" w:sz="8" w:color="58585A"/>
            </w:tcBorders>
            <w:gridSpan w:val="2"/>
          </w:tcPr>
          <w:p>
            <w:pPr>
              <w:ind w:left="1360"/>
              <w:spacing w:after="0"/>
              <w:rPr>
                <w:sz w:val="20"/>
                <w:szCs w:val="20"/>
                <w:color w:val="auto"/>
              </w:rPr>
            </w:pPr>
            <w:r>
              <w:rPr>
                <w:rFonts w:ascii="Arial" w:cs="Arial" w:eastAsia="Arial" w:hAnsi="Arial"/>
                <w:sz w:val="13"/>
                <w:szCs w:val="13"/>
                <w:b w:val="1"/>
                <w:bCs w:val="1"/>
                <w:color w:val="auto"/>
              </w:rPr>
              <w:t>TOTAL</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b w:val="1"/>
                <w:bCs w:val="1"/>
                <w:color w:val="auto"/>
              </w:rPr>
              <w:t>799,616</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b w:val="1"/>
                <w:bCs w:val="1"/>
                <w:color w:val="auto"/>
              </w:rPr>
              <w:t>72,891</w:t>
            </w:r>
          </w:p>
        </w:tc>
        <w:tc>
          <w:tcPr>
            <w:tcW w:w="880" w:type="dxa"/>
            <w:vAlign w:val="bottom"/>
            <w:tcBorders>
              <w:bottom w:val="single" w:sz="8" w:color="58585A"/>
            </w:tcBorders>
          </w:tcPr>
          <w:p>
            <w:pPr>
              <w:spacing w:after="0"/>
              <w:rPr>
                <w:sz w:val="14"/>
                <w:szCs w:val="14"/>
                <w:color w:val="auto"/>
              </w:rPr>
            </w:pPr>
          </w:p>
        </w:tc>
        <w:tc>
          <w:tcPr>
            <w:tcW w:w="680" w:type="dxa"/>
            <w:vAlign w:val="bottom"/>
            <w:tcBorders>
              <w:bottom w:val="single" w:sz="8" w:color="58585A"/>
            </w:tcBorders>
          </w:tcPr>
          <w:p>
            <w:pPr>
              <w:spacing w:after="0"/>
              <w:rPr>
                <w:sz w:val="14"/>
                <w:szCs w:val="14"/>
                <w:color w:val="auto"/>
              </w:rPr>
            </w:pPr>
          </w:p>
        </w:tc>
        <w:tc>
          <w:tcPr>
            <w:tcW w:w="1020" w:type="dxa"/>
            <w:vAlign w:val="bottom"/>
            <w:tcBorders>
              <w:bottom w:val="single" w:sz="8" w:color="58585A"/>
            </w:tcBorders>
          </w:tcPr>
          <w:p>
            <w:pPr>
              <w:spacing w:after="0"/>
              <w:rPr>
                <w:sz w:val="14"/>
                <w:szCs w:val="14"/>
                <w:color w:val="auto"/>
              </w:rPr>
            </w:pPr>
          </w:p>
        </w:tc>
        <w:tc>
          <w:tcPr>
            <w:tcW w:w="900" w:type="dxa"/>
            <w:vAlign w:val="bottom"/>
            <w:tcBorders>
              <w:bottom w:val="single" w:sz="8" w:color="58585A"/>
            </w:tcBorders>
          </w:tcPr>
          <w:p>
            <w:pPr>
              <w:spacing w:after="0"/>
              <w:rPr>
                <w:sz w:val="14"/>
                <w:szCs w:val="14"/>
                <w:color w:val="auto"/>
              </w:rPr>
            </w:pPr>
          </w:p>
        </w:tc>
        <w:tc>
          <w:tcPr>
            <w:tcW w:w="940" w:type="dxa"/>
            <w:vAlign w:val="bottom"/>
            <w:tcBorders>
              <w:bottom w:val="single" w:sz="8" w:color="58585A"/>
            </w:tcBorders>
          </w:tcPr>
          <w:p>
            <w:pPr>
              <w:spacing w:after="0"/>
              <w:rPr>
                <w:sz w:val="14"/>
                <w:szCs w:val="14"/>
                <w:color w:val="auto"/>
              </w:rPr>
            </w:pP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b w:val="1"/>
                <w:bCs w:val="1"/>
                <w:color w:val="auto"/>
              </w:rPr>
              <w:t>273,263</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b w:val="1"/>
                <w:bCs w:val="1"/>
                <w:color w:val="auto"/>
              </w:rPr>
              <w:t>172,571,050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14"/>
                <w:szCs w:val="14"/>
                <w:color w:val="auto"/>
              </w:rPr>
            </w:pP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40,640</w:t>
            </w:r>
          </w:p>
        </w:tc>
        <w:tc>
          <w:tcPr>
            <w:tcW w:w="1000" w:type="dxa"/>
            <w:vAlign w:val="bottom"/>
            <w:tcBorders>
              <w:bottom w:val="single" w:sz="8" w:color="58585A"/>
            </w:tcBorders>
            <w:shd w:val="clear" w:color="auto" w:fill="EEEEEF"/>
          </w:tcPr>
          <w:p>
            <w:pPr>
              <w:jc w:val="right"/>
              <w:spacing w:after="0" w:line="171" w:lineRule="exact"/>
              <w:rPr>
                <w:sz w:val="20"/>
                <w:szCs w:val="20"/>
                <w:color w:val="auto"/>
              </w:rPr>
            </w:pPr>
            <w:r>
              <w:rPr>
                <w:rFonts w:ascii="Arial" w:cs="Arial" w:eastAsia="Arial" w:hAnsi="Arial"/>
                <w:sz w:val="12"/>
                <w:szCs w:val="12"/>
                <w:color w:val="auto"/>
              </w:rPr>
              <w:t>40,638</w:t>
            </w:r>
            <w:r>
              <w:rPr>
                <w:rFonts w:ascii="Arial" w:cs="Arial" w:eastAsia="Arial" w:hAnsi="Arial"/>
                <w:sz w:val="19"/>
                <w:szCs w:val="19"/>
                <w:color w:val="auto"/>
                <w:vertAlign w:val="superscript"/>
              </w:rPr>
              <w:t>3</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372.46</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12/11/2029</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14"/>
                <w:szCs w:val="14"/>
                <w:color w:val="auto"/>
              </w:rPr>
            </w:pP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96,760</w:t>
            </w:r>
          </w:p>
        </w:tc>
        <w:tc>
          <w:tcPr>
            <w:tcW w:w="10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32,253</w:t>
            </w:r>
            <w:r>
              <w:rPr>
                <w:rFonts w:ascii="Arial" w:cs="Arial" w:eastAsia="Arial" w:hAnsi="Arial"/>
                <w:sz w:val="19"/>
                <w:szCs w:val="19"/>
                <w:color w:val="auto"/>
                <w:vertAlign w:val="superscript"/>
              </w:rPr>
              <w:t>4</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381.40</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12/12/2028</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14"/>
                <w:szCs w:val="14"/>
                <w:color w:val="auto"/>
              </w:rPr>
            </w:pP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139,474</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378.98</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12/12/2027</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3"/>
                <w:szCs w:val="13"/>
                <w:b w:val="1"/>
                <w:bCs w:val="1"/>
                <w:color w:val="D60058"/>
              </w:rPr>
              <w:t>George D. Yancopoulos,</w:t>
            </w: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146,815</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381.92</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12/16/2026</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3"/>
                <w:szCs w:val="13"/>
                <w:b w:val="1"/>
                <w:bCs w:val="1"/>
                <w:color w:val="D60058"/>
              </w:rPr>
              <w:t>M.D., Ph.D.</w:t>
            </w: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146,815</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555.67</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12/16/2025</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14"/>
                <w:szCs w:val="14"/>
                <w:color w:val="auto"/>
              </w:rPr>
            </w:pP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172,723</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399.66</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14"/>
                <w:szCs w:val="14"/>
                <w:color w:val="auto"/>
              </w:rPr>
            </w:pP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spacing w:after="0" w:line="171" w:lineRule="exact"/>
              <w:rPr>
                <w:sz w:val="20"/>
                <w:szCs w:val="20"/>
                <w:color w:val="auto"/>
              </w:rPr>
            </w:pPr>
            <w:r>
              <w:rPr>
                <w:rFonts w:ascii="Arial" w:cs="Arial" w:eastAsia="Arial" w:hAnsi="Arial"/>
                <w:sz w:val="12"/>
                <w:szCs w:val="12"/>
                <w:color w:val="auto"/>
              </w:rPr>
              <w:t>248,108</w:t>
            </w:r>
            <w:r>
              <w:rPr>
                <w:rFonts w:ascii="Arial" w:cs="Arial" w:eastAsia="Arial" w:hAnsi="Arial"/>
                <w:sz w:val="19"/>
                <w:szCs w:val="19"/>
                <w:color w:val="auto"/>
                <w:vertAlign w:val="superscript"/>
              </w:rPr>
              <w:t>5</w:t>
            </w:r>
          </w:p>
        </w:tc>
        <w:tc>
          <w:tcPr>
            <w:tcW w:w="920" w:type="dxa"/>
            <w:vAlign w:val="bottom"/>
            <w:tcBorders>
              <w:bottom w:val="single" w:sz="8" w:color="58585A"/>
            </w:tcBorders>
            <w:shd w:val="clear" w:color="auto" w:fill="EEEEEF"/>
          </w:tcPr>
          <w:p>
            <w:pPr>
              <w:jc w:val="right"/>
              <w:spacing w:after="0" w:line="171" w:lineRule="exact"/>
              <w:rPr>
                <w:sz w:val="20"/>
                <w:szCs w:val="20"/>
                <w:color w:val="auto"/>
              </w:rPr>
            </w:pPr>
            <w:r>
              <w:rPr>
                <w:rFonts w:ascii="Arial" w:cs="Arial" w:eastAsia="Arial" w:hAnsi="Arial"/>
                <w:sz w:val="12"/>
                <w:szCs w:val="12"/>
                <w:color w:val="auto"/>
              </w:rPr>
              <w:t>156,685,164</w:t>
            </w:r>
            <w:r>
              <w:rPr>
                <w:rFonts w:ascii="Arial" w:cs="Arial" w:eastAsia="Arial" w:hAnsi="Arial"/>
                <w:sz w:val="19"/>
                <w:szCs w:val="19"/>
                <w:color w:val="auto"/>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Borders>
              <w:bottom w:val="single" w:sz="8" w:color="EEEEEF"/>
            </w:tcBorders>
            <w:shd w:val="clear" w:color="auto" w:fill="EEEEEF"/>
          </w:tcPr>
          <w:p>
            <w:pPr>
              <w:spacing w:after="0"/>
              <w:rPr>
                <w:sz w:val="14"/>
                <w:szCs w:val="14"/>
                <w:color w:val="auto"/>
              </w:rPr>
            </w:pPr>
          </w:p>
        </w:tc>
        <w:tc>
          <w:tcPr>
            <w:tcW w:w="6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25,155</w:t>
            </w:r>
            <w:r>
              <w:rPr>
                <w:rFonts w:ascii="Arial" w:cs="Arial" w:eastAsia="Arial" w:hAnsi="Arial"/>
                <w:sz w:val="19"/>
                <w:szCs w:val="19"/>
                <w:color w:val="auto"/>
                <w:vertAlign w:val="superscript"/>
              </w:rPr>
              <w:t>6</w:t>
            </w:r>
          </w:p>
        </w:tc>
        <w:tc>
          <w:tcPr>
            <w:tcW w:w="92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15,885,886</w:t>
            </w:r>
            <w:r>
              <w:rPr>
                <w:rFonts w:ascii="Arial" w:cs="Arial" w:eastAsia="Arial" w:hAnsi="Arial"/>
                <w:sz w:val="19"/>
                <w:szCs w:val="19"/>
                <w:color w:val="auto"/>
                <w:vertAlign w:val="superscript"/>
              </w:rPr>
              <w:t>7</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780" w:type="dxa"/>
            <w:vAlign w:val="bottom"/>
            <w:tcBorders>
              <w:bottom w:val="single" w:sz="8" w:color="58585A"/>
            </w:tcBorders>
            <w:shd w:val="clear" w:color="auto" w:fill="EEEEEF"/>
          </w:tcPr>
          <w:p>
            <w:pPr>
              <w:ind w:left="1360"/>
              <w:spacing w:after="0"/>
              <w:rPr>
                <w:sz w:val="20"/>
                <w:szCs w:val="20"/>
                <w:color w:val="auto"/>
              </w:rPr>
            </w:pPr>
            <w:r>
              <w:rPr>
                <w:rFonts w:ascii="Arial" w:cs="Arial" w:eastAsia="Arial" w:hAnsi="Arial"/>
                <w:sz w:val="13"/>
                <w:szCs w:val="13"/>
                <w:b w:val="1"/>
                <w:bCs w:val="1"/>
                <w:color w:val="auto"/>
                <w:w w:val="92"/>
              </w:rPr>
              <w:t>TOTAL</w:t>
            </w:r>
          </w:p>
        </w:tc>
        <w:tc>
          <w:tcPr>
            <w:tcW w:w="60" w:type="dxa"/>
            <w:vAlign w:val="bottom"/>
            <w:tcBorders>
              <w:bottom w:val="single" w:sz="8" w:color="58585A"/>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b w:val="1"/>
                <w:bCs w:val="1"/>
                <w:color w:val="auto"/>
              </w:rPr>
              <w:t>743,227</w:t>
            </w:r>
          </w:p>
        </w:tc>
        <w:tc>
          <w:tcPr>
            <w:tcW w:w="1000" w:type="dxa"/>
            <w:vAlign w:val="bottom"/>
            <w:tcBorders>
              <w:bottom w:val="single" w:sz="8" w:color="58585A"/>
            </w:tcBorders>
            <w:shd w:val="clear" w:color="auto" w:fill="EEEEEF"/>
          </w:tcPr>
          <w:p>
            <w:pPr>
              <w:jc w:val="right"/>
              <w:ind w:right="56"/>
              <w:spacing w:after="0"/>
              <w:rPr>
                <w:sz w:val="20"/>
                <w:szCs w:val="20"/>
                <w:color w:val="auto"/>
              </w:rPr>
            </w:pPr>
            <w:r>
              <w:rPr>
                <w:rFonts w:ascii="Arial" w:cs="Arial" w:eastAsia="Arial" w:hAnsi="Arial"/>
                <w:sz w:val="13"/>
                <w:szCs w:val="13"/>
                <w:b w:val="1"/>
                <w:bCs w:val="1"/>
                <w:color w:val="auto"/>
              </w:rPr>
              <w:t>72,891</w:t>
            </w:r>
          </w:p>
        </w:tc>
        <w:tc>
          <w:tcPr>
            <w:tcW w:w="880" w:type="dxa"/>
            <w:vAlign w:val="bottom"/>
            <w:tcBorders>
              <w:bottom w:val="single" w:sz="8" w:color="58585A"/>
            </w:tcBorders>
            <w:shd w:val="clear" w:color="auto" w:fill="EEEEEF"/>
          </w:tcPr>
          <w:p>
            <w:pPr>
              <w:spacing w:after="0"/>
              <w:rPr>
                <w:sz w:val="14"/>
                <w:szCs w:val="14"/>
                <w:color w:val="auto"/>
              </w:rPr>
            </w:pPr>
          </w:p>
        </w:tc>
        <w:tc>
          <w:tcPr>
            <w:tcW w:w="680" w:type="dxa"/>
            <w:vAlign w:val="bottom"/>
            <w:tcBorders>
              <w:bottom w:val="single" w:sz="8" w:color="58585A"/>
            </w:tcBorders>
            <w:shd w:val="clear" w:color="auto" w:fill="EEEEEF"/>
          </w:tcPr>
          <w:p>
            <w:pPr>
              <w:spacing w:after="0"/>
              <w:rPr>
                <w:sz w:val="14"/>
                <w:szCs w:val="14"/>
                <w:color w:val="auto"/>
              </w:rPr>
            </w:pPr>
          </w:p>
        </w:tc>
        <w:tc>
          <w:tcPr>
            <w:tcW w:w="1020" w:type="dxa"/>
            <w:vAlign w:val="bottom"/>
            <w:tcBorders>
              <w:bottom w:val="single" w:sz="8" w:color="58585A"/>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spacing w:after="0"/>
              <w:rPr>
                <w:sz w:val="14"/>
                <w:szCs w:val="14"/>
                <w:color w:val="auto"/>
              </w:rPr>
            </w:pPr>
          </w:p>
        </w:tc>
        <w:tc>
          <w:tcPr>
            <w:tcW w:w="940" w:type="dxa"/>
            <w:vAlign w:val="bottom"/>
            <w:tcBorders>
              <w:bottom w:val="single" w:sz="8" w:color="58585A"/>
            </w:tcBorders>
            <w:shd w:val="clear" w:color="auto" w:fill="EEEEEF"/>
          </w:tcPr>
          <w:p>
            <w:pPr>
              <w:spacing w:after="0"/>
              <w:rPr>
                <w:sz w:val="14"/>
                <w:szCs w:val="14"/>
                <w:color w:val="auto"/>
              </w:rPr>
            </w:pPr>
          </w:p>
        </w:tc>
        <w:tc>
          <w:tcPr>
            <w:tcW w:w="11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b w:val="1"/>
                <w:bCs w:val="1"/>
                <w:color w:val="auto"/>
              </w:rPr>
              <w:t>273,263</w:t>
            </w:r>
          </w:p>
        </w:tc>
        <w:tc>
          <w:tcPr>
            <w:tcW w:w="92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b w:val="1"/>
                <w:bCs w:val="1"/>
                <w:color w:val="auto"/>
              </w:rPr>
              <w:t>172,571,050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jc w:val="right"/>
              <w:spacing w:after="0" w:line="171" w:lineRule="exact"/>
              <w:rPr>
                <w:sz w:val="20"/>
                <w:szCs w:val="20"/>
                <w:color w:val="auto"/>
              </w:rPr>
            </w:pPr>
            <w:r>
              <w:rPr>
                <w:rFonts w:ascii="Arial" w:cs="Arial" w:eastAsia="Arial" w:hAnsi="Arial"/>
                <w:sz w:val="12"/>
                <w:szCs w:val="12"/>
                <w:color w:val="auto"/>
              </w:rPr>
              <w:t>16,958</w:t>
            </w:r>
            <w:r>
              <w:rPr>
                <w:rFonts w:ascii="Arial" w:cs="Arial" w:eastAsia="Arial" w:hAnsi="Arial"/>
                <w:sz w:val="19"/>
                <w:szCs w:val="19"/>
                <w:color w:val="auto"/>
                <w:vertAlign w:val="superscript"/>
              </w:rPr>
              <w:t>1</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644.54</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12/08/2031</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4,988</w:t>
            </w:r>
          </w:p>
        </w:tc>
        <w:tc>
          <w:tcPr>
            <w:tcW w:w="10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14,962</w:t>
            </w:r>
            <w:r>
              <w:rPr>
                <w:rFonts w:ascii="Arial" w:cs="Arial" w:eastAsia="Arial" w:hAnsi="Arial"/>
                <w:sz w:val="19"/>
                <w:szCs w:val="19"/>
                <w:color w:val="auto"/>
                <w:vertAlign w:val="superscript"/>
              </w:rPr>
              <w:t>2</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492.00</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12/09/2030</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12,250</w:t>
            </w:r>
          </w:p>
        </w:tc>
        <w:tc>
          <w:tcPr>
            <w:tcW w:w="10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12,250</w:t>
            </w:r>
            <w:r>
              <w:rPr>
                <w:rFonts w:ascii="Arial" w:cs="Arial" w:eastAsia="Arial" w:hAnsi="Arial"/>
                <w:sz w:val="19"/>
                <w:szCs w:val="19"/>
                <w:color w:val="auto"/>
                <w:vertAlign w:val="superscript"/>
              </w:rPr>
              <w:t>3</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372.46</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12/11/2029</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15,000</w:t>
            </w:r>
          </w:p>
        </w:tc>
        <w:tc>
          <w:tcPr>
            <w:tcW w:w="10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5,000</w:t>
            </w:r>
            <w:r>
              <w:rPr>
                <w:rFonts w:ascii="Arial" w:cs="Arial" w:eastAsia="Arial" w:hAnsi="Arial"/>
                <w:sz w:val="19"/>
                <w:szCs w:val="19"/>
                <w:color w:val="auto"/>
                <w:vertAlign w:val="superscript"/>
              </w:rPr>
              <w:t>4</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381.40</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12/12/2028</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23,337</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378.98</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12/12/2027</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19,565</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381.92</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12/16/2026</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3"/>
                <w:szCs w:val="13"/>
                <w:b w:val="1"/>
                <w:bCs w:val="1"/>
                <w:color w:val="D60058"/>
              </w:rPr>
              <w:t>Robert E. Landry</w:t>
            </w: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2,500</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555.67</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12/16/2025</w:t>
            </w:r>
          </w:p>
        </w:tc>
        <w:tc>
          <w:tcPr>
            <w:tcW w:w="900" w:type="dxa"/>
            <w:vAlign w:val="bottom"/>
            <w:tcBorders>
              <w:bottom w:val="single" w:sz="8" w:color="58585A"/>
            </w:tcBorders>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17,000</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399.66</w:t>
            </w:r>
          </w:p>
        </w:tc>
        <w:tc>
          <w:tcPr>
            <w:tcW w:w="102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58585A"/>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58585A"/>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58585A"/>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58585A"/>
              <w:bottom w:val="single" w:sz="8" w:color="58585A"/>
            </w:tcBorders>
          </w:tcPr>
          <w:p>
            <w:pPr>
              <w:ind w:left="420"/>
              <w:spacing w:after="0" w:line="171" w:lineRule="exact"/>
              <w:rPr>
                <w:sz w:val="20"/>
                <w:szCs w:val="20"/>
                <w:color w:val="auto"/>
              </w:rPr>
            </w:pPr>
            <w:r>
              <w:rPr>
                <w:rFonts w:ascii="Arial" w:cs="Arial" w:eastAsia="Arial" w:hAnsi="Arial"/>
                <w:sz w:val="12"/>
                <w:szCs w:val="12"/>
                <w:color w:val="auto"/>
              </w:rPr>
              <w:t>3,971</w:t>
            </w:r>
            <w:r>
              <w:rPr>
                <w:rFonts w:ascii="Arial" w:cs="Arial" w:eastAsia="Arial" w:hAnsi="Arial"/>
                <w:sz w:val="19"/>
                <w:szCs w:val="19"/>
                <w:color w:val="auto"/>
                <w:vertAlign w:val="superscript"/>
              </w:rPr>
              <w:t>8</w:t>
            </w:r>
          </w:p>
        </w:tc>
        <w:tc>
          <w:tcPr>
            <w:tcW w:w="940" w:type="dxa"/>
            <w:vAlign w:val="bottom"/>
            <w:tcBorders>
              <w:top w:val="single" w:sz="8" w:color="58585A"/>
              <w:bottom w:val="single" w:sz="8" w:color="58585A"/>
            </w:tcBorders>
          </w:tcPr>
          <w:p>
            <w:pPr>
              <w:jc w:val="right"/>
              <w:spacing w:after="0" w:line="171" w:lineRule="exact"/>
              <w:rPr>
                <w:sz w:val="20"/>
                <w:szCs w:val="20"/>
                <w:color w:val="auto"/>
              </w:rPr>
            </w:pPr>
            <w:r>
              <w:rPr>
                <w:rFonts w:ascii="Arial" w:cs="Arial" w:eastAsia="Arial" w:hAnsi="Arial"/>
                <w:sz w:val="12"/>
                <w:szCs w:val="12"/>
                <w:color w:val="auto"/>
              </w:rPr>
              <w:t>2,507,766</w:t>
            </w:r>
            <w:r>
              <w:rPr>
                <w:rFonts w:ascii="Arial" w:cs="Arial" w:eastAsia="Arial" w:hAnsi="Arial"/>
                <w:sz w:val="19"/>
                <w:szCs w:val="19"/>
                <w:color w:val="auto"/>
                <w:vertAlign w:val="superscript"/>
              </w:rPr>
              <w:t>7</w:t>
            </w:r>
          </w:p>
        </w:tc>
        <w:tc>
          <w:tcPr>
            <w:tcW w:w="1120" w:type="dxa"/>
            <w:vAlign w:val="bottom"/>
            <w:tcBorders>
              <w:top w:val="single" w:sz="8" w:color="58585A"/>
              <w:bottom w:val="single" w:sz="8" w:color="58585A"/>
            </w:tcBorders>
          </w:tcPr>
          <w:p>
            <w:pPr>
              <w:spacing w:after="0"/>
              <w:rPr>
                <w:sz w:val="14"/>
                <w:szCs w:val="14"/>
                <w:color w:val="auto"/>
              </w:rPr>
            </w:pPr>
          </w:p>
        </w:tc>
        <w:tc>
          <w:tcPr>
            <w:tcW w:w="920" w:type="dxa"/>
            <w:vAlign w:val="bottom"/>
            <w:tcBorders>
              <w:top w:val="single" w:sz="8" w:color="58585A"/>
              <w:bottom w:val="single" w:sz="8" w:color="58585A"/>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spacing w:after="0"/>
              <w:rPr>
                <w:sz w:val="14"/>
                <w:szCs w:val="14"/>
                <w:color w:val="auto"/>
              </w:rPr>
            </w:pP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ind w:left="420"/>
              <w:spacing w:after="0" w:line="169" w:lineRule="exact"/>
              <w:rPr>
                <w:sz w:val="20"/>
                <w:szCs w:val="20"/>
                <w:color w:val="auto"/>
              </w:rPr>
            </w:pPr>
            <w:r>
              <w:rPr>
                <w:rFonts w:ascii="Arial" w:cs="Arial" w:eastAsia="Arial" w:hAnsi="Arial"/>
                <w:sz w:val="12"/>
                <w:szCs w:val="12"/>
                <w:color w:val="auto"/>
              </w:rPr>
              <w:t>1,930</w:t>
            </w:r>
            <w:r>
              <w:rPr>
                <w:rFonts w:ascii="Arial" w:cs="Arial" w:eastAsia="Arial" w:hAnsi="Arial"/>
                <w:sz w:val="19"/>
                <w:szCs w:val="19"/>
                <w:color w:val="auto"/>
                <w:vertAlign w:val="superscript"/>
              </w:rPr>
              <w:t>9</w:t>
            </w:r>
          </w:p>
        </w:tc>
        <w:tc>
          <w:tcPr>
            <w:tcW w:w="94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1,218,834</w:t>
            </w:r>
            <w:r>
              <w:rPr>
                <w:rFonts w:ascii="Arial" w:cs="Arial" w:eastAsia="Arial" w:hAnsi="Arial"/>
                <w:sz w:val="19"/>
                <w:szCs w:val="19"/>
                <w:color w:val="auto"/>
                <w:vertAlign w:val="superscript"/>
              </w:rPr>
              <w:t>7</w:t>
            </w:r>
          </w:p>
        </w:tc>
        <w:tc>
          <w:tcPr>
            <w:tcW w:w="1120" w:type="dxa"/>
            <w:vAlign w:val="bottom"/>
            <w:tcBorders>
              <w:bottom w:val="single" w:sz="8" w:color="58585A"/>
            </w:tcBorders>
          </w:tcPr>
          <w:p>
            <w:pPr>
              <w:spacing w:after="0"/>
              <w:rPr>
                <w:sz w:val="14"/>
                <w:szCs w:val="14"/>
                <w:color w:val="auto"/>
              </w:rPr>
            </w:pPr>
          </w:p>
        </w:tc>
        <w:tc>
          <w:tcPr>
            <w:tcW w:w="920" w:type="dxa"/>
            <w:vAlign w:val="bottom"/>
            <w:tcBorders>
              <w:bottom w:val="single" w:sz="8" w:color="58585A"/>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ind w:left="420"/>
              <w:spacing w:after="0" w:line="169" w:lineRule="exact"/>
              <w:rPr>
                <w:sz w:val="20"/>
                <w:szCs w:val="20"/>
                <w:color w:val="auto"/>
              </w:rPr>
            </w:pPr>
            <w:r>
              <w:rPr>
                <w:rFonts w:ascii="Arial" w:cs="Arial" w:eastAsia="Arial" w:hAnsi="Arial"/>
                <w:sz w:val="12"/>
                <w:szCs w:val="12"/>
                <w:color w:val="auto"/>
              </w:rPr>
              <w:t>1,312</w:t>
            </w:r>
            <w:r>
              <w:rPr>
                <w:rFonts w:ascii="Arial" w:cs="Arial" w:eastAsia="Arial" w:hAnsi="Arial"/>
                <w:sz w:val="19"/>
                <w:szCs w:val="19"/>
                <w:color w:val="auto"/>
                <w:vertAlign w:val="superscript"/>
              </w:rPr>
              <w:t>11</w:t>
            </w:r>
          </w:p>
        </w:tc>
        <w:tc>
          <w:tcPr>
            <w:tcW w:w="94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828,554</w:t>
            </w:r>
            <w:r>
              <w:rPr>
                <w:rFonts w:ascii="Arial" w:cs="Arial" w:eastAsia="Arial" w:hAnsi="Arial"/>
                <w:sz w:val="19"/>
                <w:szCs w:val="19"/>
                <w:color w:val="auto"/>
                <w:vertAlign w:val="superscript"/>
              </w:rPr>
              <w:t>7</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58585A"/>
            </w:tcBorders>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ind w:left="420"/>
              <w:spacing w:after="0" w:line="169" w:lineRule="exact"/>
              <w:rPr>
                <w:sz w:val="20"/>
                <w:szCs w:val="20"/>
                <w:color w:val="auto"/>
              </w:rPr>
            </w:pPr>
            <w:r>
              <w:rPr>
                <w:rFonts w:ascii="Arial" w:cs="Arial" w:eastAsia="Arial" w:hAnsi="Arial"/>
                <w:sz w:val="12"/>
                <w:szCs w:val="12"/>
                <w:color w:val="auto"/>
              </w:rPr>
              <w:t>5,000</w:t>
            </w:r>
            <w:r>
              <w:rPr>
                <w:rFonts w:ascii="Arial" w:cs="Arial" w:eastAsia="Arial" w:hAnsi="Arial"/>
                <w:sz w:val="19"/>
                <w:szCs w:val="19"/>
                <w:color w:val="auto"/>
                <w:vertAlign w:val="superscript"/>
              </w:rPr>
              <w:t>12</w:t>
            </w:r>
          </w:p>
        </w:tc>
        <w:tc>
          <w:tcPr>
            <w:tcW w:w="94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3,157,600</w:t>
            </w:r>
            <w:r>
              <w:rPr>
                <w:rFonts w:ascii="Arial" w:cs="Arial" w:eastAsia="Arial" w:hAnsi="Arial"/>
                <w:sz w:val="19"/>
                <w:szCs w:val="19"/>
                <w:color w:val="auto"/>
                <w:vertAlign w:val="superscript"/>
              </w:rPr>
              <w:t>7</w:t>
            </w:r>
          </w:p>
        </w:tc>
        <w:tc>
          <w:tcPr>
            <w:tcW w:w="11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2"/>
                <w:szCs w:val="12"/>
                <w:color w:val="auto"/>
              </w:rPr>
              <w:t>12,500</w:t>
            </w:r>
            <w:r>
              <w:rPr>
                <w:rFonts w:ascii="Arial" w:cs="Arial" w:eastAsia="Arial" w:hAnsi="Arial"/>
                <w:sz w:val="19"/>
                <w:szCs w:val="19"/>
                <w:color w:val="auto"/>
                <w:vertAlign w:val="superscript"/>
              </w:rPr>
              <w:t>13</w:t>
            </w:r>
          </w:p>
        </w:tc>
        <w:tc>
          <w:tcPr>
            <w:tcW w:w="940" w:type="dxa"/>
            <w:vAlign w:val="bottom"/>
          </w:tcPr>
          <w:p>
            <w:pPr>
              <w:jc w:val="right"/>
              <w:spacing w:after="0" w:line="169" w:lineRule="exact"/>
              <w:rPr>
                <w:sz w:val="20"/>
                <w:szCs w:val="20"/>
                <w:color w:val="auto"/>
              </w:rPr>
            </w:pPr>
            <w:r>
              <w:rPr>
                <w:rFonts w:ascii="Arial" w:cs="Arial" w:eastAsia="Arial" w:hAnsi="Arial"/>
                <w:sz w:val="12"/>
                <w:szCs w:val="12"/>
                <w:color w:val="auto"/>
              </w:rPr>
              <w:t>7,894,000</w:t>
            </w:r>
            <w:r>
              <w:rPr>
                <w:rFonts w:ascii="Arial" w:cs="Arial" w:eastAsia="Arial" w:hAnsi="Arial"/>
                <w:sz w:val="19"/>
                <w:szCs w:val="19"/>
                <w:color w:val="auto"/>
                <w:vertAlign w:val="superscript"/>
              </w:rPr>
              <w:t>7</w:t>
            </w:r>
          </w:p>
        </w:tc>
        <w:tc>
          <w:tcPr>
            <w:tcW w:w="11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1840" w:type="dxa"/>
            <w:vAlign w:val="bottom"/>
            <w:tcBorders>
              <w:bottom w:val="single" w:sz="8" w:color="5A78B9"/>
            </w:tcBorders>
            <w:gridSpan w:val="2"/>
          </w:tcPr>
          <w:p>
            <w:pPr>
              <w:ind w:left="1360"/>
              <w:spacing w:after="0"/>
              <w:rPr>
                <w:sz w:val="20"/>
                <w:szCs w:val="20"/>
                <w:color w:val="auto"/>
              </w:rPr>
            </w:pPr>
            <w:r>
              <w:rPr>
                <w:rFonts w:ascii="Arial" w:cs="Arial" w:eastAsia="Arial" w:hAnsi="Arial"/>
                <w:sz w:val="13"/>
                <w:szCs w:val="13"/>
                <w:b w:val="1"/>
                <w:bCs w:val="1"/>
                <w:color w:val="auto"/>
              </w:rPr>
              <w:t>TOTAL</w:t>
            </w:r>
          </w:p>
        </w:tc>
        <w:tc>
          <w:tcPr>
            <w:tcW w:w="860" w:type="dxa"/>
            <w:vAlign w:val="bottom"/>
            <w:tcBorders>
              <w:top w:val="single" w:sz="8" w:color="58585A"/>
              <w:bottom w:val="single" w:sz="8" w:color="5A78B9"/>
            </w:tcBorders>
          </w:tcPr>
          <w:p>
            <w:pPr>
              <w:jc w:val="right"/>
              <w:spacing w:after="0"/>
              <w:rPr>
                <w:sz w:val="20"/>
                <w:szCs w:val="20"/>
                <w:color w:val="auto"/>
              </w:rPr>
            </w:pPr>
            <w:r>
              <w:rPr>
                <w:rFonts w:ascii="Arial" w:cs="Arial" w:eastAsia="Arial" w:hAnsi="Arial"/>
                <w:sz w:val="13"/>
                <w:szCs w:val="13"/>
                <w:b w:val="1"/>
                <w:bCs w:val="1"/>
                <w:color w:val="auto"/>
              </w:rPr>
              <w:t>94,640</w:t>
            </w:r>
          </w:p>
        </w:tc>
        <w:tc>
          <w:tcPr>
            <w:tcW w:w="1000" w:type="dxa"/>
            <w:vAlign w:val="bottom"/>
            <w:tcBorders>
              <w:top w:val="single" w:sz="8" w:color="58585A"/>
              <w:bottom w:val="single" w:sz="8" w:color="5A78B9"/>
            </w:tcBorders>
          </w:tcPr>
          <w:p>
            <w:pPr>
              <w:jc w:val="right"/>
              <w:ind w:right="56"/>
              <w:spacing w:after="0"/>
              <w:rPr>
                <w:sz w:val="20"/>
                <w:szCs w:val="20"/>
                <w:color w:val="auto"/>
              </w:rPr>
            </w:pPr>
            <w:r>
              <w:rPr>
                <w:rFonts w:ascii="Arial" w:cs="Arial" w:eastAsia="Arial" w:hAnsi="Arial"/>
                <w:sz w:val="13"/>
                <w:szCs w:val="13"/>
                <w:b w:val="1"/>
                <w:bCs w:val="1"/>
                <w:color w:val="auto"/>
              </w:rPr>
              <w:t>49,170</w:t>
            </w:r>
          </w:p>
        </w:tc>
        <w:tc>
          <w:tcPr>
            <w:tcW w:w="880" w:type="dxa"/>
            <w:vAlign w:val="bottom"/>
            <w:tcBorders>
              <w:top w:val="single" w:sz="8" w:color="58585A"/>
              <w:bottom w:val="single" w:sz="8" w:color="5A78B9"/>
            </w:tcBorders>
          </w:tcPr>
          <w:p>
            <w:pPr>
              <w:spacing w:after="0"/>
              <w:rPr>
                <w:sz w:val="14"/>
                <w:szCs w:val="14"/>
                <w:color w:val="auto"/>
              </w:rPr>
            </w:pPr>
          </w:p>
        </w:tc>
        <w:tc>
          <w:tcPr>
            <w:tcW w:w="680" w:type="dxa"/>
            <w:vAlign w:val="bottom"/>
            <w:tcBorders>
              <w:top w:val="single" w:sz="8" w:color="58585A"/>
              <w:bottom w:val="single" w:sz="8" w:color="5A78B9"/>
            </w:tcBorders>
          </w:tcPr>
          <w:p>
            <w:pPr>
              <w:spacing w:after="0"/>
              <w:rPr>
                <w:sz w:val="14"/>
                <w:szCs w:val="14"/>
                <w:color w:val="auto"/>
              </w:rPr>
            </w:pPr>
          </w:p>
        </w:tc>
        <w:tc>
          <w:tcPr>
            <w:tcW w:w="1020" w:type="dxa"/>
            <w:vAlign w:val="bottom"/>
            <w:tcBorders>
              <w:top w:val="single" w:sz="8" w:color="58585A"/>
              <w:bottom w:val="single" w:sz="8" w:color="5A78B9"/>
            </w:tcBorders>
          </w:tcPr>
          <w:p>
            <w:pPr>
              <w:spacing w:after="0"/>
              <w:rPr>
                <w:sz w:val="14"/>
                <w:szCs w:val="14"/>
                <w:color w:val="auto"/>
              </w:rPr>
            </w:pPr>
          </w:p>
        </w:tc>
        <w:tc>
          <w:tcPr>
            <w:tcW w:w="900" w:type="dxa"/>
            <w:vAlign w:val="bottom"/>
            <w:tcBorders>
              <w:top w:val="single" w:sz="8" w:color="58585A"/>
              <w:bottom w:val="single" w:sz="8" w:color="5A78B9"/>
            </w:tcBorders>
          </w:tcPr>
          <w:p>
            <w:pPr>
              <w:jc w:val="right"/>
              <w:ind w:right="95"/>
              <w:spacing w:after="0"/>
              <w:rPr>
                <w:sz w:val="20"/>
                <w:szCs w:val="20"/>
                <w:color w:val="auto"/>
              </w:rPr>
            </w:pPr>
            <w:r>
              <w:rPr>
                <w:rFonts w:ascii="Arial" w:cs="Arial" w:eastAsia="Arial" w:hAnsi="Arial"/>
                <w:sz w:val="13"/>
                <w:szCs w:val="13"/>
                <w:b w:val="1"/>
                <w:bCs w:val="1"/>
                <w:color w:val="auto"/>
              </w:rPr>
              <w:t>24,713</w:t>
            </w:r>
          </w:p>
        </w:tc>
        <w:tc>
          <w:tcPr>
            <w:tcW w:w="940" w:type="dxa"/>
            <w:vAlign w:val="bottom"/>
            <w:tcBorders>
              <w:top w:val="single" w:sz="8" w:color="58585A"/>
              <w:bottom w:val="single" w:sz="8" w:color="5A78B9"/>
            </w:tcBorders>
          </w:tcPr>
          <w:p>
            <w:pPr>
              <w:jc w:val="right"/>
              <w:ind w:right="15"/>
              <w:spacing w:after="0"/>
              <w:rPr>
                <w:sz w:val="20"/>
                <w:szCs w:val="20"/>
                <w:color w:val="auto"/>
              </w:rPr>
            </w:pPr>
            <w:r>
              <w:rPr>
                <w:rFonts w:ascii="Arial" w:cs="Arial" w:eastAsia="Arial" w:hAnsi="Arial"/>
                <w:sz w:val="13"/>
                <w:szCs w:val="13"/>
                <w:b w:val="1"/>
                <w:bCs w:val="1"/>
                <w:color w:val="auto"/>
              </w:rPr>
              <w:t>15,606,754</w:t>
            </w:r>
          </w:p>
        </w:tc>
        <w:tc>
          <w:tcPr>
            <w:tcW w:w="1120" w:type="dxa"/>
            <w:vAlign w:val="bottom"/>
            <w:tcBorders>
              <w:top w:val="single" w:sz="8" w:color="58585A"/>
              <w:bottom w:val="single" w:sz="8" w:color="5A78B9"/>
            </w:tcBorders>
          </w:tcPr>
          <w:p>
            <w:pPr>
              <w:spacing w:after="0"/>
              <w:rPr>
                <w:sz w:val="14"/>
                <w:szCs w:val="14"/>
                <w:color w:val="auto"/>
              </w:rPr>
            </w:pPr>
          </w:p>
        </w:tc>
        <w:tc>
          <w:tcPr>
            <w:tcW w:w="920" w:type="dxa"/>
            <w:vAlign w:val="bottom"/>
            <w:tcBorders>
              <w:top w:val="single" w:sz="8" w:color="58585A"/>
              <w:bottom w:val="single" w:sz="8" w:color="5A78B9"/>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8"/>
        </w:trPr>
        <w:tc>
          <w:tcPr>
            <w:tcW w:w="54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84 </w:t>
            </w:r>
            <w:r>
              <w:rPr>
                <w:rFonts w:ascii="Arial" w:cs="Arial" w:eastAsia="Arial" w:hAnsi="Arial"/>
                <w:sz w:val="14"/>
                <w:szCs w:val="14"/>
                <w:b w:val="1"/>
                <w:bCs w:val="1"/>
                <w:color w:val="00ADEE"/>
              </w:rPr>
              <w:t>/</w:t>
            </w:r>
          </w:p>
        </w:tc>
        <w:tc>
          <w:tcPr>
            <w:tcW w:w="1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6"/>
          </w:tcPr>
          <w:p>
            <w:pPr>
              <w:ind w:left="20"/>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0" w:type="dxa"/>
            <w:vAlign w:val="bottom"/>
          </w:tcPr>
          <w:p>
            <w:pPr>
              <w:spacing w:after="0"/>
              <w:rPr>
                <w:sz w:val="1"/>
                <w:szCs w:val="1"/>
                <w:color w:val="auto"/>
              </w:rPr>
            </w:pPr>
          </w:p>
        </w:tc>
      </w:tr>
      <w:tr>
        <w:trPr>
          <w:trHeight w:val="221"/>
        </w:trPr>
        <w:tc>
          <w:tcPr>
            <w:tcW w:w="540" w:type="dxa"/>
            <w:vAlign w:val="bottom"/>
            <w:tcBorders>
              <w:bottom w:val="single" w:sz="8" w:color="C0C0C0"/>
            </w:tcBorders>
          </w:tcPr>
          <w:p>
            <w:pPr>
              <w:spacing w:after="0"/>
              <w:rPr>
                <w:sz w:val="19"/>
                <w:szCs w:val="19"/>
                <w:color w:val="auto"/>
              </w:rPr>
            </w:pPr>
          </w:p>
        </w:tc>
        <w:tc>
          <w:tcPr>
            <w:tcW w:w="1780" w:type="dxa"/>
            <w:vAlign w:val="bottom"/>
            <w:tcBorders>
              <w:bottom w:val="single" w:sz="8" w:color="C0C0C0"/>
            </w:tcBorders>
          </w:tcPr>
          <w:p>
            <w:pPr>
              <w:spacing w:after="0"/>
              <w:rPr>
                <w:sz w:val="19"/>
                <w:szCs w:val="19"/>
                <w:color w:val="auto"/>
              </w:rPr>
            </w:pPr>
          </w:p>
        </w:tc>
        <w:tc>
          <w:tcPr>
            <w:tcW w:w="60" w:type="dxa"/>
            <w:vAlign w:val="bottom"/>
            <w:tcBorders>
              <w:bottom w:val="single" w:sz="8" w:color="C0C0C0"/>
            </w:tcBorders>
          </w:tcPr>
          <w:p>
            <w:pPr>
              <w:spacing w:after="0"/>
              <w:rPr>
                <w:sz w:val="19"/>
                <w:szCs w:val="19"/>
                <w:color w:val="auto"/>
              </w:rPr>
            </w:pPr>
          </w:p>
        </w:tc>
        <w:tc>
          <w:tcPr>
            <w:tcW w:w="860" w:type="dxa"/>
            <w:vAlign w:val="bottom"/>
            <w:tcBorders>
              <w:bottom w:val="single" w:sz="8" w:color="C0C0C0"/>
            </w:tcBorders>
          </w:tcPr>
          <w:p>
            <w:pPr>
              <w:spacing w:after="0"/>
              <w:rPr>
                <w:sz w:val="19"/>
                <w:szCs w:val="19"/>
                <w:color w:val="auto"/>
              </w:rPr>
            </w:pPr>
          </w:p>
        </w:tc>
        <w:tc>
          <w:tcPr>
            <w:tcW w:w="1000" w:type="dxa"/>
            <w:vAlign w:val="bottom"/>
            <w:tcBorders>
              <w:bottom w:val="single" w:sz="8" w:color="C0C0C0"/>
            </w:tcBorders>
          </w:tcPr>
          <w:p>
            <w:pPr>
              <w:spacing w:after="0"/>
              <w:rPr>
                <w:sz w:val="19"/>
                <w:szCs w:val="19"/>
                <w:color w:val="auto"/>
              </w:rPr>
            </w:pPr>
          </w:p>
        </w:tc>
        <w:tc>
          <w:tcPr>
            <w:tcW w:w="880" w:type="dxa"/>
            <w:vAlign w:val="bottom"/>
            <w:tcBorders>
              <w:bottom w:val="single" w:sz="8" w:color="C0C0C0"/>
            </w:tcBorders>
          </w:tcPr>
          <w:p>
            <w:pPr>
              <w:spacing w:after="0"/>
              <w:rPr>
                <w:sz w:val="19"/>
                <w:szCs w:val="19"/>
                <w:color w:val="auto"/>
              </w:rPr>
            </w:pPr>
          </w:p>
        </w:tc>
        <w:tc>
          <w:tcPr>
            <w:tcW w:w="680" w:type="dxa"/>
            <w:vAlign w:val="bottom"/>
            <w:tcBorders>
              <w:bottom w:val="single" w:sz="8" w:color="C0C0C0"/>
            </w:tcBorders>
          </w:tcPr>
          <w:p>
            <w:pPr>
              <w:spacing w:after="0"/>
              <w:rPr>
                <w:sz w:val="19"/>
                <w:szCs w:val="19"/>
                <w:color w:val="auto"/>
              </w:rPr>
            </w:pPr>
          </w:p>
        </w:tc>
        <w:tc>
          <w:tcPr>
            <w:tcW w:w="1020" w:type="dxa"/>
            <w:vAlign w:val="bottom"/>
            <w:tcBorders>
              <w:bottom w:val="single" w:sz="8" w:color="C0C0C0"/>
            </w:tcBorders>
          </w:tcPr>
          <w:p>
            <w:pPr>
              <w:spacing w:after="0"/>
              <w:rPr>
                <w:sz w:val="19"/>
                <w:szCs w:val="19"/>
                <w:color w:val="auto"/>
              </w:rPr>
            </w:pPr>
          </w:p>
        </w:tc>
        <w:tc>
          <w:tcPr>
            <w:tcW w:w="900" w:type="dxa"/>
            <w:vAlign w:val="bottom"/>
            <w:tcBorders>
              <w:bottom w:val="single" w:sz="8" w:color="C0C0C0"/>
            </w:tcBorders>
          </w:tcPr>
          <w:p>
            <w:pPr>
              <w:spacing w:after="0"/>
              <w:rPr>
                <w:sz w:val="19"/>
                <w:szCs w:val="19"/>
                <w:color w:val="auto"/>
              </w:rPr>
            </w:pPr>
          </w:p>
        </w:tc>
        <w:tc>
          <w:tcPr>
            <w:tcW w:w="940" w:type="dxa"/>
            <w:vAlign w:val="bottom"/>
            <w:tcBorders>
              <w:bottom w:val="single" w:sz="8" w:color="C0C0C0"/>
            </w:tcBorders>
          </w:tcPr>
          <w:p>
            <w:pPr>
              <w:spacing w:after="0"/>
              <w:rPr>
                <w:sz w:val="19"/>
                <w:szCs w:val="19"/>
                <w:color w:val="auto"/>
              </w:rPr>
            </w:pPr>
          </w:p>
        </w:tc>
        <w:tc>
          <w:tcPr>
            <w:tcW w:w="1120" w:type="dxa"/>
            <w:vAlign w:val="bottom"/>
            <w:tcBorders>
              <w:bottom w:val="single" w:sz="8" w:color="C0C0C0"/>
            </w:tcBorders>
          </w:tcPr>
          <w:p>
            <w:pPr>
              <w:spacing w:after="0"/>
              <w:rPr>
                <w:sz w:val="19"/>
                <w:szCs w:val="19"/>
                <w:color w:val="auto"/>
              </w:rPr>
            </w:pPr>
          </w:p>
        </w:tc>
        <w:tc>
          <w:tcPr>
            <w:tcW w:w="920" w:type="dxa"/>
            <w:vAlign w:val="bottom"/>
            <w:tcBorders>
              <w:bottom w:val="single" w:sz="8" w:color="C0C0C0"/>
            </w:tcBorders>
          </w:tcPr>
          <w:p>
            <w:pPr>
              <w:spacing w:after="0"/>
              <w:rPr>
                <w:sz w:val="19"/>
                <w:szCs w:val="19"/>
                <w:color w:val="auto"/>
              </w:rPr>
            </w:pPr>
          </w:p>
        </w:tc>
        <w:tc>
          <w:tcPr>
            <w:tcW w:w="540" w:type="dxa"/>
            <w:vAlign w:val="bottom"/>
            <w:tcBorders>
              <w:bottom w:val="single" w:sz="8" w:color="C0C0C0"/>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6" w:right="339" w:bottom="1440" w:gutter="0" w:footer="0" w:header="0"/>
        </w:sectPr>
      </w:pPr>
    </w:p>
    <w:bookmarkStart w:id="99" w:name="page100"/>
    <w:bookmarkEnd w:id="99"/>
    <w:p>
      <w:pPr>
        <w:ind w:left="576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2000" w:type="dxa"/>
            <w:vAlign w:val="bottom"/>
            <w:tcBorders>
              <w:top w:val="single" w:sz="8" w:color="2459A8"/>
              <w:bottom w:val="single" w:sz="8" w:color="2459A8"/>
            </w:tcBorders>
            <w:gridSpan w:val="2"/>
          </w:tcPr>
          <w:p>
            <w:pPr>
              <w:ind w:left="920"/>
              <w:spacing w:after="0"/>
              <w:rPr>
                <w:sz w:val="20"/>
                <w:szCs w:val="20"/>
                <w:color w:val="auto"/>
              </w:rPr>
            </w:pPr>
            <w:r>
              <w:rPr>
                <w:rFonts w:ascii="Arial" w:cs="Arial" w:eastAsia="Arial" w:hAnsi="Arial"/>
                <w:sz w:val="12"/>
                <w:szCs w:val="12"/>
                <w:b w:val="1"/>
                <w:bCs w:val="1"/>
                <w:color w:val="2459A8"/>
              </w:rPr>
              <w:t>A</w:t>
            </w:r>
          </w:p>
        </w:tc>
        <w:tc>
          <w:tcPr>
            <w:tcW w:w="900" w:type="dxa"/>
            <w:vAlign w:val="bottom"/>
            <w:tcBorders>
              <w:top w:val="single" w:sz="8" w:color="2459A8"/>
              <w:bottom w:val="single" w:sz="8" w:color="2459A8"/>
            </w:tcBorders>
          </w:tcPr>
          <w:p>
            <w:pPr>
              <w:jc w:val="center"/>
              <w:ind w:right="36"/>
              <w:spacing w:after="0"/>
              <w:rPr>
                <w:sz w:val="20"/>
                <w:szCs w:val="20"/>
                <w:color w:val="auto"/>
              </w:rPr>
            </w:pPr>
            <w:r>
              <w:rPr>
                <w:rFonts w:ascii="Arial" w:cs="Arial" w:eastAsia="Arial" w:hAnsi="Arial"/>
                <w:sz w:val="12"/>
                <w:szCs w:val="12"/>
                <w:b w:val="1"/>
                <w:bCs w:val="1"/>
                <w:color w:val="2459A8"/>
                <w:w w:val="91"/>
              </w:rPr>
              <w:t>B</w:t>
            </w:r>
          </w:p>
        </w:tc>
        <w:tc>
          <w:tcPr>
            <w:tcW w:w="920" w:type="dxa"/>
            <w:vAlign w:val="bottom"/>
            <w:tcBorders>
              <w:top w:val="single" w:sz="8" w:color="2459A8"/>
              <w:bottom w:val="single" w:sz="8" w:color="2459A8"/>
            </w:tcBorders>
          </w:tcPr>
          <w:p>
            <w:pPr>
              <w:jc w:val="center"/>
              <w:ind w:right="57"/>
              <w:spacing w:after="0"/>
              <w:rPr>
                <w:sz w:val="20"/>
                <w:szCs w:val="20"/>
                <w:color w:val="auto"/>
              </w:rPr>
            </w:pPr>
            <w:r>
              <w:rPr>
                <w:rFonts w:ascii="Arial" w:cs="Arial" w:eastAsia="Arial" w:hAnsi="Arial"/>
                <w:sz w:val="12"/>
                <w:szCs w:val="12"/>
                <w:b w:val="1"/>
                <w:bCs w:val="1"/>
                <w:color w:val="2459A8"/>
                <w:w w:val="91"/>
              </w:rPr>
              <w:t>C</w:t>
            </w:r>
          </w:p>
        </w:tc>
        <w:tc>
          <w:tcPr>
            <w:tcW w:w="880" w:type="dxa"/>
            <w:vAlign w:val="bottom"/>
            <w:tcBorders>
              <w:top w:val="single" w:sz="8" w:color="2459A8"/>
              <w:bottom w:val="single" w:sz="8" w:color="2459A8"/>
            </w:tcBorders>
          </w:tcPr>
          <w:p>
            <w:pPr>
              <w:jc w:val="center"/>
              <w:ind w:right="17"/>
              <w:spacing w:after="0"/>
              <w:rPr>
                <w:sz w:val="20"/>
                <w:szCs w:val="20"/>
                <w:color w:val="auto"/>
              </w:rPr>
            </w:pPr>
            <w:r>
              <w:rPr>
                <w:rFonts w:ascii="Arial" w:cs="Arial" w:eastAsia="Arial" w:hAnsi="Arial"/>
                <w:sz w:val="12"/>
                <w:szCs w:val="12"/>
                <w:b w:val="1"/>
                <w:bCs w:val="1"/>
                <w:color w:val="2459A8"/>
                <w:w w:val="91"/>
              </w:rPr>
              <w:t>D</w:t>
            </w:r>
          </w:p>
        </w:tc>
        <w:tc>
          <w:tcPr>
            <w:tcW w:w="860" w:type="dxa"/>
            <w:vAlign w:val="bottom"/>
            <w:tcBorders>
              <w:top w:val="single" w:sz="8" w:color="2459A8"/>
              <w:bottom w:val="single" w:sz="8" w:color="2459A8"/>
            </w:tcBorders>
          </w:tcPr>
          <w:p>
            <w:pPr>
              <w:jc w:val="center"/>
              <w:ind w:right="36"/>
              <w:spacing w:after="0"/>
              <w:rPr>
                <w:sz w:val="20"/>
                <w:szCs w:val="20"/>
                <w:color w:val="auto"/>
              </w:rPr>
            </w:pPr>
            <w:r>
              <w:rPr>
                <w:rFonts w:ascii="Arial" w:cs="Arial" w:eastAsia="Arial" w:hAnsi="Arial"/>
                <w:sz w:val="12"/>
                <w:szCs w:val="12"/>
                <w:b w:val="1"/>
                <w:bCs w:val="1"/>
                <w:color w:val="2459A8"/>
                <w:w w:val="99"/>
              </w:rPr>
              <w:t>E</w:t>
            </w:r>
          </w:p>
        </w:tc>
        <w:tc>
          <w:tcPr>
            <w:tcW w:w="920" w:type="dxa"/>
            <w:vAlign w:val="bottom"/>
            <w:tcBorders>
              <w:top w:val="single" w:sz="8" w:color="2459A8"/>
              <w:bottom w:val="single" w:sz="8" w:color="2459A8"/>
            </w:tcBorders>
          </w:tcPr>
          <w:p>
            <w:pPr>
              <w:jc w:val="center"/>
              <w:ind w:right="15"/>
              <w:spacing w:after="0"/>
              <w:rPr>
                <w:sz w:val="20"/>
                <w:szCs w:val="20"/>
                <w:color w:val="auto"/>
              </w:rPr>
            </w:pPr>
            <w:r>
              <w:rPr>
                <w:rFonts w:ascii="Arial" w:cs="Arial" w:eastAsia="Arial" w:hAnsi="Arial"/>
                <w:sz w:val="12"/>
                <w:szCs w:val="12"/>
                <w:b w:val="1"/>
                <w:bCs w:val="1"/>
                <w:color w:val="2459A8"/>
              </w:rPr>
              <w:t>F</w:t>
            </w:r>
          </w:p>
        </w:tc>
        <w:tc>
          <w:tcPr>
            <w:tcW w:w="940" w:type="dxa"/>
            <w:vAlign w:val="bottom"/>
            <w:tcBorders>
              <w:top w:val="single" w:sz="8" w:color="2459A8"/>
              <w:bottom w:val="single" w:sz="8" w:color="2459A8"/>
            </w:tcBorders>
            <w:gridSpan w:val="2"/>
          </w:tcPr>
          <w:p>
            <w:pPr>
              <w:jc w:val="center"/>
              <w:ind w:right="86"/>
              <w:spacing w:after="0"/>
              <w:rPr>
                <w:sz w:val="20"/>
                <w:szCs w:val="20"/>
                <w:color w:val="auto"/>
              </w:rPr>
            </w:pPr>
            <w:r>
              <w:rPr>
                <w:rFonts w:ascii="Arial" w:cs="Arial" w:eastAsia="Arial" w:hAnsi="Arial"/>
                <w:sz w:val="12"/>
                <w:szCs w:val="12"/>
                <w:b w:val="1"/>
                <w:bCs w:val="1"/>
                <w:color w:val="2459A8"/>
                <w:w w:val="85"/>
              </w:rPr>
              <w:t>G</w:t>
            </w:r>
          </w:p>
        </w:tc>
        <w:tc>
          <w:tcPr>
            <w:tcW w:w="90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1"/>
              </w:rPr>
              <w:t>H</w:t>
            </w:r>
          </w:p>
        </w:tc>
        <w:tc>
          <w:tcPr>
            <w:tcW w:w="98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2"/>
                <w:szCs w:val="12"/>
                <w:b w:val="1"/>
                <w:bCs w:val="1"/>
                <w:color w:val="2459A8"/>
              </w:rPr>
              <w:t>I</w:t>
            </w:r>
          </w:p>
        </w:tc>
        <w:tc>
          <w:tcPr>
            <w:tcW w:w="860" w:type="dxa"/>
            <w:vAlign w:val="bottom"/>
            <w:tcBorders>
              <w:top w:val="single" w:sz="8" w:color="2459A8"/>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89"/>
              </w:rPr>
              <w:t>J</w:t>
            </w:r>
          </w:p>
        </w:tc>
        <w:tc>
          <w:tcPr>
            <w:tcW w:w="5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bottom w:val="single" w:sz="8" w:color="2459A8"/>
            </w:tcBorders>
          </w:tcPr>
          <w:p>
            <w:pPr>
              <w:spacing w:after="0"/>
              <w:rPr>
                <w:sz w:val="12"/>
                <w:szCs w:val="12"/>
                <w:color w:val="auto"/>
              </w:rPr>
            </w:pPr>
          </w:p>
        </w:tc>
        <w:tc>
          <w:tcPr>
            <w:tcW w:w="900" w:type="dxa"/>
            <w:vAlign w:val="bottom"/>
            <w:tcBorders>
              <w:bottom w:val="single" w:sz="8" w:color="2459A8"/>
            </w:tcBorders>
          </w:tcPr>
          <w:p>
            <w:pPr>
              <w:spacing w:after="0"/>
              <w:rPr>
                <w:sz w:val="12"/>
                <w:szCs w:val="12"/>
                <w:color w:val="auto"/>
              </w:rPr>
            </w:pPr>
          </w:p>
        </w:tc>
        <w:tc>
          <w:tcPr>
            <w:tcW w:w="1800" w:type="dxa"/>
            <w:vAlign w:val="bottom"/>
            <w:tcBorders>
              <w:bottom w:val="single" w:sz="8" w:color="2459A8"/>
            </w:tcBorders>
            <w:gridSpan w:val="2"/>
          </w:tcPr>
          <w:p>
            <w:pPr>
              <w:ind w:left="420"/>
              <w:spacing w:after="0"/>
              <w:rPr>
                <w:sz w:val="20"/>
                <w:szCs w:val="20"/>
                <w:color w:val="auto"/>
              </w:rPr>
            </w:pPr>
            <w:r>
              <w:rPr>
                <w:rFonts w:ascii="Arial" w:cs="Arial" w:eastAsia="Arial" w:hAnsi="Arial"/>
                <w:sz w:val="12"/>
                <w:szCs w:val="12"/>
                <w:b w:val="1"/>
                <w:bCs w:val="1"/>
                <w:color w:val="2459A8"/>
              </w:rPr>
              <w:t>Option Awards</w:t>
            </w:r>
          </w:p>
        </w:tc>
        <w:tc>
          <w:tcPr>
            <w:tcW w:w="860" w:type="dxa"/>
            <w:vAlign w:val="bottom"/>
            <w:tcBorders>
              <w:bottom w:val="single" w:sz="8" w:color="2459A8"/>
            </w:tcBorders>
          </w:tcPr>
          <w:p>
            <w:pPr>
              <w:spacing w:after="0"/>
              <w:rPr>
                <w:sz w:val="12"/>
                <w:szCs w:val="12"/>
                <w:color w:val="auto"/>
              </w:rPr>
            </w:pPr>
          </w:p>
        </w:tc>
        <w:tc>
          <w:tcPr>
            <w:tcW w:w="920" w:type="dxa"/>
            <w:vAlign w:val="bottom"/>
            <w:tcBorders>
              <w:bottom w:val="single" w:sz="8" w:color="2459A8"/>
            </w:tcBorders>
          </w:tcPr>
          <w:p>
            <w:pPr>
              <w:spacing w:after="0"/>
              <w:rPr>
                <w:sz w:val="12"/>
                <w:szCs w:val="12"/>
                <w:color w:val="auto"/>
              </w:rPr>
            </w:pPr>
          </w:p>
        </w:tc>
        <w:tc>
          <w:tcPr>
            <w:tcW w:w="800" w:type="dxa"/>
            <w:vAlign w:val="bottom"/>
            <w:tcBorders>
              <w:bottom w:val="single" w:sz="8" w:color="2459A8"/>
            </w:tcBorders>
          </w:tcPr>
          <w:p>
            <w:pPr>
              <w:spacing w:after="0"/>
              <w:rPr>
                <w:sz w:val="12"/>
                <w:szCs w:val="12"/>
                <w:color w:val="auto"/>
              </w:rPr>
            </w:pPr>
          </w:p>
        </w:tc>
        <w:tc>
          <w:tcPr>
            <w:tcW w:w="140" w:type="dxa"/>
            <w:vAlign w:val="bottom"/>
            <w:tcBorders>
              <w:bottom w:val="single" w:sz="8" w:color="2459A8"/>
            </w:tcBorders>
          </w:tcPr>
          <w:p>
            <w:pPr>
              <w:spacing w:after="0"/>
              <w:rPr>
                <w:sz w:val="12"/>
                <w:szCs w:val="12"/>
                <w:color w:val="auto"/>
              </w:rPr>
            </w:pPr>
          </w:p>
        </w:tc>
        <w:tc>
          <w:tcPr>
            <w:tcW w:w="900" w:type="dxa"/>
            <w:vAlign w:val="bottom"/>
            <w:tcBorders>
              <w:bottom w:val="single" w:sz="8" w:color="2459A8"/>
            </w:tcBorders>
          </w:tcPr>
          <w:p>
            <w:pPr>
              <w:spacing w:after="0"/>
              <w:rPr>
                <w:sz w:val="12"/>
                <w:szCs w:val="12"/>
                <w:color w:val="auto"/>
              </w:rPr>
            </w:pPr>
          </w:p>
        </w:tc>
        <w:tc>
          <w:tcPr>
            <w:tcW w:w="98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5"/>
              </w:rPr>
              <w:t>Stock Awards</w:t>
            </w:r>
          </w:p>
        </w:tc>
        <w:tc>
          <w:tcPr>
            <w:tcW w:w="860" w:type="dxa"/>
            <w:vAlign w:val="bottom"/>
            <w:tcBorders>
              <w:bottom w:val="single" w:sz="8" w:color="2459A8"/>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2"/>
                <w:szCs w:val="12"/>
                <w:b w:val="1"/>
                <w:bCs w:val="1"/>
                <w:color w:val="2459A8"/>
                <w:w w:val="98"/>
              </w:rPr>
              <w:t>Equity</w:t>
            </w:r>
          </w:p>
        </w:tc>
        <w:tc>
          <w:tcPr>
            <w:tcW w:w="5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8"/>
              </w:rPr>
              <w:t>Equity</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0" w:type="dxa"/>
            <w:vAlign w:val="bottom"/>
            <w:gridSpan w:val="3"/>
          </w:tcPr>
          <w:p>
            <w:pPr>
              <w:jc w:val="center"/>
              <w:ind w:right="500"/>
              <w:spacing w:after="0" w:line="135" w:lineRule="exact"/>
              <w:rPr>
                <w:sz w:val="20"/>
                <w:szCs w:val="20"/>
                <w:color w:val="auto"/>
              </w:rPr>
            </w:pPr>
            <w:r>
              <w:rPr>
                <w:rFonts w:ascii="Arial" w:cs="Arial" w:eastAsia="Arial" w:hAnsi="Arial"/>
                <w:sz w:val="12"/>
                <w:szCs w:val="12"/>
                <w:b w:val="1"/>
                <w:bCs w:val="1"/>
                <w:color w:val="2459A8"/>
                <w:w w:val="96"/>
              </w:rPr>
              <w:t>incentive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6"/>
              </w:rPr>
              <w:t>incentive</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Equity</w:t>
            </w:r>
          </w:p>
        </w:tc>
        <w:tc>
          <w:tcPr>
            <w:tcW w:w="14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459A8"/>
                <w:w w:val="98"/>
              </w:rPr>
              <w:t>plan awards: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8"/>
              </w:rPr>
              <w:t>plan awards:</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incentive plan</w:t>
            </w:r>
          </w:p>
        </w:tc>
        <w:tc>
          <w:tcPr>
            <w:tcW w:w="1400" w:type="dxa"/>
            <w:vAlign w:val="bottom"/>
            <w:gridSpan w:val="3"/>
          </w:tcPr>
          <w:p>
            <w:pPr>
              <w:jc w:val="center"/>
              <w:ind w:right="500"/>
              <w:spacing w:after="0" w:line="135" w:lineRule="exact"/>
              <w:rPr>
                <w:sz w:val="20"/>
                <w:szCs w:val="20"/>
                <w:color w:val="auto"/>
              </w:rPr>
            </w:pPr>
            <w:r>
              <w:rPr>
                <w:rFonts w:ascii="Arial" w:cs="Arial" w:eastAsia="Arial" w:hAnsi="Arial"/>
                <w:sz w:val="12"/>
                <w:szCs w:val="12"/>
                <w:b w:val="1"/>
                <w:bCs w:val="1"/>
                <w:color w:val="2459A8"/>
                <w:w w:val="98"/>
              </w:rPr>
              <w:t>market or</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459A8"/>
                <w:w w:val="96"/>
              </w:rPr>
              <w:t>Number of</w:t>
            </w:r>
          </w:p>
        </w:tc>
        <w:tc>
          <w:tcPr>
            <w:tcW w:w="92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9"/>
              </w:rPr>
              <w:t>Number of</w:t>
            </w:r>
          </w:p>
        </w:tc>
        <w:tc>
          <w:tcPr>
            <w:tcW w:w="88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8"/>
              </w:rPr>
              <w:t>number of</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2"/>
          </w:tcPr>
          <w:p>
            <w:pPr>
              <w:jc w:val="center"/>
              <w:ind w:right="86"/>
              <w:spacing w:after="0" w:line="135" w:lineRule="exact"/>
              <w:rPr>
                <w:sz w:val="20"/>
                <w:szCs w:val="20"/>
                <w:color w:val="auto"/>
              </w:rPr>
            </w:pPr>
            <w:r>
              <w:rPr>
                <w:rFonts w:ascii="Arial" w:cs="Arial" w:eastAsia="Arial" w:hAnsi="Arial"/>
                <w:sz w:val="12"/>
                <w:szCs w:val="12"/>
                <w:b w:val="1"/>
                <w:bCs w:val="1"/>
                <w:color w:val="2459A8"/>
                <w:w w:val="96"/>
              </w:rPr>
              <w:t>Number</w:t>
            </w:r>
          </w:p>
        </w:tc>
        <w:tc>
          <w:tcPr>
            <w:tcW w:w="9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b w:val="1"/>
                <w:bCs w:val="1"/>
                <w:color w:val="2459A8"/>
                <w:w w:val="99"/>
              </w:rPr>
              <w:t>awards: number</w:t>
            </w:r>
          </w:p>
        </w:tc>
        <w:tc>
          <w:tcPr>
            <w:tcW w:w="14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459A8"/>
                <w:w w:val="98"/>
              </w:rPr>
              <w:t>payout value</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459A8"/>
                <w:w w:val="96"/>
              </w:rPr>
              <w:t>securities</w:t>
            </w:r>
          </w:p>
        </w:tc>
        <w:tc>
          <w:tcPr>
            <w:tcW w:w="92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9"/>
              </w:rPr>
              <w:t>securities</w:t>
            </w:r>
          </w:p>
        </w:tc>
        <w:tc>
          <w:tcPr>
            <w:tcW w:w="88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6"/>
              </w:rPr>
              <w:t>securities</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2"/>
          </w:tcPr>
          <w:p>
            <w:pPr>
              <w:jc w:val="center"/>
              <w:ind w:right="86"/>
              <w:spacing w:after="0" w:line="135" w:lineRule="exact"/>
              <w:rPr>
                <w:sz w:val="20"/>
                <w:szCs w:val="20"/>
                <w:color w:val="auto"/>
              </w:rPr>
            </w:pPr>
            <w:r>
              <w:rPr>
                <w:rFonts w:ascii="Arial" w:cs="Arial" w:eastAsia="Arial" w:hAnsi="Arial"/>
                <w:sz w:val="12"/>
                <w:szCs w:val="12"/>
                <w:b w:val="1"/>
                <w:bCs w:val="1"/>
                <w:color w:val="2459A8"/>
                <w:w w:val="97"/>
              </w:rPr>
              <w:t>of shares</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Market value</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of unearned</w:t>
            </w:r>
          </w:p>
        </w:tc>
        <w:tc>
          <w:tcPr>
            <w:tcW w:w="1400" w:type="dxa"/>
            <w:vAlign w:val="bottom"/>
            <w:gridSpan w:val="3"/>
          </w:tcPr>
          <w:p>
            <w:pPr>
              <w:jc w:val="center"/>
              <w:ind w:right="500"/>
              <w:spacing w:after="0" w:line="135" w:lineRule="exact"/>
              <w:rPr>
                <w:sz w:val="20"/>
                <w:szCs w:val="20"/>
                <w:color w:val="auto"/>
              </w:rPr>
            </w:pPr>
            <w:r>
              <w:rPr>
                <w:rFonts w:ascii="Arial" w:cs="Arial" w:eastAsia="Arial" w:hAnsi="Arial"/>
                <w:sz w:val="12"/>
                <w:szCs w:val="12"/>
                <w:b w:val="1"/>
                <w:bCs w:val="1"/>
                <w:color w:val="2459A8"/>
                <w:w w:val="96"/>
              </w:rPr>
              <w:t>of unearned</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6"/>
              <w:spacing w:after="0" w:line="135" w:lineRule="exact"/>
              <w:rPr>
                <w:sz w:val="20"/>
                <w:szCs w:val="20"/>
                <w:color w:val="auto"/>
              </w:rPr>
            </w:pPr>
            <w:r>
              <w:rPr>
                <w:rFonts w:ascii="Arial" w:cs="Arial" w:eastAsia="Arial" w:hAnsi="Arial"/>
                <w:sz w:val="12"/>
                <w:szCs w:val="12"/>
                <w:b w:val="1"/>
                <w:bCs w:val="1"/>
                <w:color w:val="2459A8"/>
                <w:w w:val="97"/>
              </w:rPr>
              <w:t>underlying</w:t>
            </w:r>
          </w:p>
        </w:tc>
        <w:tc>
          <w:tcPr>
            <w:tcW w:w="92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7"/>
              </w:rPr>
              <w:t>underlying</w:t>
            </w:r>
          </w:p>
        </w:tc>
        <w:tc>
          <w:tcPr>
            <w:tcW w:w="88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7"/>
              </w:rPr>
              <w:t>underlying</w:t>
            </w: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2"/>
          </w:tcPr>
          <w:p>
            <w:pPr>
              <w:jc w:val="center"/>
              <w:ind w:right="86"/>
              <w:spacing w:after="0" w:line="135" w:lineRule="exact"/>
              <w:rPr>
                <w:sz w:val="20"/>
                <w:szCs w:val="20"/>
                <w:color w:val="auto"/>
              </w:rPr>
            </w:pPr>
            <w:r>
              <w:rPr>
                <w:rFonts w:ascii="Arial" w:cs="Arial" w:eastAsia="Arial" w:hAnsi="Arial"/>
                <w:sz w:val="12"/>
                <w:szCs w:val="12"/>
                <w:b w:val="1"/>
                <w:bCs w:val="1"/>
                <w:color w:val="2459A8"/>
                <w:w w:val="95"/>
              </w:rPr>
              <w:t>or units of</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of shares or</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shares, units</w:t>
            </w:r>
          </w:p>
        </w:tc>
        <w:tc>
          <w:tcPr>
            <w:tcW w:w="14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459A8"/>
                <w:w w:val="97"/>
              </w:rPr>
              <w:t>shares, units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36"/>
              <w:spacing w:after="0" w:line="135" w:lineRule="exact"/>
              <w:rPr>
                <w:sz w:val="20"/>
                <w:szCs w:val="20"/>
                <w:color w:val="auto"/>
              </w:rPr>
            </w:pPr>
            <w:r>
              <w:rPr>
                <w:rFonts w:ascii="Arial" w:cs="Arial" w:eastAsia="Arial" w:hAnsi="Arial"/>
                <w:sz w:val="12"/>
                <w:szCs w:val="12"/>
                <w:b w:val="1"/>
                <w:bCs w:val="1"/>
                <w:color w:val="2459A8"/>
                <w:w w:val="97"/>
              </w:rPr>
              <w:t>unexercised</w:t>
            </w:r>
          </w:p>
        </w:tc>
        <w:tc>
          <w:tcPr>
            <w:tcW w:w="920" w:type="dxa"/>
            <w:vAlign w:val="bottom"/>
          </w:tcPr>
          <w:p>
            <w:pPr>
              <w:jc w:val="center"/>
              <w:ind w:right="57"/>
              <w:spacing w:after="0" w:line="135" w:lineRule="exact"/>
              <w:rPr>
                <w:sz w:val="20"/>
                <w:szCs w:val="20"/>
                <w:color w:val="auto"/>
              </w:rPr>
            </w:pPr>
            <w:r>
              <w:rPr>
                <w:rFonts w:ascii="Arial" w:cs="Arial" w:eastAsia="Arial" w:hAnsi="Arial"/>
                <w:sz w:val="12"/>
                <w:szCs w:val="12"/>
                <w:b w:val="1"/>
                <w:bCs w:val="1"/>
                <w:color w:val="2459A8"/>
                <w:w w:val="97"/>
              </w:rPr>
              <w:t>unexercised</w:t>
            </w:r>
          </w:p>
        </w:tc>
        <w:tc>
          <w:tcPr>
            <w:tcW w:w="88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7"/>
              </w:rPr>
              <w:t>unexercised</w:t>
            </w:r>
          </w:p>
        </w:tc>
        <w:tc>
          <w:tcPr>
            <w:tcW w:w="86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459A8"/>
                <w:w w:val="98"/>
              </w:rPr>
              <w:t>Option</w:t>
            </w:r>
          </w:p>
        </w:tc>
        <w:tc>
          <w:tcPr>
            <w:tcW w:w="920" w:type="dxa"/>
            <w:vAlign w:val="bottom"/>
          </w:tcPr>
          <w:p>
            <w:pPr>
              <w:spacing w:after="0"/>
              <w:rPr>
                <w:sz w:val="11"/>
                <w:szCs w:val="11"/>
                <w:color w:val="auto"/>
              </w:rPr>
            </w:pPr>
          </w:p>
        </w:tc>
        <w:tc>
          <w:tcPr>
            <w:tcW w:w="940" w:type="dxa"/>
            <w:vAlign w:val="bottom"/>
            <w:gridSpan w:val="2"/>
          </w:tcPr>
          <w:p>
            <w:pPr>
              <w:jc w:val="center"/>
              <w:ind w:right="86"/>
              <w:spacing w:after="0" w:line="135" w:lineRule="exact"/>
              <w:rPr>
                <w:sz w:val="20"/>
                <w:szCs w:val="20"/>
                <w:color w:val="auto"/>
              </w:rPr>
            </w:pPr>
            <w:r>
              <w:rPr>
                <w:rFonts w:ascii="Arial" w:cs="Arial" w:eastAsia="Arial" w:hAnsi="Arial"/>
                <w:sz w:val="12"/>
                <w:szCs w:val="12"/>
                <w:b w:val="1"/>
                <w:bCs w:val="1"/>
                <w:color w:val="2459A8"/>
                <w:w w:val="98"/>
              </w:rPr>
              <w:t>stock that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units of stock</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or other rights</w:t>
            </w:r>
          </w:p>
        </w:tc>
        <w:tc>
          <w:tcPr>
            <w:tcW w:w="1400" w:type="dxa"/>
            <w:vAlign w:val="bottom"/>
            <w:gridSpan w:val="3"/>
          </w:tcPr>
          <w:p>
            <w:pPr>
              <w:jc w:val="right"/>
              <w:ind w:right="540"/>
              <w:spacing w:after="0" w:line="135" w:lineRule="exact"/>
              <w:rPr>
                <w:sz w:val="20"/>
                <w:szCs w:val="20"/>
                <w:color w:val="auto"/>
              </w:rPr>
            </w:pPr>
            <w:r>
              <w:rPr>
                <w:rFonts w:ascii="Arial" w:cs="Arial" w:eastAsia="Arial" w:hAnsi="Arial"/>
                <w:sz w:val="12"/>
                <w:szCs w:val="12"/>
                <w:b w:val="1"/>
                <w:bCs w:val="1"/>
                <w:color w:val="2459A8"/>
              </w:rPr>
              <w:t>or other rights</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459A8"/>
                <w:w w:val="96"/>
              </w:rPr>
              <w:t>options</w:t>
            </w:r>
          </w:p>
        </w:tc>
        <w:tc>
          <w:tcPr>
            <w:tcW w:w="92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6"/>
              </w:rPr>
              <w:t>options</w:t>
            </w:r>
          </w:p>
        </w:tc>
        <w:tc>
          <w:tcPr>
            <w:tcW w:w="88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6"/>
              </w:rPr>
              <w:t>unearned</w:t>
            </w:r>
          </w:p>
        </w:tc>
        <w:tc>
          <w:tcPr>
            <w:tcW w:w="860" w:type="dxa"/>
            <w:vAlign w:val="bottom"/>
          </w:tcPr>
          <w:p>
            <w:pPr>
              <w:jc w:val="center"/>
              <w:ind w:right="16"/>
              <w:spacing w:after="0" w:line="135" w:lineRule="exact"/>
              <w:rPr>
                <w:sz w:val="20"/>
                <w:szCs w:val="20"/>
                <w:color w:val="auto"/>
              </w:rPr>
            </w:pPr>
            <w:r>
              <w:rPr>
                <w:rFonts w:ascii="Arial" w:cs="Arial" w:eastAsia="Arial" w:hAnsi="Arial"/>
                <w:sz w:val="12"/>
                <w:szCs w:val="12"/>
                <w:b w:val="1"/>
                <w:bCs w:val="1"/>
                <w:color w:val="2459A8"/>
                <w:w w:val="95"/>
              </w:rPr>
              <w:t>exercise</w:t>
            </w:r>
          </w:p>
        </w:tc>
        <w:tc>
          <w:tcPr>
            <w:tcW w:w="920" w:type="dxa"/>
            <w:vAlign w:val="bottom"/>
          </w:tcPr>
          <w:p>
            <w:pPr>
              <w:spacing w:after="0"/>
              <w:rPr>
                <w:sz w:val="11"/>
                <w:szCs w:val="11"/>
                <w:color w:val="auto"/>
              </w:rPr>
            </w:pPr>
          </w:p>
        </w:tc>
        <w:tc>
          <w:tcPr>
            <w:tcW w:w="940" w:type="dxa"/>
            <w:vAlign w:val="bottom"/>
            <w:gridSpan w:val="2"/>
          </w:tcPr>
          <w:p>
            <w:pPr>
              <w:jc w:val="center"/>
              <w:ind w:right="86"/>
              <w:spacing w:after="0" w:line="135" w:lineRule="exact"/>
              <w:rPr>
                <w:sz w:val="20"/>
                <w:szCs w:val="20"/>
                <w:color w:val="auto"/>
              </w:rPr>
            </w:pPr>
            <w:r>
              <w:rPr>
                <w:rFonts w:ascii="Arial" w:cs="Arial" w:eastAsia="Arial" w:hAnsi="Arial"/>
                <w:sz w:val="12"/>
                <w:szCs w:val="12"/>
                <w:b w:val="1"/>
                <w:bCs w:val="1"/>
                <w:color w:val="2459A8"/>
                <w:w w:val="97"/>
              </w:rPr>
              <w:t>have not</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that have not</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that have not</w:t>
            </w:r>
          </w:p>
        </w:tc>
        <w:tc>
          <w:tcPr>
            <w:tcW w:w="1400" w:type="dxa"/>
            <w:vAlign w:val="bottom"/>
            <w:gridSpan w:val="3"/>
          </w:tcPr>
          <w:p>
            <w:pPr>
              <w:jc w:val="center"/>
              <w:ind w:right="480"/>
              <w:spacing w:after="0" w:line="135" w:lineRule="exact"/>
              <w:rPr>
                <w:sz w:val="20"/>
                <w:szCs w:val="20"/>
                <w:color w:val="auto"/>
              </w:rPr>
            </w:pPr>
            <w:r>
              <w:rPr>
                <w:rFonts w:ascii="Arial" w:cs="Arial" w:eastAsia="Arial" w:hAnsi="Arial"/>
                <w:sz w:val="12"/>
                <w:szCs w:val="12"/>
                <w:b w:val="1"/>
                <w:bCs w:val="1"/>
                <w:color w:val="2459A8"/>
                <w:w w:val="96"/>
              </w:rPr>
              <w:t>that have not</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Arial" w:cs="Arial" w:eastAsia="Arial" w:hAnsi="Arial"/>
                <w:sz w:val="12"/>
                <w:szCs w:val="12"/>
                <w:b w:val="1"/>
                <w:bCs w:val="1"/>
                <w:color w:val="2459A8"/>
              </w:rPr>
              <w:t>Name</w:t>
            </w:r>
          </w:p>
        </w:tc>
        <w:tc>
          <w:tcPr>
            <w:tcW w:w="900" w:type="dxa"/>
            <w:vAlign w:val="bottom"/>
          </w:tcPr>
          <w:p>
            <w:pPr>
              <w:jc w:val="center"/>
              <w:ind w:right="36"/>
              <w:spacing w:after="0" w:line="135" w:lineRule="exact"/>
              <w:rPr>
                <w:sz w:val="20"/>
                <w:szCs w:val="20"/>
                <w:color w:val="auto"/>
              </w:rPr>
            </w:pPr>
            <w:r>
              <w:rPr>
                <w:rFonts w:ascii="Arial" w:cs="Arial" w:eastAsia="Arial" w:hAnsi="Arial"/>
                <w:sz w:val="12"/>
                <w:szCs w:val="12"/>
                <w:b w:val="1"/>
                <w:bCs w:val="1"/>
                <w:color w:val="2459A8"/>
                <w:w w:val="97"/>
              </w:rPr>
              <w:t>exercisable</w:t>
            </w:r>
          </w:p>
        </w:tc>
        <w:tc>
          <w:tcPr>
            <w:tcW w:w="92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7"/>
              </w:rPr>
              <w:t>unexercisable</w:t>
            </w:r>
          </w:p>
        </w:tc>
        <w:tc>
          <w:tcPr>
            <w:tcW w:w="88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6"/>
              </w:rPr>
              <w:t>options</w:t>
            </w:r>
          </w:p>
        </w:tc>
        <w:tc>
          <w:tcPr>
            <w:tcW w:w="860" w:type="dxa"/>
            <w:vAlign w:val="bottom"/>
          </w:tcPr>
          <w:p>
            <w:pPr>
              <w:jc w:val="center"/>
              <w:ind w:right="36"/>
              <w:spacing w:after="0" w:line="135" w:lineRule="exact"/>
              <w:rPr>
                <w:sz w:val="20"/>
                <w:szCs w:val="20"/>
                <w:color w:val="auto"/>
              </w:rPr>
            </w:pPr>
            <w:r>
              <w:rPr>
                <w:rFonts w:ascii="Arial" w:cs="Arial" w:eastAsia="Arial" w:hAnsi="Arial"/>
                <w:sz w:val="12"/>
                <w:szCs w:val="12"/>
                <w:b w:val="1"/>
                <w:bCs w:val="1"/>
                <w:color w:val="2459A8"/>
                <w:w w:val="97"/>
              </w:rPr>
              <w:t>price</w:t>
            </w:r>
          </w:p>
        </w:tc>
        <w:tc>
          <w:tcPr>
            <w:tcW w:w="920" w:type="dxa"/>
            <w:vAlign w:val="bottom"/>
          </w:tcPr>
          <w:p>
            <w:pPr>
              <w:jc w:val="center"/>
              <w:ind w:right="35"/>
              <w:spacing w:after="0" w:line="135" w:lineRule="exact"/>
              <w:rPr>
                <w:sz w:val="20"/>
                <w:szCs w:val="20"/>
                <w:color w:val="auto"/>
              </w:rPr>
            </w:pPr>
            <w:r>
              <w:rPr>
                <w:rFonts w:ascii="Arial" w:cs="Arial" w:eastAsia="Arial" w:hAnsi="Arial"/>
                <w:sz w:val="12"/>
                <w:szCs w:val="12"/>
                <w:b w:val="1"/>
                <w:bCs w:val="1"/>
                <w:color w:val="2459A8"/>
                <w:w w:val="98"/>
              </w:rPr>
              <w:t>Option</w:t>
            </w:r>
          </w:p>
        </w:tc>
        <w:tc>
          <w:tcPr>
            <w:tcW w:w="940" w:type="dxa"/>
            <w:vAlign w:val="bottom"/>
            <w:gridSpan w:val="2"/>
          </w:tcPr>
          <w:p>
            <w:pPr>
              <w:jc w:val="center"/>
              <w:ind w:right="86"/>
              <w:spacing w:after="0" w:line="135" w:lineRule="exact"/>
              <w:rPr>
                <w:sz w:val="20"/>
                <w:szCs w:val="20"/>
                <w:color w:val="auto"/>
              </w:rPr>
            </w:pPr>
            <w:r>
              <w:rPr>
                <w:rFonts w:ascii="Arial" w:cs="Arial" w:eastAsia="Arial" w:hAnsi="Arial"/>
                <w:sz w:val="12"/>
                <w:szCs w:val="12"/>
                <w:b w:val="1"/>
                <w:bCs w:val="1"/>
                <w:color w:val="2459A8"/>
                <w:w w:val="94"/>
              </w:rPr>
              <w:t>vested</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4"/>
              </w:rPr>
              <w:t>vested</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4"/>
              </w:rPr>
              <w:t>vested</w:t>
            </w:r>
          </w:p>
        </w:tc>
        <w:tc>
          <w:tcPr>
            <w:tcW w:w="1400" w:type="dxa"/>
            <w:vAlign w:val="bottom"/>
            <w:gridSpan w:val="3"/>
          </w:tcPr>
          <w:p>
            <w:pPr>
              <w:jc w:val="center"/>
              <w:ind w:right="500"/>
              <w:spacing w:after="0" w:line="135" w:lineRule="exact"/>
              <w:rPr>
                <w:sz w:val="20"/>
                <w:szCs w:val="20"/>
                <w:color w:val="auto"/>
              </w:rPr>
            </w:pPr>
            <w:r>
              <w:rPr>
                <w:rFonts w:ascii="Arial" w:cs="Arial" w:eastAsia="Arial" w:hAnsi="Arial"/>
                <w:sz w:val="12"/>
                <w:szCs w:val="12"/>
                <w:b w:val="1"/>
                <w:bCs w:val="1"/>
                <w:color w:val="2459A8"/>
                <w:w w:val="99"/>
              </w:rPr>
              <w:t>vested</w:t>
            </w: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2000" w:type="dxa"/>
            <w:vAlign w:val="bottom"/>
            <w:tcBorders>
              <w:bottom w:val="single" w:sz="8" w:color="2459A8"/>
            </w:tcBorders>
            <w:gridSpan w:val="2"/>
            <w:vMerge w:val="continue"/>
          </w:tcPr>
          <w:p>
            <w:pPr>
              <w:spacing w:after="0"/>
              <w:rPr>
                <w:sz w:val="13"/>
                <w:szCs w:val="13"/>
                <w:color w:val="auto"/>
              </w:rPr>
            </w:pPr>
          </w:p>
        </w:tc>
        <w:tc>
          <w:tcPr>
            <w:tcW w:w="900" w:type="dxa"/>
            <w:vAlign w:val="bottom"/>
            <w:tcBorders>
              <w:bottom w:val="single" w:sz="8" w:color="2459A8"/>
            </w:tcBorders>
          </w:tcPr>
          <w:p>
            <w:pPr>
              <w:jc w:val="center"/>
              <w:ind w:right="16"/>
              <w:spacing w:after="0"/>
              <w:rPr>
                <w:sz w:val="20"/>
                <w:szCs w:val="20"/>
                <w:color w:val="auto"/>
              </w:rPr>
            </w:pPr>
            <w:r>
              <w:rPr>
                <w:rFonts w:ascii="Arial" w:cs="Arial" w:eastAsia="Arial" w:hAnsi="Arial"/>
                <w:sz w:val="12"/>
                <w:szCs w:val="12"/>
                <w:b w:val="1"/>
                <w:bCs w:val="1"/>
                <w:color w:val="2459A8"/>
                <w:w w:val="95"/>
              </w:rPr>
              <w:t>(#)</w:t>
            </w:r>
          </w:p>
        </w:tc>
        <w:tc>
          <w:tcPr>
            <w:tcW w:w="920" w:type="dxa"/>
            <w:vAlign w:val="bottom"/>
            <w:tcBorders>
              <w:bottom w:val="single" w:sz="8" w:color="2459A8"/>
            </w:tcBorders>
          </w:tcPr>
          <w:p>
            <w:pPr>
              <w:jc w:val="center"/>
              <w:ind w:right="37"/>
              <w:spacing w:after="0"/>
              <w:rPr>
                <w:sz w:val="20"/>
                <w:szCs w:val="20"/>
                <w:color w:val="auto"/>
              </w:rPr>
            </w:pPr>
            <w:r>
              <w:rPr>
                <w:rFonts w:ascii="Arial" w:cs="Arial" w:eastAsia="Arial" w:hAnsi="Arial"/>
                <w:sz w:val="12"/>
                <w:szCs w:val="12"/>
                <w:b w:val="1"/>
                <w:bCs w:val="1"/>
                <w:color w:val="2459A8"/>
                <w:w w:val="95"/>
              </w:rPr>
              <w:t>(#)</w:t>
            </w:r>
          </w:p>
        </w:tc>
        <w:tc>
          <w:tcPr>
            <w:tcW w:w="880" w:type="dxa"/>
            <w:vAlign w:val="bottom"/>
            <w:tcBorders>
              <w:bottom w:val="single" w:sz="8" w:color="2459A8"/>
            </w:tcBorders>
          </w:tcPr>
          <w:p>
            <w:pPr>
              <w:jc w:val="center"/>
              <w:ind w:right="37"/>
              <w:spacing w:after="0"/>
              <w:rPr>
                <w:sz w:val="20"/>
                <w:szCs w:val="20"/>
                <w:color w:val="auto"/>
              </w:rPr>
            </w:pPr>
            <w:r>
              <w:rPr>
                <w:rFonts w:ascii="Arial" w:cs="Arial" w:eastAsia="Arial" w:hAnsi="Arial"/>
                <w:sz w:val="12"/>
                <w:szCs w:val="12"/>
                <w:b w:val="1"/>
                <w:bCs w:val="1"/>
                <w:color w:val="2459A8"/>
                <w:w w:val="95"/>
              </w:rPr>
              <w:t>(#)</w:t>
            </w:r>
          </w:p>
        </w:tc>
        <w:tc>
          <w:tcPr>
            <w:tcW w:w="860" w:type="dxa"/>
            <w:vAlign w:val="bottom"/>
            <w:tcBorders>
              <w:bottom w:val="single" w:sz="8" w:color="2459A8"/>
            </w:tcBorders>
          </w:tcPr>
          <w:p>
            <w:pPr>
              <w:jc w:val="center"/>
              <w:ind w:right="16"/>
              <w:spacing w:after="0"/>
              <w:rPr>
                <w:sz w:val="20"/>
                <w:szCs w:val="20"/>
                <w:color w:val="auto"/>
              </w:rPr>
            </w:pPr>
            <w:r>
              <w:rPr>
                <w:rFonts w:ascii="Arial" w:cs="Arial" w:eastAsia="Arial" w:hAnsi="Arial"/>
                <w:sz w:val="12"/>
                <w:szCs w:val="12"/>
                <w:b w:val="1"/>
                <w:bCs w:val="1"/>
                <w:color w:val="2459A8"/>
                <w:w w:val="95"/>
              </w:rPr>
              <w:t>($)</w:t>
            </w:r>
          </w:p>
        </w:tc>
        <w:tc>
          <w:tcPr>
            <w:tcW w:w="920" w:type="dxa"/>
            <w:vAlign w:val="bottom"/>
            <w:tcBorders>
              <w:bottom w:val="single" w:sz="8" w:color="2459A8"/>
            </w:tcBorders>
          </w:tcPr>
          <w:p>
            <w:pPr>
              <w:jc w:val="center"/>
              <w:ind w:right="15"/>
              <w:spacing w:after="0"/>
              <w:rPr>
                <w:sz w:val="20"/>
                <w:szCs w:val="20"/>
                <w:color w:val="auto"/>
              </w:rPr>
            </w:pPr>
            <w:r>
              <w:rPr>
                <w:rFonts w:ascii="Arial" w:cs="Arial" w:eastAsia="Arial" w:hAnsi="Arial"/>
                <w:sz w:val="12"/>
                <w:szCs w:val="12"/>
                <w:b w:val="1"/>
                <w:bCs w:val="1"/>
                <w:color w:val="2459A8"/>
                <w:w w:val="98"/>
              </w:rPr>
              <w:t>expiration date</w:t>
            </w:r>
          </w:p>
        </w:tc>
        <w:tc>
          <w:tcPr>
            <w:tcW w:w="80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rPr>
              <w:t>(#)</w:t>
            </w:r>
          </w:p>
        </w:tc>
        <w:tc>
          <w:tcPr>
            <w:tcW w:w="140" w:type="dxa"/>
            <w:vAlign w:val="bottom"/>
            <w:tcBorders>
              <w:bottom w:val="single" w:sz="8" w:color="2459A8"/>
            </w:tcBorders>
          </w:tcPr>
          <w:p>
            <w:pPr>
              <w:spacing w:after="0"/>
              <w:rPr>
                <w:sz w:val="13"/>
                <w:szCs w:val="13"/>
                <w:color w:val="auto"/>
              </w:rPr>
            </w:pPr>
          </w:p>
        </w:tc>
        <w:tc>
          <w:tcPr>
            <w:tcW w:w="900" w:type="dxa"/>
            <w:vAlign w:val="bottom"/>
            <w:tcBorders>
              <w:bottom w:val="single" w:sz="8" w:color="2459A8"/>
            </w:tcBorders>
          </w:tcPr>
          <w:p>
            <w:pPr>
              <w:jc w:val="center"/>
              <w:ind w:right="17"/>
              <w:spacing w:after="0"/>
              <w:rPr>
                <w:sz w:val="20"/>
                <w:szCs w:val="20"/>
                <w:color w:val="auto"/>
              </w:rPr>
            </w:pPr>
            <w:r>
              <w:rPr>
                <w:rFonts w:ascii="Arial" w:cs="Arial" w:eastAsia="Arial" w:hAnsi="Arial"/>
                <w:sz w:val="12"/>
                <w:szCs w:val="12"/>
                <w:b w:val="1"/>
                <w:bCs w:val="1"/>
                <w:color w:val="2459A8"/>
                <w:w w:val="95"/>
              </w:rPr>
              <w:t>($)</w:t>
            </w:r>
          </w:p>
        </w:tc>
        <w:tc>
          <w:tcPr>
            <w:tcW w:w="98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5"/>
              </w:rPr>
              <w:t>(#)</w:t>
            </w:r>
          </w:p>
        </w:tc>
        <w:tc>
          <w:tcPr>
            <w:tcW w:w="86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5"/>
              </w:rPr>
              <w:t>($)</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1920" w:type="dxa"/>
            <w:vAlign w:val="bottom"/>
            <w:tcBorders>
              <w:bottom w:val="single" w:sz="8" w:color="EEEEEF"/>
            </w:tcBorders>
            <w:shd w:val="clear" w:color="auto" w:fill="EEEEEF"/>
          </w:tcPr>
          <w:p>
            <w:pPr>
              <w:spacing w:after="0"/>
              <w:rPr>
                <w:sz w:val="15"/>
                <w:szCs w:val="15"/>
                <w:color w:val="auto"/>
              </w:rPr>
            </w:pPr>
          </w:p>
        </w:tc>
        <w:tc>
          <w:tcPr>
            <w:tcW w:w="80" w:type="dxa"/>
            <w:vAlign w:val="bottom"/>
            <w:tcBorders>
              <w:bottom w:val="single" w:sz="8" w:color="EEEEEF"/>
            </w:tcBorders>
            <w:shd w:val="clear" w:color="auto" w:fill="EEEEEF"/>
          </w:tcPr>
          <w:p>
            <w:pPr>
              <w:spacing w:after="0"/>
              <w:rPr>
                <w:sz w:val="15"/>
                <w:szCs w:val="15"/>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ind w:left="400"/>
              <w:spacing w:after="0" w:line="176" w:lineRule="exact"/>
              <w:rPr>
                <w:sz w:val="20"/>
                <w:szCs w:val="20"/>
                <w:color w:val="auto"/>
              </w:rPr>
            </w:pPr>
            <w:r>
              <w:rPr>
                <w:rFonts w:ascii="Arial" w:cs="Arial" w:eastAsia="Arial" w:hAnsi="Arial"/>
                <w:sz w:val="13"/>
                <w:szCs w:val="13"/>
                <w:color w:val="auto"/>
              </w:rPr>
              <w:t>18,548</w:t>
            </w:r>
            <w:r>
              <w:rPr>
                <w:rFonts w:ascii="Arial" w:cs="Arial" w:eastAsia="Arial" w:hAnsi="Arial"/>
                <w:sz w:val="20"/>
                <w:szCs w:val="20"/>
                <w:color w:val="auto"/>
                <w:vertAlign w:val="superscript"/>
              </w:rPr>
              <w:t>1</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644.54</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12/08/2031</w:t>
            </w:r>
          </w:p>
        </w:tc>
        <w:tc>
          <w:tcPr>
            <w:tcW w:w="940" w:type="dxa"/>
            <w:vAlign w:val="bottom"/>
            <w:tcBorders>
              <w:bottom w:val="single" w:sz="8" w:color="58585A"/>
            </w:tcBorders>
            <w:gridSpan w:val="2"/>
            <w:shd w:val="clear" w:color="auto" w:fill="EEEEEF"/>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4,988</w:t>
            </w:r>
          </w:p>
        </w:tc>
        <w:tc>
          <w:tcPr>
            <w:tcW w:w="920" w:type="dxa"/>
            <w:vAlign w:val="bottom"/>
            <w:tcBorders>
              <w:bottom w:val="single" w:sz="8" w:color="58585A"/>
            </w:tcBorders>
            <w:shd w:val="clear" w:color="auto" w:fill="EEEEEF"/>
          </w:tcPr>
          <w:p>
            <w:pPr>
              <w:ind w:left="400"/>
              <w:spacing w:after="0" w:line="169" w:lineRule="exact"/>
              <w:rPr>
                <w:sz w:val="20"/>
                <w:szCs w:val="20"/>
                <w:color w:val="auto"/>
              </w:rPr>
            </w:pPr>
            <w:r>
              <w:rPr>
                <w:rFonts w:ascii="Arial" w:cs="Arial" w:eastAsia="Arial" w:hAnsi="Arial"/>
                <w:sz w:val="12"/>
                <w:szCs w:val="12"/>
                <w:color w:val="auto"/>
              </w:rPr>
              <w:t>14,962</w:t>
            </w:r>
            <w:r>
              <w:rPr>
                <w:rFonts w:ascii="Arial" w:cs="Arial" w:eastAsia="Arial" w:hAnsi="Arial"/>
                <w:sz w:val="19"/>
                <w:szCs w:val="19"/>
                <w:color w:val="auto"/>
                <w:vertAlign w:val="superscript"/>
              </w:rPr>
              <w:t>2</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492.00</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12/09/2030</w:t>
            </w:r>
          </w:p>
        </w:tc>
        <w:tc>
          <w:tcPr>
            <w:tcW w:w="940" w:type="dxa"/>
            <w:vAlign w:val="bottom"/>
            <w:tcBorders>
              <w:bottom w:val="single" w:sz="8" w:color="58585A"/>
            </w:tcBorders>
            <w:gridSpan w:val="2"/>
            <w:shd w:val="clear" w:color="auto" w:fill="EEEEEF"/>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12,250</w:t>
            </w:r>
          </w:p>
        </w:tc>
        <w:tc>
          <w:tcPr>
            <w:tcW w:w="920" w:type="dxa"/>
            <w:vAlign w:val="bottom"/>
            <w:tcBorders>
              <w:bottom w:val="single" w:sz="8" w:color="58585A"/>
            </w:tcBorders>
            <w:shd w:val="clear" w:color="auto" w:fill="EEEEEF"/>
          </w:tcPr>
          <w:p>
            <w:pPr>
              <w:ind w:left="400"/>
              <w:spacing w:after="0" w:line="169" w:lineRule="exact"/>
              <w:rPr>
                <w:sz w:val="20"/>
                <w:szCs w:val="20"/>
                <w:color w:val="auto"/>
              </w:rPr>
            </w:pPr>
            <w:r>
              <w:rPr>
                <w:rFonts w:ascii="Arial" w:cs="Arial" w:eastAsia="Arial" w:hAnsi="Arial"/>
                <w:sz w:val="12"/>
                <w:szCs w:val="12"/>
                <w:color w:val="auto"/>
              </w:rPr>
              <w:t>12,250</w:t>
            </w:r>
            <w:r>
              <w:rPr>
                <w:rFonts w:ascii="Arial" w:cs="Arial" w:eastAsia="Arial" w:hAnsi="Arial"/>
                <w:sz w:val="19"/>
                <w:szCs w:val="19"/>
                <w:color w:val="auto"/>
                <w:vertAlign w:val="superscript"/>
              </w:rPr>
              <w:t>3</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372.46</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12/11/2029</w:t>
            </w:r>
          </w:p>
        </w:tc>
        <w:tc>
          <w:tcPr>
            <w:tcW w:w="940" w:type="dxa"/>
            <w:vAlign w:val="bottom"/>
            <w:tcBorders>
              <w:bottom w:val="single" w:sz="8" w:color="58585A"/>
            </w:tcBorders>
            <w:gridSpan w:val="2"/>
            <w:shd w:val="clear" w:color="auto" w:fill="EEEEEF"/>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34,688</w:t>
            </w:r>
          </w:p>
        </w:tc>
        <w:tc>
          <w:tcPr>
            <w:tcW w:w="920" w:type="dxa"/>
            <w:vAlign w:val="bottom"/>
            <w:tcBorders>
              <w:bottom w:val="single" w:sz="8" w:color="58585A"/>
            </w:tcBorders>
            <w:shd w:val="clear" w:color="auto" w:fill="EEEEEF"/>
          </w:tcPr>
          <w:p>
            <w:pPr>
              <w:ind w:left="400"/>
              <w:spacing w:after="0" w:line="169" w:lineRule="exact"/>
              <w:rPr>
                <w:sz w:val="20"/>
                <w:szCs w:val="20"/>
                <w:color w:val="auto"/>
              </w:rPr>
            </w:pPr>
            <w:r>
              <w:rPr>
                <w:rFonts w:ascii="Arial" w:cs="Arial" w:eastAsia="Arial" w:hAnsi="Arial"/>
                <w:sz w:val="12"/>
                <w:szCs w:val="12"/>
                <w:color w:val="auto"/>
              </w:rPr>
              <w:t>11,562</w:t>
            </w:r>
            <w:r>
              <w:rPr>
                <w:rFonts w:ascii="Arial" w:cs="Arial" w:eastAsia="Arial" w:hAnsi="Arial"/>
                <w:sz w:val="19"/>
                <w:szCs w:val="19"/>
                <w:color w:val="auto"/>
                <w:vertAlign w:val="superscript"/>
              </w:rPr>
              <w:t>4</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381.40</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12/12/2028</w:t>
            </w:r>
          </w:p>
        </w:tc>
        <w:tc>
          <w:tcPr>
            <w:tcW w:w="940" w:type="dxa"/>
            <w:vAlign w:val="bottom"/>
            <w:tcBorders>
              <w:bottom w:val="single" w:sz="8" w:color="58585A"/>
            </w:tcBorders>
            <w:gridSpan w:val="2"/>
            <w:shd w:val="clear" w:color="auto" w:fill="EEEEEF"/>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Borders>
              <w:bottom w:val="single" w:sz="8" w:color="EEEEEF"/>
            </w:tcBorders>
            <w:shd w:val="clear" w:color="auto" w:fill="EEEEEF"/>
          </w:tcPr>
          <w:p>
            <w:pPr>
              <w:spacing w:after="0"/>
              <w:rPr>
                <w:sz w:val="12"/>
                <w:szCs w:val="12"/>
                <w:color w:val="auto"/>
              </w:rPr>
            </w:pPr>
          </w:p>
        </w:tc>
        <w:tc>
          <w:tcPr>
            <w:tcW w:w="80" w:type="dxa"/>
            <w:vAlign w:val="bottom"/>
            <w:tcBorders>
              <w:bottom w:val="single" w:sz="8" w:color="EEEEEF"/>
            </w:tcBorders>
            <w:shd w:val="clear" w:color="auto" w:fill="EEEEEF"/>
          </w:tcPr>
          <w:p>
            <w:pPr>
              <w:spacing w:after="0"/>
              <w:rPr>
                <w:sz w:val="12"/>
                <w:szCs w:val="12"/>
                <w:color w:val="auto"/>
              </w:rPr>
            </w:pPr>
          </w:p>
        </w:tc>
        <w:tc>
          <w:tcPr>
            <w:tcW w:w="90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50,000</w:t>
            </w:r>
          </w:p>
        </w:tc>
        <w:tc>
          <w:tcPr>
            <w:tcW w:w="920" w:type="dxa"/>
            <w:vAlign w:val="bottom"/>
            <w:tcBorders>
              <w:bottom w:val="single" w:sz="8" w:color="58585A"/>
            </w:tcBorders>
            <w:shd w:val="clear" w:color="auto" w:fill="EEEEEF"/>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378.98</w:t>
            </w:r>
          </w:p>
        </w:tc>
        <w:tc>
          <w:tcPr>
            <w:tcW w:w="920" w:type="dxa"/>
            <w:vAlign w:val="bottom"/>
            <w:tcBorders>
              <w:bottom w:val="single" w:sz="8" w:color="58585A"/>
            </w:tcBorders>
            <w:shd w:val="clear" w:color="auto" w:fill="EEEEEF"/>
          </w:tcPr>
          <w:p>
            <w:pPr>
              <w:jc w:val="right"/>
              <w:ind w:right="15"/>
              <w:spacing w:after="0" w:line="142" w:lineRule="exact"/>
              <w:rPr>
                <w:sz w:val="20"/>
                <w:szCs w:val="20"/>
                <w:color w:val="auto"/>
              </w:rPr>
            </w:pPr>
            <w:r>
              <w:rPr>
                <w:rFonts w:ascii="Arial" w:cs="Arial" w:eastAsia="Arial" w:hAnsi="Arial"/>
                <w:sz w:val="13"/>
                <w:szCs w:val="13"/>
                <w:color w:val="auto"/>
              </w:rPr>
              <w:t>12/12/2027</w:t>
            </w:r>
          </w:p>
        </w:tc>
        <w:tc>
          <w:tcPr>
            <w:tcW w:w="940" w:type="dxa"/>
            <w:vAlign w:val="bottom"/>
            <w:tcBorders>
              <w:bottom w:val="single" w:sz="8" w:color="58585A"/>
            </w:tcBorders>
            <w:gridSpan w:val="2"/>
            <w:shd w:val="clear" w:color="auto" w:fill="EEEEEF"/>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Borders>
              <w:bottom w:val="single" w:sz="8" w:color="EEEEEF"/>
            </w:tcBorders>
            <w:vMerge w:val="restart"/>
            <w:shd w:val="clear" w:color="auto" w:fill="EEEEEF"/>
          </w:tcPr>
          <w:p>
            <w:pPr>
              <w:spacing w:after="0"/>
              <w:rPr>
                <w:sz w:val="20"/>
                <w:szCs w:val="20"/>
                <w:color w:val="auto"/>
              </w:rPr>
            </w:pPr>
            <w:r>
              <w:rPr>
                <w:rFonts w:ascii="Arial" w:cs="Arial" w:eastAsia="Arial" w:hAnsi="Arial"/>
                <w:sz w:val="13"/>
                <w:szCs w:val="13"/>
                <w:b w:val="1"/>
                <w:bCs w:val="1"/>
                <w:color w:val="D60058"/>
              </w:rPr>
              <w:t>Daniel P. Van Plew</w:t>
            </w:r>
          </w:p>
        </w:tc>
        <w:tc>
          <w:tcPr>
            <w:tcW w:w="80" w:type="dxa"/>
            <w:vAlign w:val="bottom"/>
            <w:tcBorders>
              <w:bottom w:val="single" w:sz="8" w:color="EEEEEF"/>
            </w:tcBorders>
            <w:shd w:val="clear" w:color="auto" w:fill="EEEEEF"/>
          </w:tcPr>
          <w:p>
            <w:pPr>
              <w:spacing w:after="0"/>
              <w:rPr>
                <w:sz w:val="12"/>
                <w:szCs w:val="12"/>
                <w:color w:val="auto"/>
              </w:rPr>
            </w:pPr>
          </w:p>
        </w:tc>
        <w:tc>
          <w:tcPr>
            <w:tcW w:w="90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34,000</w:t>
            </w:r>
          </w:p>
        </w:tc>
        <w:tc>
          <w:tcPr>
            <w:tcW w:w="920" w:type="dxa"/>
            <w:vAlign w:val="bottom"/>
            <w:tcBorders>
              <w:bottom w:val="single" w:sz="8" w:color="58585A"/>
            </w:tcBorders>
            <w:shd w:val="clear" w:color="auto" w:fill="EEEEEF"/>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381.92</w:t>
            </w:r>
          </w:p>
        </w:tc>
        <w:tc>
          <w:tcPr>
            <w:tcW w:w="920" w:type="dxa"/>
            <w:vAlign w:val="bottom"/>
            <w:tcBorders>
              <w:bottom w:val="single" w:sz="8" w:color="58585A"/>
            </w:tcBorders>
            <w:shd w:val="clear" w:color="auto" w:fill="EEEEEF"/>
          </w:tcPr>
          <w:p>
            <w:pPr>
              <w:jc w:val="right"/>
              <w:ind w:right="15"/>
              <w:spacing w:after="0" w:line="142" w:lineRule="exact"/>
              <w:rPr>
                <w:sz w:val="20"/>
                <w:szCs w:val="20"/>
                <w:color w:val="auto"/>
              </w:rPr>
            </w:pPr>
            <w:r>
              <w:rPr>
                <w:rFonts w:ascii="Arial" w:cs="Arial" w:eastAsia="Arial" w:hAnsi="Arial"/>
                <w:sz w:val="13"/>
                <w:szCs w:val="13"/>
                <w:color w:val="auto"/>
              </w:rPr>
              <w:t>12/16/2026</w:t>
            </w:r>
          </w:p>
        </w:tc>
        <w:tc>
          <w:tcPr>
            <w:tcW w:w="940" w:type="dxa"/>
            <w:vAlign w:val="bottom"/>
            <w:tcBorders>
              <w:bottom w:val="single" w:sz="8" w:color="58585A"/>
            </w:tcBorders>
            <w:gridSpan w:val="2"/>
            <w:shd w:val="clear" w:color="auto" w:fill="EEEEEF"/>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Borders>
              <w:bottom w:val="single" w:sz="8" w:color="EEEEEF"/>
            </w:tcBorders>
            <w:vMerge w:val="continue"/>
            <w:shd w:val="clear" w:color="auto" w:fill="EEEEEF"/>
          </w:tcPr>
          <w:p>
            <w:pPr>
              <w:spacing w:after="0"/>
              <w:rPr>
                <w:sz w:val="12"/>
                <w:szCs w:val="12"/>
                <w:color w:val="auto"/>
              </w:rPr>
            </w:pPr>
          </w:p>
        </w:tc>
        <w:tc>
          <w:tcPr>
            <w:tcW w:w="80" w:type="dxa"/>
            <w:vAlign w:val="bottom"/>
            <w:tcBorders>
              <w:bottom w:val="single" w:sz="8" w:color="EEEEEF"/>
            </w:tcBorders>
            <w:shd w:val="clear" w:color="auto" w:fill="EEEEEF"/>
          </w:tcPr>
          <w:p>
            <w:pPr>
              <w:spacing w:after="0"/>
              <w:rPr>
                <w:sz w:val="12"/>
                <w:szCs w:val="12"/>
                <w:color w:val="auto"/>
              </w:rPr>
            </w:pPr>
          </w:p>
        </w:tc>
        <w:tc>
          <w:tcPr>
            <w:tcW w:w="90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40,000</w:t>
            </w:r>
          </w:p>
        </w:tc>
        <w:tc>
          <w:tcPr>
            <w:tcW w:w="920" w:type="dxa"/>
            <w:vAlign w:val="bottom"/>
            <w:tcBorders>
              <w:bottom w:val="single" w:sz="8" w:color="58585A"/>
            </w:tcBorders>
            <w:shd w:val="clear" w:color="auto" w:fill="EEEEEF"/>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555.67</w:t>
            </w:r>
          </w:p>
        </w:tc>
        <w:tc>
          <w:tcPr>
            <w:tcW w:w="920" w:type="dxa"/>
            <w:vAlign w:val="bottom"/>
            <w:tcBorders>
              <w:bottom w:val="single" w:sz="8" w:color="58585A"/>
            </w:tcBorders>
            <w:shd w:val="clear" w:color="auto" w:fill="EEEEEF"/>
          </w:tcPr>
          <w:p>
            <w:pPr>
              <w:jc w:val="right"/>
              <w:ind w:right="15"/>
              <w:spacing w:after="0" w:line="142" w:lineRule="exact"/>
              <w:rPr>
                <w:sz w:val="20"/>
                <w:szCs w:val="20"/>
                <w:color w:val="auto"/>
              </w:rPr>
            </w:pPr>
            <w:r>
              <w:rPr>
                <w:rFonts w:ascii="Arial" w:cs="Arial" w:eastAsia="Arial" w:hAnsi="Arial"/>
                <w:sz w:val="13"/>
                <w:szCs w:val="13"/>
                <w:color w:val="auto"/>
              </w:rPr>
              <w:t>12/16/2025</w:t>
            </w:r>
          </w:p>
        </w:tc>
        <w:tc>
          <w:tcPr>
            <w:tcW w:w="940" w:type="dxa"/>
            <w:vAlign w:val="bottom"/>
            <w:tcBorders>
              <w:bottom w:val="single" w:sz="8" w:color="58585A"/>
            </w:tcBorders>
            <w:gridSpan w:val="2"/>
            <w:shd w:val="clear" w:color="auto" w:fill="EEEEEF"/>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Borders>
              <w:bottom w:val="single" w:sz="8" w:color="EEEEEF"/>
            </w:tcBorders>
            <w:shd w:val="clear" w:color="auto" w:fill="EEEEEF"/>
          </w:tcPr>
          <w:p>
            <w:pPr>
              <w:spacing w:after="0"/>
              <w:rPr>
                <w:sz w:val="12"/>
                <w:szCs w:val="12"/>
                <w:color w:val="auto"/>
              </w:rPr>
            </w:pPr>
          </w:p>
        </w:tc>
        <w:tc>
          <w:tcPr>
            <w:tcW w:w="80" w:type="dxa"/>
            <w:vAlign w:val="bottom"/>
            <w:tcBorders>
              <w:bottom w:val="single" w:sz="8" w:color="EEEEEF"/>
            </w:tcBorders>
            <w:shd w:val="clear" w:color="auto" w:fill="EEEEEF"/>
          </w:tcPr>
          <w:p>
            <w:pPr>
              <w:spacing w:after="0"/>
              <w:rPr>
                <w:sz w:val="12"/>
                <w:szCs w:val="12"/>
                <w:color w:val="auto"/>
              </w:rPr>
            </w:pPr>
          </w:p>
        </w:tc>
        <w:tc>
          <w:tcPr>
            <w:tcW w:w="90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40,000</w:t>
            </w:r>
          </w:p>
        </w:tc>
        <w:tc>
          <w:tcPr>
            <w:tcW w:w="920" w:type="dxa"/>
            <w:vAlign w:val="bottom"/>
            <w:tcBorders>
              <w:bottom w:val="single" w:sz="8" w:color="58585A"/>
            </w:tcBorders>
            <w:shd w:val="clear" w:color="auto" w:fill="EEEEEF"/>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color w:val="auto"/>
              </w:rPr>
              <w:t>399.66</w:t>
            </w:r>
          </w:p>
        </w:tc>
        <w:tc>
          <w:tcPr>
            <w:tcW w:w="920" w:type="dxa"/>
            <w:vAlign w:val="bottom"/>
            <w:tcBorders>
              <w:bottom w:val="single" w:sz="8" w:color="58585A"/>
            </w:tcBorders>
            <w:shd w:val="clear" w:color="auto" w:fill="EEEEEF"/>
          </w:tcPr>
          <w:p>
            <w:pPr>
              <w:jc w:val="right"/>
              <w:ind w:right="15"/>
              <w:spacing w:after="0" w:line="142" w:lineRule="exact"/>
              <w:rPr>
                <w:sz w:val="20"/>
                <w:szCs w:val="20"/>
                <w:color w:val="auto"/>
              </w:rPr>
            </w:pPr>
            <w:r>
              <w:rPr>
                <w:rFonts w:ascii="Arial" w:cs="Arial" w:eastAsia="Arial" w:hAnsi="Arial"/>
                <w:sz w:val="13"/>
                <w:szCs w:val="13"/>
                <w:color w:val="auto"/>
              </w:rPr>
              <w:t>12/16/2024</w:t>
            </w:r>
          </w:p>
        </w:tc>
        <w:tc>
          <w:tcPr>
            <w:tcW w:w="940" w:type="dxa"/>
            <w:vAlign w:val="bottom"/>
            <w:tcBorders>
              <w:bottom w:val="single" w:sz="8" w:color="58585A"/>
            </w:tcBorders>
            <w:gridSpan w:val="2"/>
            <w:shd w:val="clear" w:color="auto" w:fill="EEEEEF"/>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shd w:val="clear" w:color="auto" w:fill="EEEEEF"/>
          </w:tcPr>
          <w:p>
            <w:pPr>
              <w:ind w:left="460"/>
              <w:spacing w:after="0" w:line="169" w:lineRule="exact"/>
              <w:rPr>
                <w:sz w:val="20"/>
                <w:szCs w:val="20"/>
                <w:color w:val="auto"/>
              </w:rPr>
            </w:pPr>
            <w:r>
              <w:rPr>
                <w:rFonts w:ascii="Arial" w:cs="Arial" w:eastAsia="Arial" w:hAnsi="Arial"/>
                <w:sz w:val="12"/>
                <w:szCs w:val="12"/>
                <w:color w:val="auto"/>
              </w:rPr>
              <w:t>4,344</w:t>
            </w:r>
            <w:r>
              <w:rPr>
                <w:rFonts w:ascii="Arial" w:cs="Arial" w:eastAsia="Arial" w:hAnsi="Arial"/>
                <w:sz w:val="19"/>
                <w:szCs w:val="19"/>
                <w:color w:val="auto"/>
                <w:vertAlign w:val="superscript"/>
              </w:rPr>
              <w:t>8</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2,743,323</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shd w:val="clear" w:color="auto" w:fill="EEEEEF"/>
          </w:tcPr>
          <w:p>
            <w:pPr>
              <w:ind w:left="460"/>
              <w:spacing w:after="0" w:line="169" w:lineRule="exact"/>
              <w:rPr>
                <w:sz w:val="20"/>
                <w:szCs w:val="20"/>
                <w:color w:val="auto"/>
              </w:rPr>
            </w:pPr>
            <w:r>
              <w:rPr>
                <w:rFonts w:ascii="Arial" w:cs="Arial" w:eastAsia="Arial" w:hAnsi="Arial"/>
                <w:sz w:val="12"/>
                <w:szCs w:val="12"/>
                <w:color w:val="auto"/>
              </w:rPr>
              <w:t>1,930</w:t>
            </w:r>
            <w:r>
              <w:rPr>
                <w:rFonts w:ascii="Arial" w:cs="Arial" w:eastAsia="Arial" w:hAnsi="Arial"/>
                <w:sz w:val="19"/>
                <w:szCs w:val="19"/>
                <w:color w:val="auto"/>
                <w:vertAlign w:val="superscript"/>
              </w:rPr>
              <w:t>9</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1,218,834</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shd w:val="clear" w:color="auto" w:fill="EEEEEF"/>
          </w:tcPr>
          <w:p>
            <w:pPr>
              <w:ind w:left="460"/>
              <w:spacing w:after="0" w:line="169" w:lineRule="exact"/>
              <w:rPr>
                <w:sz w:val="20"/>
                <w:szCs w:val="20"/>
                <w:color w:val="auto"/>
              </w:rPr>
            </w:pPr>
            <w:r>
              <w:rPr>
                <w:rFonts w:ascii="Arial" w:cs="Arial" w:eastAsia="Arial" w:hAnsi="Arial"/>
                <w:sz w:val="12"/>
                <w:szCs w:val="12"/>
                <w:color w:val="auto"/>
              </w:rPr>
              <w:t>5,000</w:t>
            </w:r>
            <w:r>
              <w:rPr>
                <w:rFonts w:ascii="Arial" w:cs="Arial" w:eastAsia="Arial" w:hAnsi="Arial"/>
                <w:sz w:val="19"/>
                <w:szCs w:val="19"/>
                <w:color w:val="auto"/>
                <w:vertAlign w:val="superscript"/>
              </w:rPr>
              <w:t>10</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3,157,600</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shd w:val="clear" w:color="auto" w:fill="EEEEEF"/>
          </w:tcPr>
          <w:p>
            <w:pPr>
              <w:ind w:left="460"/>
              <w:spacing w:after="0" w:line="169" w:lineRule="exact"/>
              <w:rPr>
                <w:sz w:val="20"/>
                <w:szCs w:val="20"/>
                <w:color w:val="auto"/>
              </w:rPr>
            </w:pPr>
            <w:r>
              <w:rPr>
                <w:rFonts w:ascii="Arial" w:cs="Arial" w:eastAsia="Arial" w:hAnsi="Arial"/>
                <w:sz w:val="12"/>
                <w:szCs w:val="12"/>
                <w:color w:val="auto"/>
              </w:rPr>
              <w:t>1,312</w:t>
            </w:r>
            <w:r>
              <w:rPr>
                <w:rFonts w:ascii="Arial" w:cs="Arial" w:eastAsia="Arial" w:hAnsi="Arial"/>
                <w:sz w:val="19"/>
                <w:szCs w:val="19"/>
                <w:color w:val="auto"/>
                <w:vertAlign w:val="superscript"/>
              </w:rPr>
              <w:t>11</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828,554</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Borders>
              <w:bottom w:val="single" w:sz="8" w:color="EEEEEF"/>
            </w:tcBorders>
            <w:vMerge w:val="restart"/>
            <w:shd w:val="clear" w:color="auto" w:fill="EEEEEF"/>
          </w:tcPr>
          <w:p>
            <w:pPr>
              <w:ind w:left="1480"/>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Borders>
              <w:bottom w:val="single" w:sz="8" w:color="EEEEEF"/>
            </w:tcBorders>
            <w:shd w:val="clear" w:color="auto" w:fill="EEEEEF"/>
          </w:tcPr>
          <w:p>
            <w:pPr>
              <w:spacing w:after="0"/>
              <w:rPr>
                <w:sz w:val="14"/>
                <w:szCs w:val="14"/>
                <w:color w:val="auto"/>
              </w:rPr>
            </w:pPr>
          </w:p>
        </w:tc>
        <w:tc>
          <w:tcPr>
            <w:tcW w:w="90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shd w:val="clear" w:color="auto" w:fill="EEEEEF"/>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shd w:val="clear" w:color="auto" w:fill="EEEEEF"/>
          </w:tcPr>
          <w:p>
            <w:pPr>
              <w:jc w:val="right"/>
              <w:ind w:right="15"/>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5,000</w:t>
            </w:r>
          </w:p>
        </w:tc>
        <w:tc>
          <w:tcPr>
            <w:tcW w:w="14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1"/>
                <w:szCs w:val="11"/>
                <w:color w:val="auto"/>
                <w:w w:val="81"/>
              </w:rPr>
              <w:t>12</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3,157,600</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Borders>
              <w:bottom w:val="single" w:sz="8" w:color="58585A"/>
            </w:tcBorders>
            <w:vMerge w:val="continue"/>
            <w:shd w:val="clear" w:color="auto" w:fill="EEEEEF"/>
          </w:tcPr>
          <w:p>
            <w:pPr>
              <w:spacing w:after="0"/>
              <w:rPr>
                <w:sz w:val="12"/>
                <w:szCs w:val="12"/>
                <w:color w:val="auto"/>
              </w:rPr>
            </w:pPr>
          </w:p>
        </w:tc>
        <w:tc>
          <w:tcPr>
            <w:tcW w:w="80" w:type="dxa"/>
            <w:vAlign w:val="bottom"/>
            <w:tcBorders>
              <w:bottom w:val="single" w:sz="8" w:color="58585A"/>
            </w:tcBorders>
            <w:shd w:val="clear" w:color="auto" w:fill="EEEEEF"/>
          </w:tcPr>
          <w:p>
            <w:pPr>
              <w:spacing w:after="0"/>
              <w:rPr>
                <w:sz w:val="12"/>
                <w:szCs w:val="12"/>
                <w:color w:val="auto"/>
              </w:rPr>
            </w:pPr>
          </w:p>
        </w:tc>
        <w:tc>
          <w:tcPr>
            <w:tcW w:w="900" w:type="dxa"/>
            <w:vAlign w:val="bottom"/>
            <w:tcBorders>
              <w:bottom w:val="single" w:sz="8" w:color="58585A"/>
            </w:tcBorders>
            <w:shd w:val="clear" w:color="auto" w:fill="EEEEEF"/>
          </w:tcPr>
          <w:p>
            <w:pPr>
              <w:jc w:val="right"/>
              <w:ind w:right="36"/>
              <w:spacing w:after="0" w:line="142" w:lineRule="exact"/>
              <w:rPr>
                <w:sz w:val="20"/>
                <w:szCs w:val="20"/>
                <w:color w:val="auto"/>
              </w:rPr>
            </w:pPr>
            <w:r>
              <w:rPr>
                <w:rFonts w:ascii="Arial" w:cs="Arial" w:eastAsia="Arial" w:hAnsi="Arial"/>
                <w:sz w:val="13"/>
                <w:szCs w:val="13"/>
                <w:b w:val="1"/>
                <w:bCs w:val="1"/>
                <w:color w:val="auto"/>
              </w:rPr>
              <w:t>215,926</w:t>
            </w:r>
          </w:p>
        </w:tc>
        <w:tc>
          <w:tcPr>
            <w:tcW w:w="920" w:type="dxa"/>
            <w:vAlign w:val="bottom"/>
            <w:tcBorders>
              <w:bottom w:val="single" w:sz="8" w:color="58585A"/>
            </w:tcBorders>
            <w:shd w:val="clear" w:color="auto" w:fill="EEEEEF"/>
          </w:tcPr>
          <w:p>
            <w:pPr>
              <w:ind w:left="400"/>
              <w:spacing w:after="0" w:line="142" w:lineRule="exact"/>
              <w:rPr>
                <w:sz w:val="20"/>
                <w:szCs w:val="20"/>
                <w:color w:val="auto"/>
              </w:rPr>
            </w:pPr>
            <w:r>
              <w:rPr>
                <w:rFonts w:ascii="Arial" w:cs="Arial" w:eastAsia="Arial" w:hAnsi="Arial"/>
                <w:sz w:val="13"/>
                <w:szCs w:val="13"/>
                <w:b w:val="1"/>
                <w:bCs w:val="1"/>
                <w:color w:val="auto"/>
              </w:rPr>
              <w:t>57,322</w:t>
            </w:r>
          </w:p>
        </w:tc>
        <w:tc>
          <w:tcPr>
            <w:tcW w:w="880" w:type="dxa"/>
            <w:vAlign w:val="bottom"/>
            <w:tcBorders>
              <w:bottom w:val="single" w:sz="8" w:color="58585A"/>
            </w:tcBorders>
            <w:shd w:val="clear" w:color="auto" w:fill="EEEEEF"/>
          </w:tcPr>
          <w:p>
            <w:pPr>
              <w:spacing w:after="0"/>
              <w:rPr>
                <w:sz w:val="12"/>
                <w:szCs w:val="12"/>
                <w:color w:val="auto"/>
              </w:rPr>
            </w:pPr>
          </w:p>
        </w:tc>
        <w:tc>
          <w:tcPr>
            <w:tcW w:w="860" w:type="dxa"/>
            <w:vAlign w:val="bottom"/>
            <w:tcBorders>
              <w:bottom w:val="single" w:sz="8" w:color="58585A"/>
            </w:tcBorders>
            <w:shd w:val="clear" w:color="auto" w:fill="EEEEEF"/>
          </w:tcPr>
          <w:p>
            <w:pPr>
              <w:spacing w:after="0"/>
              <w:rPr>
                <w:sz w:val="12"/>
                <w:szCs w:val="12"/>
                <w:color w:val="auto"/>
              </w:rPr>
            </w:pPr>
          </w:p>
        </w:tc>
        <w:tc>
          <w:tcPr>
            <w:tcW w:w="920" w:type="dxa"/>
            <w:vAlign w:val="bottom"/>
            <w:tcBorders>
              <w:bottom w:val="single" w:sz="8" w:color="58585A"/>
            </w:tcBorders>
            <w:shd w:val="clear" w:color="auto" w:fill="EEEEEF"/>
          </w:tcPr>
          <w:p>
            <w:pPr>
              <w:spacing w:after="0"/>
              <w:rPr>
                <w:sz w:val="12"/>
                <w:szCs w:val="12"/>
                <w:color w:val="auto"/>
              </w:rPr>
            </w:pPr>
          </w:p>
        </w:tc>
        <w:tc>
          <w:tcPr>
            <w:tcW w:w="800" w:type="dxa"/>
            <w:vAlign w:val="bottom"/>
            <w:tcBorders>
              <w:bottom w:val="single" w:sz="8" w:color="58585A"/>
            </w:tcBorders>
            <w:shd w:val="clear" w:color="auto" w:fill="EEEEEF"/>
          </w:tcPr>
          <w:p>
            <w:pPr>
              <w:jc w:val="right"/>
              <w:spacing w:after="0" w:line="142" w:lineRule="exact"/>
              <w:rPr>
                <w:sz w:val="20"/>
                <w:szCs w:val="20"/>
                <w:color w:val="auto"/>
              </w:rPr>
            </w:pPr>
            <w:r>
              <w:rPr>
                <w:rFonts w:ascii="Arial" w:cs="Arial" w:eastAsia="Arial" w:hAnsi="Arial"/>
                <w:sz w:val="13"/>
                <w:szCs w:val="13"/>
                <w:b w:val="1"/>
                <w:bCs w:val="1"/>
                <w:color w:val="auto"/>
              </w:rPr>
              <w:t>17,586</w:t>
            </w:r>
          </w:p>
        </w:tc>
        <w:tc>
          <w:tcPr>
            <w:tcW w:w="140" w:type="dxa"/>
            <w:vAlign w:val="bottom"/>
            <w:tcBorders>
              <w:bottom w:val="single" w:sz="8" w:color="58585A"/>
            </w:tcBorders>
            <w:shd w:val="clear" w:color="auto" w:fill="EEEEEF"/>
          </w:tcPr>
          <w:p>
            <w:pPr>
              <w:spacing w:after="0"/>
              <w:rPr>
                <w:sz w:val="12"/>
                <w:szCs w:val="12"/>
                <w:color w:val="auto"/>
              </w:rPr>
            </w:pPr>
          </w:p>
        </w:tc>
        <w:tc>
          <w:tcPr>
            <w:tcW w:w="90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b w:val="1"/>
                <w:bCs w:val="1"/>
                <w:color w:val="auto"/>
              </w:rPr>
              <w:t>11,105,911</w:t>
            </w:r>
          </w:p>
        </w:tc>
        <w:tc>
          <w:tcPr>
            <w:tcW w:w="980" w:type="dxa"/>
            <w:vAlign w:val="bottom"/>
            <w:tcBorders>
              <w:bottom w:val="single" w:sz="8" w:color="58585A"/>
            </w:tcBorders>
            <w:shd w:val="clear" w:color="auto" w:fill="EEEEEF"/>
          </w:tcPr>
          <w:p>
            <w:pPr>
              <w:spacing w:after="0"/>
              <w:rPr>
                <w:sz w:val="12"/>
                <w:szCs w:val="12"/>
                <w:color w:val="auto"/>
              </w:rPr>
            </w:pPr>
          </w:p>
        </w:tc>
        <w:tc>
          <w:tcPr>
            <w:tcW w:w="860" w:type="dxa"/>
            <w:vAlign w:val="bottom"/>
            <w:tcBorders>
              <w:bottom w:val="single" w:sz="8" w:color="58585A"/>
            </w:tcBorders>
            <w:shd w:val="clear" w:color="auto" w:fill="EEEEEF"/>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400"/>
              <w:spacing w:after="0" w:line="169" w:lineRule="exact"/>
              <w:rPr>
                <w:sz w:val="20"/>
                <w:szCs w:val="20"/>
                <w:color w:val="auto"/>
              </w:rPr>
            </w:pPr>
            <w:r>
              <w:rPr>
                <w:rFonts w:ascii="Arial" w:cs="Arial" w:eastAsia="Arial" w:hAnsi="Arial"/>
                <w:sz w:val="12"/>
                <w:szCs w:val="12"/>
                <w:color w:val="auto"/>
              </w:rPr>
              <w:t>14,783</w:t>
            </w:r>
            <w:r>
              <w:rPr>
                <w:rFonts w:ascii="Arial" w:cs="Arial" w:eastAsia="Arial" w:hAnsi="Arial"/>
                <w:sz w:val="19"/>
                <w:szCs w:val="19"/>
                <w:color w:val="auto"/>
                <w:vertAlign w:val="superscript"/>
              </w:rPr>
              <w:t>1</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644.54</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12/08/2031</w:t>
            </w:r>
          </w:p>
        </w:tc>
        <w:tc>
          <w:tcPr>
            <w:tcW w:w="940" w:type="dxa"/>
            <w:vAlign w:val="bottom"/>
            <w:tcBorders>
              <w:bottom w:val="single" w:sz="8" w:color="58585A"/>
            </w:tcBorders>
            <w:gridSpan w:val="2"/>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6,250</w:t>
            </w:r>
          </w:p>
        </w:tc>
        <w:tc>
          <w:tcPr>
            <w:tcW w:w="920" w:type="dxa"/>
            <w:vAlign w:val="bottom"/>
            <w:tcBorders>
              <w:bottom w:val="single" w:sz="8" w:color="58585A"/>
            </w:tcBorders>
          </w:tcPr>
          <w:p>
            <w:pPr>
              <w:ind w:left="400"/>
              <w:spacing w:after="0" w:line="169" w:lineRule="exact"/>
              <w:rPr>
                <w:sz w:val="20"/>
                <w:szCs w:val="20"/>
                <w:color w:val="auto"/>
              </w:rPr>
            </w:pPr>
            <w:r>
              <w:rPr>
                <w:rFonts w:ascii="Arial" w:cs="Arial" w:eastAsia="Arial" w:hAnsi="Arial"/>
                <w:sz w:val="12"/>
                <w:szCs w:val="12"/>
                <w:color w:val="auto"/>
              </w:rPr>
              <w:t>18,750</w:t>
            </w:r>
            <w:r>
              <w:rPr>
                <w:rFonts w:ascii="Arial" w:cs="Arial" w:eastAsia="Arial" w:hAnsi="Arial"/>
                <w:sz w:val="19"/>
                <w:szCs w:val="19"/>
                <w:color w:val="auto"/>
                <w:vertAlign w:val="superscript"/>
              </w:rPr>
              <w:t>2</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492.00</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12/09/2030</w:t>
            </w:r>
          </w:p>
        </w:tc>
        <w:tc>
          <w:tcPr>
            <w:tcW w:w="940" w:type="dxa"/>
            <w:vAlign w:val="bottom"/>
            <w:tcBorders>
              <w:bottom w:val="single" w:sz="8" w:color="58585A"/>
            </w:tcBorders>
            <w:gridSpan w:val="2"/>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12,250</w:t>
            </w:r>
          </w:p>
        </w:tc>
        <w:tc>
          <w:tcPr>
            <w:tcW w:w="920" w:type="dxa"/>
            <w:vAlign w:val="bottom"/>
            <w:tcBorders>
              <w:bottom w:val="single" w:sz="8" w:color="58585A"/>
            </w:tcBorders>
          </w:tcPr>
          <w:p>
            <w:pPr>
              <w:ind w:left="400"/>
              <w:spacing w:after="0" w:line="169" w:lineRule="exact"/>
              <w:rPr>
                <w:sz w:val="20"/>
                <w:szCs w:val="20"/>
                <w:color w:val="auto"/>
              </w:rPr>
            </w:pPr>
            <w:r>
              <w:rPr>
                <w:rFonts w:ascii="Arial" w:cs="Arial" w:eastAsia="Arial" w:hAnsi="Arial"/>
                <w:sz w:val="12"/>
                <w:szCs w:val="12"/>
                <w:color w:val="auto"/>
              </w:rPr>
              <w:t>12,250</w:t>
            </w:r>
            <w:r>
              <w:rPr>
                <w:rFonts w:ascii="Arial" w:cs="Arial" w:eastAsia="Arial" w:hAnsi="Arial"/>
                <w:sz w:val="19"/>
                <w:szCs w:val="19"/>
                <w:color w:val="auto"/>
                <w:vertAlign w:val="superscript"/>
              </w:rPr>
              <w:t>3</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372.46</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12/11/2029</w:t>
            </w:r>
          </w:p>
        </w:tc>
        <w:tc>
          <w:tcPr>
            <w:tcW w:w="940" w:type="dxa"/>
            <w:vAlign w:val="bottom"/>
            <w:tcBorders>
              <w:bottom w:val="single" w:sz="8" w:color="58585A"/>
            </w:tcBorders>
            <w:gridSpan w:val="2"/>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18,750</w:t>
            </w:r>
          </w:p>
        </w:tc>
        <w:tc>
          <w:tcPr>
            <w:tcW w:w="920" w:type="dxa"/>
            <w:vAlign w:val="bottom"/>
            <w:tcBorders>
              <w:bottom w:val="single" w:sz="8" w:color="58585A"/>
            </w:tcBorders>
          </w:tcPr>
          <w:p>
            <w:pPr>
              <w:ind w:left="480"/>
              <w:spacing w:after="0" w:line="169" w:lineRule="exact"/>
              <w:rPr>
                <w:sz w:val="20"/>
                <w:szCs w:val="20"/>
                <w:color w:val="auto"/>
              </w:rPr>
            </w:pPr>
            <w:r>
              <w:rPr>
                <w:rFonts w:ascii="Arial" w:cs="Arial" w:eastAsia="Arial" w:hAnsi="Arial"/>
                <w:sz w:val="12"/>
                <w:szCs w:val="12"/>
                <w:color w:val="auto"/>
              </w:rPr>
              <w:t>6,250</w:t>
            </w:r>
            <w:r>
              <w:rPr>
                <w:rFonts w:ascii="Arial" w:cs="Arial" w:eastAsia="Arial" w:hAnsi="Arial"/>
                <w:sz w:val="19"/>
                <w:szCs w:val="19"/>
                <w:color w:val="auto"/>
                <w:vertAlign w:val="superscript"/>
              </w:rPr>
              <w:t>4</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381.40</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12/12/2028</w:t>
            </w:r>
          </w:p>
        </w:tc>
        <w:tc>
          <w:tcPr>
            <w:tcW w:w="940" w:type="dxa"/>
            <w:vAlign w:val="bottom"/>
            <w:tcBorders>
              <w:bottom w:val="single" w:sz="8" w:color="58585A"/>
            </w:tcBorders>
            <w:gridSpan w:val="2"/>
          </w:tcPr>
          <w:p>
            <w:pPr>
              <w:jc w:val="right"/>
              <w:ind w:right="86"/>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50,000</w:t>
            </w:r>
          </w:p>
        </w:tc>
        <w:tc>
          <w:tcPr>
            <w:tcW w:w="920" w:type="dxa"/>
            <w:vAlign w:val="bottom"/>
            <w:tcBorders>
              <w:bottom w:val="single" w:sz="8" w:color="58585A"/>
            </w:tcBorders>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378.98</w:t>
            </w:r>
          </w:p>
        </w:tc>
        <w:tc>
          <w:tcPr>
            <w:tcW w:w="92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12/12/2027</w:t>
            </w:r>
          </w:p>
        </w:tc>
        <w:tc>
          <w:tcPr>
            <w:tcW w:w="940" w:type="dxa"/>
            <w:vAlign w:val="bottom"/>
            <w:tcBorders>
              <w:bottom w:val="single" w:sz="8" w:color="58585A"/>
            </w:tcBorders>
            <w:gridSpan w:val="2"/>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34,000</w:t>
            </w:r>
          </w:p>
        </w:tc>
        <w:tc>
          <w:tcPr>
            <w:tcW w:w="920" w:type="dxa"/>
            <w:vAlign w:val="bottom"/>
            <w:tcBorders>
              <w:bottom w:val="single" w:sz="8" w:color="58585A"/>
            </w:tcBorders>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381.92</w:t>
            </w:r>
          </w:p>
        </w:tc>
        <w:tc>
          <w:tcPr>
            <w:tcW w:w="92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12/16/2026</w:t>
            </w:r>
          </w:p>
        </w:tc>
        <w:tc>
          <w:tcPr>
            <w:tcW w:w="940" w:type="dxa"/>
            <w:vAlign w:val="bottom"/>
            <w:tcBorders>
              <w:bottom w:val="single" w:sz="8" w:color="58585A"/>
            </w:tcBorders>
            <w:gridSpan w:val="2"/>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2000" w:type="dxa"/>
            <w:vAlign w:val="bottom"/>
            <w:gridSpan w:val="2"/>
            <w:vMerge w:val="restart"/>
          </w:tcPr>
          <w:p>
            <w:pPr>
              <w:spacing w:after="0"/>
              <w:rPr>
                <w:sz w:val="20"/>
                <w:szCs w:val="20"/>
                <w:color w:val="auto"/>
              </w:rPr>
            </w:pPr>
            <w:r>
              <w:rPr>
                <w:rFonts w:ascii="Arial" w:cs="Arial" w:eastAsia="Arial" w:hAnsi="Arial"/>
                <w:sz w:val="13"/>
                <w:szCs w:val="13"/>
                <w:b w:val="1"/>
                <w:bCs w:val="1"/>
                <w:color w:val="D60058"/>
              </w:rPr>
              <w:t>Andrew J. Murphy,</w:t>
            </w:r>
          </w:p>
        </w:tc>
        <w:tc>
          <w:tcPr>
            <w:tcW w:w="90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35,000</w:t>
            </w:r>
          </w:p>
        </w:tc>
        <w:tc>
          <w:tcPr>
            <w:tcW w:w="920" w:type="dxa"/>
            <w:vAlign w:val="bottom"/>
            <w:tcBorders>
              <w:bottom w:val="single" w:sz="8" w:color="58585A"/>
            </w:tcBorders>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555.67</w:t>
            </w:r>
          </w:p>
        </w:tc>
        <w:tc>
          <w:tcPr>
            <w:tcW w:w="92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12/16/2025</w:t>
            </w:r>
          </w:p>
        </w:tc>
        <w:tc>
          <w:tcPr>
            <w:tcW w:w="940" w:type="dxa"/>
            <w:vAlign w:val="bottom"/>
            <w:tcBorders>
              <w:bottom w:val="single" w:sz="8" w:color="58585A"/>
            </w:tcBorders>
            <w:gridSpan w:val="2"/>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90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40,000</w:t>
            </w:r>
          </w:p>
        </w:tc>
        <w:tc>
          <w:tcPr>
            <w:tcW w:w="920" w:type="dxa"/>
            <w:vAlign w:val="bottom"/>
            <w:tcBorders>
              <w:bottom w:val="single" w:sz="8" w:color="58585A"/>
            </w:tcBorders>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399.66</w:t>
            </w:r>
          </w:p>
        </w:tc>
        <w:tc>
          <w:tcPr>
            <w:tcW w:w="92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12/16/2024</w:t>
            </w:r>
          </w:p>
        </w:tc>
        <w:tc>
          <w:tcPr>
            <w:tcW w:w="940" w:type="dxa"/>
            <w:vAlign w:val="bottom"/>
            <w:tcBorders>
              <w:bottom w:val="single" w:sz="8" w:color="58585A"/>
            </w:tcBorders>
            <w:gridSpan w:val="2"/>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2000" w:type="dxa"/>
            <w:vAlign w:val="bottom"/>
            <w:gridSpan w:val="2"/>
          </w:tcPr>
          <w:p>
            <w:pPr>
              <w:spacing w:after="0" w:line="142" w:lineRule="exact"/>
              <w:rPr>
                <w:sz w:val="20"/>
                <w:szCs w:val="20"/>
                <w:color w:val="auto"/>
              </w:rPr>
            </w:pPr>
            <w:r>
              <w:rPr>
                <w:rFonts w:ascii="Arial" w:cs="Arial" w:eastAsia="Arial" w:hAnsi="Arial"/>
                <w:sz w:val="13"/>
                <w:szCs w:val="13"/>
                <w:b w:val="1"/>
                <w:bCs w:val="1"/>
                <w:color w:val="D60058"/>
              </w:rPr>
              <w:t>Ph.D.</w:t>
            </w:r>
          </w:p>
        </w:tc>
        <w:tc>
          <w:tcPr>
            <w:tcW w:w="90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40,000</w:t>
            </w:r>
          </w:p>
        </w:tc>
        <w:tc>
          <w:tcPr>
            <w:tcW w:w="920" w:type="dxa"/>
            <w:vAlign w:val="bottom"/>
            <w:tcBorders>
              <w:bottom w:val="single" w:sz="8" w:color="58585A"/>
            </w:tcBorders>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270.43</w:t>
            </w:r>
          </w:p>
        </w:tc>
        <w:tc>
          <w:tcPr>
            <w:tcW w:w="92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12/13/2023</w:t>
            </w:r>
          </w:p>
        </w:tc>
        <w:tc>
          <w:tcPr>
            <w:tcW w:w="940" w:type="dxa"/>
            <w:vAlign w:val="bottom"/>
            <w:tcBorders>
              <w:bottom w:val="single" w:sz="8" w:color="58585A"/>
            </w:tcBorders>
            <w:gridSpan w:val="2"/>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40,000</w:t>
            </w:r>
          </w:p>
        </w:tc>
        <w:tc>
          <w:tcPr>
            <w:tcW w:w="920" w:type="dxa"/>
            <w:vAlign w:val="bottom"/>
            <w:tcBorders>
              <w:bottom w:val="single" w:sz="8" w:color="58585A"/>
            </w:tcBorders>
          </w:tcPr>
          <w:p>
            <w:pPr>
              <w:ind w:left="680"/>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line="142"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line="142" w:lineRule="exact"/>
              <w:rPr>
                <w:sz w:val="20"/>
                <w:szCs w:val="20"/>
                <w:color w:val="auto"/>
              </w:rPr>
            </w:pPr>
            <w:r>
              <w:rPr>
                <w:rFonts w:ascii="Arial" w:cs="Arial" w:eastAsia="Arial" w:hAnsi="Arial"/>
                <w:sz w:val="13"/>
                <w:szCs w:val="13"/>
                <w:color w:val="auto"/>
              </w:rPr>
              <w:t>179.13</w:t>
            </w:r>
          </w:p>
        </w:tc>
        <w:tc>
          <w:tcPr>
            <w:tcW w:w="920" w:type="dxa"/>
            <w:vAlign w:val="bottom"/>
            <w:tcBorders>
              <w:bottom w:val="single" w:sz="8" w:color="58585A"/>
            </w:tcBorders>
          </w:tcPr>
          <w:p>
            <w:pPr>
              <w:jc w:val="right"/>
              <w:ind w:right="15"/>
              <w:spacing w:after="0" w:line="142" w:lineRule="exact"/>
              <w:rPr>
                <w:sz w:val="20"/>
                <w:szCs w:val="20"/>
                <w:color w:val="auto"/>
              </w:rPr>
            </w:pPr>
            <w:r>
              <w:rPr>
                <w:rFonts w:ascii="Arial" w:cs="Arial" w:eastAsia="Arial" w:hAnsi="Arial"/>
                <w:sz w:val="13"/>
                <w:szCs w:val="13"/>
                <w:color w:val="auto"/>
              </w:rPr>
              <w:t>12/14/2022</w:t>
            </w:r>
          </w:p>
        </w:tc>
        <w:tc>
          <w:tcPr>
            <w:tcW w:w="940" w:type="dxa"/>
            <w:vAlign w:val="bottom"/>
            <w:tcBorders>
              <w:bottom w:val="single" w:sz="8" w:color="58585A"/>
            </w:tcBorders>
            <w:gridSpan w:val="2"/>
          </w:tcPr>
          <w:p>
            <w:pPr>
              <w:jc w:val="right"/>
              <w:ind w:right="86"/>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line="142"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ind w:left="460"/>
              <w:spacing w:after="0" w:line="169" w:lineRule="exact"/>
              <w:rPr>
                <w:sz w:val="20"/>
                <w:szCs w:val="20"/>
                <w:color w:val="auto"/>
              </w:rPr>
            </w:pPr>
            <w:r>
              <w:rPr>
                <w:rFonts w:ascii="Arial" w:cs="Arial" w:eastAsia="Arial" w:hAnsi="Arial"/>
                <w:sz w:val="12"/>
                <w:szCs w:val="12"/>
                <w:color w:val="auto"/>
              </w:rPr>
              <w:t>3,462</w:t>
            </w:r>
            <w:r>
              <w:rPr>
                <w:rFonts w:ascii="Arial" w:cs="Arial" w:eastAsia="Arial" w:hAnsi="Arial"/>
                <w:sz w:val="19"/>
                <w:szCs w:val="19"/>
                <w:color w:val="auto"/>
                <w:vertAlign w:val="superscript"/>
              </w:rPr>
              <w:t>8</w:t>
            </w:r>
          </w:p>
        </w:tc>
        <w:tc>
          <w:tcPr>
            <w:tcW w:w="9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2,186,322</w:t>
            </w:r>
            <w:r>
              <w:rPr>
                <w:rFonts w:ascii="Arial" w:cs="Arial" w:eastAsia="Arial" w:hAnsi="Arial"/>
                <w:sz w:val="19"/>
                <w:szCs w:val="19"/>
                <w:color w:val="auto"/>
                <w:vertAlign w:val="superscript"/>
              </w:rPr>
              <w:t>7</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ind w:left="460"/>
              <w:spacing w:after="0" w:line="169" w:lineRule="exact"/>
              <w:rPr>
                <w:sz w:val="20"/>
                <w:szCs w:val="20"/>
                <w:color w:val="auto"/>
              </w:rPr>
            </w:pPr>
            <w:r>
              <w:rPr>
                <w:rFonts w:ascii="Arial" w:cs="Arial" w:eastAsia="Arial" w:hAnsi="Arial"/>
                <w:sz w:val="12"/>
                <w:szCs w:val="12"/>
                <w:color w:val="auto"/>
              </w:rPr>
              <w:t>1,929</w:t>
            </w:r>
            <w:r>
              <w:rPr>
                <w:rFonts w:ascii="Arial" w:cs="Arial" w:eastAsia="Arial" w:hAnsi="Arial"/>
                <w:sz w:val="19"/>
                <w:szCs w:val="19"/>
                <w:color w:val="auto"/>
                <w:vertAlign w:val="superscript"/>
              </w:rPr>
              <w:t>9</w:t>
            </w:r>
          </w:p>
        </w:tc>
        <w:tc>
          <w:tcPr>
            <w:tcW w:w="9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1,218,202</w:t>
            </w:r>
            <w:r>
              <w:rPr>
                <w:rFonts w:ascii="Arial" w:cs="Arial" w:eastAsia="Arial" w:hAnsi="Arial"/>
                <w:sz w:val="19"/>
                <w:szCs w:val="19"/>
                <w:color w:val="auto"/>
                <w:vertAlign w:val="superscript"/>
              </w:rPr>
              <w:t>7</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ind w:left="460"/>
              <w:spacing w:after="0" w:line="169" w:lineRule="exact"/>
              <w:rPr>
                <w:sz w:val="20"/>
                <w:szCs w:val="20"/>
                <w:color w:val="auto"/>
              </w:rPr>
            </w:pPr>
            <w:r>
              <w:rPr>
                <w:rFonts w:ascii="Arial" w:cs="Arial" w:eastAsia="Arial" w:hAnsi="Arial"/>
                <w:sz w:val="12"/>
                <w:szCs w:val="12"/>
                <w:color w:val="auto"/>
              </w:rPr>
              <w:t>8,285</w:t>
            </w:r>
            <w:r>
              <w:rPr>
                <w:rFonts w:ascii="Arial" w:cs="Arial" w:eastAsia="Arial" w:hAnsi="Arial"/>
                <w:sz w:val="19"/>
                <w:szCs w:val="19"/>
                <w:color w:val="auto"/>
                <w:vertAlign w:val="superscript"/>
              </w:rPr>
              <w:t>10</w:t>
            </w:r>
          </w:p>
        </w:tc>
        <w:tc>
          <w:tcPr>
            <w:tcW w:w="9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5,232,143</w:t>
            </w:r>
            <w:r>
              <w:rPr>
                <w:rFonts w:ascii="Arial" w:cs="Arial" w:eastAsia="Arial" w:hAnsi="Arial"/>
                <w:sz w:val="19"/>
                <w:szCs w:val="19"/>
                <w:color w:val="auto"/>
                <w:vertAlign w:val="superscript"/>
              </w:rPr>
              <w:t>7</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ind w:left="460"/>
              <w:spacing w:after="0" w:line="169" w:lineRule="exact"/>
              <w:rPr>
                <w:sz w:val="20"/>
                <w:szCs w:val="20"/>
                <w:color w:val="auto"/>
              </w:rPr>
            </w:pPr>
            <w:r>
              <w:rPr>
                <w:rFonts w:ascii="Arial" w:cs="Arial" w:eastAsia="Arial" w:hAnsi="Arial"/>
                <w:sz w:val="12"/>
                <w:szCs w:val="12"/>
                <w:color w:val="auto"/>
              </w:rPr>
              <w:t>1,312</w:t>
            </w:r>
            <w:r>
              <w:rPr>
                <w:rFonts w:ascii="Arial" w:cs="Arial" w:eastAsia="Arial" w:hAnsi="Arial"/>
                <w:sz w:val="19"/>
                <w:szCs w:val="19"/>
                <w:color w:val="auto"/>
                <w:vertAlign w:val="superscript"/>
              </w:rPr>
              <w:t>11</w:t>
            </w:r>
          </w:p>
        </w:tc>
        <w:tc>
          <w:tcPr>
            <w:tcW w:w="9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828,554</w:t>
            </w:r>
            <w:r>
              <w:rPr>
                <w:rFonts w:ascii="Arial" w:cs="Arial" w:eastAsia="Arial" w:hAnsi="Arial"/>
                <w:sz w:val="19"/>
                <w:szCs w:val="19"/>
                <w:color w:val="auto"/>
                <w:vertAlign w:val="superscript"/>
              </w:rPr>
              <w:t>7</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tcPr>
          <w:p>
            <w:pPr>
              <w:ind w:left="66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58585A"/>
            </w:tcBorders>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gridSpan w:val="2"/>
          </w:tcPr>
          <w:p>
            <w:pPr>
              <w:jc w:val="right"/>
              <w:spacing w:after="0" w:line="169" w:lineRule="exact"/>
              <w:rPr>
                <w:sz w:val="20"/>
                <w:szCs w:val="20"/>
                <w:color w:val="auto"/>
              </w:rPr>
            </w:pPr>
            <w:r>
              <w:rPr>
                <w:rFonts w:ascii="Arial" w:cs="Arial" w:eastAsia="Arial" w:hAnsi="Arial"/>
                <w:sz w:val="12"/>
                <w:szCs w:val="12"/>
                <w:color w:val="auto"/>
              </w:rPr>
              <w:t>10,000</w:t>
            </w:r>
            <w:r>
              <w:rPr>
                <w:rFonts w:ascii="Arial" w:cs="Arial" w:eastAsia="Arial" w:hAnsi="Arial"/>
                <w:sz w:val="19"/>
                <w:szCs w:val="19"/>
                <w:color w:val="auto"/>
                <w:vertAlign w:val="superscript"/>
              </w:rPr>
              <w:t>12</w:t>
            </w:r>
          </w:p>
        </w:tc>
        <w:tc>
          <w:tcPr>
            <w:tcW w:w="900" w:type="dxa"/>
            <w:vAlign w:val="bottom"/>
            <w:tcBorders>
              <w:bottom w:val="single" w:sz="8" w:color="58585A"/>
            </w:tcBorders>
          </w:tcPr>
          <w:p>
            <w:pPr>
              <w:jc w:val="right"/>
              <w:spacing w:after="0" w:line="169" w:lineRule="exact"/>
              <w:rPr>
                <w:sz w:val="20"/>
                <w:szCs w:val="20"/>
                <w:color w:val="auto"/>
              </w:rPr>
            </w:pPr>
            <w:r>
              <w:rPr>
                <w:rFonts w:ascii="Arial" w:cs="Arial" w:eastAsia="Arial" w:hAnsi="Arial"/>
                <w:sz w:val="12"/>
                <w:szCs w:val="12"/>
                <w:color w:val="auto"/>
              </w:rPr>
              <w:t>6,315,200</w:t>
            </w:r>
            <w:r>
              <w:rPr>
                <w:rFonts w:ascii="Arial" w:cs="Arial" w:eastAsia="Arial" w:hAnsi="Arial"/>
                <w:sz w:val="19"/>
                <w:szCs w:val="19"/>
                <w:color w:val="auto"/>
                <w:vertAlign w:val="superscript"/>
              </w:rPr>
              <w:t>7</w:t>
            </w:r>
          </w:p>
        </w:tc>
        <w:tc>
          <w:tcPr>
            <w:tcW w:w="980" w:type="dxa"/>
            <w:vAlign w:val="bottom"/>
            <w:tcBorders>
              <w:bottom w:val="single" w:sz="8" w:color="58585A"/>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58585A"/>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00" w:type="dxa"/>
            <w:vAlign w:val="bottom"/>
            <w:gridSpan w:val="2"/>
            <w:vMerge w:val="restart"/>
          </w:tcPr>
          <w:p>
            <w:pPr>
              <w:ind w:left="1480"/>
              <w:spacing w:after="0"/>
              <w:rPr>
                <w:sz w:val="20"/>
                <w:szCs w:val="20"/>
                <w:color w:val="auto"/>
              </w:rPr>
            </w:pPr>
            <w:r>
              <w:rPr>
                <w:rFonts w:ascii="Arial" w:cs="Arial" w:eastAsia="Arial" w:hAnsi="Arial"/>
                <w:sz w:val="13"/>
                <w:szCs w:val="13"/>
                <w:b w:val="1"/>
                <w:bCs w:val="1"/>
                <w:color w:val="auto"/>
              </w:rPr>
              <w:t>TOTAL</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880" w:type="dxa"/>
            <w:vAlign w:val="bottom"/>
          </w:tcPr>
          <w:p>
            <w:pPr>
              <w:ind w:left="66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69" w:lineRule="exact"/>
              <w:rPr>
                <w:sz w:val="20"/>
                <w:szCs w:val="20"/>
                <w:color w:val="auto"/>
              </w:rPr>
            </w:pPr>
            <w:r>
              <w:rPr>
                <w:rFonts w:ascii="Arial" w:cs="Arial" w:eastAsia="Arial" w:hAnsi="Arial"/>
                <w:sz w:val="12"/>
                <w:szCs w:val="12"/>
                <w:color w:val="auto"/>
              </w:rPr>
              <w:t>15,000</w:t>
            </w:r>
            <w:r>
              <w:rPr>
                <w:rFonts w:ascii="Arial" w:cs="Arial" w:eastAsia="Arial" w:hAnsi="Arial"/>
                <w:sz w:val="19"/>
                <w:szCs w:val="19"/>
                <w:color w:val="auto"/>
                <w:vertAlign w:val="superscript"/>
              </w:rPr>
              <w:t>13</w:t>
            </w:r>
          </w:p>
        </w:tc>
        <w:tc>
          <w:tcPr>
            <w:tcW w:w="900" w:type="dxa"/>
            <w:vAlign w:val="bottom"/>
          </w:tcPr>
          <w:p>
            <w:pPr>
              <w:jc w:val="right"/>
              <w:spacing w:after="0" w:line="169" w:lineRule="exact"/>
              <w:rPr>
                <w:sz w:val="20"/>
                <w:szCs w:val="20"/>
                <w:color w:val="auto"/>
              </w:rPr>
            </w:pPr>
            <w:r>
              <w:rPr>
                <w:rFonts w:ascii="Arial" w:cs="Arial" w:eastAsia="Arial" w:hAnsi="Arial"/>
                <w:sz w:val="12"/>
                <w:szCs w:val="12"/>
                <w:color w:val="auto"/>
              </w:rPr>
              <w:t>9,472,800</w:t>
            </w:r>
            <w:r>
              <w:rPr>
                <w:rFonts w:ascii="Arial" w:cs="Arial" w:eastAsia="Arial" w:hAnsi="Arial"/>
                <w:sz w:val="19"/>
                <w:szCs w:val="19"/>
                <w:color w:val="auto"/>
                <w:vertAlign w:val="superscript"/>
              </w:rPr>
              <w:t>7</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40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2000" w:type="dxa"/>
            <w:vAlign w:val="bottom"/>
            <w:tcBorders>
              <w:bottom w:val="single" w:sz="8" w:color="255AA8"/>
            </w:tcBorders>
            <w:gridSpan w:val="2"/>
            <w:vMerge w:val="continue"/>
          </w:tcPr>
          <w:p>
            <w:pPr>
              <w:spacing w:after="0"/>
              <w:rPr>
                <w:sz w:val="12"/>
                <w:szCs w:val="12"/>
                <w:color w:val="auto"/>
              </w:rPr>
            </w:pPr>
          </w:p>
        </w:tc>
        <w:tc>
          <w:tcPr>
            <w:tcW w:w="900" w:type="dxa"/>
            <w:vAlign w:val="bottom"/>
            <w:tcBorders>
              <w:top w:val="single" w:sz="8" w:color="58585A"/>
              <w:bottom w:val="single" w:sz="8" w:color="255AA8"/>
            </w:tcBorders>
          </w:tcPr>
          <w:p>
            <w:pPr>
              <w:jc w:val="right"/>
              <w:ind w:right="36"/>
              <w:spacing w:after="0" w:line="142" w:lineRule="exact"/>
              <w:rPr>
                <w:sz w:val="20"/>
                <w:szCs w:val="20"/>
                <w:color w:val="auto"/>
              </w:rPr>
            </w:pPr>
            <w:r>
              <w:rPr>
                <w:rFonts w:ascii="Arial" w:cs="Arial" w:eastAsia="Arial" w:hAnsi="Arial"/>
                <w:sz w:val="13"/>
                <w:szCs w:val="13"/>
                <w:b w:val="1"/>
                <w:bCs w:val="1"/>
                <w:color w:val="auto"/>
              </w:rPr>
              <w:t>276,250</w:t>
            </w:r>
          </w:p>
        </w:tc>
        <w:tc>
          <w:tcPr>
            <w:tcW w:w="920" w:type="dxa"/>
            <w:vAlign w:val="bottom"/>
            <w:tcBorders>
              <w:top w:val="single" w:sz="8" w:color="58585A"/>
              <w:bottom w:val="single" w:sz="8" w:color="255AA8"/>
            </w:tcBorders>
          </w:tcPr>
          <w:p>
            <w:pPr>
              <w:ind w:left="400"/>
              <w:spacing w:after="0" w:line="142" w:lineRule="exact"/>
              <w:rPr>
                <w:sz w:val="20"/>
                <w:szCs w:val="20"/>
                <w:color w:val="auto"/>
              </w:rPr>
            </w:pPr>
            <w:r>
              <w:rPr>
                <w:rFonts w:ascii="Arial" w:cs="Arial" w:eastAsia="Arial" w:hAnsi="Arial"/>
                <w:sz w:val="13"/>
                <w:szCs w:val="13"/>
                <w:b w:val="1"/>
                <w:bCs w:val="1"/>
                <w:color w:val="auto"/>
              </w:rPr>
              <w:t>52,033</w:t>
            </w:r>
          </w:p>
        </w:tc>
        <w:tc>
          <w:tcPr>
            <w:tcW w:w="880" w:type="dxa"/>
            <w:vAlign w:val="bottom"/>
            <w:tcBorders>
              <w:top w:val="single" w:sz="8" w:color="58585A"/>
              <w:bottom w:val="single" w:sz="8" w:color="255AA8"/>
            </w:tcBorders>
          </w:tcPr>
          <w:p>
            <w:pPr>
              <w:spacing w:after="0"/>
              <w:rPr>
                <w:sz w:val="12"/>
                <w:szCs w:val="12"/>
                <w:color w:val="auto"/>
              </w:rPr>
            </w:pPr>
          </w:p>
        </w:tc>
        <w:tc>
          <w:tcPr>
            <w:tcW w:w="860" w:type="dxa"/>
            <w:vAlign w:val="bottom"/>
            <w:tcBorders>
              <w:top w:val="single" w:sz="8" w:color="58585A"/>
              <w:bottom w:val="single" w:sz="8" w:color="255AA8"/>
            </w:tcBorders>
          </w:tcPr>
          <w:p>
            <w:pPr>
              <w:spacing w:after="0"/>
              <w:rPr>
                <w:sz w:val="12"/>
                <w:szCs w:val="12"/>
                <w:color w:val="auto"/>
              </w:rPr>
            </w:pPr>
          </w:p>
        </w:tc>
        <w:tc>
          <w:tcPr>
            <w:tcW w:w="920" w:type="dxa"/>
            <w:vAlign w:val="bottom"/>
            <w:tcBorders>
              <w:top w:val="single" w:sz="8" w:color="58585A"/>
              <w:bottom w:val="single" w:sz="8" w:color="255AA8"/>
            </w:tcBorders>
          </w:tcPr>
          <w:p>
            <w:pPr>
              <w:spacing w:after="0"/>
              <w:rPr>
                <w:sz w:val="12"/>
                <w:szCs w:val="12"/>
                <w:color w:val="auto"/>
              </w:rPr>
            </w:pPr>
          </w:p>
        </w:tc>
        <w:tc>
          <w:tcPr>
            <w:tcW w:w="940" w:type="dxa"/>
            <w:vAlign w:val="bottom"/>
            <w:tcBorders>
              <w:top w:val="single" w:sz="8" w:color="58585A"/>
              <w:bottom w:val="single" w:sz="8" w:color="255AA8"/>
            </w:tcBorders>
            <w:gridSpan w:val="2"/>
          </w:tcPr>
          <w:p>
            <w:pPr>
              <w:jc w:val="right"/>
              <w:ind w:right="86"/>
              <w:spacing w:after="0" w:line="142" w:lineRule="exact"/>
              <w:rPr>
                <w:sz w:val="20"/>
                <w:szCs w:val="20"/>
                <w:color w:val="auto"/>
              </w:rPr>
            </w:pPr>
            <w:r>
              <w:rPr>
                <w:rFonts w:ascii="Arial" w:cs="Arial" w:eastAsia="Arial" w:hAnsi="Arial"/>
                <w:sz w:val="13"/>
                <w:szCs w:val="13"/>
                <w:b w:val="1"/>
                <w:bCs w:val="1"/>
                <w:color w:val="auto"/>
              </w:rPr>
              <w:t>39,988</w:t>
            </w:r>
          </w:p>
        </w:tc>
        <w:tc>
          <w:tcPr>
            <w:tcW w:w="900" w:type="dxa"/>
            <w:vAlign w:val="bottom"/>
            <w:tcBorders>
              <w:top w:val="single" w:sz="8" w:color="58585A"/>
              <w:bottom w:val="single" w:sz="8" w:color="255AA8"/>
            </w:tcBorders>
          </w:tcPr>
          <w:p>
            <w:pPr>
              <w:jc w:val="right"/>
              <w:ind w:right="17"/>
              <w:spacing w:after="0" w:line="142" w:lineRule="exact"/>
              <w:rPr>
                <w:sz w:val="20"/>
                <w:szCs w:val="20"/>
                <w:color w:val="auto"/>
              </w:rPr>
            </w:pPr>
            <w:r>
              <w:rPr>
                <w:rFonts w:ascii="Arial" w:cs="Arial" w:eastAsia="Arial" w:hAnsi="Arial"/>
                <w:sz w:val="13"/>
                <w:szCs w:val="13"/>
                <w:b w:val="1"/>
                <w:bCs w:val="1"/>
                <w:color w:val="auto"/>
              </w:rPr>
              <w:t>25,253,222</w:t>
            </w:r>
          </w:p>
        </w:tc>
        <w:tc>
          <w:tcPr>
            <w:tcW w:w="980" w:type="dxa"/>
            <w:vAlign w:val="bottom"/>
            <w:tcBorders>
              <w:top w:val="single" w:sz="8" w:color="58585A"/>
              <w:bottom w:val="single" w:sz="8" w:color="255AA8"/>
            </w:tcBorders>
          </w:tcPr>
          <w:p>
            <w:pPr>
              <w:spacing w:after="0"/>
              <w:rPr>
                <w:sz w:val="12"/>
                <w:szCs w:val="12"/>
                <w:color w:val="auto"/>
              </w:rPr>
            </w:pPr>
          </w:p>
        </w:tc>
        <w:tc>
          <w:tcPr>
            <w:tcW w:w="860" w:type="dxa"/>
            <w:vAlign w:val="bottom"/>
            <w:tcBorders>
              <w:top w:val="single" w:sz="8" w:color="58585A"/>
              <w:bottom w:val="single" w:sz="8" w:color="255AA8"/>
            </w:tcBorders>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6100" w:type="dxa"/>
            <w:vAlign w:val="bottom"/>
            <w:gridSpan w:val="7"/>
          </w:tcPr>
          <w:p>
            <w:pPr>
              <w:jc w:val="right"/>
              <w:ind w:right="596"/>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85</w:t>
            </w:r>
          </w:p>
        </w:tc>
        <w:tc>
          <w:tcPr>
            <w:tcW w:w="0" w:type="dxa"/>
            <w:vAlign w:val="bottom"/>
          </w:tcPr>
          <w:p>
            <w:pPr>
              <w:spacing w:after="0"/>
              <w:rPr>
                <w:sz w:val="1"/>
                <w:szCs w:val="1"/>
                <w:color w:val="auto"/>
              </w:rPr>
            </w:pPr>
          </w:p>
        </w:tc>
      </w:tr>
      <w:tr>
        <w:trPr>
          <w:trHeight w:val="221"/>
        </w:trPr>
        <w:tc>
          <w:tcPr>
            <w:tcW w:w="540" w:type="dxa"/>
            <w:vAlign w:val="bottom"/>
            <w:tcBorders>
              <w:bottom w:val="single" w:sz="8" w:color="C0C0C0"/>
            </w:tcBorders>
          </w:tcPr>
          <w:p>
            <w:pPr>
              <w:spacing w:after="0"/>
              <w:rPr>
                <w:sz w:val="19"/>
                <w:szCs w:val="19"/>
                <w:color w:val="auto"/>
              </w:rPr>
            </w:pPr>
          </w:p>
        </w:tc>
        <w:tc>
          <w:tcPr>
            <w:tcW w:w="1920" w:type="dxa"/>
            <w:vAlign w:val="bottom"/>
            <w:tcBorders>
              <w:bottom w:val="single" w:sz="8" w:color="C0C0C0"/>
            </w:tcBorders>
          </w:tcPr>
          <w:p>
            <w:pPr>
              <w:spacing w:after="0"/>
              <w:rPr>
                <w:sz w:val="19"/>
                <w:szCs w:val="19"/>
                <w:color w:val="auto"/>
              </w:rPr>
            </w:pPr>
          </w:p>
        </w:tc>
        <w:tc>
          <w:tcPr>
            <w:tcW w:w="80" w:type="dxa"/>
            <w:vAlign w:val="bottom"/>
            <w:tcBorders>
              <w:bottom w:val="single" w:sz="8" w:color="C0C0C0"/>
            </w:tcBorders>
          </w:tcPr>
          <w:p>
            <w:pPr>
              <w:spacing w:after="0"/>
              <w:rPr>
                <w:sz w:val="19"/>
                <w:szCs w:val="19"/>
                <w:color w:val="auto"/>
              </w:rPr>
            </w:pPr>
          </w:p>
        </w:tc>
        <w:tc>
          <w:tcPr>
            <w:tcW w:w="900" w:type="dxa"/>
            <w:vAlign w:val="bottom"/>
            <w:tcBorders>
              <w:bottom w:val="single" w:sz="8" w:color="C0C0C0"/>
            </w:tcBorders>
          </w:tcPr>
          <w:p>
            <w:pPr>
              <w:spacing w:after="0"/>
              <w:rPr>
                <w:sz w:val="19"/>
                <w:szCs w:val="19"/>
                <w:color w:val="auto"/>
              </w:rPr>
            </w:pPr>
          </w:p>
        </w:tc>
        <w:tc>
          <w:tcPr>
            <w:tcW w:w="920" w:type="dxa"/>
            <w:vAlign w:val="bottom"/>
            <w:tcBorders>
              <w:bottom w:val="single" w:sz="8" w:color="C0C0C0"/>
            </w:tcBorders>
          </w:tcPr>
          <w:p>
            <w:pPr>
              <w:spacing w:after="0"/>
              <w:rPr>
                <w:sz w:val="19"/>
                <w:szCs w:val="19"/>
                <w:color w:val="auto"/>
              </w:rPr>
            </w:pPr>
          </w:p>
        </w:tc>
        <w:tc>
          <w:tcPr>
            <w:tcW w:w="880" w:type="dxa"/>
            <w:vAlign w:val="bottom"/>
            <w:tcBorders>
              <w:bottom w:val="single" w:sz="8" w:color="C0C0C0"/>
            </w:tcBorders>
          </w:tcPr>
          <w:p>
            <w:pPr>
              <w:spacing w:after="0"/>
              <w:rPr>
                <w:sz w:val="19"/>
                <w:szCs w:val="19"/>
                <w:color w:val="auto"/>
              </w:rPr>
            </w:pPr>
          </w:p>
        </w:tc>
        <w:tc>
          <w:tcPr>
            <w:tcW w:w="860" w:type="dxa"/>
            <w:vAlign w:val="bottom"/>
            <w:tcBorders>
              <w:bottom w:val="single" w:sz="8" w:color="C0C0C0"/>
            </w:tcBorders>
          </w:tcPr>
          <w:p>
            <w:pPr>
              <w:spacing w:after="0"/>
              <w:rPr>
                <w:sz w:val="19"/>
                <w:szCs w:val="19"/>
                <w:color w:val="auto"/>
              </w:rPr>
            </w:pPr>
          </w:p>
        </w:tc>
        <w:tc>
          <w:tcPr>
            <w:tcW w:w="920" w:type="dxa"/>
            <w:vAlign w:val="bottom"/>
            <w:tcBorders>
              <w:bottom w:val="single" w:sz="8" w:color="C0C0C0"/>
            </w:tcBorders>
          </w:tcPr>
          <w:p>
            <w:pPr>
              <w:spacing w:after="0"/>
              <w:rPr>
                <w:sz w:val="19"/>
                <w:szCs w:val="19"/>
                <w:color w:val="auto"/>
              </w:rPr>
            </w:pPr>
          </w:p>
        </w:tc>
        <w:tc>
          <w:tcPr>
            <w:tcW w:w="800" w:type="dxa"/>
            <w:vAlign w:val="bottom"/>
            <w:tcBorders>
              <w:bottom w:val="single" w:sz="8" w:color="C0C0C0"/>
            </w:tcBorders>
          </w:tcPr>
          <w:p>
            <w:pPr>
              <w:spacing w:after="0"/>
              <w:rPr>
                <w:sz w:val="19"/>
                <w:szCs w:val="19"/>
                <w:color w:val="auto"/>
              </w:rPr>
            </w:pPr>
          </w:p>
        </w:tc>
        <w:tc>
          <w:tcPr>
            <w:tcW w:w="140" w:type="dxa"/>
            <w:vAlign w:val="bottom"/>
            <w:tcBorders>
              <w:bottom w:val="single" w:sz="8" w:color="C0C0C0"/>
            </w:tcBorders>
          </w:tcPr>
          <w:p>
            <w:pPr>
              <w:spacing w:after="0"/>
              <w:rPr>
                <w:sz w:val="19"/>
                <w:szCs w:val="19"/>
                <w:color w:val="auto"/>
              </w:rPr>
            </w:pPr>
          </w:p>
        </w:tc>
        <w:tc>
          <w:tcPr>
            <w:tcW w:w="900" w:type="dxa"/>
            <w:vAlign w:val="bottom"/>
            <w:tcBorders>
              <w:bottom w:val="single" w:sz="8" w:color="C0C0C0"/>
            </w:tcBorders>
          </w:tcPr>
          <w:p>
            <w:pPr>
              <w:spacing w:after="0"/>
              <w:rPr>
                <w:sz w:val="19"/>
                <w:szCs w:val="19"/>
                <w:color w:val="auto"/>
              </w:rPr>
            </w:pPr>
          </w:p>
        </w:tc>
        <w:tc>
          <w:tcPr>
            <w:tcW w:w="980" w:type="dxa"/>
            <w:vAlign w:val="bottom"/>
            <w:tcBorders>
              <w:bottom w:val="single" w:sz="8" w:color="C0C0C0"/>
            </w:tcBorders>
          </w:tcPr>
          <w:p>
            <w:pPr>
              <w:spacing w:after="0"/>
              <w:rPr>
                <w:sz w:val="19"/>
                <w:szCs w:val="19"/>
                <w:color w:val="auto"/>
              </w:rPr>
            </w:pPr>
          </w:p>
        </w:tc>
        <w:tc>
          <w:tcPr>
            <w:tcW w:w="860" w:type="dxa"/>
            <w:vAlign w:val="bottom"/>
            <w:tcBorders>
              <w:bottom w:val="single" w:sz="8" w:color="C0C0C0"/>
            </w:tcBorders>
          </w:tcPr>
          <w:p>
            <w:pPr>
              <w:spacing w:after="0"/>
              <w:rPr>
                <w:sz w:val="19"/>
                <w:szCs w:val="19"/>
                <w:color w:val="auto"/>
              </w:rPr>
            </w:pPr>
          </w:p>
        </w:tc>
        <w:tc>
          <w:tcPr>
            <w:tcW w:w="20" w:type="dxa"/>
            <w:vAlign w:val="bottom"/>
            <w:tcBorders>
              <w:bottom w:val="single" w:sz="8" w:color="C0C0C0"/>
            </w:tcBorders>
          </w:tcPr>
          <w:p>
            <w:pPr>
              <w:spacing w:after="0"/>
              <w:rPr>
                <w:sz w:val="19"/>
                <w:szCs w:val="19"/>
                <w:color w:val="auto"/>
              </w:rPr>
            </w:pPr>
          </w:p>
        </w:tc>
        <w:tc>
          <w:tcPr>
            <w:tcW w:w="520" w:type="dxa"/>
            <w:vAlign w:val="bottom"/>
            <w:tcBorders>
              <w:bottom w:val="single" w:sz="8" w:color="C0C0C0"/>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6" w:right="339" w:bottom="1440" w:gutter="0" w:footer="0" w:header="0"/>
        </w:sectPr>
      </w:pPr>
    </w:p>
    <w:bookmarkStart w:id="100" w:name="page101"/>
    <w:bookmarkEnd w:id="100"/>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292100</wp:posOffset>
            </wp:positionV>
            <wp:extent cx="64465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540" w:type="dxa"/>
        <w:tblCellMar>
          <w:top w:w="0" w:type="dxa"/>
          <w:left w:w="0" w:type="dxa"/>
          <w:bottom w:w="0" w:type="dxa"/>
          <w:right w:w="0" w:type="dxa"/>
        </w:tblCellMar>
      </w:tblPr>
      <w:tr>
        <w:trPr>
          <w:trHeight w:val="160"/>
        </w:trPr>
        <w:tc>
          <w:tcPr>
            <w:tcW w:w="1960" w:type="dxa"/>
            <w:vAlign w:val="bottom"/>
            <w:gridSpan w:val="2"/>
          </w:tcPr>
          <w:p>
            <w:pPr>
              <w:ind w:left="900"/>
              <w:spacing w:after="0"/>
              <w:rPr>
                <w:sz w:val="20"/>
                <w:szCs w:val="20"/>
                <w:color w:val="auto"/>
              </w:rPr>
            </w:pPr>
            <w:r>
              <w:rPr>
                <w:rFonts w:ascii="Arial" w:cs="Arial" w:eastAsia="Arial" w:hAnsi="Arial"/>
                <w:sz w:val="12"/>
                <w:szCs w:val="12"/>
                <w:b w:val="1"/>
                <w:bCs w:val="1"/>
                <w:color w:val="2459A8"/>
              </w:rPr>
              <w:t>A</w:t>
            </w:r>
          </w:p>
        </w:tc>
        <w:tc>
          <w:tcPr>
            <w:tcW w:w="860" w:type="dxa"/>
            <w:vAlign w:val="bottom"/>
          </w:tcPr>
          <w:p>
            <w:pPr>
              <w:jc w:val="center"/>
              <w:ind w:right="37"/>
              <w:spacing w:after="0"/>
              <w:rPr>
                <w:sz w:val="20"/>
                <w:szCs w:val="20"/>
                <w:color w:val="auto"/>
              </w:rPr>
            </w:pPr>
            <w:r>
              <w:rPr>
                <w:rFonts w:ascii="Arial" w:cs="Arial" w:eastAsia="Arial" w:hAnsi="Arial"/>
                <w:sz w:val="12"/>
                <w:szCs w:val="12"/>
                <w:b w:val="1"/>
                <w:bCs w:val="1"/>
                <w:color w:val="2459A8"/>
                <w:w w:val="91"/>
              </w:rPr>
              <w:t>B</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2459A8"/>
                <w:w w:val="91"/>
              </w:rPr>
              <w:t>C</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2459A8"/>
                <w:w w:val="91"/>
              </w:rPr>
              <w:t>D</w:t>
            </w:r>
          </w:p>
        </w:tc>
        <w:tc>
          <w:tcPr>
            <w:tcW w:w="840" w:type="dxa"/>
            <w:vAlign w:val="bottom"/>
          </w:tcPr>
          <w:p>
            <w:pPr>
              <w:jc w:val="center"/>
              <w:ind w:right="17"/>
              <w:spacing w:after="0"/>
              <w:rPr>
                <w:sz w:val="20"/>
                <w:szCs w:val="20"/>
                <w:color w:val="auto"/>
              </w:rPr>
            </w:pPr>
            <w:r>
              <w:rPr>
                <w:rFonts w:ascii="Arial" w:cs="Arial" w:eastAsia="Arial" w:hAnsi="Arial"/>
                <w:sz w:val="12"/>
                <w:szCs w:val="12"/>
                <w:b w:val="1"/>
                <w:bCs w:val="1"/>
                <w:color w:val="2459A8"/>
                <w:w w:val="99"/>
              </w:rPr>
              <w:t>E</w:t>
            </w:r>
          </w:p>
        </w:tc>
        <w:tc>
          <w:tcPr>
            <w:tcW w:w="940" w:type="dxa"/>
            <w:vAlign w:val="bottom"/>
          </w:tcPr>
          <w:p>
            <w:pPr>
              <w:jc w:val="center"/>
              <w:ind w:right="36"/>
              <w:spacing w:after="0"/>
              <w:rPr>
                <w:sz w:val="20"/>
                <w:szCs w:val="20"/>
                <w:color w:val="auto"/>
              </w:rPr>
            </w:pPr>
            <w:r>
              <w:rPr>
                <w:rFonts w:ascii="Arial" w:cs="Arial" w:eastAsia="Arial" w:hAnsi="Arial"/>
                <w:sz w:val="12"/>
                <w:szCs w:val="12"/>
                <w:b w:val="1"/>
                <w:bCs w:val="1"/>
                <w:color w:val="2459A8"/>
              </w:rPr>
              <w:t>F</w:t>
            </w:r>
          </w:p>
        </w:tc>
        <w:tc>
          <w:tcPr>
            <w:tcW w:w="940" w:type="dxa"/>
            <w:vAlign w:val="bottom"/>
          </w:tcPr>
          <w:p>
            <w:pPr>
              <w:jc w:val="center"/>
              <w:ind w:right="118"/>
              <w:spacing w:after="0"/>
              <w:rPr>
                <w:sz w:val="20"/>
                <w:szCs w:val="20"/>
                <w:color w:val="auto"/>
              </w:rPr>
            </w:pPr>
            <w:r>
              <w:rPr>
                <w:rFonts w:ascii="Arial" w:cs="Arial" w:eastAsia="Arial" w:hAnsi="Arial"/>
                <w:sz w:val="12"/>
                <w:szCs w:val="12"/>
                <w:b w:val="1"/>
                <w:bCs w:val="1"/>
                <w:color w:val="2459A8"/>
                <w:w w:val="85"/>
              </w:rPr>
              <w:t>G</w:t>
            </w:r>
          </w:p>
        </w:tc>
        <w:tc>
          <w:tcPr>
            <w:tcW w:w="940" w:type="dxa"/>
            <w:vAlign w:val="bottom"/>
          </w:tcPr>
          <w:p>
            <w:pPr>
              <w:jc w:val="center"/>
              <w:ind w:right="18"/>
              <w:spacing w:after="0"/>
              <w:rPr>
                <w:sz w:val="20"/>
                <w:szCs w:val="20"/>
                <w:color w:val="auto"/>
              </w:rPr>
            </w:pPr>
            <w:r>
              <w:rPr>
                <w:rFonts w:ascii="Arial" w:cs="Arial" w:eastAsia="Arial" w:hAnsi="Arial"/>
                <w:sz w:val="12"/>
                <w:szCs w:val="12"/>
                <w:b w:val="1"/>
                <w:bCs w:val="1"/>
                <w:color w:val="2459A8"/>
              </w:rPr>
              <w:t>H</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2459A8"/>
              </w:rPr>
              <w:t>I</w:t>
            </w:r>
          </w:p>
        </w:tc>
        <w:tc>
          <w:tcPr>
            <w:tcW w:w="880" w:type="dxa"/>
            <w:vAlign w:val="bottom"/>
            <w:gridSpan w:val="2"/>
          </w:tcPr>
          <w:p>
            <w:pPr>
              <w:jc w:val="center"/>
              <w:spacing w:after="0"/>
              <w:rPr>
                <w:sz w:val="20"/>
                <w:szCs w:val="20"/>
                <w:color w:val="auto"/>
              </w:rPr>
            </w:pPr>
            <w:r>
              <w:rPr>
                <w:rFonts w:ascii="Arial" w:cs="Arial" w:eastAsia="Arial" w:hAnsi="Arial"/>
                <w:sz w:val="12"/>
                <w:szCs w:val="12"/>
                <w:b w:val="1"/>
                <w:bCs w:val="1"/>
                <w:color w:val="2459A8"/>
                <w:w w:val="89"/>
              </w:rPr>
              <w:t>J</w:t>
            </w:r>
          </w:p>
        </w:tc>
      </w:tr>
      <w:tr>
        <w:trPr>
          <w:trHeight w:val="128"/>
        </w:trPr>
        <w:tc>
          <w:tcPr>
            <w:tcW w:w="1880" w:type="dxa"/>
            <w:vAlign w:val="bottom"/>
            <w:tcBorders>
              <w:top w:val="single" w:sz="8" w:color="2459A8"/>
            </w:tcBorders>
          </w:tcPr>
          <w:p>
            <w:pPr>
              <w:spacing w:after="0"/>
              <w:rPr>
                <w:sz w:val="11"/>
                <w:szCs w:val="11"/>
                <w:color w:val="auto"/>
              </w:rPr>
            </w:pPr>
          </w:p>
        </w:tc>
        <w:tc>
          <w:tcPr>
            <w:tcW w:w="80" w:type="dxa"/>
            <w:vAlign w:val="bottom"/>
            <w:tcBorders>
              <w:top w:val="single" w:sz="8" w:color="2459A8"/>
              <w:bottom w:val="single" w:sz="8" w:color="2459A8"/>
            </w:tcBorders>
          </w:tcPr>
          <w:p>
            <w:pPr>
              <w:spacing w:after="0"/>
              <w:rPr>
                <w:sz w:val="11"/>
                <w:szCs w:val="11"/>
                <w:color w:val="auto"/>
              </w:rPr>
            </w:pPr>
          </w:p>
        </w:tc>
        <w:tc>
          <w:tcPr>
            <w:tcW w:w="860" w:type="dxa"/>
            <w:vAlign w:val="bottom"/>
            <w:tcBorders>
              <w:top w:val="single" w:sz="8" w:color="2459A8"/>
              <w:bottom w:val="single" w:sz="8" w:color="2459A8"/>
            </w:tcBorders>
          </w:tcPr>
          <w:p>
            <w:pPr>
              <w:spacing w:after="0"/>
              <w:rPr>
                <w:sz w:val="11"/>
                <w:szCs w:val="11"/>
                <w:color w:val="auto"/>
              </w:rPr>
            </w:pPr>
          </w:p>
        </w:tc>
        <w:tc>
          <w:tcPr>
            <w:tcW w:w="900" w:type="dxa"/>
            <w:vAlign w:val="bottom"/>
            <w:tcBorders>
              <w:top w:val="single" w:sz="8" w:color="2459A8"/>
              <w:bottom w:val="single" w:sz="8" w:color="2459A8"/>
            </w:tcBorders>
          </w:tcPr>
          <w:p>
            <w:pPr>
              <w:spacing w:after="0"/>
              <w:rPr>
                <w:sz w:val="11"/>
                <w:szCs w:val="11"/>
                <w:color w:val="auto"/>
              </w:rPr>
            </w:pPr>
          </w:p>
        </w:tc>
        <w:tc>
          <w:tcPr>
            <w:tcW w:w="940" w:type="dxa"/>
            <w:vAlign w:val="bottom"/>
            <w:tcBorders>
              <w:top w:val="single" w:sz="8" w:color="2459A8"/>
              <w:bottom w:val="single" w:sz="8" w:color="2459A8"/>
            </w:tcBorders>
          </w:tcPr>
          <w:p>
            <w:pPr>
              <w:ind w:left="20"/>
              <w:spacing w:after="0" w:line="129" w:lineRule="exact"/>
              <w:rPr>
                <w:sz w:val="20"/>
                <w:szCs w:val="20"/>
                <w:color w:val="auto"/>
              </w:rPr>
            </w:pPr>
            <w:r>
              <w:rPr>
                <w:rFonts w:ascii="Arial" w:cs="Arial" w:eastAsia="Arial" w:hAnsi="Arial"/>
                <w:sz w:val="12"/>
                <w:szCs w:val="12"/>
                <w:b w:val="1"/>
                <w:bCs w:val="1"/>
                <w:color w:val="2459A8"/>
              </w:rPr>
              <w:t>Option Awards</w:t>
            </w:r>
          </w:p>
        </w:tc>
        <w:tc>
          <w:tcPr>
            <w:tcW w:w="840" w:type="dxa"/>
            <w:vAlign w:val="bottom"/>
            <w:tcBorders>
              <w:top w:val="single" w:sz="8" w:color="2459A8"/>
              <w:bottom w:val="single" w:sz="8" w:color="2459A8"/>
            </w:tcBorders>
          </w:tcPr>
          <w:p>
            <w:pPr>
              <w:spacing w:after="0"/>
              <w:rPr>
                <w:sz w:val="11"/>
                <w:szCs w:val="11"/>
                <w:color w:val="auto"/>
              </w:rPr>
            </w:pPr>
          </w:p>
        </w:tc>
        <w:tc>
          <w:tcPr>
            <w:tcW w:w="940" w:type="dxa"/>
            <w:vAlign w:val="bottom"/>
            <w:tcBorders>
              <w:top w:val="single" w:sz="8" w:color="2459A8"/>
              <w:bottom w:val="single" w:sz="8" w:color="2459A8"/>
            </w:tcBorders>
          </w:tcPr>
          <w:p>
            <w:pPr>
              <w:spacing w:after="0"/>
              <w:rPr>
                <w:sz w:val="11"/>
                <w:szCs w:val="11"/>
                <w:color w:val="auto"/>
              </w:rPr>
            </w:pPr>
          </w:p>
        </w:tc>
        <w:tc>
          <w:tcPr>
            <w:tcW w:w="940" w:type="dxa"/>
            <w:vAlign w:val="bottom"/>
            <w:tcBorders>
              <w:top w:val="single" w:sz="8" w:color="2459A8"/>
              <w:bottom w:val="single" w:sz="8" w:color="2459A8"/>
            </w:tcBorders>
          </w:tcPr>
          <w:p>
            <w:pPr>
              <w:spacing w:after="0"/>
              <w:rPr>
                <w:sz w:val="11"/>
                <w:szCs w:val="11"/>
                <w:color w:val="auto"/>
              </w:rPr>
            </w:pPr>
          </w:p>
        </w:tc>
        <w:tc>
          <w:tcPr>
            <w:tcW w:w="1920" w:type="dxa"/>
            <w:vAlign w:val="bottom"/>
            <w:tcBorders>
              <w:top w:val="single" w:sz="8" w:color="2459A8"/>
              <w:bottom w:val="single" w:sz="8" w:color="2459A8"/>
            </w:tcBorders>
            <w:gridSpan w:val="2"/>
          </w:tcPr>
          <w:p>
            <w:pPr>
              <w:jc w:val="right"/>
              <w:ind w:right="558"/>
              <w:spacing w:after="0" w:line="129" w:lineRule="exact"/>
              <w:rPr>
                <w:sz w:val="20"/>
                <w:szCs w:val="20"/>
                <w:color w:val="auto"/>
              </w:rPr>
            </w:pPr>
            <w:r>
              <w:rPr>
                <w:rFonts w:ascii="Arial" w:cs="Arial" w:eastAsia="Arial" w:hAnsi="Arial"/>
                <w:sz w:val="12"/>
                <w:szCs w:val="12"/>
                <w:b w:val="1"/>
                <w:bCs w:val="1"/>
                <w:color w:val="2459A8"/>
              </w:rPr>
              <w:t>Stock Awards</w:t>
            </w:r>
          </w:p>
        </w:tc>
        <w:tc>
          <w:tcPr>
            <w:tcW w:w="860" w:type="dxa"/>
            <w:vAlign w:val="bottom"/>
            <w:tcBorders>
              <w:top w:val="single" w:sz="8" w:color="2459A8"/>
              <w:bottom w:val="single" w:sz="8" w:color="2459A8"/>
            </w:tcBorders>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Arial" w:cs="Arial" w:eastAsia="Arial" w:hAnsi="Arial"/>
                <w:sz w:val="12"/>
                <w:szCs w:val="12"/>
                <w:b w:val="1"/>
                <w:bCs w:val="1"/>
                <w:color w:val="2459A8"/>
                <w:w w:val="98"/>
              </w:rPr>
              <w:t>Equity</w:t>
            </w:r>
          </w:p>
        </w:tc>
        <w:tc>
          <w:tcPr>
            <w:tcW w:w="20" w:type="dxa"/>
            <w:vAlign w:val="bottom"/>
          </w:tcPr>
          <w:p>
            <w:pPr>
              <w:spacing w:after="0"/>
              <w:rPr>
                <w:sz w:val="10"/>
                <w:szCs w:val="10"/>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Equity</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6"/>
              </w:rPr>
              <w:t>incentive</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incentive</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Equity</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8"/>
              </w:rPr>
              <w:t>plan awards:</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plan awards:</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incentive plan</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8"/>
              </w:rPr>
              <w:t>market or</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6"/>
              </w:rPr>
              <w:t>Number of</w:t>
            </w:r>
          </w:p>
        </w:tc>
        <w:tc>
          <w:tcPr>
            <w:tcW w:w="90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6"/>
              </w:rPr>
              <w:t>Number of</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number of</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2459A8"/>
                <w:w w:val="96"/>
              </w:rPr>
              <w:t>Number</w:t>
            </w:r>
          </w:p>
        </w:tc>
        <w:tc>
          <w:tcPr>
            <w:tcW w:w="9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2"/>
                <w:szCs w:val="12"/>
                <w:b w:val="1"/>
                <w:bCs w:val="1"/>
                <w:color w:val="2459A8"/>
                <w:w w:val="99"/>
              </w:rPr>
              <w:t>awards: number</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8"/>
              </w:rPr>
              <w:t>payout value</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6"/>
              </w:rPr>
              <w:t>securities</w:t>
            </w:r>
          </w:p>
        </w:tc>
        <w:tc>
          <w:tcPr>
            <w:tcW w:w="90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6"/>
              </w:rPr>
              <w:t>securities</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securities</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2459A8"/>
                <w:w w:val="97"/>
              </w:rPr>
              <w:t>of shares</w:t>
            </w:r>
          </w:p>
        </w:tc>
        <w:tc>
          <w:tcPr>
            <w:tcW w:w="94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6"/>
              </w:rPr>
              <w:t>Market value</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8"/>
              </w:rPr>
              <w:t>of unearned</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6"/>
              </w:rPr>
              <w:t>of unearned</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7"/>
              </w:rPr>
              <w:t>underlying</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underlying</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underlying</w:t>
            </w: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2459A8"/>
                <w:w w:val="95"/>
              </w:rPr>
              <w:t>or units of</w:t>
            </w:r>
          </w:p>
        </w:tc>
        <w:tc>
          <w:tcPr>
            <w:tcW w:w="94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6"/>
              </w:rPr>
              <w:t>of shares or</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shares, units</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7"/>
              </w:rPr>
              <w:t>shares, units</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7"/>
              </w:rPr>
              <w:t>unexercised</w:t>
            </w:r>
          </w:p>
        </w:tc>
        <w:tc>
          <w:tcPr>
            <w:tcW w:w="90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unexercised</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unexercised</w:t>
            </w:r>
          </w:p>
        </w:tc>
        <w:tc>
          <w:tcPr>
            <w:tcW w:w="84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8"/>
              </w:rPr>
              <w:t>Option</w:t>
            </w:r>
          </w:p>
        </w:tc>
        <w:tc>
          <w:tcPr>
            <w:tcW w:w="94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2459A8"/>
                <w:w w:val="98"/>
              </w:rPr>
              <w:t>stock that</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units of stock</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7"/>
              </w:rPr>
              <w:t>or other rights</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2459A8"/>
              </w:rPr>
              <w:t>or other rights</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6"/>
              </w:rPr>
              <w:t>options</w:t>
            </w:r>
          </w:p>
        </w:tc>
        <w:tc>
          <w:tcPr>
            <w:tcW w:w="90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6"/>
              </w:rPr>
              <w:t>options</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9"/>
              </w:rPr>
              <w:t>unearned</w:t>
            </w:r>
          </w:p>
        </w:tc>
        <w:tc>
          <w:tcPr>
            <w:tcW w:w="84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9"/>
              </w:rPr>
              <w:t>exercise</w:t>
            </w:r>
          </w:p>
        </w:tc>
        <w:tc>
          <w:tcPr>
            <w:tcW w:w="94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2459A8"/>
                <w:w w:val="97"/>
              </w:rPr>
              <w:t>have not</w:t>
            </w:r>
          </w:p>
        </w:tc>
        <w:tc>
          <w:tcPr>
            <w:tcW w:w="94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9"/>
              </w:rPr>
              <w:t>that have not</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that have not</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6"/>
              </w:rPr>
              <w:t>that have not</w:t>
            </w: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2459A8"/>
                <w:w w:val="97"/>
              </w:rPr>
              <w:t>exercisable</w:t>
            </w:r>
          </w:p>
        </w:tc>
        <w:tc>
          <w:tcPr>
            <w:tcW w:w="90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7"/>
              </w:rPr>
              <w:t>unexercisable</w:t>
            </w:r>
          </w:p>
        </w:tc>
        <w:tc>
          <w:tcPr>
            <w:tcW w:w="94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6"/>
              </w:rPr>
              <w:t>options</w:t>
            </w:r>
          </w:p>
        </w:tc>
        <w:tc>
          <w:tcPr>
            <w:tcW w:w="84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2459A8"/>
                <w:w w:val="97"/>
              </w:rPr>
              <w:t>price</w:t>
            </w:r>
          </w:p>
        </w:tc>
        <w:tc>
          <w:tcPr>
            <w:tcW w:w="940" w:type="dxa"/>
            <w:vAlign w:val="bottom"/>
          </w:tcPr>
          <w:p>
            <w:pPr>
              <w:jc w:val="center"/>
              <w:ind w:right="36"/>
              <w:spacing w:after="0" w:line="135" w:lineRule="exact"/>
              <w:rPr>
                <w:sz w:val="20"/>
                <w:szCs w:val="20"/>
                <w:color w:val="auto"/>
              </w:rPr>
            </w:pPr>
            <w:r>
              <w:rPr>
                <w:rFonts w:ascii="Arial" w:cs="Arial" w:eastAsia="Arial" w:hAnsi="Arial"/>
                <w:sz w:val="12"/>
                <w:szCs w:val="12"/>
                <w:b w:val="1"/>
                <w:bCs w:val="1"/>
                <w:color w:val="2459A8"/>
                <w:w w:val="92"/>
              </w:rPr>
              <w:t>Option</w:t>
            </w:r>
          </w:p>
        </w:tc>
        <w:tc>
          <w:tcPr>
            <w:tcW w:w="940" w:type="dxa"/>
            <w:vAlign w:val="bottom"/>
          </w:tcPr>
          <w:p>
            <w:pPr>
              <w:jc w:val="center"/>
              <w:ind w:right="118"/>
              <w:spacing w:after="0" w:line="135" w:lineRule="exact"/>
              <w:rPr>
                <w:sz w:val="20"/>
                <w:szCs w:val="20"/>
                <w:color w:val="auto"/>
              </w:rPr>
            </w:pPr>
            <w:r>
              <w:rPr>
                <w:rFonts w:ascii="Arial" w:cs="Arial" w:eastAsia="Arial" w:hAnsi="Arial"/>
                <w:sz w:val="12"/>
                <w:szCs w:val="12"/>
                <w:b w:val="1"/>
                <w:bCs w:val="1"/>
                <w:color w:val="2459A8"/>
                <w:w w:val="94"/>
              </w:rPr>
              <w:t>vested</w:t>
            </w:r>
          </w:p>
        </w:tc>
        <w:tc>
          <w:tcPr>
            <w:tcW w:w="94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459A8"/>
                <w:w w:val="99"/>
              </w:rPr>
              <w:t>vested</w:t>
            </w:r>
          </w:p>
        </w:tc>
        <w:tc>
          <w:tcPr>
            <w:tcW w:w="980" w:type="dxa"/>
            <w:vAlign w:val="bottom"/>
          </w:tcPr>
          <w:p>
            <w:pPr>
              <w:jc w:val="center"/>
              <w:spacing w:after="0" w:line="135" w:lineRule="exact"/>
              <w:rPr>
                <w:sz w:val="20"/>
                <w:szCs w:val="20"/>
                <w:color w:val="auto"/>
              </w:rPr>
            </w:pPr>
            <w:r>
              <w:rPr>
                <w:rFonts w:ascii="Arial" w:cs="Arial" w:eastAsia="Arial" w:hAnsi="Arial"/>
                <w:sz w:val="12"/>
                <w:szCs w:val="12"/>
                <w:b w:val="1"/>
                <w:bCs w:val="1"/>
                <w:color w:val="2459A8"/>
                <w:w w:val="94"/>
              </w:rPr>
              <w:t>vested</w:t>
            </w:r>
          </w:p>
        </w:tc>
        <w:tc>
          <w:tcPr>
            <w:tcW w:w="8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2459A8"/>
                <w:w w:val="99"/>
              </w:rPr>
              <w:t>vested</w:t>
            </w:r>
          </w:p>
        </w:tc>
      </w:tr>
      <w:tr>
        <w:trPr>
          <w:trHeight w:val="167"/>
        </w:trPr>
        <w:tc>
          <w:tcPr>
            <w:tcW w:w="1960" w:type="dxa"/>
            <w:vAlign w:val="bottom"/>
            <w:tcBorders>
              <w:bottom w:val="single" w:sz="8" w:color="2459A8"/>
            </w:tcBorders>
            <w:gridSpan w:val="2"/>
          </w:tcPr>
          <w:p>
            <w:pPr>
              <w:spacing w:after="0"/>
              <w:rPr>
                <w:sz w:val="20"/>
                <w:szCs w:val="20"/>
                <w:color w:val="auto"/>
              </w:rPr>
            </w:pPr>
            <w:r>
              <w:rPr>
                <w:rFonts w:ascii="Arial" w:cs="Arial" w:eastAsia="Arial" w:hAnsi="Arial"/>
                <w:sz w:val="12"/>
                <w:szCs w:val="12"/>
                <w:b w:val="1"/>
                <w:bCs w:val="1"/>
                <w:color w:val="2459A8"/>
              </w:rPr>
              <w:t>Name</w:t>
            </w:r>
          </w:p>
        </w:tc>
        <w:tc>
          <w:tcPr>
            <w:tcW w:w="860" w:type="dxa"/>
            <w:vAlign w:val="bottom"/>
            <w:tcBorders>
              <w:bottom w:val="single" w:sz="8" w:color="2459A8"/>
            </w:tcBorders>
          </w:tcPr>
          <w:p>
            <w:pPr>
              <w:jc w:val="center"/>
              <w:ind w:right="17"/>
              <w:spacing w:after="0"/>
              <w:rPr>
                <w:sz w:val="20"/>
                <w:szCs w:val="20"/>
                <w:color w:val="auto"/>
              </w:rPr>
            </w:pPr>
            <w:r>
              <w:rPr>
                <w:rFonts w:ascii="Arial" w:cs="Arial" w:eastAsia="Arial" w:hAnsi="Arial"/>
                <w:sz w:val="12"/>
                <w:szCs w:val="12"/>
                <w:b w:val="1"/>
                <w:bCs w:val="1"/>
                <w:color w:val="2459A8"/>
                <w:w w:val="95"/>
              </w:rPr>
              <w:t>(#)</w:t>
            </w:r>
          </w:p>
        </w:tc>
        <w:tc>
          <w:tcPr>
            <w:tcW w:w="900" w:type="dxa"/>
            <w:vAlign w:val="bottom"/>
            <w:tcBorders>
              <w:bottom w:val="single" w:sz="8" w:color="2459A8"/>
            </w:tcBorders>
          </w:tcPr>
          <w:p>
            <w:pPr>
              <w:jc w:val="center"/>
              <w:ind w:right="18"/>
              <w:spacing w:after="0"/>
              <w:rPr>
                <w:sz w:val="20"/>
                <w:szCs w:val="20"/>
                <w:color w:val="auto"/>
              </w:rPr>
            </w:pPr>
            <w:r>
              <w:rPr>
                <w:rFonts w:ascii="Arial" w:cs="Arial" w:eastAsia="Arial" w:hAnsi="Arial"/>
                <w:sz w:val="12"/>
                <w:szCs w:val="12"/>
                <w:b w:val="1"/>
                <w:bCs w:val="1"/>
                <w:color w:val="2459A8"/>
                <w:w w:val="95"/>
              </w:rPr>
              <w:t>(#)</w:t>
            </w:r>
          </w:p>
        </w:tc>
        <w:tc>
          <w:tcPr>
            <w:tcW w:w="94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5"/>
              </w:rPr>
              <w:t>(#)</w:t>
            </w:r>
          </w:p>
        </w:tc>
        <w:tc>
          <w:tcPr>
            <w:tcW w:w="840" w:type="dxa"/>
            <w:vAlign w:val="bottom"/>
            <w:tcBorders>
              <w:bottom w:val="single" w:sz="8" w:color="2459A8"/>
            </w:tcBorders>
          </w:tcPr>
          <w:p>
            <w:pPr>
              <w:jc w:val="center"/>
              <w:ind w:right="37"/>
              <w:spacing w:after="0"/>
              <w:rPr>
                <w:sz w:val="20"/>
                <w:szCs w:val="20"/>
                <w:color w:val="auto"/>
              </w:rPr>
            </w:pPr>
            <w:r>
              <w:rPr>
                <w:rFonts w:ascii="Arial" w:cs="Arial" w:eastAsia="Arial" w:hAnsi="Arial"/>
                <w:sz w:val="12"/>
                <w:szCs w:val="12"/>
                <w:b w:val="1"/>
                <w:bCs w:val="1"/>
                <w:color w:val="2459A8"/>
                <w:w w:val="95"/>
              </w:rPr>
              <w:t>($)</w:t>
            </w:r>
          </w:p>
        </w:tc>
        <w:tc>
          <w:tcPr>
            <w:tcW w:w="940" w:type="dxa"/>
            <w:vAlign w:val="bottom"/>
            <w:tcBorders>
              <w:bottom w:val="single" w:sz="8" w:color="2459A8"/>
            </w:tcBorders>
          </w:tcPr>
          <w:p>
            <w:pPr>
              <w:jc w:val="center"/>
              <w:ind w:right="36"/>
              <w:spacing w:after="0"/>
              <w:rPr>
                <w:sz w:val="20"/>
                <w:szCs w:val="20"/>
                <w:color w:val="auto"/>
              </w:rPr>
            </w:pPr>
            <w:r>
              <w:rPr>
                <w:rFonts w:ascii="Arial" w:cs="Arial" w:eastAsia="Arial" w:hAnsi="Arial"/>
                <w:sz w:val="12"/>
                <w:szCs w:val="12"/>
                <w:b w:val="1"/>
                <w:bCs w:val="1"/>
                <w:color w:val="2459A8"/>
                <w:w w:val="98"/>
              </w:rPr>
              <w:t>expiration date</w:t>
            </w:r>
          </w:p>
        </w:tc>
        <w:tc>
          <w:tcPr>
            <w:tcW w:w="940" w:type="dxa"/>
            <w:vAlign w:val="bottom"/>
            <w:tcBorders>
              <w:bottom w:val="single" w:sz="8" w:color="2459A8"/>
            </w:tcBorders>
          </w:tcPr>
          <w:p>
            <w:pPr>
              <w:jc w:val="center"/>
              <w:ind w:right="118"/>
              <w:spacing w:after="0"/>
              <w:rPr>
                <w:sz w:val="20"/>
                <w:szCs w:val="20"/>
                <w:color w:val="auto"/>
              </w:rPr>
            </w:pPr>
            <w:r>
              <w:rPr>
                <w:rFonts w:ascii="Arial" w:cs="Arial" w:eastAsia="Arial" w:hAnsi="Arial"/>
                <w:sz w:val="12"/>
                <w:szCs w:val="12"/>
                <w:b w:val="1"/>
                <w:bCs w:val="1"/>
                <w:color w:val="2459A8"/>
              </w:rPr>
              <w:t>(#)</w:t>
            </w:r>
          </w:p>
        </w:tc>
        <w:tc>
          <w:tcPr>
            <w:tcW w:w="940" w:type="dxa"/>
            <w:vAlign w:val="bottom"/>
            <w:tcBorders>
              <w:bottom w:val="single" w:sz="8" w:color="2459A8"/>
            </w:tcBorders>
          </w:tcPr>
          <w:p>
            <w:pPr>
              <w:jc w:val="center"/>
              <w:ind w:right="18"/>
              <w:spacing w:after="0"/>
              <w:rPr>
                <w:sz w:val="20"/>
                <w:szCs w:val="20"/>
                <w:color w:val="auto"/>
              </w:rPr>
            </w:pPr>
            <w:r>
              <w:rPr>
                <w:rFonts w:ascii="Arial" w:cs="Arial" w:eastAsia="Arial" w:hAnsi="Arial"/>
                <w:sz w:val="12"/>
                <w:szCs w:val="12"/>
                <w:b w:val="1"/>
                <w:bCs w:val="1"/>
                <w:color w:val="2459A8"/>
                <w:w w:val="95"/>
              </w:rPr>
              <w:t>($)</w:t>
            </w:r>
          </w:p>
        </w:tc>
        <w:tc>
          <w:tcPr>
            <w:tcW w:w="98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5"/>
              </w:rPr>
              <w:t>(#)</w:t>
            </w:r>
          </w:p>
        </w:tc>
        <w:tc>
          <w:tcPr>
            <w:tcW w:w="860" w:type="dxa"/>
            <w:vAlign w:val="bottom"/>
            <w:tcBorders>
              <w:bottom w:val="single" w:sz="8" w:color="2459A8"/>
            </w:tcBorders>
          </w:tcPr>
          <w:p>
            <w:pPr>
              <w:jc w:val="center"/>
              <w:spacing w:after="0"/>
              <w:rPr>
                <w:sz w:val="20"/>
                <w:szCs w:val="20"/>
                <w:color w:val="auto"/>
              </w:rPr>
            </w:pPr>
            <w:r>
              <w:rPr>
                <w:rFonts w:ascii="Arial" w:cs="Arial" w:eastAsia="Arial" w:hAnsi="Arial"/>
                <w:sz w:val="12"/>
                <w:szCs w:val="12"/>
                <w:b w:val="1"/>
                <w:bCs w:val="1"/>
                <w:color w:val="2459A8"/>
                <w:w w:val="95"/>
              </w:rPr>
              <w:t>($)</w:t>
            </w:r>
          </w:p>
        </w:tc>
        <w:tc>
          <w:tcPr>
            <w:tcW w:w="20" w:type="dxa"/>
            <w:vAlign w:val="bottom"/>
          </w:tcPr>
          <w:p>
            <w:pPr>
              <w:spacing w:after="0"/>
              <w:rPr>
                <w:sz w:val="14"/>
                <w:szCs w:val="14"/>
                <w:color w:val="auto"/>
              </w:rPr>
            </w:pPr>
          </w:p>
        </w:tc>
      </w:tr>
      <w:tr>
        <w:trPr>
          <w:trHeight w:val="176"/>
        </w:trPr>
        <w:tc>
          <w:tcPr>
            <w:tcW w:w="1880" w:type="dxa"/>
            <w:vAlign w:val="bottom"/>
            <w:tcBorders>
              <w:bottom w:val="single" w:sz="8" w:color="EEEEEF"/>
            </w:tcBorders>
            <w:shd w:val="clear" w:color="auto" w:fill="EEEEEF"/>
          </w:tcPr>
          <w:p>
            <w:pPr>
              <w:spacing w:after="0"/>
              <w:rPr>
                <w:sz w:val="15"/>
                <w:szCs w:val="15"/>
                <w:color w:val="auto"/>
              </w:rPr>
            </w:pPr>
          </w:p>
        </w:tc>
        <w:tc>
          <w:tcPr>
            <w:tcW w:w="80" w:type="dxa"/>
            <w:vAlign w:val="bottom"/>
            <w:tcBorders>
              <w:bottom w:val="single" w:sz="8" w:color="EEEEEF"/>
            </w:tcBorders>
            <w:shd w:val="clear" w:color="auto" w:fill="EEEEEF"/>
          </w:tcPr>
          <w:p>
            <w:pPr>
              <w:spacing w:after="0"/>
              <w:rPr>
                <w:sz w:val="15"/>
                <w:szCs w:val="15"/>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spacing w:after="0" w:line="176" w:lineRule="exact"/>
              <w:rPr>
                <w:sz w:val="20"/>
                <w:szCs w:val="20"/>
                <w:color w:val="auto"/>
              </w:rPr>
            </w:pPr>
            <w:r>
              <w:rPr>
                <w:rFonts w:ascii="Arial" w:cs="Arial" w:eastAsia="Arial" w:hAnsi="Arial"/>
                <w:sz w:val="13"/>
                <w:szCs w:val="13"/>
                <w:color w:val="auto"/>
              </w:rPr>
              <w:t>14,253</w:t>
            </w:r>
            <w:r>
              <w:rPr>
                <w:rFonts w:ascii="Arial" w:cs="Arial" w:eastAsia="Arial" w:hAnsi="Arial"/>
                <w:sz w:val="20"/>
                <w:szCs w:val="20"/>
                <w:color w:val="auto"/>
                <w:vertAlign w:val="superscript"/>
              </w:rPr>
              <w:t>1</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644.54</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12/08/2031</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4,988</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14,962</w:t>
            </w:r>
            <w:r>
              <w:rPr>
                <w:rFonts w:ascii="Arial" w:cs="Arial" w:eastAsia="Arial" w:hAnsi="Arial"/>
                <w:sz w:val="19"/>
                <w:szCs w:val="19"/>
                <w:color w:val="auto"/>
                <w:vertAlign w:val="superscript"/>
              </w:rPr>
              <w:t>2</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492.00</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12/09/2030</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12,250</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12,250</w:t>
            </w:r>
            <w:r>
              <w:rPr>
                <w:rFonts w:ascii="Arial" w:cs="Arial" w:eastAsia="Arial" w:hAnsi="Arial"/>
                <w:sz w:val="19"/>
                <w:szCs w:val="19"/>
                <w:color w:val="auto"/>
                <w:vertAlign w:val="superscript"/>
              </w:rPr>
              <w:t>3</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372.46</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12/11/2029</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15,000</w:t>
            </w:r>
          </w:p>
        </w:tc>
        <w:tc>
          <w:tcPr>
            <w:tcW w:w="90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5,000</w:t>
            </w:r>
            <w:r>
              <w:rPr>
                <w:rFonts w:ascii="Arial" w:cs="Arial" w:eastAsia="Arial" w:hAnsi="Arial"/>
                <w:sz w:val="19"/>
                <w:szCs w:val="19"/>
                <w:color w:val="auto"/>
                <w:vertAlign w:val="superscript"/>
              </w:rPr>
              <w:t>4</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381.40</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12/12/2028</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3"/>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23,337</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378.98</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12/12/2027</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24,565</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381.92</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12/16/2026</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4"/>
        </w:trPr>
        <w:tc>
          <w:tcPr>
            <w:tcW w:w="1880" w:type="dxa"/>
            <w:vAlign w:val="bottom"/>
            <w:tcBorders>
              <w:bottom w:val="single" w:sz="8" w:color="EEEEEF"/>
            </w:tcBorders>
            <w:shd w:val="clear" w:color="auto" w:fill="EEEEEF"/>
          </w:tcPr>
          <w:p>
            <w:pPr>
              <w:spacing w:after="0"/>
              <w:rPr>
                <w:sz w:val="20"/>
                <w:szCs w:val="20"/>
                <w:color w:val="auto"/>
              </w:rPr>
            </w:pPr>
            <w:r>
              <w:rPr>
                <w:rFonts w:ascii="Arial" w:cs="Arial" w:eastAsia="Arial" w:hAnsi="Arial"/>
                <w:sz w:val="13"/>
                <w:szCs w:val="13"/>
                <w:b w:val="1"/>
                <w:bCs w:val="1"/>
                <w:color w:val="D60058"/>
              </w:rPr>
              <w:t>Joseph J. LaRosa</w:t>
            </w:r>
          </w:p>
        </w:tc>
        <w:tc>
          <w:tcPr>
            <w:tcW w:w="80" w:type="dxa"/>
            <w:vAlign w:val="bottom"/>
            <w:tcBorders>
              <w:bottom w:val="single" w:sz="8" w:color="EEEEEF"/>
            </w:tcBorders>
            <w:shd w:val="clear" w:color="auto" w:fill="EEEEEF"/>
          </w:tcPr>
          <w:p>
            <w:pPr>
              <w:spacing w:after="0"/>
              <w:rPr>
                <w:sz w:val="15"/>
                <w:szCs w:val="15"/>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28,900</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555.67</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12/16/2025</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64"/>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34,000</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399.66</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12/16/2024</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40,000</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340"/>
              <w:spacing w:after="0"/>
              <w:rPr>
                <w:sz w:val="20"/>
                <w:szCs w:val="20"/>
                <w:color w:val="auto"/>
              </w:rPr>
            </w:pPr>
            <w:r>
              <w:rPr>
                <w:rFonts w:ascii="Arial" w:cs="Arial" w:eastAsia="Arial" w:hAnsi="Arial"/>
                <w:sz w:val="13"/>
                <w:szCs w:val="13"/>
                <w:color w:val="auto"/>
              </w:rPr>
              <w:t>270.43</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12/13/2023</w:t>
            </w:r>
          </w:p>
        </w:tc>
        <w:tc>
          <w:tcPr>
            <w:tcW w:w="940" w:type="dxa"/>
            <w:vAlign w:val="bottom"/>
            <w:tcBorders>
              <w:bottom w:val="single" w:sz="8" w:color="58585A"/>
            </w:tcBorders>
            <w:shd w:val="clear" w:color="auto" w:fill="EEEEEF"/>
          </w:tcPr>
          <w:p>
            <w:pPr>
              <w:jc w:val="right"/>
              <w:ind w:right="1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8"/>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6"/>
        </w:trPr>
        <w:tc>
          <w:tcPr>
            <w:tcW w:w="1880" w:type="dxa"/>
            <w:vAlign w:val="bottom"/>
            <w:tcBorders>
              <w:bottom w:val="single" w:sz="8" w:color="EEEEEF"/>
            </w:tcBorders>
            <w:shd w:val="clear" w:color="auto" w:fill="EEEEEF"/>
          </w:tcPr>
          <w:p>
            <w:pPr>
              <w:spacing w:after="0"/>
              <w:rPr>
                <w:sz w:val="15"/>
                <w:szCs w:val="15"/>
                <w:color w:val="auto"/>
              </w:rPr>
            </w:pPr>
          </w:p>
        </w:tc>
        <w:tc>
          <w:tcPr>
            <w:tcW w:w="80" w:type="dxa"/>
            <w:vAlign w:val="bottom"/>
            <w:tcBorders>
              <w:bottom w:val="single" w:sz="8" w:color="EEEEEF"/>
            </w:tcBorders>
            <w:shd w:val="clear" w:color="auto" w:fill="EEEEEF"/>
          </w:tcPr>
          <w:p>
            <w:pPr>
              <w:spacing w:after="0"/>
              <w:rPr>
                <w:sz w:val="15"/>
                <w:szCs w:val="15"/>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6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440"/>
              <w:spacing w:after="0" w:line="176" w:lineRule="exact"/>
              <w:rPr>
                <w:sz w:val="20"/>
                <w:szCs w:val="20"/>
                <w:color w:val="auto"/>
              </w:rPr>
            </w:pPr>
            <w:r>
              <w:rPr>
                <w:rFonts w:ascii="Arial" w:cs="Arial" w:eastAsia="Arial" w:hAnsi="Arial"/>
                <w:sz w:val="13"/>
                <w:szCs w:val="13"/>
                <w:color w:val="auto"/>
              </w:rPr>
              <w:t>3,338</w:t>
            </w:r>
            <w:r>
              <w:rPr>
                <w:rFonts w:ascii="Arial" w:cs="Arial" w:eastAsia="Arial" w:hAnsi="Arial"/>
                <w:sz w:val="20"/>
                <w:szCs w:val="20"/>
                <w:color w:val="auto"/>
                <w:vertAlign w:val="superscript"/>
              </w:rPr>
              <w:t>8</w:t>
            </w:r>
          </w:p>
        </w:tc>
        <w:tc>
          <w:tcPr>
            <w:tcW w:w="940" w:type="dxa"/>
            <w:vAlign w:val="bottom"/>
            <w:tcBorders>
              <w:bottom w:val="single" w:sz="8" w:color="58585A"/>
            </w:tcBorders>
            <w:shd w:val="clear" w:color="auto" w:fill="EEEEEF"/>
          </w:tcPr>
          <w:p>
            <w:pPr>
              <w:jc w:val="right"/>
              <w:spacing w:after="0" w:line="176" w:lineRule="exact"/>
              <w:rPr>
                <w:sz w:val="20"/>
                <w:szCs w:val="20"/>
                <w:color w:val="auto"/>
              </w:rPr>
            </w:pPr>
            <w:r>
              <w:rPr>
                <w:rFonts w:ascii="Arial" w:cs="Arial" w:eastAsia="Arial" w:hAnsi="Arial"/>
                <w:sz w:val="13"/>
                <w:szCs w:val="13"/>
                <w:color w:val="auto"/>
              </w:rPr>
              <w:t>2,108,014</w:t>
            </w:r>
            <w:r>
              <w:rPr>
                <w:rFonts w:ascii="Arial" w:cs="Arial" w:eastAsia="Arial" w:hAnsi="Arial"/>
                <w:sz w:val="20"/>
                <w:szCs w:val="20"/>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6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440"/>
              <w:spacing w:after="0" w:line="169" w:lineRule="exact"/>
              <w:rPr>
                <w:sz w:val="20"/>
                <w:szCs w:val="20"/>
                <w:color w:val="auto"/>
              </w:rPr>
            </w:pPr>
            <w:r>
              <w:rPr>
                <w:rFonts w:ascii="Arial" w:cs="Arial" w:eastAsia="Arial" w:hAnsi="Arial"/>
                <w:sz w:val="12"/>
                <w:szCs w:val="12"/>
                <w:color w:val="auto"/>
              </w:rPr>
              <w:t>1,930</w:t>
            </w:r>
            <w:r>
              <w:rPr>
                <w:rFonts w:ascii="Arial" w:cs="Arial" w:eastAsia="Arial" w:hAnsi="Arial"/>
                <w:sz w:val="19"/>
                <w:szCs w:val="19"/>
                <w:color w:val="auto"/>
                <w:vertAlign w:val="superscript"/>
              </w:rPr>
              <w:t>9</w:t>
            </w:r>
          </w:p>
        </w:tc>
        <w:tc>
          <w:tcPr>
            <w:tcW w:w="94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1,218,834</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9"/>
        </w:trPr>
        <w:tc>
          <w:tcPr>
            <w:tcW w:w="1880" w:type="dxa"/>
            <w:vAlign w:val="bottom"/>
            <w:tcBorders>
              <w:bottom w:val="single" w:sz="8" w:color="EEEEEF"/>
            </w:tcBorders>
            <w:shd w:val="clear" w:color="auto" w:fill="EEEEEF"/>
          </w:tcPr>
          <w:p>
            <w:pPr>
              <w:spacing w:after="0"/>
              <w:rPr>
                <w:sz w:val="14"/>
                <w:szCs w:val="14"/>
                <w:color w:val="auto"/>
              </w:rPr>
            </w:pPr>
          </w:p>
        </w:tc>
        <w:tc>
          <w:tcPr>
            <w:tcW w:w="80" w:type="dxa"/>
            <w:vAlign w:val="bottom"/>
            <w:tcBorders>
              <w:bottom w:val="single" w:sz="8" w:color="EEEEEF"/>
            </w:tcBorders>
            <w:shd w:val="clear" w:color="auto" w:fill="EEEEEF"/>
          </w:tcPr>
          <w:p>
            <w:pPr>
              <w:spacing w:after="0"/>
              <w:rPr>
                <w:sz w:val="14"/>
                <w:szCs w:val="14"/>
                <w:color w:val="auto"/>
              </w:rPr>
            </w:pPr>
          </w:p>
        </w:tc>
        <w:tc>
          <w:tcPr>
            <w:tcW w:w="860" w:type="dxa"/>
            <w:vAlign w:val="bottom"/>
            <w:tcBorders>
              <w:bottom w:val="single" w:sz="8" w:color="58585A"/>
            </w:tcBorders>
            <w:shd w:val="clear" w:color="auto" w:fill="EEEEEF"/>
          </w:tcPr>
          <w:p>
            <w:pPr>
              <w:jc w:val="right"/>
              <w:ind w:right="1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58585A"/>
            </w:tcBorders>
            <w:shd w:val="clear" w:color="auto" w:fill="EEEEEF"/>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72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8585A"/>
            </w:tcBorders>
            <w:shd w:val="clear" w:color="auto" w:fill="EEEEEF"/>
          </w:tcPr>
          <w:p>
            <w:pPr>
              <w:ind w:left="62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jc w:val="right"/>
              <w:ind w:right="3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58585A"/>
            </w:tcBorders>
            <w:shd w:val="clear" w:color="auto" w:fill="EEEEEF"/>
          </w:tcPr>
          <w:p>
            <w:pPr>
              <w:ind w:left="440"/>
              <w:spacing w:after="0" w:line="169" w:lineRule="exact"/>
              <w:rPr>
                <w:sz w:val="20"/>
                <w:szCs w:val="20"/>
                <w:color w:val="auto"/>
              </w:rPr>
            </w:pPr>
            <w:r>
              <w:rPr>
                <w:rFonts w:ascii="Arial" w:cs="Arial" w:eastAsia="Arial" w:hAnsi="Arial"/>
                <w:sz w:val="12"/>
                <w:szCs w:val="12"/>
                <w:color w:val="auto"/>
              </w:rPr>
              <w:t>1,312</w:t>
            </w:r>
            <w:r>
              <w:rPr>
                <w:rFonts w:ascii="Arial" w:cs="Arial" w:eastAsia="Arial" w:hAnsi="Arial"/>
                <w:sz w:val="19"/>
                <w:szCs w:val="19"/>
                <w:color w:val="auto"/>
                <w:vertAlign w:val="superscript"/>
              </w:rPr>
              <w:t>11</w:t>
            </w:r>
          </w:p>
        </w:tc>
        <w:tc>
          <w:tcPr>
            <w:tcW w:w="940" w:type="dxa"/>
            <w:vAlign w:val="bottom"/>
            <w:tcBorders>
              <w:bottom w:val="single" w:sz="8" w:color="58585A"/>
            </w:tcBorders>
            <w:shd w:val="clear" w:color="auto" w:fill="EEEEEF"/>
          </w:tcPr>
          <w:p>
            <w:pPr>
              <w:jc w:val="right"/>
              <w:spacing w:after="0" w:line="169" w:lineRule="exact"/>
              <w:rPr>
                <w:sz w:val="20"/>
                <w:szCs w:val="20"/>
                <w:color w:val="auto"/>
              </w:rPr>
            </w:pPr>
            <w:r>
              <w:rPr>
                <w:rFonts w:ascii="Arial" w:cs="Arial" w:eastAsia="Arial" w:hAnsi="Arial"/>
                <w:sz w:val="12"/>
                <w:szCs w:val="12"/>
                <w:color w:val="auto"/>
              </w:rPr>
              <w:t>828,554</w:t>
            </w:r>
            <w:r>
              <w:rPr>
                <w:rFonts w:ascii="Arial" w:cs="Arial" w:eastAsia="Arial" w:hAnsi="Arial"/>
                <w:sz w:val="19"/>
                <w:szCs w:val="19"/>
                <w:color w:val="auto"/>
                <w:vertAlign w:val="superscript"/>
              </w:rPr>
              <w:t>7</w:t>
            </w:r>
          </w:p>
        </w:tc>
        <w:tc>
          <w:tcPr>
            <w:tcW w:w="98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58585A"/>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8"/>
        </w:trPr>
        <w:tc>
          <w:tcPr>
            <w:tcW w:w="1880" w:type="dxa"/>
            <w:vAlign w:val="bottom"/>
            <w:tcBorders>
              <w:bottom w:val="single" w:sz="8" w:color="255AA8"/>
            </w:tcBorders>
            <w:shd w:val="clear" w:color="auto" w:fill="EEEEEF"/>
          </w:tcPr>
          <w:p>
            <w:pPr>
              <w:ind w:left="1440"/>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Borders>
              <w:bottom w:val="single" w:sz="8" w:color="255AA8"/>
            </w:tcBorders>
            <w:shd w:val="clear" w:color="auto" w:fill="EEEEEF"/>
          </w:tcPr>
          <w:p>
            <w:pPr>
              <w:spacing w:after="0"/>
              <w:rPr>
                <w:sz w:val="14"/>
                <w:szCs w:val="14"/>
                <w:color w:val="auto"/>
              </w:rPr>
            </w:pPr>
          </w:p>
        </w:tc>
        <w:tc>
          <w:tcPr>
            <w:tcW w:w="860" w:type="dxa"/>
            <w:vAlign w:val="bottom"/>
            <w:tcBorders>
              <w:bottom w:val="single" w:sz="8" w:color="255AA8"/>
            </w:tcBorders>
            <w:shd w:val="clear" w:color="auto" w:fill="EEEEEF"/>
          </w:tcPr>
          <w:p>
            <w:pPr>
              <w:jc w:val="right"/>
              <w:ind w:right="17"/>
              <w:spacing w:after="0"/>
              <w:rPr>
                <w:sz w:val="20"/>
                <w:szCs w:val="20"/>
                <w:color w:val="auto"/>
              </w:rPr>
            </w:pPr>
            <w:r>
              <w:rPr>
                <w:rFonts w:ascii="Arial" w:cs="Arial" w:eastAsia="Arial" w:hAnsi="Arial"/>
                <w:sz w:val="13"/>
                <w:szCs w:val="13"/>
                <w:b w:val="1"/>
                <w:bCs w:val="1"/>
                <w:color w:val="auto"/>
              </w:rPr>
              <w:t>183,040</w:t>
            </w:r>
          </w:p>
        </w:tc>
        <w:tc>
          <w:tcPr>
            <w:tcW w:w="900" w:type="dxa"/>
            <w:vAlign w:val="bottom"/>
            <w:tcBorders>
              <w:bottom w:val="single" w:sz="8" w:color="255AA8"/>
            </w:tcBorders>
            <w:shd w:val="clear" w:color="auto" w:fill="EEEEEF"/>
          </w:tcPr>
          <w:p>
            <w:pPr>
              <w:jc w:val="right"/>
              <w:ind w:right="18"/>
              <w:spacing w:after="0"/>
              <w:rPr>
                <w:sz w:val="20"/>
                <w:szCs w:val="20"/>
                <w:color w:val="auto"/>
              </w:rPr>
            </w:pPr>
            <w:r>
              <w:rPr>
                <w:rFonts w:ascii="Arial" w:cs="Arial" w:eastAsia="Arial" w:hAnsi="Arial"/>
                <w:sz w:val="13"/>
                <w:szCs w:val="13"/>
                <w:b w:val="1"/>
                <w:bCs w:val="1"/>
                <w:color w:val="auto"/>
              </w:rPr>
              <w:t>46,465</w:t>
            </w:r>
          </w:p>
        </w:tc>
        <w:tc>
          <w:tcPr>
            <w:tcW w:w="940" w:type="dxa"/>
            <w:vAlign w:val="bottom"/>
            <w:tcBorders>
              <w:bottom w:val="single" w:sz="8" w:color="255AA8"/>
            </w:tcBorders>
            <w:shd w:val="clear" w:color="auto" w:fill="EEEEEF"/>
          </w:tcPr>
          <w:p>
            <w:pPr>
              <w:spacing w:after="0"/>
              <w:rPr>
                <w:sz w:val="14"/>
                <w:szCs w:val="14"/>
                <w:color w:val="auto"/>
              </w:rPr>
            </w:pPr>
          </w:p>
        </w:tc>
        <w:tc>
          <w:tcPr>
            <w:tcW w:w="840" w:type="dxa"/>
            <w:vAlign w:val="bottom"/>
            <w:tcBorders>
              <w:bottom w:val="single" w:sz="8" w:color="255AA8"/>
            </w:tcBorders>
            <w:shd w:val="clear" w:color="auto" w:fill="EEEEEF"/>
          </w:tcPr>
          <w:p>
            <w:pPr>
              <w:spacing w:after="0"/>
              <w:rPr>
                <w:sz w:val="14"/>
                <w:szCs w:val="14"/>
                <w:color w:val="auto"/>
              </w:rPr>
            </w:pPr>
          </w:p>
        </w:tc>
        <w:tc>
          <w:tcPr>
            <w:tcW w:w="940" w:type="dxa"/>
            <w:vAlign w:val="bottom"/>
            <w:tcBorders>
              <w:bottom w:val="single" w:sz="8" w:color="255AA8"/>
            </w:tcBorders>
            <w:shd w:val="clear" w:color="auto" w:fill="EEEEEF"/>
          </w:tcPr>
          <w:p>
            <w:pPr>
              <w:spacing w:after="0"/>
              <w:rPr>
                <w:sz w:val="14"/>
                <w:szCs w:val="14"/>
                <w:color w:val="auto"/>
              </w:rPr>
            </w:pPr>
          </w:p>
        </w:tc>
        <w:tc>
          <w:tcPr>
            <w:tcW w:w="940" w:type="dxa"/>
            <w:vAlign w:val="bottom"/>
            <w:tcBorders>
              <w:bottom w:val="single" w:sz="8" w:color="255AA8"/>
            </w:tcBorders>
            <w:shd w:val="clear" w:color="auto" w:fill="EEEEEF"/>
          </w:tcPr>
          <w:p>
            <w:pPr>
              <w:jc w:val="right"/>
              <w:ind w:right="118"/>
              <w:spacing w:after="0"/>
              <w:rPr>
                <w:sz w:val="20"/>
                <w:szCs w:val="20"/>
                <w:color w:val="auto"/>
              </w:rPr>
            </w:pPr>
            <w:r>
              <w:rPr>
                <w:rFonts w:ascii="Arial" w:cs="Arial" w:eastAsia="Arial" w:hAnsi="Arial"/>
                <w:sz w:val="13"/>
                <w:szCs w:val="13"/>
                <w:b w:val="1"/>
                <w:bCs w:val="1"/>
                <w:color w:val="auto"/>
              </w:rPr>
              <w:t>6,580</w:t>
            </w:r>
          </w:p>
        </w:tc>
        <w:tc>
          <w:tcPr>
            <w:tcW w:w="940" w:type="dxa"/>
            <w:vAlign w:val="bottom"/>
            <w:tcBorders>
              <w:bottom w:val="single" w:sz="8" w:color="255AA8"/>
            </w:tcBorders>
            <w:shd w:val="clear" w:color="auto" w:fill="EEEEEF"/>
          </w:tcPr>
          <w:p>
            <w:pPr>
              <w:jc w:val="right"/>
              <w:ind w:right="38"/>
              <w:spacing w:after="0"/>
              <w:rPr>
                <w:sz w:val="20"/>
                <w:szCs w:val="20"/>
                <w:color w:val="auto"/>
              </w:rPr>
            </w:pPr>
            <w:r>
              <w:rPr>
                <w:rFonts w:ascii="Arial" w:cs="Arial" w:eastAsia="Arial" w:hAnsi="Arial"/>
                <w:sz w:val="13"/>
                <w:szCs w:val="13"/>
                <w:b w:val="1"/>
                <w:bCs w:val="1"/>
                <w:color w:val="auto"/>
              </w:rPr>
              <w:t>4,155,402</w:t>
            </w:r>
          </w:p>
        </w:tc>
        <w:tc>
          <w:tcPr>
            <w:tcW w:w="980" w:type="dxa"/>
            <w:vAlign w:val="bottom"/>
            <w:tcBorders>
              <w:bottom w:val="single" w:sz="8" w:color="255AA8"/>
            </w:tcBorders>
            <w:shd w:val="clear" w:color="auto" w:fill="EEEEEF"/>
          </w:tcPr>
          <w:p>
            <w:pPr>
              <w:spacing w:after="0"/>
              <w:rPr>
                <w:sz w:val="14"/>
                <w:szCs w:val="14"/>
                <w:color w:val="auto"/>
              </w:rPr>
            </w:pPr>
          </w:p>
        </w:tc>
        <w:tc>
          <w:tcPr>
            <w:tcW w:w="860" w:type="dxa"/>
            <w:vAlign w:val="bottom"/>
            <w:tcBorders>
              <w:bottom w:val="single" w:sz="8" w:color="255AA8"/>
            </w:tcBorders>
            <w:shd w:val="clear" w:color="auto" w:fill="EEEEEF"/>
          </w:tcPr>
          <w:p>
            <w:pPr>
              <w:spacing w:after="0"/>
              <w:rPr>
                <w:sz w:val="14"/>
                <w:szCs w:val="14"/>
                <w:color w:val="auto"/>
              </w:rPr>
            </w:pPr>
          </w:p>
        </w:tc>
        <w:tc>
          <w:tcPr>
            <w:tcW w:w="20" w:type="dxa"/>
            <w:vAlign w:val="bottom"/>
          </w:tcPr>
          <w:p>
            <w:pPr>
              <w:spacing w:after="0"/>
              <w:rPr>
                <w:sz w:val="14"/>
                <w:szCs w:val="14"/>
                <w:color w:val="auto"/>
              </w:rPr>
            </w:pPr>
          </w:p>
        </w:tc>
      </w:tr>
    </w:tbl>
    <w:p>
      <w:pPr>
        <w:spacing w:after="0" w:line="167" w:lineRule="exact"/>
        <w:rPr>
          <w:sz w:val="20"/>
          <w:szCs w:val="20"/>
          <w:color w:val="auto"/>
        </w:rPr>
      </w:pPr>
    </w:p>
    <w:p>
      <w:pPr>
        <w:ind w:left="720" w:hanging="172"/>
        <w:spacing w:after="0"/>
        <w:tabs>
          <w:tab w:leader="none" w:pos="720" w:val="left"/>
        </w:tabs>
        <w:numPr>
          <w:ilvl w:val="0"/>
          <w:numId w:val="160"/>
        </w:numPr>
        <w:rPr>
          <w:rFonts w:ascii="Arial" w:cs="Arial" w:eastAsia="Arial" w:hAnsi="Arial"/>
          <w:sz w:val="14"/>
          <w:szCs w:val="14"/>
          <w:color w:val="215BA8"/>
        </w:rPr>
      </w:pPr>
      <w:r>
        <w:rPr>
          <w:rFonts w:ascii="Arial" w:cs="Arial" w:eastAsia="Arial" w:hAnsi="Arial"/>
          <w:sz w:val="14"/>
          <w:szCs w:val="14"/>
          <w:color w:val="1A1A1A"/>
        </w:rPr>
        <w:t>This stock option award was granted to the NEO on December 8, 2021 and vests at a rate of 25% per year over the first four years of the option term.</w:t>
      </w:r>
    </w:p>
    <w:p>
      <w:pPr>
        <w:spacing w:after="0" w:line="82" w:lineRule="exact"/>
        <w:rPr>
          <w:rFonts w:ascii="Arial" w:cs="Arial" w:eastAsia="Arial" w:hAnsi="Arial"/>
          <w:sz w:val="14"/>
          <w:szCs w:val="14"/>
          <w:color w:val="215BA8"/>
        </w:rPr>
      </w:pPr>
    </w:p>
    <w:p>
      <w:pPr>
        <w:ind w:left="540"/>
        <w:spacing w:after="0"/>
        <w:rPr>
          <w:rFonts w:ascii="Arial" w:cs="Arial" w:eastAsia="Arial" w:hAnsi="Arial"/>
          <w:sz w:val="14"/>
          <w:szCs w:val="14"/>
          <w:color w:val="215BA8"/>
        </w:rPr>
      </w:pPr>
      <w:r>
        <w:rPr>
          <w:rFonts w:ascii="Arial" w:cs="Arial" w:eastAsia="Arial" w:hAnsi="Arial"/>
          <w:sz w:val="14"/>
          <w:szCs w:val="14"/>
          <w:color w:val="215BA8"/>
        </w:rPr>
        <w:t xml:space="preserve">2 </w:t>
      </w:r>
      <w:r>
        <w:rPr>
          <w:rFonts w:ascii="Arial" w:cs="Arial" w:eastAsia="Arial" w:hAnsi="Arial"/>
          <w:sz w:val="14"/>
          <w:szCs w:val="14"/>
          <w:color w:val="1A1A1A"/>
        </w:rPr>
        <w:t>This stock option award was granted to the NEO on December 9, 2020 and vests at a rate of 25% per year over the first four years of the option term.</w:t>
      </w:r>
    </w:p>
    <w:p>
      <w:pPr>
        <w:spacing w:after="0" w:line="82" w:lineRule="exact"/>
        <w:rPr>
          <w:rFonts w:ascii="Arial" w:cs="Arial" w:eastAsia="Arial" w:hAnsi="Arial"/>
          <w:sz w:val="14"/>
          <w:szCs w:val="14"/>
          <w:color w:val="215BA8"/>
        </w:rPr>
      </w:pPr>
    </w:p>
    <w:p>
      <w:pPr>
        <w:jc w:val="both"/>
        <w:ind w:left="540" w:right="940"/>
        <w:spacing w:after="0" w:line="362" w:lineRule="auto"/>
        <w:rPr>
          <w:rFonts w:ascii="Arial" w:cs="Arial" w:eastAsia="Arial" w:hAnsi="Arial"/>
          <w:sz w:val="14"/>
          <w:szCs w:val="14"/>
          <w:color w:val="215BA8"/>
        </w:rPr>
      </w:pPr>
      <w:r>
        <w:rPr>
          <w:rFonts w:ascii="Arial" w:cs="Arial" w:eastAsia="Arial" w:hAnsi="Arial"/>
          <w:sz w:val="14"/>
          <w:szCs w:val="14"/>
          <w:color w:val="215BA8"/>
        </w:rPr>
        <w:t xml:space="preserve">3 </w:t>
      </w:r>
      <w:r>
        <w:rPr>
          <w:rFonts w:ascii="Arial" w:cs="Arial" w:eastAsia="Arial" w:hAnsi="Arial"/>
          <w:sz w:val="14"/>
          <w:szCs w:val="14"/>
          <w:color w:val="1A1A1A"/>
        </w:rPr>
        <w:t>This stock option award was granted to the NEO on December 11, 2019 and vests at a rate of 25% per year over the first four years of the option term.</w:t>
      </w:r>
      <w:r>
        <w:rPr>
          <w:rFonts w:ascii="Arial" w:cs="Arial" w:eastAsia="Arial" w:hAnsi="Arial"/>
          <w:sz w:val="14"/>
          <w:szCs w:val="14"/>
          <w:color w:val="215BA8"/>
        </w:rPr>
        <w:t xml:space="preserve"> 4 </w:t>
      </w:r>
      <w:r>
        <w:rPr>
          <w:rFonts w:ascii="Arial" w:cs="Arial" w:eastAsia="Arial" w:hAnsi="Arial"/>
          <w:sz w:val="14"/>
          <w:szCs w:val="14"/>
          <w:color w:val="1A1A1A"/>
        </w:rPr>
        <w:t>This stock option award was granted to the NEO on December 12, 2018 and vests at a rate of 25% per year over the first four years of the option term.</w:t>
      </w:r>
    </w:p>
    <w:p>
      <w:pPr>
        <w:ind w:left="720" w:right="540" w:hanging="172"/>
        <w:spacing w:after="0" w:line="258" w:lineRule="auto"/>
        <w:tabs>
          <w:tab w:leader="none" w:pos="720" w:val="left"/>
        </w:tabs>
        <w:numPr>
          <w:ilvl w:val="0"/>
          <w:numId w:val="161"/>
        </w:numPr>
        <w:rPr>
          <w:rFonts w:ascii="Arial" w:cs="Arial" w:eastAsia="Arial" w:hAnsi="Arial"/>
          <w:sz w:val="14"/>
          <w:szCs w:val="14"/>
          <w:color w:val="215BA8"/>
        </w:rPr>
      </w:pPr>
      <w:r>
        <w:rPr>
          <w:rFonts w:ascii="Arial" w:cs="Arial" w:eastAsia="Arial" w:hAnsi="Arial"/>
          <w:sz w:val="14"/>
          <w:szCs w:val="14"/>
          <w:color w:val="1A1A1A"/>
        </w:rPr>
        <w:t>This PSU award was granted to the NEO on December 31, 2020 and has a five-year performance period from the date of grant. Based on performance as of December 31, 2021 in accordance with SEC rules, the number of PSUs shown in this table assumes a target level of payout.</w:t>
      </w:r>
    </w:p>
    <w:p>
      <w:pPr>
        <w:spacing w:after="0" w:line="59" w:lineRule="exact"/>
        <w:rPr>
          <w:sz w:val="20"/>
          <w:szCs w:val="20"/>
          <w:color w:val="auto"/>
        </w:rPr>
      </w:pPr>
    </w:p>
    <w:p>
      <w:pPr>
        <w:ind w:left="720" w:right="540" w:hanging="172"/>
        <w:spacing w:after="0" w:line="258" w:lineRule="auto"/>
        <w:tabs>
          <w:tab w:leader="none" w:pos="720" w:val="left"/>
        </w:tabs>
        <w:numPr>
          <w:ilvl w:val="0"/>
          <w:numId w:val="162"/>
        </w:numPr>
        <w:rPr>
          <w:rFonts w:ascii="Arial" w:cs="Arial" w:eastAsia="Arial" w:hAnsi="Arial"/>
          <w:sz w:val="14"/>
          <w:szCs w:val="14"/>
          <w:color w:val="215BA8"/>
        </w:rPr>
      </w:pPr>
      <w:r>
        <w:rPr>
          <w:rFonts w:ascii="Arial" w:cs="Arial" w:eastAsia="Arial" w:hAnsi="Arial"/>
          <w:sz w:val="14"/>
          <w:szCs w:val="14"/>
          <w:color w:val="1A1A1A"/>
        </w:rPr>
        <w:t>This PSU award was granted to the NEO on December 11, 2019 and has a five-year performance period from the date of grant. Based on performance as of December 31, 2021 in accordance with SEC rules, the number of PSUs shown in this table assumes a maximum level of payout.</w:t>
      </w:r>
    </w:p>
    <w:p>
      <w:pPr>
        <w:spacing w:after="0" w:line="59" w:lineRule="exact"/>
        <w:rPr>
          <w:sz w:val="20"/>
          <w:szCs w:val="20"/>
          <w:color w:val="auto"/>
        </w:rPr>
      </w:pPr>
    </w:p>
    <w:p>
      <w:pPr>
        <w:ind w:left="720" w:hanging="172"/>
        <w:spacing w:after="0"/>
        <w:tabs>
          <w:tab w:leader="none" w:pos="720" w:val="left"/>
        </w:tabs>
        <w:numPr>
          <w:ilvl w:val="0"/>
          <w:numId w:val="163"/>
        </w:numPr>
        <w:rPr>
          <w:rFonts w:ascii="Arial" w:cs="Arial" w:eastAsia="Arial" w:hAnsi="Arial"/>
          <w:sz w:val="14"/>
          <w:szCs w:val="14"/>
          <w:color w:val="215BA8"/>
        </w:rPr>
      </w:pPr>
      <w:r>
        <w:rPr>
          <w:rFonts w:ascii="Arial" w:cs="Arial" w:eastAsia="Arial" w:hAnsi="Arial"/>
          <w:sz w:val="14"/>
          <w:szCs w:val="14"/>
          <w:color w:val="1A1A1A"/>
        </w:rPr>
        <w:t>Reflects the closing price of $631.52 per share of the Company’s common stock on the Nasdaq Global Select Market on December 31, 2021.</w:t>
      </w:r>
    </w:p>
    <w:p>
      <w:pPr>
        <w:spacing w:after="0" w:line="82" w:lineRule="exact"/>
        <w:rPr>
          <w:sz w:val="20"/>
          <w:szCs w:val="20"/>
          <w:color w:val="auto"/>
        </w:rPr>
      </w:pPr>
    </w:p>
    <w:p>
      <w:pPr>
        <w:ind w:left="720" w:right="560" w:hanging="172"/>
        <w:spacing w:after="0" w:line="258" w:lineRule="auto"/>
        <w:tabs>
          <w:tab w:leader="none" w:pos="720" w:val="left"/>
        </w:tabs>
        <w:numPr>
          <w:ilvl w:val="0"/>
          <w:numId w:val="164"/>
        </w:numPr>
        <w:rPr>
          <w:rFonts w:ascii="Arial" w:cs="Arial" w:eastAsia="Arial" w:hAnsi="Arial"/>
          <w:sz w:val="14"/>
          <w:szCs w:val="14"/>
          <w:color w:val="215BA8"/>
        </w:rPr>
      </w:pPr>
      <w:r>
        <w:rPr>
          <w:rFonts w:ascii="Arial" w:cs="Arial" w:eastAsia="Arial" w:hAnsi="Arial"/>
          <w:sz w:val="14"/>
          <w:szCs w:val="14"/>
          <w:color w:val="1A1A1A"/>
        </w:rPr>
        <w:t>This RSA was granted to the NEO on December 8, 2021 and vests 50% on the second anniversary of the date of grant and 50% on the fourth anniversary of the date of grant, subject to the NEO’s continued employment.</w:t>
      </w:r>
    </w:p>
    <w:p>
      <w:pPr>
        <w:spacing w:after="0" w:line="59" w:lineRule="exact"/>
        <w:rPr>
          <w:sz w:val="20"/>
          <w:szCs w:val="20"/>
          <w:color w:val="auto"/>
        </w:rPr>
      </w:pPr>
    </w:p>
    <w:p>
      <w:pPr>
        <w:ind w:left="720" w:right="560" w:hanging="172"/>
        <w:spacing w:after="0" w:line="258" w:lineRule="auto"/>
        <w:tabs>
          <w:tab w:leader="none" w:pos="720" w:val="left"/>
        </w:tabs>
        <w:numPr>
          <w:ilvl w:val="0"/>
          <w:numId w:val="165"/>
        </w:numPr>
        <w:rPr>
          <w:rFonts w:ascii="Arial" w:cs="Arial" w:eastAsia="Arial" w:hAnsi="Arial"/>
          <w:sz w:val="14"/>
          <w:szCs w:val="14"/>
          <w:color w:val="215BA8"/>
        </w:rPr>
      </w:pPr>
      <w:r>
        <w:rPr>
          <w:rFonts w:ascii="Arial" w:cs="Arial" w:eastAsia="Arial" w:hAnsi="Arial"/>
          <w:sz w:val="14"/>
          <w:szCs w:val="14"/>
          <w:color w:val="1A1A1A"/>
        </w:rPr>
        <w:t>This RSA was granted to the NEO on December 9, 2020 and vests 50% on the second anniversary of the date of grant and 50% on the fourth anniversary of the date of grant, subject to the NEO’s continued employment.</w:t>
      </w:r>
    </w:p>
    <w:p>
      <w:pPr>
        <w:spacing w:after="0" w:line="59" w:lineRule="exact"/>
        <w:rPr>
          <w:sz w:val="20"/>
          <w:szCs w:val="20"/>
          <w:color w:val="auto"/>
        </w:rPr>
      </w:pPr>
    </w:p>
    <w:p>
      <w:pPr>
        <w:ind w:left="720" w:right="1060" w:hanging="174"/>
        <w:spacing w:after="0" w:line="258" w:lineRule="auto"/>
        <w:rPr>
          <w:sz w:val="20"/>
          <w:szCs w:val="20"/>
          <w:color w:val="auto"/>
        </w:rPr>
      </w:pPr>
      <w:r>
        <w:rPr>
          <w:rFonts w:ascii="Arial" w:cs="Arial" w:eastAsia="Arial" w:hAnsi="Arial"/>
          <w:sz w:val="14"/>
          <w:szCs w:val="14"/>
          <w:color w:val="215BA8"/>
        </w:rPr>
        <w:t>10</w:t>
      </w:r>
      <w:r>
        <w:rPr>
          <w:rFonts w:ascii="Arial" w:cs="Arial" w:eastAsia="Arial" w:hAnsi="Arial"/>
          <w:sz w:val="14"/>
          <w:szCs w:val="14"/>
          <w:color w:val="1A1A1A"/>
        </w:rPr>
        <w:t>This RSA was granted to the NEO on December 9, 2020 and vests 100% on the fifth anniversary of the date of grant, subject to the NEO’s continued</w:t>
      </w:r>
      <w:r>
        <w:rPr>
          <w:rFonts w:ascii="Arial" w:cs="Arial" w:eastAsia="Arial" w:hAnsi="Arial"/>
          <w:sz w:val="14"/>
          <w:szCs w:val="14"/>
          <w:color w:val="215BA8"/>
        </w:rPr>
        <w:t xml:space="preserve"> </w:t>
      </w:r>
      <w:r>
        <w:rPr>
          <w:rFonts w:ascii="Arial" w:cs="Arial" w:eastAsia="Arial" w:hAnsi="Arial"/>
          <w:sz w:val="14"/>
          <w:szCs w:val="14"/>
          <w:color w:val="1A1A1A"/>
        </w:rPr>
        <w:t>employment.</w:t>
      </w:r>
    </w:p>
    <w:p>
      <w:pPr>
        <w:spacing w:after="0" w:line="59" w:lineRule="exact"/>
        <w:rPr>
          <w:sz w:val="20"/>
          <w:szCs w:val="20"/>
          <w:color w:val="auto"/>
        </w:rPr>
      </w:pPr>
    </w:p>
    <w:p>
      <w:pPr>
        <w:ind w:left="720" w:right="800" w:hanging="174"/>
        <w:spacing w:after="0" w:line="258" w:lineRule="auto"/>
        <w:rPr>
          <w:sz w:val="20"/>
          <w:szCs w:val="20"/>
          <w:color w:val="auto"/>
        </w:rPr>
      </w:pPr>
      <w:r>
        <w:rPr>
          <w:rFonts w:ascii="Arial" w:cs="Arial" w:eastAsia="Arial" w:hAnsi="Arial"/>
          <w:sz w:val="14"/>
          <w:szCs w:val="14"/>
          <w:color w:val="215BA8"/>
        </w:rPr>
        <w:t>11</w:t>
      </w:r>
      <w:r>
        <w:rPr>
          <w:rFonts w:ascii="Arial" w:cs="Arial" w:eastAsia="Arial" w:hAnsi="Arial"/>
          <w:sz w:val="14"/>
          <w:szCs w:val="14"/>
          <w:color w:val="1A1A1A"/>
        </w:rPr>
        <w:t>This RSA was granted to the NEO on December 11, 2019. The amount shown in this table consists of the remaining 50% of the RSA that will vest on the</w:t>
      </w:r>
      <w:r>
        <w:rPr>
          <w:rFonts w:ascii="Arial" w:cs="Arial" w:eastAsia="Arial" w:hAnsi="Arial"/>
          <w:sz w:val="14"/>
          <w:szCs w:val="14"/>
          <w:color w:val="215BA8"/>
        </w:rPr>
        <w:t xml:space="preserve"> </w:t>
      </w:r>
      <w:r>
        <w:rPr>
          <w:rFonts w:ascii="Arial" w:cs="Arial" w:eastAsia="Arial" w:hAnsi="Arial"/>
          <w:sz w:val="14"/>
          <w:szCs w:val="14"/>
          <w:color w:val="1A1A1A"/>
        </w:rPr>
        <w:t>fourth anniversary of the date of grant, subject to the NEO’s continued employment.</w:t>
      </w:r>
    </w:p>
    <w:p>
      <w:pPr>
        <w:spacing w:after="0" w:line="59" w:lineRule="exact"/>
        <w:rPr>
          <w:sz w:val="20"/>
          <w:szCs w:val="20"/>
          <w:color w:val="auto"/>
        </w:rPr>
      </w:pPr>
    </w:p>
    <w:p>
      <w:pPr>
        <w:ind w:left="720" w:right="840" w:hanging="174"/>
        <w:spacing w:after="0" w:line="258" w:lineRule="auto"/>
        <w:rPr>
          <w:sz w:val="20"/>
          <w:szCs w:val="20"/>
          <w:color w:val="auto"/>
        </w:rPr>
      </w:pPr>
      <w:r>
        <w:rPr>
          <w:rFonts w:ascii="Arial" w:cs="Arial" w:eastAsia="Arial" w:hAnsi="Arial"/>
          <w:sz w:val="14"/>
          <w:szCs w:val="14"/>
          <w:color w:val="215BA8"/>
        </w:rPr>
        <w:t>12</w:t>
      </w:r>
      <w:r>
        <w:rPr>
          <w:rFonts w:ascii="Arial" w:cs="Arial" w:eastAsia="Arial" w:hAnsi="Arial"/>
          <w:sz w:val="14"/>
          <w:szCs w:val="14"/>
          <w:color w:val="1A1A1A"/>
        </w:rPr>
        <w:t>This RSA was granted to the NEO on December 11, 2019 and vests 100% on the fourth anniversary of the date of grant, subject to the NEO’s continued</w:t>
      </w:r>
      <w:r>
        <w:rPr>
          <w:rFonts w:ascii="Arial" w:cs="Arial" w:eastAsia="Arial" w:hAnsi="Arial"/>
          <w:sz w:val="14"/>
          <w:szCs w:val="14"/>
          <w:color w:val="215BA8"/>
        </w:rPr>
        <w:t xml:space="preserve"> </w:t>
      </w:r>
      <w:r>
        <w:rPr>
          <w:rFonts w:ascii="Arial" w:cs="Arial" w:eastAsia="Arial" w:hAnsi="Arial"/>
          <w:sz w:val="14"/>
          <w:szCs w:val="14"/>
          <w:color w:val="1A1A1A"/>
        </w:rPr>
        <w:t>employment.</w:t>
      </w:r>
    </w:p>
    <w:p>
      <w:pPr>
        <w:spacing w:after="0" w:line="59" w:lineRule="exact"/>
        <w:rPr>
          <w:sz w:val="20"/>
          <w:szCs w:val="20"/>
          <w:color w:val="auto"/>
        </w:rPr>
      </w:pPr>
    </w:p>
    <w:p>
      <w:pPr>
        <w:ind w:left="720" w:right="980" w:hanging="174"/>
        <w:spacing w:after="0" w:line="258" w:lineRule="auto"/>
        <w:rPr>
          <w:sz w:val="20"/>
          <w:szCs w:val="20"/>
          <w:color w:val="auto"/>
        </w:rPr>
      </w:pPr>
      <w:r>
        <w:rPr>
          <w:rFonts w:ascii="Arial" w:cs="Arial" w:eastAsia="Arial" w:hAnsi="Arial"/>
          <w:sz w:val="14"/>
          <w:szCs w:val="14"/>
          <w:color w:val="215BA8"/>
        </w:rPr>
        <w:t>13</w:t>
      </w:r>
      <w:r>
        <w:rPr>
          <w:rFonts w:ascii="Arial" w:cs="Arial" w:eastAsia="Arial" w:hAnsi="Arial"/>
          <w:sz w:val="14"/>
          <w:szCs w:val="14"/>
          <w:color w:val="1A1A1A"/>
        </w:rPr>
        <w:t>This RSA was granted to the NEO on December 12, 2018 and vests 100% on the fifth anniversary of the date of grant, subject to the NEO’s continued</w:t>
      </w:r>
      <w:r>
        <w:rPr>
          <w:rFonts w:ascii="Arial" w:cs="Arial" w:eastAsia="Arial" w:hAnsi="Arial"/>
          <w:sz w:val="14"/>
          <w:szCs w:val="14"/>
          <w:color w:val="215BA8"/>
        </w:rPr>
        <w:t xml:space="preserve"> </w:t>
      </w:r>
      <w:r>
        <w:rPr>
          <w:rFonts w:ascii="Arial" w:cs="Arial" w:eastAsia="Arial" w:hAnsi="Arial"/>
          <w:sz w:val="14"/>
          <w:szCs w:val="14"/>
          <w:color w:val="1A1A1A"/>
        </w:rPr>
        <w:t>employment.</w:t>
      </w:r>
    </w:p>
    <w:p>
      <w:pPr>
        <w:spacing w:after="0" w:line="257"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86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101" w:name="page102"/>
    <w:bookmarkEnd w:id="101"/>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2021 Option Exercises and Stock Vested</w:t>
      </w:r>
    </w:p>
    <w:p>
      <w:pPr>
        <w:spacing w:after="0" w:line="187" w:lineRule="exact"/>
        <w:rPr>
          <w:sz w:val="20"/>
          <w:szCs w:val="20"/>
          <w:color w:val="auto"/>
        </w:rPr>
      </w:pPr>
    </w:p>
    <w:p>
      <w:pPr>
        <w:ind w:left="540" w:right="940"/>
        <w:spacing w:after="0" w:line="236" w:lineRule="auto"/>
        <w:rPr>
          <w:sz w:val="20"/>
          <w:szCs w:val="20"/>
          <w:color w:val="auto"/>
        </w:rPr>
      </w:pPr>
      <w:r>
        <w:rPr>
          <w:rFonts w:ascii="Arial" w:cs="Arial" w:eastAsia="Arial" w:hAnsi="Arial"/>
          <w:sz w:val="16"/>
          <w:szCs w:val="16"/>
          <w:color w:val="auto"/>
        </w:rPr>
        <w:t>The following table and explanatory footnotes provide information with regard to amounts realized by our NEOs during 2021 as a result of the exercise of stock options or the vesting of RSAs.</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340" w:type="dxa"/>
            <w:vAlign w:val="bottom"/>
            <w:tcBorders>
              <w:top w:val="single" w:sz="8" w:color="2459A8"/>
              <w:bottom w:val="single" w:sz="8" w:color="2459A8"/>
            </w:tcBorders>
          </w:tcPr>
          <w:p>
            <w:pPr>
              <w:ind w:left="2580"/>
              <w:spacing w:after="0"/>
              <w:rPr>
                <w:sz w:val="20"/>
                <w:szCs w:val="20"/>
                <w:color w:val="auto"/>
              </w:rPr>
            </w:pPr>
            <w:r>
              <w:rPr>
                <w:rFonts w:ascii="Arial" w:cs="Arial" w:eastAsia="Arial" w:hAnsi="Arial"/>
                <w:sz w:val="12"/>
                <w:szCs w:val="12"/>
                <w:b w:val="1"/>
                <w:bCs w:val="1"/>
                <w:color w:val="215BA8"/>
              </w:rPr>
              <w:t>A</w:t>
            </w:r>
          </w:p>
        </w:tc>
        <w:tc>
          <w:tcPr>
            <w:tcW w:w="1280" w:type="dxa"/>
            <w:vAlign w:val="bottom"/>
            <w:tcBorders>
              <w:top w:val="single" w:sz="8" w:color="2459A8"/>
              <w:bottom w:val="single" w:sz="8" w:color="2459A8"/>
            </w:tcBorders>
          </w:tcPr>
          <w:p>
            <w:pPr>
              <w:jc w:val="center"/>
              <w:ind w:right="38"/>
              <w:spacing w:after="0"/>
              <w:rPr>
                <w:sz w:val="20"/>
                <w:szCs w:val="20"/>
                <w:color w:val="auto"/>
              </w:rPr>
            </w:pPr>
            <w:r>
              <w:rPr>
                <w:rFonts w:ascii="Arial" w:cs="Arial" w:eastAsia="Arial" w:hAnsi="Arial"/>
                <w:sz w:val="12"/>
                <w:szCs w:val="12"/>
                <w:b w:val="1"/>
                <w:bCs w:val="1"/>
                <w:color w:val="215BA8"/>
              </w:rPr>
              <w:t>B</w:t>
            </w:r>
          </w:p>
        </w:tc>
        <w:tc>
          <w:tcPr>
            <w:tcW w:w="1100" w:type="dxa"/>
            <w:vAlign w:val="bottom"/>
            <w:tcBorders>
              <w:top w:val="single" w:sz="8" w:color="2459A8"/>
              <w:bottom w:val="single" w:sz="8" w:color="2459A8"/>
            </w:tcBorders>
            <w:gridSpan w:val="2"/>
          </w:tcPr>
          <w:p>
            <w:pPr>
              <w:jc w:val="center"/>
              <w:ind w:right="100"/>
              <w:spacing w:after="0"/>
              <w:rPr>
                <w:sz w:val="20"/>
                <w:szCs w:val="20"/>
                <w:color w:val="auto"/>
              </w:rPr>
            </w:pPr>
            <w:r>
              <w:rPr>
                <w:rFonts w:ascii="Arial" w:cs="Arial" w:eastAsia="Arial" w:hAnsi="Arial"/>
                <w:sz w:val="12"/>
                <w:szCs w:val="12"/>
                <w:b w:val="1"/>
                <w:bCs w:val="1"/>
                <w:color w:val="215BA8"/>
                <w:w w:val="91"/>
              </w:rPr>
              <w:t>C</w:t>
            </w:r>
          </w:p>
        </w:tc>
        <w:tc>
          <w:tcPr>
            <w:tcW w:w="1200" w:type="dxa"/>
            <w:vAlign w:val="bottom"/>
            <w:tcBorders>
              <w:top w:val="single" w:sz="8" w:color="2459A8"/>
              <w:bottom w:val="single" w:sz="8" w:color="2459A8"/>
            </w:tcBorders>
          </w:tcPr>
          <w:p>
            <w:pPr>
              <w:jc w:val="center"/>
              <w:ind w:right="38"/>
              <w:spacing w:after="0"/>
              <w:rPr>
                <w:sz w:val="20"/>
                <w:szCs w:val="20"/>
                <w:color w:val="auto"/>
              </w:rPr>
            </w:pPr>
            <w:r>
              <w:rPr>
                <w:rFonts w:ascii="Arial" w:cs="Arial" w:eastAsia="Arial" w:hAnsi="Arial"/>
                <w:sz w:val="12"/>
                <w:szCs w:val="12"/>
                <w:b w:val="1"/>
                <w:bCs w:val="1"/>
                <w:color w:val="215BA8"/>
              </w:rPr>
              <w:t>D</w:t>
            </w:r>
          </w:p>
        </w:tc>
        <w:tc>
          <w:tcPr>
            <w:tcW w:w="1240" w:type="dxa"/>
            <w:vAlign w:val="bottom"/>
            <w:tcBorders>
              <w:top w:val="single" w:sz="8" w:color="2459A8"/>
              <w:bottom w:val="single" w:sz="8" w:color="2459A8"/>
            </w:tcBorders>
          </w:tcPr>
          <w:p>
            <w:pPr>
              <w:jc w:val="center"/>
              <w:ind w:right="177"/>
              <w:spacing w:after="0"/>
              <w:rPr>
                <w:sz w:val="20"/>
                <w:szCs w:val="20"/>
                <w:color w:val="auto"/>
              </w:rPr>
            </w:pPr>
            <w:r>
              <w:rPr>
                <w:rFonts w:ascii="Arial" w:cs="Arial" w:eastAsia="Arial" w:hAnsi="Arial"/>
                <w:sz w:val="12"/>
                <w:szCs w:val="12"/>
                <w:b w:val="1"/>
                <w:bCs w:val="1"/>
                <w:color w:val="215BA8"/>
                <w:w w:val="99"/>
              </w:rPr>
              <w:t>E</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2380" w:type="dxa"/>
            <w:vAlign w:val="bottom"/>
            <w:gridSpan w:val="3"/>
          </w:tcPr>
          <w:p>
            <w:pPr>
              <w:jc w:val="right"/>
              <w:ind w:right="860"/>
              <w:spacing w:after="0"/>
              <w:rPr>
                <w:sz w:val="20"/>
                <w:szCs w:val="20"/>
                <w:color w:val="auto"/>
              </w:rPr>
            </w:pPr>
            <w:r>
              <w:rPr>
                <w:rFonts w:ascii="Arial" w:cs="Arial" w:eastAsia="Arial" w:hAnsi="Arial"/>
                <w:sz w:val="12"/>
                <w:szCs w:val="12"/>
                <w:b w:val="1"/>
                <w:bCs w:val="1"/>
                <w:color w:val="215BA8"/>
              </w:rPr>
              <w:t>Option awards</w:t>
            </w:r>
          </w:p>
        </w:tc>
        <w:tc>
          <w:tcPr>
            <w:tcW w:w="2440" w:type="dxa"/>
            <w:vAlign w:val="bottom"/>
            <w:gridSpan w:val="2"/>
          </w:tcPr>
          <w:p>
            <w:pPr>
              <w:jc w:val="right"/>
              <w:ind w:right="777"/>
              <w:spacing w:after="0"/>
              <w:rPr>
                <w:sz w:val="20"/>
                <w:szCs w:val="20"/>
                <w:color w:val="auto"/>
              </w:rPr>
            </w:pPr>
            <w:r>
              <w:rPr>
                <w:rFonts w:ascii="Arial" w:cs="Arial" w:eastAsia="Arial" w:hAnsi="Arial"/>
                <w:sz w:val="12"/>
                <w:szCs w:val="12"/>
                <w:b w:val="1"/>
                <w:bCs w:val="1"/>
                <w:color w:val="215BA8"/>
              </w:rPr>
              <w:t>Stock awards</w:t>
            </w: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1280" w:type="dxa"/>
            <w:vAlign w:val="bottom"/>
            <w:tcBorders>
              <w:top w:val="single" w:sz="8" w:color="2459A8"/>
            </w:tcBorders>
            <w:vMerge w:val="restart"/>
          </w:tcPr>
          <w:p>
            <w:pPr>
              <w:jc w:val="center"/>
              <w:ind w:right="38"/>
              <w:spacing w:after="0"/>
              <w:rPr>
                <w:sz w:val="20"/>
                <w:szCs w:val="20"/>
                <w:color w:val="auto"/>
              </w:rPr>
            </w:pPr>
            <w:r>
              <w:rPr>
                <w:rFonts w:ascii="Arial" w:cs="Arial" w:eastAsia="Arial" w:hAnsi="Arial"/>
                <w:sz w:val="12"/>
                <w:szCs w:val="12"/>
                <w:b w:val="1"/>
                <w:bCs w:val="1"/>
                <w:color w:val="215BA8"/>
                <w:w w:val="96"/>
              </w:rPr>
              <w:t>Number of shares</w:t>
            </w:r>
          </w:p>
        </w:tc>
        <w:tc>
          <w:tcPr>
            <w:tcW w:w="940" w:type="dxa"/>
            <w:vAlign w:val="bottom"/>
            <w:tcBorders>
              <w:top w:val="single" w:sz="8" w:color="2459A8"/>
            </w:tcBorders>
          </w:tcPr>
          <w:p>
            <w:pPr>
              <w:jc w:val="center"/>
              <w:spacing w:after="0" w:line="117" w:lineRule="exact"/>
              <w:rPr>
                <w:sz w:val="20"/>
                <w:szCs w:val="20"/>
                <w:color w:val="auto"/>
              </w:rPr>
            </w:pPr>
            <w:r>
              <w:rPr>
                <w:rFonts w:ascii="Arial" w:cs="Arial" w:eastAsia="Arial" w:hAnsi="Arial"/>
                <w:sz w:val="12"/>
                <w:szCs w:val="12"/>
                <w:b w:val="1"/>
                <w:bCs w:val="1"/>
                <w:color w:val="215BA8"/>
                <w:w w:val="97"/>
              </w:rPr>
              <w:t>Value realized</w:t>
            </w:r>
          </w:p>
        </w:tc>
        <w:tc>
          <w:tcPr>
            <w:tcW w:w="160" w:type="dxa"/>
            <w:vAlign w:val="bottom"/>
          </w:tcPr>
          <w:p>
            <w:pPr>
              <w:spacing w:after="0"/>
              <w:rPr>
                <w:sz w:val="10"/>
                <w:szCs w:val="10"/>
                <w:color w:val="auto"/>
              </w:rPr>
            </w:pPr>
          </w:p>
        </w:tc>
        <w:tc>
          <w:tcPr>
            <w:tcW w:w="1200" w:type="dxa"/>
            <w:vAlign w:val="bottom"/>
            <w:tcBorders>
              <w:top w:val="single" w:sz="8" w:color="2459A8"/>
            </w:tcBorders>
            <w:vMerge w:val="restart"/>
          </w:tcPr>
          <w:p>
            <w:pPr>
              <w:jc w:val="center"/>
              <w:ind w:right="38"/>
              <w:spacing w:after="0"/>
              <w:rPr>
                <w:sz w:val="20"/>
                <w:szCs w:val="20"/>
                <w:color w:val="auto"/>
              </w:rPr>
            </w:pPr>
            <w:r>
              <w:rPr>
                <w:rFonts w:ascii="Arial" w:cs="Arial" w:eastAsia="Arial" w:hAnsi="Arial"/>
                <w:sz w:val="12"/>
                <w:szCs w:val="12"/>
                <w:b w:val="1"/>
                <w:bCs w:val="1"/>
                <w:color w:val="215BA8"/>
                <w:w w:val="96"/>
              </w:rPr>
              <w:t>Number of shares</w:t>
            </w:r>
          </w:p>
        </w:tc>
        <w:tc>
          <w:tcPr>
            <w:tcW w:w="1240" w:type="dxa"/>
            <w:vAlign w:val="bottom"/>
            <w:tcBorders>
              <w:top w:val="single" w:sz="8" w:color="2459A8"/>
            </w:tcBorders>
          </w:tcPr>
          <w:p>
            <w:pPr>
              <w:jc w:val="center"/>
              <w:ind w:right="157"/>
              <w:spacing w:after="0" w:line="117" w:lineRule="exact"/>
              <w:rPr>
                <w:sz w:val="20"/>
                <w:szCs w:val="20"/>
                <w:color w:val="auto"/>
              </w:rPr>
            </w:pPr>
            <w:r>
              <w:rPr>
                <w:rFonts w:ascii="Arial" w:cs="Arial" w:eastAsia="Arial" w:hAnsi="Arial"/>
                <w:sz w:val="12"/>
                <w:szCs w:val="12"/>
                <w:b w:val="1"/>
                <w:bCs w:val="1"/>
                <w:color w:val="215BA8"/>
                <w:w w:val="97"/>
              </w:rPr>
              <w:t>Value realized</w:t>
            </w:r>
          </w:p>
        </w:tc>
        <w:tc>
          <w:tcPr>
            <w:tcW w:w="0" w:type="dxa"/>
            <w:vAlign w:val="bottom"/>
          </w:tcPr>
          <w:p>
            <w:pPr>
              <w:spacing w:after="0"/>
              <w:rPr>
                <w:sz w:val="1"/>
                <w:szCs w:val="1"/>
                <w:color w:val="auto"/>
              </w:rPr>
            </w:pPr>
          </w:p>
        </w:tc>
      </w:tr>
      <w:tr>
        <w:trPr>
          <w:trHeight w:val="40"/>
        </w:trPr>
        <w:tc>
          <w:tcPr>
            <w:tcW w:w="53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215BA8"/>
                <w:w w:val="96"/>
              </w:rPr>
              <w:t>on exercise</w:t>
            </w:r>
          </w:p>
        </w:tc>
        <w:tc>
          <w:tcPr>
            <w:tcW w:w="1200" w:type="dxa"/>
            <w:vAlign w:val="bottom"/>
            <w:vMerge w:val="continue"/>
          </w:tcPr>
          <w:p>
            <w:pPr>
              <w:spacing w:after="0"/>
              <w:rPr>
                <w:sz w:val="3"/>
                <w:szCs w:val="3"/>
                <w:color w:val="auto"/>
              </w:rPr>
            </w:pPr>
          </w:p>
        </w:tc>
        <w:tc>
          <w:tcPr>
            <w:tcW w:w="1240" w:type="dxa"/>
            <w:vAlign w:val="bottom"/>
            <w:vMerge w:val="restart"/>
          </w:tcPr>
          <w:p>
            <w:pPr>
              <w:jc w:val="center"/>
              <w:ind w:right="157"/>
              <w:spacing w:after="0"/>
              <w:rPr>
                <w:sz w:val="20"/>
                <w:szCs w:val="20"/>
                <w:color w:val="auto"/>
              </w:rPr>
            </w:pPr>
            <w:r>
              <w:rPr>
                <w:rFonts w:ascii="Arial" w:cs="Arial" w:eastAsia="Arial" w:hAnsi="Arial"/>
                <w:sz w:val="12"/>
                <w:szCs w:val="12"/>
                <w:b w:val="1"/>
                <w:bCs w:val="1"/>
                <w:color w:val="215BA8"/>
                <w:w w:val="96"/>
              </w:rPr>
              <w:t>on vesting</w:t>
            </w:r>
          </w:p>
        </w:tc>
        <w:tc>
          <w:tcPr>
            <w:tcW w:w="0" w:type="dxa"/>
            <w:vAlign w:val="bottom"/>
          </w:tcPr>
          <w:p>
            <w:pPr>
              <w:spacing w:after="0"/>
              <w:rPr>
                <w:sz w:val="1"/>
                <w:szCs w:val="1"/>
                <w:color w:val="auto"/>
              </w:rPr>
            </w:pPr>
          </w:p>
        </w:tc>
      </w:tr>
      <w:tr>
        <w:trPr>
          <w:trHeight w:val="101"/>
        </w:trPr>
        <w:tc>
          <w:tcPr>
            <w:tcW w:w="5340" w:type="dxa"/>
            <w:vAlign w:val="bottom"/>
          </w:tcPr>
          <w:p>
            <w:pPr>
              <w:spacing w:after="0"/>
              <w:rPr>
                <w:sz w:val="8"/>
                <w:szCs w:val="8"/>
                <w:color w:val="auto"/>
              </w:rPr>
            </w:pPr>
          </w:p>
        </w:tc>
        <w:tc>
          <w:tcPr>
            <w:tcW w:w="1280" w:type="dxa"/>
            <w:vAlign w:val="bottom"/>
            <w:vMerge w:val="restart"/>
          </w:tcPr>
          <w:p>
            <w:pPr>
              <w:jc w:val="center"/>
              <w:ind w:right="58"/>
              <w:spacing w:after="0" w:line="135" w:lineRule="exact"/>
              <w:rPr>
                <w:sz w:val="20"/>
                <w:szCs w:val="20"/>
                <w:color w:val="auto"/>
              </w:rPr>
            </w:pPr>
            <w:r>
              <w:rPr>
                <w:rFonts w:ascii="Arial" w:cs="Arial" w:eastAsia="Arial" w:hAnsi="Arial"/>
                <w:sz w:val="12"/>
                <w:szCs w:val="12"/>
                <w:b w:val="1"/>
                <w:bCs w:val="1"/>
                <w:color w:val="215BA8"/>
                <w:w w:val="97"/>
              </w:rPr>
              <w:t>acquired on exercise</w:t>
            </w:r>
          </w:p>
        </w:tc>
        <w:tc>
          <w:tcPr>
            <w:tcW w:w="1100" w:type="dxa"/>
            <w:vAlign w:val="bottom"/>
            <w:gridSpan w:val="2"/>
            <w:vMerge w:val="continue"/>
          </w:tcPr>
          <w:p>
            <w:pPr>
              <w:spacing w:after="0"/>
              <w:rPr>
                <w:sz w:val="8"/>
                <w:szCs w:val="8"/>
                <w:color w:val="auto"/>
              </w:rPr>
            </w:pPr>
          </w:p>
        </w:tc>
        <w:tc>
          <w:tcPr>
            <w:tcW w:w="1200" w:type="dxa"/>
            <w:vAlign w:val="bottom"/>
            <w:vMerge w:val="restart"/>
          </w:tcPr>
          <w:p>
            <w:pPr>
              <w:jc w:val="center"/>
              <w:ind w:right="38"/>
              <w:spacing w:after="0" w:line="135" w:lineRule="exact"/>
              <w:rPr>
                <w:sz w:val="20"/>
                <w:szCs w:val="20"/>
                <w:color w:val="auto"/>
              </w:rPr>
            </w:pPr>
            <w:r>
              <w:rPr>
                <w:rFonts w:ascii="Arial" w:cs="Arial" w:eastAsia="Arial" w:hAnsi="Arial"/>
                <w:sz w:val="12"/>
                <w:szCs w:val="12"/>
                <w:b w:val="1"/>
                <w:bCs w:val="1"/>
                <w:color w:val="215BA8"/>
                <w:w w:val="96"/>
              </w:rPr>
              <w:t>acquired on vesting</w:t>
            </w: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53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940" w:type="dxa"/>
            <w:vAlign w:val="bottom"/>
            <w:vMerge w:val="restart"/>
          </w:tcPr>
          <w:p>
            <w:pPr>
              <w:jc w:val="center"/>
              <w:spacing w:after="0" w:line="182" w:lineRule="exact"/>
              <w:rPr>
                <w:sz w:val="20"/>
                <w:szCs w:val="20"/>
                <w:color w:val="auto"/>
              </w:rPr>
            </w:pPr>
            <w:r>
              <w:rPr>
                <w:rFonts w:ascii="Arial" w:cs="Arial" w:eastAsia="Arial" w:hAnsi="Arial"/>
                <w:sz w:val="12"/>
                <w:szCs w:val="12"/>
                <w:b w:val="1"/>
                <w:bCs w:val="1"/>
                <w:color w:val="215BA8"/>
                <w:w w:val="95"/>
              </w:rPr>
              <w:t xml:space="preserve">($) </w:t>
            </w:r>
            <w:r>
              <w:rPr>
                <w:rFonts w:ascii="Arial" w:cs="Arial" w:eastAsia="Arial" w:hAnsi="Arial"/>
                <w:sz w:val="19"/>
                <w:szCs w:val="19"/>
                <w:b w:val="1"/>
                <w:bCs w:val="1"/>
                <w:color w:val="215BA8"/>
                <w:w w:val="95"/>
                <w:vertAlign w:val="superscript"/>
              </w:rPr>
              <w:t>1</w:t>
            </w:r>
          </w:p>
        </w:tc>
        <w:tc>
          <w:tcPr>
            <w:tcW w:w="1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240" w:type="dxa"/>
            <w:vAlign w:val="bottom"/>
            <w:vMerge w:val="restart"/>
          </w:tcPr>
          <w:p>
            <w:pPr>
              <w:jc w:val="center"/>
              <w:ind w:right="177"/>
              <w:spacing w:after="0" w:line="182" w:lineRule="exact"/>
              <w:rPr>
                <w:sz w:val="20"/>
                <w:szCs w:val="20"/>
                <w:color w:val="auto"/>
              </w:rPr>
            </w:pPr>
            <w:r>
              <w:rPr>
                <w:rFonts w:ascii="Arial" w:cs="Arial" w:eastAsia="Arial" w:hAnsi="Arial"/>
                <w:sz w:val="12"/>
                <w:szCs w:val="12"/>
                <w:b w:val="1"/>
                <w:bCs w:val="1"/>
                <w:color w:val="215BA8"/>
                <w:w w:val="95"/>
              </w:rPr>
              <w:t xml:space="preserve">($) </w:t>
            </w:r>
            <w:r>
              <w:rPr>
                <w:rFonts w:ascii="Arial" w:cs="Arial" w:eastAsia="Arial" w:hAnsi="Arial"/>
                <w:sz w:val="19"/>
                <w:szCs w:val="19"/>
                <w:b w:val="1"/>
                <w:bCs w:val="1"/>
                <w:color w:val="215BA8"/>
                <w:w w:val="95"/>
                <w:vertAlign w:val="superscript"/>
              </w:rPr>
              <w:t>2</w:t>
            </w:r>
          </w:p>
        </w:tc>
        <w:tc>
          <w:tcPr>
            <w:tcW w:w="0" w:type="dxa"/>
            <w:vAlign w:val="bottom"/>
          </w:tcPr>
          <w:p>
            <w:pPr>
              <w:spacing w:after="0" w:line="20" w:lineRule="exact"/>
              <w:rPr>
                <w:sz w:val="1"/>
                <w:szCs w:val="1"/>
                <w:color w:val="auto"/>
              </w:rPr>
            </w:pPr>
          </w:p>
        </w:tc>
      </w:tr>
      <w:tr>
        <w:trPr>
          <w:trHeight w:val="154"/>
        </w:trPr>
        <w:tc>
          <w:tcPr>
            <w:tcW w:w="5340" w:type="dxa"/>
            <w:vAlign w:val="bottom"/>
            <w:tcBorders>
              <w:bottom w:val="single" w:sz="8" w:color="2459A8"/>
            </w:tcBorders>
          </w:tcPr>
          <w:p>
            <w:pPr>
              <w:spacing w:after="0"/>
              <w:rPr>
                <w:sz w:val="20"/>
                <w:szCs w:val="20"/>
                <w:color w:val="auto"/>
              </w:rPr>
            </w:pPr>
            <w:r>
              <w:rPr>
                <w:rFonts w:ascii="Arial" w:cs="Arial" w:eastAsia="Arial" w:hAnsi="Arial"/>
                <w:sz w:val="12"/>
                <w:szCs w:val="12"/>
                <w:b w:val="1"/>
                <w:bCs w:val="1"/>
                <w:color w:val="215BA8"/>
              </w:rPr>
              <w:t>Name</w:t>
            </w:r>
          </w:p>
        </w:tc>
        <w:tc>
          <w:tcPr>
            <w:tcW w:w="1280" w:type="dxa"/>
            <w:vAlign w:val="bottom"/>
            <w:tcBorders>
              <w:bottom w:val="single" w:sz="8" w:color="2459A8"/>
            </w:tcBorders>
          </w:tcPr>
          <w:p>
            <w:pPr>
              <w:jc w:val="center"/>
              <w:ind w:right="38"/>
              <w:spacing w:after="0"/>
              <w:rPr>
                <w:sz w:val="20"/>
                <w:szCs w:val="20"/>
                <w:color w:val="auto"/>
              </w:rPr>
            </w:pPr>
            <w:r>
              <w:rPr>
                <w:rFonts w:ascii="Arial" w:cs="Arial" w:eastAsia="Arial" w:hAnsi="Arial"/>
                <w:sz w:val="12"/>
                <w:szCs w:val="12"/>
                <w:b w:val="1"/>
                <w:bCs w:val="1"/>
                <w:color w:val="215BA8"/>
                <w:w w:val="95"/>
              </w:rPr>
              <w:t>(#)</w:t>
            </w:r>
          </w:p>
        </w:tc>
        <w:tc>
          <w:tcPr>
            <w:tcW w:w="940" w:type="dxa"/>
            <w:vAlign w:val="bottom"/>
            <w:tcBorders>
              <w:bottom w:val="single" w:sz="8" w:color="2459A8"/>
            </w:tcBorders>
            <w:vMerge w:val="continue"/>
          </w:tcPr>
          <w:p>
            <w:pPr>
              <w:spacing w:after="0"/>
              <w:rPr>
                <w:sz w:val="13"/>
                <w:szCs w:val="13"/>
                <w:color w:val="auto"/>
              </w:rPr>
            </w:pPr>
          </w:p>
        </w:tc>
        <w:tc>
          <w:tcPr>
            <w:tcW w:w="160" w:type="dxa"/>
            <w:vAlign w:val="bottom"/>
            <w:tcBorders>
              <w:bottom w:val="single" w:sz="8" w:color="2459A8"/>
            </w:tcBorders>
          </w:tcPr>
          <w:p>
            <w:pPr>
              <w:spacing w:after="0"/>
              <w:rPr>
                <w:sz w:val="13"/>
                <w:szCs w:val="13"/>
                <w:color w:val="auto"/>
              </w:rPr>
            </w:pPr>
          </w:p>
        </w:tc>
        <w:tc>
          <w:tcPr>
            <w:tcW w:w="1200" w:type="dxa"/>
            <w:vAlign w:val="bottom"/>
            <w:tcBorders>
              <w:bottom w:val="single" w:sz="8" w:color="2459A8"/>
            </w:tcBorders>
          </w:tcPr>
          <w:p>
            <w:pPr>
              <w:jc w:val="center"/>
              <w:ind w:right="38"/>
              <w:spacing w:after="0"/>
              <w:rPr>
                <w:sz w:val="20"/>
                <w:szCs w:val="20"/>
                <w:color w:val="auto"/>
              </w:rPr>
            </w:pPr>
            <w:r>
              <w:rPr>
                <w:rFonts w:ascii="Arial" w:cs="Arial" w:eastAsia="Arial" w:hAnsi="Arial"/>
                <w:sz w:val="12"/>
                <w:szCs w:val="12"/>
                <w:b w:val="1"/>
                <w:bCs w:val="1"/>
                <w:color w:val="215BA8"/>
                <w:w w:val="95"/>
              </w:rPr>
              <w:t>(#)</w:t>
            </w:r>
          </w:p>
        </w:tc>
        <w:tc>
          <w:tcPr>
            <w:tcW w:w="1240" w:type="dxa"/>
            <w:vAlign w:val="bottom"/>
            <w:tcBorders>
              <w:bottom w:val="single" w:sz="8" w:color="2459A8"/>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40" w:type="dxa"/>
            <w:vAlign w:val="bottom"/>
            <w:tcBorders>
              <w:bottom w:val="single" w:sz="8" w:color="58585A"/>
            </w:tcBorders>
          </w:tcPr>
          <w:p>
            <w:pPr>
              <w:spacing w:after="0"/>
              <w:rPr>
                <w:sz w:val="20"/>
                <w:szCs w:val="20"/>
                <w:color w:val="auto"/>
              </w:rPr>
            </w:pPr>
            <w:r>
              <w:rPr>
                <w:rFonts w:ascii="Arial" w:cs="Arial" w:eastAsia="Arial" w:hAnsi="Arial"/>
                <w:sz w:val="13"/>
                <w:szCs w:val="13"/>
                <w:b w:val="1"/>
                <w:bCs w:val="1"/>
                <w:color w:val="D60058"/>
              </w:rPr>
              <w:t>Leonard S. Schleifer, M.D., Ph.D.</w:t>
            </w:r>
          </w:p>
        </w:tc>
        <w:tc>
          <w:tcPr>
            <w:tcW w:w="1280" w:type="dxa"/>
            <w:vAlign w:val="bottom"/>
            <w:tcBorders>
              <w:bottom w:val="single" w:sz="8" w:color="58585A"/>
            </w:tcBorders>
          </w:tcPr>
          <w:p>
            <w:pPr>
              <w:jc w:val="right"/>
              <w:ind w:right="398"/>
              <w:spacing w:after="0"/>
              <w:rPr>
                <w:sz w:val="20"/>
                <w:szCs w:val="20"/>
                <w:color w:val="auto"/>
              </w:rPr>
            </w:pPr>
            <w:r>
              <w:rPr>
                <w:rFonts w:ascii="Arial" w:cs="Arial" w:eastAsia="Arial" w:hAnsi="Arial"/>
                <w:sz w:val="13"/>
                <w:szCs w:val="13"/>
                <w:color w:val="auto"/>
              </w:rPr>
              <w:t>920,313</w:t>
            </w:r>
          </w:p>
        </w:tc>
        <w:tc>
          <w:tcPr>
            <w:tcW w:w="1100" w:type="dxa"/>
            <w:vAlign w:val="bottom"/>
            <w:tcBorders>
              <w:bottom w:val="single" w:sz="8" w:color="58585A"/>
            </w:tcBorders>
            <w:gridSpan w:val="2"/>
          </w:tcPr>
          <w:p>
            <w:pPr>
              <w:jc w:val="right"/>
              <w:ind w:right="160"/>
              <w:spacing w:after="0"/>
              <w:rPr>
                <w:sz w:val="20"/>
                <w:szCs w:val="20"/>
                <w:color w:val="auto"/>
              </w:rPr>
            </w:pPr>
            <w:r>
              <w:rPr>
                <w:rFonts w:ascii="Arial" w:cs="Arial" w:eastAsia="Arial" w:hAnsi="Arial"/>
                <w:sz w:val="13"/>
                <w:szCs w:val="13"/>
                <w:color w:val="auto"/>
              </w:rPr>
              <w:t>446,385,144</w:t>
            </w:r>
          </w:p>
        </w:tc>
        <w:tc>
          <w:tcPr>
            <w:tcW w:w="1200" w:type="dxa"/>
            <w:vAlign w:val="bottom"/>
            <w:tcBorders>
              <w:bottom w:val="single" w:sz="8" w:color="58585A"/>
            </w:tcBorders>
          </w:tcPr>
          <w:p>
            <w:pPr>
              <w:jc w:val="right"/>
              <w:ind w:right="398"/>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58585A"/>
            </w:tcBorders>
          </w:tcPr>
          <w:p>
            <w:pPr>
              <w:jc w:val="right"/>
              <w:ind w:right="3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58585A"/>
            </w:tcBorders>
            <w:shd w:val="clear" w:color="auto" w:fill="EEEEEF"/>
          </w:tcPr>
          <w:p>
            <w:pPr>
              <w:spacing w:after="0" w:line="142" w:lineRule="exact"/>
              <w:rPr>
                <w:sz w:val="20"/>
                <w:szCs w:val="20"/>
                <w:color w:val="auto"/>
              </w:rPr>
            </w:pPr>
            <w:r>
              <w:rPr>
                <w:rFonts w:ascii="Arial" w:cs="Arial" w:eastAsia="Arial" w:hAnsi="Arial"/>
                <w:sz w:val="13"/>
                <w:szCs w:val="13"/>
                <w:b w:val="1"/>
                <w:bCs w:val="1"/>
                <w:color w:val="D60058"/>
              </w:rPr>
              <w:t>George D. Yancopoulos, M. D., Ph. D.</w:t>
            </w:r>
          </w:p>
        </w:tc>
        <w:tc>
          <w:tcPr>
            <w:tcW w:w="1280" w:type="dxa"/>
            <w:vAlign w:val="bottom"/>
            <w:tcBorders>
              <w:bottom w:val="single" w:sz="8" w:color="58585A"/>
            </w:tcBorders>
            <w:shd w:val="clear" w:color="auto" w:fill="EEEEEF"/>
          </w:tcPr>
          <w:p>
            <w:pPr>
              <w:jc w:val="right"/>
              <w:ind w:right="398"/>
              <w:spacing w:after="0" w:line="142" w:lineRule="exact"/>
              <w:rPr>
                <w:sz w:val="20"/>
                <w:szCs w:val="20"/>
                <w:color w:val="auto"/>
              </w:rPr>
            </w:pPr>
            <w:r>
              <w:rPr>
                <w:rFonts w:ascii="Arial" w:cs="Arial" w:eastAsia="Arial" w:hAnsi="Arial"/>
                <w:sz w:val="13"/>
                <w:szCs w:val="13"/>
                <w:color w:val="auto"/>
              </w:rPr>
              <w:t>442,267</w:t>
            </w:r>
          </w:p>
        </w:tc>
        <w:tc>
          <w:tcPr>
            <w:tcW w:w="1100" w:type="dxa"/>
            <w:vAlign w:val="bottom"/>
            <w:tcBorders>
              <w:bottom w:val="single" w:sz="8" w:color="58585A"/>
            </w:tcBorders>
            <w:gridSpan w:val="2"/>
            <w:shd w:val="clear" w:color="auto" w:fill="EEEEEF"/>
          </w:tcPr>
          <w:p>
            <w:pPr>
              <w:jc w:val="right"/>
              <w:ind w:right="160"/>
              <w:spacing w:after="0" w:line="142" w:lineRule="exact"/>
              <w:rPr>
                <w:sz w:val="20"/>
                <w:szCs w:val="20"/>
                <w:color w:val="auto"/>
              </w:rPr>
            </w:pPr>
            <w:r>
              <w:rPr>
                <w:rFonts w:ascii="Arial" w:cs="Arial" w:eastAsia="Arial" w:hAnsi="Arial"/>
                <w:sz w:val="13"/>
                <w:szCs w:val="13"/>
                <w:color w:val="auto"/>
              </w:rPr>
              <w:t>172,024,748</w:t>
            </w:r>
          </w:p>
        </w:tc>
        <w:tc>
          <w:tcPr>
            <w:tcW w:w="1200" w:type="dxa"/>
            <w:vAlign w:val="bottom"/>
            <w:tcBorders>
              <w:bottom w:val="single" w:sz="8" w:color="58585A"/>
            </w:tcBorders>
            <w:shd w:val="clear" w:color="auto" w:fill="EEEEEF"/>
          </w:tcPr>
          <w:p>
            <w:pPr>
              <w:jc w:val="right"/>
              <w:ind w:right="398"/>
              <w:spacing w:after="0" w:line="142" w:lineRule="exact"/>
              <w:rPr>
                <w:sz w:val="20"/>
                <w:szCs w:val="20"/>
                <w:color w:val="auto"/>
              </w:rPr>
            </w:pPr>
            <w:r>
              <w:rPr>
                <w:rFonts w:ascii="Arial" w:cs="Arial" w:eastAsia="Arial" w:hAnsi="Arial"/>
                <w:sz w:val="13"/>
                <w:szCs w:val="13"/>
                <w:color w:val="auto"/>
              </w:rPr>
              <w:t>—</w:t>
            </w:r>
          </w:p>
        </w:tc>
        <w:tc>
          <w:tcPr>
            <w:tcW w:w="1240" w:type="dxa"/>
            <w:vAlign w:val="bottom"/>
            <w:tcBorders>
              <w:bottom w:val="single" w:sz="8" w:color="58585A"/>
            </w:tcBorders>
            <w:shd w:val="clear" w:color="auto" w:fill="EEEEEF"/>
          </w:tcPr>
          <w:p>
            <w:pPr>
              <w:jc w:val="right"/>
              <w:ind w:right="397"/>
              <w:spacing w:after="0" w:line="14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b w:val="1"/>
                <w:bCs w:val="1"/>
                <w:color w:val="D60058"/>
              </w:rPr>
              <w:t>Robert E. Landry</w:t>
            </w:r>
          </w:p>
        </w:tc>
        <w:tc>
          <w:tcPr>
            <w:tcW w:w="1280" w:type="dxa"/>
            <w:vAlign w:val="bottom"/>
            <w:tcBorders>
              <w:bottom w:val="single" w:sz="8" w:color="58585A"/>
            </w:tcBorders>
          </w:tcPr>
          <w:p>
            <w:pPr>
              <w:jc w:val="right"/>
              <w:ind w:right="398"/>
              <w:spacing w:after="0" w:line="142" w:lineRule="exact"/>
              <w:rPr>
                <w:sz w:val="20"/>
                <w:szCs w:val="20"/>
                <w:color w:val="auto"/>
              </w:rPr>
            </w:pPr>
            <w:r>
              <w:rPr>
                <w:rFonts w:ascii="Arial" w:cs="Arial" w:eastAsia="Arial" w:hAnsi="Arial"/>
                <w:sz w:val="13"/>
                <w:szCs w:val="13"/>
                <w:color w:val="auto"/>
              </w:rPr>
              <w:t>15,500</w:t>
            </w:r>
          </w:p>
        </w:tc>
        <w:tc>
          <w:tcPr>
            <w:tcW w:w="1100" w:type="dxa"/>
            <w:vAlign w:val="bottom"/>
            <w:tcBorders>
              <w:bottom w:val="single" w:sz="8" w:color="58585A"/>
            </w:tcBorders>
            <w:gridSpan w:val="2"/>
          </w:tcPr>
          <w:p>
            <w:pPr>
              <w:jc w:val="right"/>
              <w:ind w:right="160"/>
              <w:spacing w:after="0" w:line="142" w:lineRule="exact"/>
              <w:rPr>
                <w:sz w:val="20"/>
                <w:szCs w:val="20"/>
                <w:color w:val="auto"/>
              </w:rPr>
            </w:pPr>
            <w:r>
              <w:rPr>
                <w:rFonts w:ascii="Arial" w:cs="Arial" w:eastAsia="Arial" w:hAnsi="Arial"/>
                <w:sz w:val="13"/>
                <w:szCs w:val="13"/>
                <w:color w:val="auto"/>
              </w:rPr>
              <w:t>3,481,150</w:t>
            </w:r>
          </w:p>
        </w:tc>
        <w:tc>
          <w:tcPr>
            <w:tcW w:w="1200" w:type="dxa"/>
            <w:vAlign w:val="bottom"/>
            <w:tcBorders>
              <w:bottom w:val="single" w:sz="8" w:color="58585A"/>
            </w:tcBorders>
          </w:tcPr>
          <w:p>
            <w:pPr>
              <w:jc w:val="right"/>
              <w:ind w:right="398"/>
              <w:spacing w:after="0" w:line="142" w:lineRule="exact"/>
              <w:rPr>
                <w:sz w:val="20"/>
                <w:szCs w:val="20"/>
                <w:color w:val="auto"/>
              </w:rPr>
            </w:pPr>
            <w:r>
              <w:rPr>
                <w:rFonts w:ascii="Arial" w:cs="Arial" w:eastAsia="Arial" w:hAnsi="Arial"/>
                <w:sz w:val="13"/>
                <w:szCs w:val="13"/>
                <w:color w:val="auto"/>
              </w:rPr>
              <w:t>1,313</w:t>
            </w:r>
          </w:p>
        </w:tc>
        <w:tc>
          <w:tcPr>
            <w:tcW w:w="1240" w:type="dxa"/>
            <w:vAlign w:val="bottom"/>
            <w:tcBorders>
              <w:bottom w:val="single" w:sz="8" w:color="58585A"/>
            </w:tcBorders>
          </w:tcPr>
          <w:p>
            <w:pPr>
              <w:jc w:val="right"/>
              <w:ind w:right="397"/>
              <w:spacing w:after="0" w:line="142" w:lineRule="exact"/>
              <w:rPr>
                <w:sz w:val="20"/>
                <w:szCs w:val="20"/>
                <w:color w:val="auto"/>
              </w:rPr>
            </w:pPr>
            <w:r>
              <w:rPr>
                <w:rFonts w:ascii="Arial" w:cs="Arial" w:eastAsia="Arial" w:hAnsi="Arial"/>
                <w:sz w:val="13"/>
                <w:szCs w:val="13"/>
                <w:color w:val="auto"/>
              </w:rPr>
              <w:t>872,278</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58585A"/>
            </w:tcBorders>
            <w:shd w:val="clear" w:color="auto" w:fill="EEEEEF"/>
          </w:tcPr>
          <w:p>
            <w:pPr>
              <w:spacing w:after="0" w:line="142" w:lineRule="exact"/>
              <w:rPr>
                <w:sz w:val="20"/>
                <w:szCs w:val="20"/>
                <w:color w:val="auto"/>
              </w:rPr>
            </w:pPr>
            <w:r>
              <w:rPr>
                <w:rFonts w:ascii="Arial" w:cs="Arial" w:eastAsia="Arial" w:hAnsi="Arial"/>
                <w:sz w:val="13"/>
                <w:szCs w:val="13"/>
                <w:b w:val="1"/>
                <w:bCs w:val="1"/>
                <w:color w:val="D60058"/>
              </w:rPr>
              <w:t>Daniel P. Van Plew</w:t>
            </w:r>
          </w:p>
        </w:tc>
        <w:tc>
          <w:tcPr>
            <w:tcW w:w="1280" w:type="dxa"/>
            <w:vAlign w:val="bottom"/>
            <w:tcBorders>
              <w:bottom w:val="single" w:sz="8" w:color="58585A"/>
            </w:tcBorders>
            <w:shd w:val="clear" w:color="auto" w:fill="EEEEEF"/>
          </w:tcPr>
          <w:p>
            <w:pPr>
              <w:jc w:val="right"/>
              <w:ind w:right="398"/>
              <w:spacing w:after="0" w:line="142" w:lineRule="exact"/>
              <w:rPr>
                <w:sz w:val="20"/>
                <w:szCs w:val="20"/>
                <w:color w:val="auto"/>
              </w:rPr>
            </w:pPr>
            <w:r>
              <w:rPr>
                <w:rFonts w:ascii="Arial" w:cs="Arial" w:eastAsia="Arial" w:hAnsi="Arial"/>
                <w:sz w:val="13"/>
                <w:szCs w:val="13"/>
                <w:color w:val="auto"/>
              </w:rPr>
              <w:t>50,000</w:t>
            </w:r>
          </w:p>
        </w:tc>
        <w:tc>
          <w:tcPr>
            <w:tcW w:w="1100" w:type="dxa"/>
            <w:vAlign w:val="bottom"/>
            <w:tcBorders>
              <w:bottom w:val="single" w:sz="8" w:color="58585A"/>
            </w:tcBorders>
            <w:gridSpan w:val="2"/>
            <w:shd w:val="clear" w:color="auto" w:fill="EEEEEF"/>
          </w:tcPr>
          <w:p>
            <w:pPr>
              <w:jc w:val="right"/>
              <w:ind w:right="160"/>
              <w:spacing w:after="0" w:line="142" w:lineRule="exact"/>
              <w:rPr>
                <w:sz w:val="20"/>
                <w:szCs w:val="20"/>
                <w:color w:val="auto"/>
              </w:rPr>
            </w:pPr>
            <w:r>
              <w:rPr>
                <w:rFonts w:ascii="Arial" w:cs="Arial" w:eastAsia="Arial" w:hAnsi="Arial"/>
                <w:sz w:val="13"/>
                <w:szCs w:val="13"/>
                <w:color w:val="auto"/>
              </w:rPr>
              <w:t>17,958,000</w:t>
            </w:r>
          </w:p>
        </w:tc>
        <w:tc>
          <w:tcPr>
            <w:tcW w:w="1200" w:type="dxa"/>
            <w:vAlign w:val="bottom"/>
            <w:tcBorders>
              <w:bottom w:val="single" w:sz="8" w:color="58585A"/>
            </w:tcBorders>
            <w:shd w:val="clear" w:color="auto" w:fill="EEEEEF"/>
          </w:tcPr>
          <w:p>
            <w:pPr>
              <w:jc w:val="right"/>
              <w:ind w:right="398"/>
              <w:spacing w:after="0" w:line="142" w:lineRule="exact"/>
              <w:rPr>
                <w:sz w:val="20"/>
                <w:szCs w:val="20"/>
                <w:color w:val="auto"/>
              </w:rPr>
            </w:pPr>
            <w:r>
              <w:rPr>
                <w:rFonts w:ascii="Arial" w:cs="Arial" w:eastAsia="Arial" w:hAnsi="Arial"/>
                <w:sz w:val="13"/>
                <w:szCs w:val="13"/>
                <w:color w:val="auto"/>
              </w:rPr>
              <w:t>1,313</w:t>
            </w:r>
          </w:p>
        </w:tc>
        <w:tc>
          <w:tcPr>
            <w:tcW w:w="1240" w:type="dxa"/>
            <w:vAlign w:val="bottom"/>
            <w:tcBorders>
              <w:bottom w:val="single" w:sz="8" w:color="58585A"/>
            </w:tcBorders>
            <w:shd w:val="clear" w:color="auto" w:fill="EEEEEF"/>
          </w:tcPr>
          <w:p>
            <w:pPr>
              <w:jc w:val="right"/>
              <w:ind w:right="397"/>
              <w:spacing w:after="0" w:line="142" w:lineRule="exact"/>
              <w:rPr>
                <w:sz w:val="20"/>
                <w:szCs w:val="20"/>
                <w:color w:val="auto"/>
              </w:rPr>
            </w:pPr>
            <w:r>
              <w:rPr>
                <w:rFonts w:ascii="Arial" w:cs="Arial" w:eastAsia="Arial" w:hAnsi="Arial"/>
                <w:sz w:val="13"/>
                <w:szCs w:val="13"/>
                <w:color w:val="auto"/>
              </w:rPr>
              <w:t>872,278</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b w:val="1"/>
                <w:bCs w:val="1"/>
                <w:color w:val="D60058"/>
              </w:rPr>
              <w:t>Andrew J. Murphy, Ph.D.</w:t>
            </w:r>
          </w:p>
        </w:tc>
        <w:tc>
          <w:tcPr>
            <w:tcW w:w="1280" w:type="dxa"/>
            <w:vAlign w:val="bottom"/>
            <w:tcBorders>
              <w:bottom w:val="single" w:sz="8" w:color="58585A"/>
            </w:tcBorders>
          </w:tcPr>
          <w:p>
            <w:pPr>
              <w:jc w:val="right"/>
              <w:ind w:right="398"/>
              <w:spacing w:after="0" w:line="142" w:lineRule="exact"/>
              <w:rPr>
                <w:sz w:val="20"/>
                <w:szCs w:val="20"/>
                <w:color w:val="auto"/>
              </w:rPr>
            </w:pPr>
            <w:r>
              <w:rPr>
                <w:rFonts w:ascii="Arial" w:cs="Arial" w:eastAsia="Arial" w:hAnsi="Arial"/>
                <w:sz w:val="13"/>
                <w:szCs w:val="13"/>
                <w:color w:val="auto"/>
              </w:rPr>
              <w:t>33,079</w:t>
            </w:r>
          </w:p>
        </w:tc>
        <w:tc>
          <w:tcPr>
            <w:tcW w:w="1100" w:type="dxa"/>
            <w:vAlign w:val="bottom"/>
            <w:tcBorders>
              <w:bottom w:val="single" w:sz="8" w:color="58585A"/>
            </w:tcBorders>
            <w:gridSpan w:val="2"/>
          </w:tcPr>
          <w:p>
            <w:pPr>
              <w:jc w:val="right"/>
              <w:ind w:right="160"/>
              <w:spacing w:after="0" w:line="142" w:lineRule="exact"/>
              <w:rPr>
                <w:sz w:val="20"/>
                <w:szCs w:val="20"/>
                <w:color w:val="auto"/>
              </w:rPr>
            </w:pPr>
            <w:r>
              <w:rPr>
                <w:rFonts w:ascii="Arial" w:cs="Arial" w:eastAsia="Arial" w:hAnsi="Arial"/>
                <w:sz w:val="13"/>
                <w:szCs w:val="13"/>
                <w:color w:val="auto"/>
              </w:rPr>
              <w:t>19,756,643</w:t>
            </w:r>
          </w:p>
        </w:tc>
        <w:tc>
          <w:tcPr>
            <w:tcW w:w="1200" w:type="dxa"/>
            <w:vAlign w:val="bottom"/>
            <w:tcBorders>
              <w:bottom w:val="single" w:sz="8" w:color="58585A"/>
            </w:tcBorders>
          </w:tcPr>
          <w:p>
            <w:pPr>
              <w:jc w:val="right"/>
              <w:ind w:right="398"/>
              <w:spacing w:after="0" w:line="142" w:lineRule="exact"/>
              <w:rPr>
                <w:sz w:val="20"/>
                <w:szCs w:val="20"/>
                <w:color w:val="auto"/>
              </w:rPr>
            </w:pPr>
            <w:r>
              <w:rPr>
                <w:rFonts w:ascii="Arial" w:cs="Arial" w:eastAsia="Arial" w:hAnsi="Arial"/>
                <w:sz w:val="13"/>
                <w:szCs w:val="13"/>
                <w:color w:val="auto"/>
              </w:rPr>
              <w:t>1,313</w:t>
            </w:r>
          </w:p>
        </w:tc>
        <w:tc>
          <w:tcPr>
            <w:tcW w:w="1240" w:type="dxa"/>
            <w:vAlign w:val="bottom"/>
            <w:tcBorders>
              <w:bottom w:val="single" w:sz="8" w:color="58585A"/>
            </w:tcBorders>
          </w:tcPr>
          <w:p>
            <w:pPr>
              <w:jc w:val="right"/>
              <w:ind w:right="397"/>
              <w:spacing w:after="0" w:line="142" w:lineRule="exact"/>
              <w:rPr>
                <w:sz w:val="20"/>
                <w:szCs w:val="20"/>
                <w:color w:val="auto"/>
              </w:rPr>
            </w:pPr>
            <w:r>
              <w:rPr>
                <w:rFonts w:ascii="Arial" w:cs="Arial" w:eastAsia="Arial" w:hAnsi="Arial"/>
                <w:sz w:val="13"/>
                <w:szCs w:val="13"/>
                <w:color w:val="auto"/>
              </w:rPr>
              <w:t>872,278</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255AA8"/>
            </w:tcBorders>
            <w:shd w:val="clear" w:color="auto" w:fill="EEEEEF"/>
          </w:tcPr>
          <w:p>
            <w:pPr>
              <w:spacing w:after="0" w:line="142" w:lineRule="exact"/>
              <w:rPr>
                <w:sz w:val="20"/>
                <w:szCs w:val="20"/>
                <w:color w:val="auto"/>
              </w:rPr>
            </w:pPr>
            <w:r>
              <w:rPr>
                <w:rFonts w:ascii="Arial" w:cs="Arial" w:eastAsia="Arial" w:hAnsi="Arial"/>
                <w:sz w:val="13"/>
                <w:szCs w:val="13"/>
                <w:b w:val="1"/>
                <w:bCs w:val="1"/>
                <w:color w:val="D60058"/>
              </w:rPr>
              <w:t>Joseph J. LaRosa</w:t>
            </w:r>
          </w:p>
        </w:tc>
        <w:tc>
          <w:tcPr>
            <w:tcW w:w="1280" w:type="dxa"/>
            <w:vAlign w:val="bottom"/>
            <w:tcBorders>
              <w:bottom w:val="single" w:sz="8" w:color="255AA8"/>
            </w:tcBorders>
            <w:shd w:val="clear" w:color="auto" w:fill="EEEEEF"/>
          </w:tcPr>
          <w:p>
            <w:pPr>
              <w:jc w:val="right"/>
              <w:ind w:right="398"/>
              <w:spacing w:after="0" w:line="142" w:lineRule="exact"/>
              <w:rPr>
                <w:sz w:val="20"/>
                <w:szCs w:val="20"/>
                <w:color w:val="auto"/>
              </w:rPr>
            </w:pPr>
            <w:r>
              <w:rPr>
                <w:rFonts w:ascii="Arial" w:cs="Arial" w:eastAsia="Arial" w:hAnsi="Arial"/>
                <w:sz w:val="13"/>
                <w:szCs w:val="13"/>
                <w:color w:val="auto"/>
              </w:rPr>
              <w:t>50,000</w:t>
            </w:r>
          </w:p>
        </w:tc>
        <w:tc>
          <w:tcPr>
            <w:tcW w:w="1100" w:type="dxa"/>
            <w:vAlign w:val="bottom"/>
            <w:tcBorders>
              <w:bottom w:val="single" w:sz="8" w:color="255AA8"/>
            </w:tcBorders>
            <w:gridSpan w:val="2"/>
            <w:shd w:val="clear" w:color="auto" w:fill="EEEEEF"/>
          </w:tcPr>
          <w:p>
            <w:pPr>
              <w:jc w:val="right"/>
              <w:ind w:right="160"/>
              <w:spacing w:after="0" w:line="142" w:lineRule="exact"/>
              <w:rPr>
                <w:sz w:val="20"/>
                <w:szCs w:val="20"/>
                <w:color w:val="auto"/>
              </w:rPr>
            </w:pPr>
            <w:r>
              <w:rPr>
                <w:rFonts w:ascii="Arial" w:cs="Arial" w:eastAsia="Arial" w:hAnsi="Arial"/>
                <w:sz w:val="13"/>
                <w:szCs w:val="13"/>
                <w:color w:val="auto"/>
              </w:rPr>
              <w:t>23,227,300</w:t>
            </w:r>
          </w:p>
        </w:tc>
        <w:tc>
          <w:tcPr>
            <w:tcW w:w="1200" w:type="dxa"/>
            <w:vAlign w:val="bottom"/>
            <w:tcBorders>
              <w:bottom w:val="single" w:sz="8" w:color="255AA8"/>
            </w:tcBorders>
            <w:shd w:val="clear" w:color="auto" w:fill="EEEEEF"/>
          </w:tcPr>
          <w:p>
            <w:pPr>
              <w:jc w:val="right"/>
              <w:ind w:right="398"/>
              <w:spacing w:after="0" w:line="142" w:lineRule="exact"/>
              <w:rPr>
                <w:sz w:val="20"/>
                <w:szCs w:val="20"/>
                <w:color w:val="auto"/>
              </w:rPr>
            </w:pPr>
            <w:r>
              <w:rPr>
                <w:rFonts w:ascii="Arial" w:cs="Arial" w:eastAsia="Arial" w:hAnsi="Arial"/>
                <w:sz w:val="13"/>
                <w:szCs w:val="13"/>
                <w:color w:val="auto"/>
              </w:rPr>
              <w:t>1,313</w:t>
            </w:r>
          </w:p>
        </w:tc>
        <w:tc>
          <w:tcPr>
            <w:tcW w:w="1240" w:type="dxa"/>
            <w:vAlign w:val="bottom"/>
            <w:tcBorders>
              <w:bottom w:val="single" w:sz="8" w:color="255AA8"/>
            </w:tcBorders>
            <w:shd w:val="clear" w:color="auto" w:fill="EEEEEF"/>
          </w:tcPr>
          <w:p>
            <w:pPr>
              <w:jc w:val="right"/>
              <w:ind w:right="397"/>
              <w:spacing w:after="0" w:line="142" w:lineRule="exact"/>
              <w:rPr>
                <w:sz w:val="20"/>
                <w:szCs w:val="20"/>
                <w:color w:val="auto"/>
              </w:rPr>
            </w:pPr>
            <w:r>
              <w:rPr>
                <w:rFonts w:ascii="Arial" w:cs="Arial" w:eastAsia="Arial" w:hAnsi="Arial"/>
                <w:sz w:val="13"/>
                <w:szCs w:val="13"/>
                <w:color w:val="auto"/>
              </w:rPr>
              <w:t>872,278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720" w:right="1000" w:hanging="172"/>
        <w:spacing w:after="0" w:line="258" w:lineRule="auto"/>
        <w:tabs>
          <w:tab w:leader="none" w:pos="720" w:val="left"/>
        </w:tabs>
        <w:numPr>
          <w:ilvl w:val="0"/>
          <w:numId w:val="166"/>
        </w:numPr>
        <w:rPr>
          <w:rFonts w:ascii="Arial" w:cs="Arial" w:eastAsia="Arial" w:hAnsi="Arial"/>
          <w:sz w:val="14"/>
          <w:szCs w:val="14"/>
          <w:color w:val="215BA8"/>
        </w:rPr>
      </w:pPr>
      <w:r>
        <w:rPr>
          <w:rFonts w:ascii="Arial" w:cs="Arial" w:eastAsia="Arial" w:hAnsi="Arial"/>
          <w:sz w:val="14"/>
          <w:szCs w:val="14"/>
          <w:color w:val="1A1A1A"/>
        </w:rPr>
        <w:t>Amounts reflect the difference between the exercise price of the option(s) and the average of the high and low sales price per share of the Company’s common stock on the Nasdaq Global Select Market on the exercise date(s).</w:t>
      </w:r>
    </w:p>
    <w:p>
      <w:pPr>
        <w:spacing w:after="0" w:line="59" w:lineRule="exact"/>
        <w:rPr>
          <w:sz w:val="20"/>
          <w:szCs w:val="20"/>
          <w:color w:val="auto"/>
        </w:rPr>
      </w:pPr>
    </w:p>
    <w:p>
      <w:pPr>
        <w:ind w:left="720" w:right="680" w:hanging="172"/>
        <w:spacing w:after="0" w:line="258" w:lineRule="auto"/>
        <w:tabs>
          <w:tab w:leader="none" w:pos="720" w:val="left"/>
        </w:tabs>
        <w:numPr>
          <w:ilvl w:val="0"/>
          <w:numId w:val="167"/>
        </w:numPr>
        <w:rPr>
          <w:rFonts w:ascii="Arial" w:cs="Arial" w:eastAsia="Arial" w:hAnsi="Arial"/>
          <w:sz w:val="14"/>
          <w:szCs w:val="14"/>
          <w:color w:val="215BA8"/>
        </w:rPr>
      </w:pPr>
      <w:r>
        <w:rPr>
          <w:rFonts w:ascii="Arial" w:cs="Arial" w:eastAsia="Arial" w:hAnsi="Arial"/>
          <w:sz w:val="14"/>
          <w:szCs w:val="14"/>
          <w:color w:val="1A1A1A"/>
        </w:rPr>
        <w:t>Amount reflects the average of the high and low sales price per share of the Company’s common stock on the Nasdaq Global Select Market on the vesting date.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540" w:right="620"/>
        <w:spacing w:after="0" w:line="231" w:lineRule="auto"/>
        <w:rPr>
          <w:sz w:val="20"/>
          <w:szCs w:val="20"/>
          <w:color w:val="auto"/>
        </w:rPr>
      </w:pPr>
      <w:r>
        <w:rPr>
          <w:rFonts w:ascii="Arial" w:cs="Arial" w:eastAsia="Arial" w:hAnsi="Arial"/>
          <w:sz w:val="16"/>
          <w:szCs w:val="16"/>
          <w:color w:val="auto"/>
        </w:rPr>
        <w:t>As discussed in “Compensation Dashboard—Additional Compensation Information—Potential Severance Payments,” our NEOs are entitled to certain severance benefits upon the voluntary or involuntary termination of their employment. We provide additional information regarding the severance benefits available to our NEOs in the tables set out below in this subsection. For our CEO, the table shows the amounts payable under his employment agreement upon his involuntary or not-for-cause termination, termination in connection with a corporate change of control, and in the event of his disability or death. For the other NEOs, the table shows their post-termination compensation arrangements under our change in control severance plan upon an involuntary or not-for-cause termination in connection with a corporate change of control.</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Leonard S. Schleifer, M.D., Ph.D., Employment Agreement</w:t>
      </w:r>
    </w:p>
    <w:p>
      <w:pPr>
        <w:spacing w:after="0" w:line="187" w:lineRule="exact"/>
        <w:rPr>
          <w:sz w:val="20"/>
          <w:szCs w:val="20"/>
          <w:color w:val="auto"/>
        </w:rPr>
      </w:pPr>
    </w:p>
    <w:p>
      <w:pPr>
        <w:ind w:left="540" w:right="540"/>
        <w:spacing w:after="0" w:line="245" w:lineRule="auto"/>
        <w:rPr>
          <w:sz w:val="20"/>
          <w:szCs w:val="20"/>
          <w:color w:val="auto"/>
        </w:rPr>
      </w:pPr>
      <w:r>
        <w:rPr>
          <w:rFonts w:ascii="Arial" w:cs="Arial" w:eastAsia="Arial" w:hAnsi="Arial"/>
          <w:sz w:val="15"/>
          <w:szCs w:val="15"/>
          <w:color w:val="auto"/>
        </w:rPr>
        <w:t>We entered into an employment agreement with our CEO,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(“Section 409A”). Pursuant to this agreement, we agreed that in the event that Dr. Schleifer’s employment is terminated by us other than for cause (as defined in the employment agreement) or is terminated by Dr. Schleifer for good reason (as defined in the employment agreement to include specified acts of constructive termination, together called an “involuntary termination”), we will pay Dr. Schleifer an amount equal to 125% of the sum of his base salary plus his average cash incentive paid over the prior three years. This amount will be paid in a lump-sum severance payment. In addition, we will continue to provide Dr. Schleifer and his dependents medical, dental, and life insurance benefits for 18 months. Subject to the discussion in the following paragraph, in the event that Dr. Schleifer’s employment terminates for any reason other than for cause, (i) all of his unvested stock options will continue to vest in accordance with the terms of the applicable award grant and he will be entitled to exercise the stock options throughout their original term, which is generally ten years from the date of grant, and (ii) all of his unvested PSUs from the 2019 grant will remain outstanding, and vesting and forfeiture shall be determined in the manner set forth in the applicable award agreement, without regard to such termination of employment. The treatment of Dr. Schleifer’s unvested PSUs from the 2020 grant upon certain termination events is governed by the terms of the 2020 PSU award agreement, notwithstanding any provision to the contrary in his employment agreement. The terms of the 2020 PSU award agreement provide (i) in the case of a termination of employment due to death or disability, the PSUs remain outstanding and may be earned during their term (and, to the extent earned, are not subject to the three-year mandatory deferral and holding period (the “Holding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87</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102" w:name="page103"/>
    <w:bookmarkEnd w:id="102"/>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(ii) in the case of a termination by the Company without cause or a departure by Dr. Schleifer for good reason (each as defined in his employment</w:t>
      </w:r>
    </w:p>
    <w:p>
      <w:pPr>
        <w:ind w:left="540" w:right="620"/>
        <w:spacing w:after="0" w:line="209" w:lineRule="auto"/>
        <w:rPr>
          <w:sz w:val="20"/>
          <w:szCs w:val="20"/>
          <w:color w:val="auto"/>
        </w:rPr>
      </w:pPr>
      <w:r>
        <w:rPr>
          <w:rFonts w:ascii="Arial" w:cs="Arial" w:eastAsia="Arial" w:hAnsi="Arial"/>
          <w:sz w:val="16"/>
          <w:szCs w:val="16"/>
          <w:color w:val="auto"/>
        </w:rPr>
        <w:t>agreement), earnout is measured as of termination and all PSUs earned as of that date vest and remain subject to the Holding Period</w:t>
      </w:r>
      <w:r>
        <w:rPr>
          <w:rFonts w:ascii="Arial" w:cs="Arial" w:eastAsia="Arial" w:hAnsi="Arial"/>
          <w:sz w:val="26"/>
          <w:szCs w:val="26"/>
          <w:color w:val="auto"/>
          <w:vertAlign w:val="superscript"/>
        </w:rPr>
        <w:t>8</w:t>
      </w:r>
      <w:r>
        <w:rPr>
          <w:rFonts w:ascii="Arial" w:cs="Arial" w:eastAsia="Arial" w:hAnsi="Arial"/>
          <w:sz w:val="16"/>
          <w:szCs w:val="16"/>
          <w:color w:val="auto"/>
        </w:rPr>
        <w:t>; and (iii) in the case of a change in control, earnout is measured as of the date of the change in control (using the applicable transaction price as the ending stock price), and all PSUs earned as of that date vest with no Holding Period and any unearned PSUs are forfeited immediately.</w:t>
      </w:r>
    </w:p>
    <w:p>
      <w:pPr>
        <w:spacing w:after="0" w:line="151" w:lineRule="exact"/>
        <w:rPr>
          <w:sz w:val="20"/>
          <w:szCs w:val="20"/>
          <w:color w:val="auto"/>
        </w:rPr>
      </w:pPr>
    </w:p>
    <w:p>
      <w:pPr>
        <w:ind w:left="540" w:right="540"/>
        <w:spacing w:after="0" w:line="229" w:lineRule="auto"/>
        <w:rPr>
          <w:sz w:val="20"/>
          <w:szCs w:val="20"/>
          <w:color w:val="auto"/>
        </w:rPr>
      </w:pPr>
      <w:r>
        <w:rPr>
          <w:rFonts w:ascii="Arial" w:cs="Arial" w:eastAsia="Arial" w:hAnsi="Arial"/>
          <w:sz w:val="16"/>
          <w:szCs w:val="16"/>
          <w:color w:val="auto"/>
        </w:rPr>
        <w:t>Upon an involuntary termination (i.e., a termination by the Company without cause or by Dr. Schleifer for good reason, each as defined in the employment agreement) within three years after a change of control of the Company or within three months prior to such a change of control, we will pay Dr. Schleifer an amount equal to three times the sum of his annual base salary plus his average cash incentive over the prior three years. This amount will be paid in a lump-sum severance payment. In addition, we will continue to provide Dr. Schleifer and his dependents medical, dental, and life insurance benefits for 36 months. Upon such an involuntary termination in connection with a change of control, Dr. Schleifer’s outstanding stock options will vest immediately and remain exercisable throughout their original term, which is generally ten years from the date of grant. In addition, pursuant to the terms of his 2019 PSU award agreement, any such PSUs that vest upon a change of control (as a result of performance exceeding the relevant TSR goal for the period from the grant date to the date of the change of control) will become deliverable to Dr. Schleifer upon the earlier of (x) the five-year anniversary of the grant date or (y) a termination of Dr. Schleifer’s employment by the Company without cause or by Dr. Schleifer for good reason, in each case within two years after such a change of control. Pursuant to the terms of his 2020 PSU award agreement, any such PSUs that vest upon a change of control as discussed above will be immediately deliverable to Dr. Schleifer (with no Holding Period).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10%, in which case such benefits and payments will be reduced accordingly.</w:t>
      </w:r>
    </w:p>
    <w:p>
      <w:pPr>
        <w:spacing w:after="0" w:line="161" w:lineRule="exact"/>
        <w:rPr>
          <w:sz w:val="20"/>
          <w:szCs w:val="20"/>
          <w:color w:val="auto"/>
        </w:rPr>
      </w:pPr>
    </w:p>
    <w:p>
      <w:pPr>
        <w:jc w:val="both"/>
        <w:ind w:left="540" w:right="700"/>
        <w:spacing w:after="0" w:line="234" w:lineRule="auto"/>
        <w:rPr>
          <w:sz w:val="20"/>
          <w:szCs w:val="20"/>
          <w:color w:val="auto"/>
        </w:rPr>
      </w:pPr>
      <w:r>
        <w:rPr>
          <w:rFonts w:ascii="Arial" w:cs="Arial" w:eastAsia="Arial" w:hAnsi="Arial"/>
          <w:sz w:val="16"/>
          <w:szCs w:val="16"/>
          <w:color w:val="auto"/>
        </w:rPr>
        <w:t>The following table reflects the potential payments to our CEO under his employment agreement assuming a termination effective December 31, 2021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91440</wp:posOffset>
            </wp:positionV>
            <wp:extent cx="64465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23" w:lineRule="exact"/>
        <w:rPr>
          <w:sz w:val="20"/>
          <w:szCs w:val="20"/>
          <w:color w:val="auto"/>
        </w:rPr>
      </w:pPr>
    </w:p>
    <w:p>
      <w:pPr>
        <w:ind w:left="720" w:right="800" w:hanging="172"/>
        <w:spacing w:after="0" w:line="249" w:lineRule="auto"/>
        <w:tabs>
          <w:tab w:leader="none" w:pos="720" w:val="left"/>
        </w:tabs>
        <w:numPr>
          <w:ilvl w:val="0"/>
          <w:numId w:val="168"/>
        </w:numPr>
        <w:rPr>
          <w:rFonts w:ascii="Arial" w:cs="Arial" w:eastAsia="Arial" w:hAnsi="Arial"/>
          <w:sz w:val="14"/>
          <w:szCs w:val="14"/>
          <w:color w:val="215BA8"/>
        </w:rPr>
      </w:pPr>
      <w:r>
        <w:rPr>
          <w:rFonts w:ascii="Arial" w:cs="Arial" w:eastAsia="Arial" w:hAnsi="Arial"/>
          <w:sz w:val="14"/>
          <w:szCs w:val="14"/>
          <w:color w:val="1A1A1A"/>
        </w:rPr>
        <w:t>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w:t>
      </w:r>
    </w:p>
    <w:p>
      <w:pPr>
        <w:spacing w:after="0" w:line="183"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88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103" w:name="page104"/>
    <w:bookmarkEnd w:id="103"/>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Potential Severance Payments under Dr. Schleifer’s Employment Agreement</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2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jc w:val="center"/>
              <w:ind w:right="227"/>
              <w:spacing w:after="0"/>
              <w:rPr>
                <w:sz w:val="20"/>
                <w:szCs w:val="20"/>
                <w:color w:val="auto"/>
              </w:rPr>
            </w:pPr>
            <w:r>
              <w:rPr>
                <w:rFonts w:ascii="Arial" w:cs="Arial" w:eastAsia="Arial" w:hAnsi="Arial"/>
                <w:sz w:val="12"/>
                <w:szCs w:val="12"/>
                <w:b w:val="1"/>
                <w:bCs w:val="1"/>
                <w:color w:val="215BA8"/>
                <w:w w:val="98"/>
              </w:rPr>
              <w:t>Value of</w:t>
            </w:r>
          </w:p>
        </w:tc>
        <w:tc>
          <w:tcPr>
            <w:tcW w:w="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vMerge w:val="restart"/>
          </w:tcPr>
          <w:p>
            <w:pPr>
              <w:jc w:val="center"/>
              <w:ind w:right="117"/>
              <w:spacing w:after="0"/>
              <w:rPr>
                <w:sz w:val="20"/>
                <w:szCs w:val="20"/>
                <w:color w:val="auto"/>
              </w:rPr>
            </w:pPr>
            <w:r>
              <w:rPr>
                <w:rFonts w:ascii="Arial" w:cs="Arial" w:eastAsia="Arial" w:hAnsi="Arial"/>
                <w:sz w:val="12"/>
                <w:szCs w:val="12"/>
                <w:b w:val="1"/>
                <w:bCs w:val="1"/>
                <w:color w:val="215BA8"/>
              </w:rPr>
              <w:t>Death</w:t>
            </w:r>
          </w:p>
        </w:tc>
        <w:tc>
          <w:tcPr>
            <w:tcW w:w="1220" w:type="dxa"/>
            <w:vAlign w:val="bottom"/>
          </w:tcPr>
          <w:p>
            <w:pPr>
              <w:spacing w:after="0"/>
              <w:rPr>
                <w:sz w:val="11"/>
                <w:szCs w:val="11"/>
                <w:color w:val="auto"/>
              </w:rPr>
            </w:pPr>
          </w:p>
        </w:tc>
        <w:tc>
          <w:tcPr>
            <w:tcW w:w="1180" w:type="dxa"/>
            <w:vAlign w:val="bottom"/>
          </w:tcPr>
          <w:p>
            <w:pPr>
              <w:jc w:val="center"/>
              <w:ind w:right="227"/>
              <w:spacing w:after="0" w:line="135" w:lineRule="exact"/>
              <w:rPr>
                <w:sz w:val="20"/>
                <w:szCs w:val="20"/>
                <w:color w:val="auto"/>
              </w:rPr>
            </w:pPr>
            <w:r>
              <w:rPr>
                <w:rFonts w:ascii="Arial" w:cs="Arial" w:eastAsia="Arial" w:hAnsi="Arial"/>
                <w:sz w:val="12"/>
                <w:szCs w:val="12"/>
                <w:b w:val="1"/>
                <w:bCs w:val="1"/>
                <w:color w:val="215BA8"/>
                <w:w w:val="96"/>
              </w:rPr>
              <w:t>Accelerated</w:t>
            </w:r>
          </w:p>
        </w:tc>
        <w:tc>
          <w:tcPr>
            <w:tcW w:w="960" w:type="dxa"/>
            <w:vAlign w:val="bottom"/>
            <w:vMerge w:val="restart"/>
          </w:tcPr>
          <w:p>
            <w:pPr>
              <w:jc w:val="center"/>
              <w:ind w:right="77"/>
              <w:spacing w:after="0"/>
              <w:rPr>
                <w:sz w:val="20"/>
                <w:szCs w:val="20"/>
                <w:color w:val="auto"/>
              </w:rPr>
            </w:pPr>
            <w:r>
              <w:rPr>
                <w:rFonts w:ascii="Arial" w:cs="Arial" w:eastAsia="Arial" w:hAnsi="Arial"/>
                <w:sz w:val="12"/>
                <w:szCs w:val="12"/>
                <w:b w:val="1"/>
                <w:bCs w:val="1"/>
                <w:color w:val="215BA8"/>
                <w:w w:val="98"/>
              </w:rPr>
              <w:t>Cutback/</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1180" w:type="dxa"/>
            <w:vAlign w:val="bottom"/>
            <w:vMerge w:val="restart"/>
          </w:tcPr>
          <w:p>
            <w:pPr>
              <w:jc w:val="right"/>
              <w:ind w:right="481"/>
              <w:spacing w:after="0" w:line="135" w:lineRule="exact"/>
              <w:rPr>
                <w:sz w:val="20"/>
                <w:szCs w:val="20"/>
                <w:color w:val="auto"/>
              </w:rPr>
            </w:pPr>
            <w:r>
              <w:rPr>
                <w:rFonts w:ascii="Arial" w:cs="Arial" w:eastAsia="Arial" w:hAnsi="Arial"/>
                <w:sz w:val="12"/>
                <w:szCs w:val="12"/>
                <w:b w:val="1"/>
                <w:bCs w:val="1"/>
                <w:color w:val="215BA8"/>
              </w:rPr>
              <w:t>Cash</w:t>
            </w:r>
          </w:p>
        </w:tc>
        <w:tc>
          <w:tcPr>
            <w:tcW w:w="1160" w:type="dxa"/>
            <w:vAlign w:val="bottom"/>
            <w:vMerge w:val="restart"/>
          </w:tcPr>
          <w:p>
            <w:pPr>
              <w:ind w:left="240"/>
              <w:spacing w:after="0" w:line="135" w:lineRule="exact"/>
              <w:rPr>
                <w:sz w:val="20"/>
                <w:szCs w:val="20"/>
                <w:color w:val="auto"/>
              </w:rPr>
            </w:pPr>
            <w:r>
              <w:rPr>
                <w:rFonts w:ascii="Arial" w:cs="Arial" w:eastAsia="Arial" w:hAnsi="Arial"/>
                <w:sz w:val="12"/>
                <w:szCs w:val="12"/>
                <w:b w:val="1"/>
                <w:bCs w:val="1"/>
                <w:color w:val="215BA8"/>
              </w:rPr>
              <w:t>Benefits</w:t>
            </w:r>
          </w:p>
        </w:tc>
        <w:tc>
          <w:tcPr>
            <w:tcW w:w="960" w:type="dxa"/>
            <w:vAlign w:val="bottom"/>
            <w:vMerge w:val="continue"/>
          </w:tcPr>
          <w:p>
            <w:pPr>
              <w:spacing w:after="0"/>
              <w:rPr>
                <w:sz w:val="8"/>
                <w:szCs w:val="8"/>
                <w:color w:val="auto"/>
              </w:rPr>
            </w:pPr>
          </w:p>
        </w:tc>
        <w:tc>
          <w:tcPr>
            <w:tcW w:w="1220" w:type="dxa"/>
            <w:vAlign w:val="bottom"/>
            <w:vMerge w:val="restart"/>
          </w:tcPr>
          <w:p>
            <w:pPr>
              <w:jc w:val="center"/>
              <w:ind w:right="79"/>
              <w:spacing w:after="0" w:line="135" w:lineRule="exact"/>
              <w:rPr>
                <w:sz w:val="20"/>
                <w:szCs w:val="20"/>
                <w:color w:val="auto"/>
              </w:rPr>
            </w:pPr>
            <w:r>
              <w:rPr>
                <w:rFonts w:ascii="Arial" w:cs="Arial" w:eastAsia="Arial" w:hAnsi="Arial"/>
                <w:sz w:val="12"/>
                <w:szCs w:val="12"/>
                <w:b w:val="1"/>
                <w:bCs w:val="1"/>
                <w:color w:val="215BA8"/>
                <w:w w:val="97"/>
              </w:rPr>
              <w:t>Disability</w:t>
            </w:r>
          </w:p>
        </w:tc>
        <w:tc>
          <w:tcPr>
            <w:tcW w:w="1180" w:type="dxa"/>
            <w:vAlign w:val="bottom"/>
            <w:vMerge w:val="restart"/>
          </w:tcPr>
          <w:p>
            <w:pPr>
              <w:jc w:val="center"/>
              <w:ind w:right="227"/>
              <w:spacing w:after="0" w:line="135" w:lineRule="exact"/>
              <w:rPr>
                <w:sz w:val="20"/>
                <w:szCs w:val="20"/>
                <w:color w:val="auto"/>
              </w:rPr>
            </w:pPr>
            <w:r>
              <w:rPr>
                <w:rFonts w:ascii="Arial" w:cs="Arial" w:eastAsia="Arial" w:hAnsi="Arial"/>
                <w:sz w:val="12"/>
                <w:szCs w:val="12"/>
                <w:b w:val="1"/>
                <w:bCs w:val="1"/>
                <w:color w:val="215BA8"/>
                <w:w w:val="96"/>
              </w:rPr>
              <w:t>Stock Options/</w:t>
            </w:r>
          </w:p>
        </w:tc>
        <w:tc>
          <w:tcPr>
            <w:tcW w:w="960" w:type="dxa"/>
            <w:vAlign w:val="bottom"/>
            <w:vMerge w:val="continue"/>
          </w:tcPr>
          <w:p>
            <w:pPr>
              <w:spacing w:after="0"/>
              <w:rPr>
                <w:sz w:val="8"/>
                <w:szCs w:val="8"/>
                <w:color w:val="auto"/>
              </w:rPr>
            </w:pPr>
          </w:p>
        </w:tc>
        <w:tc>
          <w:tcPr>
            <w:tcW w:w="1180" w:type="dxa"/>
            <w:vAlign w:val="bottom"/>
            <w:vMerge w:val="restart"/>
          </w:tcPr>
          <w:p>
            <w:pPr>
              <w:jc w:val="right"/>
              <w:ind w:right="439"/>
              <w:spacing w:after="0" w:line="135" w:lineRule="exact"/>
              <w:rPr>
                <w:sz w:val="20"/>
                <w:szCs w:val="20"/>
                <w:color w:val="auto"/>
              </w:rPr>
            </w:pPr>
            <w:r>
              <w:rPr>
                <w:rFonts w:ascii="Arial" w:cs="Arial" w:eastAsia="Arial" w:hAnsi="Arial"/>
                <w:sz w:val="12"/>
                <w:szCs w:val="12"/>
                <w:b w:val="1"/>
                <w:bCs w:val="1"/>
                <w:color w:val="215BA8"/>
              </w:rPr>
              <w:t>Total</w:t>
            </w: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960" w:type="dxa"/>
            <w:vAlign w:val="bottom"/>
            <w:vMerge w:val="restart"/>
          </w:tcPr>
          <w:p>
            <w:pPr>
              <w:jc w:val="center"/>
              <w:ind w:right="117"/>
              <w:spacing w:after="0" w:line="182" w:lineRule="exact"/>
              <w:rPr>
                <w:sz w:val="20"/>
                <w:szCs w:val="20"/>
                <w:color w:val="auto"/>
              </w:rPr>
            </w:pPr>
            <w:r>
              <w:rPr>
                <w:rFonts w:ascii="Arial" w:cs="Arial" w:eastAsia="Arial" w:hAnsi="Arial"/>
                <w:sz w:val="12"/>
                <w:szCs w:val="12"/>
                <w:b w:val="1"/>
                <w:bCs w:val="1"/>
                <w:color w:val="215BA8"/>
                <w:w w:val="93"/>
              </w:rPr>
              <w:t xml:space="preserve">Benefits </w:t>
            </w:r>
            <w:r>
              <w:rPr>
                <w:rFonts w:ascii="Arial" w:cs="Arial" w:eastAsia="Arial" w:hAnsi="Arial"/>
                <w:sz w:val="19"/>
                <w:szCs w:val="19"/>
                <w:b w:val="1"/>
                <w:bCs w:val="1"/>
                <w:color w:val="215BA8"/>
                <w:w w:val="93"/>
                <w:vertAlign w:val="superscript"/>
              </w:rPr>
              <w:t>4</w:t>
            </w:r>
          </w:p>
        </w:tc>
        <w:tc>
          <w:tcPr>
            <w:tcW w:w="122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960" w:type="dxa"/>
            <w:vAlign w:val="bottom"/>
            <w:vMerge w:val="restart"/>
          </w:tcPr>
          <w:p>
            <w:pPr>
              <w:jc w:val="center"/>
              <w:ind w:right="97"/>
              <w:spacing w:after="0" w:line="182" w:lineRule="exact"/>
              <w:rPr>
                <w:sz w:val="20"/>
                <w:szCs w:val="20"/>
                <w:color w:val="auto"/>
              </w:rPr>
            </w:pPr>
            <w:r>
              <w:rPr>
                <w:rFonts w:ascii="Arial" w:cs="Arial" w:eastAsia="Arial" w:hAnsi="Arial"/>
                <w:sz w:val="12"/>
                <w:szCs w:val="12"/>
                <w:b w:val="1"/>
                <w:bCs w:val="1"/>
                <w:color w:val="215BA8"/>
                <w:w w:val="94"/>
              </w:rPr>
              <w:t xml:space="preserve">Gross-up </w:t>
            </w:r>
            <w:r>
              <w:rPr>
                <w:rFonts w:ascii="Arial" w:cs="Arial" w:eastAsia="Arial" w:hAnsi="Arial"/>
                <w:sz w:val="19"/>
                <w:szCs w:val="19"/>
                <w:b w:val="1"/>
                <w:bCs w:val="1"/>
                <w:color w:val="215BA8"/>
                <w:w w:val="94"/>
                <w:vertAlign w:val="superscript"/>
              </w:rPr>
              <w:t>6</w:t>
            </w: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320" w:type="dxa"/>
            <w:vAlign w:val="bottom"/>
            <w:tcBorders>
              <w:bottom w:val="single" w:sz="8" w:color="2459A8"/>
            </w:tcBorders>
          </w:tcPr>
          <w:p>
            <w:pPr>
              <w:spacing w:after="0"/>
              <w:rPr>
                <w:sz w:val="13"/>
                <w:szCs w:val="13"/>
                <w:color w:val="auto"/>
              </w:rPr>
            </w:pPr>
          </w:p>
        </w:tc>
        <w:tc>
          <w:tcPr>
            <w:tcW w:w="1180" w:type="dxa"/>
            <w:vAlign w:val="bottom"/>
            <w:tcBorders>
              <w:bottom w:val="single" w:sz="8" w:color="2459A8"/>
            </w:tcBorders>
          </w:tcPr>
          <w:p>
            <w:pPr>
              <w:jc w:val="right"/>
              <w:ind w:right="341"/>
              <w:spacing w:after="0"/>
              <w:rPr>
                <w:sz w:val="20"/>
                <w:szCs w:val="20"/>
                <w:color w:val="auto"/>
              </w:rPr>
            </w:pPr>
            <w:r>
              <w:rPr>
                <w:rFonts w:ascii="Arial" w:cs="Arial" w:eastAsia="Arial" w:hAnsi="Arial"/>
                <w:sz w:val="12"/>
                <w:szCs w:val="12"/>
                <w:b w:val="1"/>
                <w:bCs w:val="1"/>
                <w:color w:val="215BA8"/>
              </w:rPr>
              <w:t>Severance</w:t>
            </w:r>
          </w:p>
        </w:tc>
        <w:tc>
          <w:tcPr>
            <w:tcW w:w="1160" w:type="dxa"/>
            <w:vAlign w:val="bottom"/>
            <w:tcBorders>
              <w:bottom w:val="single" w:sz="8" w:color="2459A8"/>
            </w:tcBorders>
          </w:tcPr>
          <w:p>
            <w:pPr>
              <w:ind w:left="120"/>
              <w:spacing w:after="0"/>
              <w:rPr>
                <w:sz w:val="20"/>
                <w:szCs w:val="20"/>
                <w:color w:val="auto"/>
              </w:rPr>
            </w:pPr>
            <w:r>
              <w:rPr>
                <w:rFonts w:ascii="Arial" w:cs="Arial" w:eastAsia="Arial" w:hAnsi="Arial"/>
                <w:sz w:val="12"/>
                <w:szCs w:val="12"/>
                <w:b w:val="1"/>
                <w:bCs w:val="1"/>
                <w:color w:val="215BA8"/>
              </w:rPr>
              <w:t>Continuation</w:t>
            </w:r>
          </w:p>
        </w:tc>
        <w:tc>
          <w:tcPr>
            <w:tcW w:w="960" w:type="dxa"/>
            <w:vAlign w:val="bottom"/>
            <w:tcBorders>
              <w:bottom w:val="single" w:sz="8" w:color="2459A8"/>
            </w:tcBorders>
            <w:vMerge w:val="continue"/>
          </w:tcPr>
          <w:p>
            <w:pPr>
              <w:spacing w:after="0"/>
              <w:rPr>
                <w:sz w:val="13"/>
                <w:szCs w:val="13"/>
                <w:color w:val="auto"/>
              </w:rPr>
            </w:pPr>
          </w:p>
        </w:tc>
        <w:tc>
          <w:tcPr>
            <w:tcW w:w="1220" w:type="dxa"/>
            <w:vAlign w:val="bottom"/>
            <w:tcBorders>
              <w:bottom w:val="single" w:sz="8" w:color="2459A8"/>
            </w:tcBorders>
          </w:tcPr>
          <w:p>
            <w:pPr>
              <w:jc w:val="center"/>
              <w:ind w:right="99"/>
              <w:spacing w:after="0"/>
              <w:rPr>
                <w:sz w:val="20"/>
                <w:szCs w:val="20"/>
                <w:color w:val="auto"/>
              </w:rPr>
            </w:pPr>
            <w:r>
              <w:rPr>
                <w:rFonts w:ascii="Arial" w:cs="Arial" w:eastAsia="Arial" w:hAnsi="Arial"/>
                <w:sz w:val="12"/>
                <w:szCs w:val="12"/>
                <w:b w:val="1"/>
                <w:bCs w:val="1"/>
                <w:color w:val="215BA8"/>
                <w:w w:val="97"/>
              </w:rPr>
              <w:t>Benefits</w:t>
            </w:r>
          </w:p>
        </w:tc>
        <w:tc>
          <w:tcPr>
            <w:tcW w:w="1180" w:type="dxa"/>
            <w:vAlign w:val="bottom"/>
            <w:tcBorders>
              <w:bottom w:val="single" w:sz="8" w:color="2459A8"/>
            </w:tcBorders>
          </w:tcPr>
          <w:p>
            <w:pPr>
              <w:jc w:val="center"/>
              <w:ind w:right="227"/>
              <w:spacing w:after="0"/>
              <w:rPr>
                <w:sz w:val="20"/>
                <w:szCs w:val="20"/>
                <w:color w:val="auto"/>
              </w:rPr>
            </w:pPr>
            <w:r>
              <w:rPr>
                <w:rFonts w:ascii="Arial" w:cs="Arial" w:eastAsia="Arial" w:hAnsi="Arial"/>
                <w:sz w:val="12"/>
                <w:szCs w:val="12"/>
                <w:b w:val="1"/>
                <w:bCs w:val="1"/>
                <w:color w:val="215BA8"/>
                <w:w w:val="95"/>
              </w:rPr>
              <w:t>PSUs</w:t>
            </w:r>
          </w:p>
        </w:tc>
        <w:tc>
          <w:tcPr>
            <w:tcW w:w="960" w:type="dxa"/>
            <w:vAlign w:val="bottom"/>
            <w:tcBorders>
              <w:bottom w:val="single" w:sz="8" w:color="2459A8"/>
            </w:tcBorders>
            <w:vMerge w:val="continue"/>
          </w:tcPr>
          <w:p>
            <w:pPr>
              <w:spacing w:after="0"/>
              <w:rPr>
                <w:sz w:val="13"/>
                <w:szCs w:val="13"/>
                <w:color w:val="auto"/>
              </w:rPr>
            </w:pPr>
          </w:p>
        </w:tc>
        <w:tc>
          <w:tcPr>
            <w:tcW w:w="1180" w:type="dxa"/>
            <w:vAlign w:val="bottom"/>
            <w:tcBorders>
              <w:bottom w:val="single" w:sz="8" w:color="2459A8"/>
            </w:tcBorders>
          </w:tcPr>
          <w:p>
            <w:pPr>
              <w:jc w:val="right"/>
              <w:ind w:right="339"/>
              <w:spacing w:after="0"/>
              <w:rPr>
                <w:sz w:val="20"/>
                <w:szCs w:val="20"/>
                <w:color w:val="auto"/>
              </w:rPr>
            </w:pPr>
            <w:r>
              <w:rPr>
                <w:rFonts w:ascii="Arial" w:cs="Arial" w:eastAsia="Arial" w:hAnsi="Arial"/>
                <w:sz w:val="12"/>
                <w:szCs w:val="12"/>
                <w:b w:val="1"/>
                <w:bCs w:val="1"/>
                <w:color w:val="215BA8"/>
              </w:rPr>
              <w:t>Amount</w:t>
            </w:r>
          </w:p>
        </w:tc>
        <w:tc>
          <w:tcPr>
            <w:tcW w:w="0" w:type="dxa"/>
            <w:vAlign w:val="bottom"/>
          </w:tcPr>
          <w:p>
            <w:pPr>
              <w:spacing w:after="0"/>
              <w:rPr>
                <w:sz w:val="1"/>
                <w:szCs w:val="1"/>
                <w:color w:val="auto"/>
              </w:rPr>
            </w:pPr>
          </w:p>
        </w:tc>
      </w:tr>
      <w:tr>
        <w:trPr>
          <w:trHeight w:val="145"/>
        </w:trPr>
        <w:tc>
          <w:tcPr>
            <w:tcW w:w="2320" w:type="dxa"/>
            <w:vAlign w:val="bottom"/>
          </w:tcPr>
          <w:p>
            <w:pPr>
              <w:ind w:left="60"/>
              <w:spacing w:after="0" w:line="145" w:lineRule="exact"/>
              <w:rPr>
                <w:sz w:val="20"/>
                <w:szCs w:val="20"/>
                <w:color w:val="auto"/>
              </w:rPr>
            </w:pPr>
            <w:r>
              <w:rPr>
                <w:rFonts w:ascii="Arial" w:cs="Arial" w:eastAsia="Arial" w:hAnsi="Arial"/>
                <w:sz w:val="13"/>
                <w:szCs w:val="13"/>
                <w:color w:val="auto"/>
              </w:rPr>
              <w:t>Involuntary Termination Following a</w:t>
            </w:r>
          </w:p>
        </w:tc>
        <w:tc>
          <w:tcPr>
            <w:tcW w:w="1180" w:type="dxa"/>
            <w:vAlign w:val="bottom"/>
          </w:tcPr>
          <w:p>
            <w:pPr>
              <w:jc w:val="right"/>
              <w:ind w:right="61"/>
              <w:spacing w:after="0" w:line="145" w:lineRule="exact"/>
              <w:rPr>
                <w:sz w:val="20"/>
                <w:szCs w:val="20"/>
                <w:color w:val="auto"/>
              </w:rPr>
            </w:pPr>
            <w:r>
              <w:rPr>
                <w:rFonts w:ascii="Arial" w:cs="Arial" w:eastAsia="Arial" w:hAnsi="Arial"/>
                <w:sz w:val="11"/>
                <w:szCs w:val="11"/>
                <w:color w:val="auto"/>
              </w:rPr>
              <w:t>$14,881,986</w:t>
            </w:r>
            <w:r>
              <w:rPr>
                <w:rFonts w:ascii="Arial" w:cs="Arial" w:eastAsia="Arial" w:hAnsi="Arial"/>
                <w:sz w:val="16"/>
                <w:szCs w:val="16"/>
                <w:color w:val="auto"/>
                <w:vertAlign w:val="superscript"/>
              </w:rPr>
              <w:t>2</w:t>
            </w:r>
          </w:p>
        </w:tc>
        <w:tc>
          <w:tcPr>
            <w:tcW w:w="1160" w:type="dxa"/>
            <w:vAlign w:val="bottom"/>
          </w:tcPr>
          <w:p>
            <w:pPr>
              <w:ind w:left="380"/>
              <w:spacing w:after="0" w:line="145" w:lineRule="exact"/>
              <w:rPr>
                <w:sz w:val="20"/>
                <w:szCs w:val="20"/>
                <w:color w:val="auto"/>
              </w:rPr>
            </w:pPr>
            <w:r>
              <w:rPr>
                <w:rFonts w:ascii="Arial" w:cs="Arial" w:eastAsia="Arial" w:hAnsi="Arial"/>
                <w:sz w:val="11"/>
                <w:szCs w:val="11"/>
                <w:color w:val="auto"/>
              </w:rPr>
              <w:t>$288,247</w:t>
            </w:r>
            <w:r>
              <w:rPr>
                <w:rFonts w:ascii="Arial" w:cs="Arial" w:eastAsia="Arial" w:hAnsi="Arial"/>
                <w:sz w:val="16"/>
                <w:szCs w:val="16"/>
                <w:color w:val="auto"/>
                <w:vertAlign w:val="superscript"/>
              </w:rPr>
              <w:t>3</w:t>
            </w:r>
          </w:p>
        </w:tc>
        <w:tc>
          <w:tcPr>
            <w:tcW w:w="960" w:type="dxa"/>
            <w:vAlign w:val="bottom"/>
          </w:tcPr>
          <w:p>
            <w:pPr>
              <w:jc w:val="center"/>
              <w:ind w:right="117"/>
              <w:spacing w:after="0" w:line="145" w:lineRule="exact"/>
              <w:rPr>
                <w:sz w:val="20"/>
                <w:szCs w:val="20"/>
                <w:color w:val="auto"/>
              </w:rPr>
            </w:pPr>
            <w:r>
              <w:rPr>
                <w:rFonts w:ascii="Arial" w:cs="Arial" w:eastAsia="Arial" w:hAnsi="Arial"/>
                <w:sz w:val="13"/>
                <w:szCs w:val="13"/>
                <w:color w:val="auto"/>
              </w:rPr>
              <w:t>—</w:t>
            </w:r>
          </w:p>
        </w:tc>
        <w:tc>
          <w:tcPr>
            <w:tcW w:w="1220" w:type="dxa"/>
            <w:vAlign w:val="bottom"/>
          </w:tcPr>
          <w:p>
            <w:pPr>
              <w:ind w:left="920"/>
              <w:spacing w:after="0" w:line="14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07"/>
              <w:spacing w:after="0" w:line="145" w:lineRule="exact"/>
              <w:rPr>
                <w:sz w:val="20"/>
                <w:szCs w:val="20"/>
                <w:color w:val="auto"/>
              </w:rPr>
            </w:pPr>
            <w:r>
              <w:rPr>
                <w:rFonts w:ascii="Arial" w:cs="Arial" w:eastAsia="Arial" w:hAnsi="Arial"/>
                <w:sz w:val="11"/>
                <w:szCs w:val="11"/>
                <w:color w:val="auto"/>
              </w:rPr>
              <w:t>$114,590,893</w:t>
            </w:r>
            <w:r>
              <w:rPr>
                <w:rFonts w:ascii="Arial" w:cs="Arial" w:eastAsia="Arial" w:hAnsi="Arial"/>
                <w:sz w:val="16"/>
                <w:szCs w:val="16"/>
                <w:color w:val="auto"/>
                <w:vertAlign w:val="superscript"/>
              </w:rPr>
              <w:t>5</w:t>
            </w:r>
          </w:p>
        </w:tc>
        <w:tc>
          <w:tcPr>
            <w:tcW w:w="960" w:type="dxa"/>
            <w:vAlign w:val="bottom"/>
          </w:tcPr>
          <w:p>
            <w:pPr>
              <w:jc w:val="center"/>
              <w:ind w:right="77"/>
              <w:spacing w:after="0" w:line="145"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59"/>
              <w:spacing w:after="0" w:line="145" w:lineRule="exact"/>
              <w:rPr>
                <w:sz w:val="20"/>
                <w:szCs w:val="20"/>
                <w:color w:val="auto"/>
              </w:rPr>
            </w:pPr>
            <w:r>
              <w:rPr>
                <w:rFonts w:ascii="Arial" w:cs="Arial" w:eastAsia="Arial" w:hAnsi="Arial"/>
                <w:sz w:val="13"/>
                <w:szCs w:val="13"/>
                <w:color w:val="auto"/>
              </w:rPr>
              <w:t>$129,761,126</w:t>
            </w:r>
          </w:p>
        </w:tc>
        <w:tc>
          <w:tcPr>
            <w:tcW w:w="0" w:type="dxa"/>
            <w:vAlign w:val="bottom"/>
          </w:tcPr>
          <w:p>
            <w:pPr>
              <w:spacing w:after="0"/>
              <w:rPr>
                <w:sz w:val="1"/>
                <w:szCs w:val="1"/>
                <w:color w:val="auto"/>
              </w:rPr>
            </w:pPr>
          </w:p>
        </w:tc>
      </w:tr>
      <w:tr>
        <w:trPr>
          <w:trHeight w:val="179"/>
        </w:trPr>
        <w:tc>
          <w:tcPr>
            <w:tcW w:w="2320" w:type="dxa"/>
            <w:vAlign w:val="bottom"/>
            <w:tcBorders>
              <w:bottom w:val="single" w:sz="8" w:color="58585A"/>
            </w:tcBorders>
          </w:tcPr>
          <w:p>
            <w:pPr>
              <w:ind w:left="60"/>
              <w:spacing w:after="0" w:line="180" w:lineRule="exact"/>
              <w:rPr>
                <w:sz w:val="20"/>
                <w:szCs w:val="20"/>
                <w:color w:val="auto"/>
              </w:rPr>
            </w:pPr>
            <w:r>
              <w:rPr>
                <w:rFonts w:ascii="Arial" w:cs="Arial" w:eastAsia="Arial" w:hAnsi="Arial"/>
                <w:sz w:val="13"/>
                <w:szCs w:val="13"/>
                <w:color w:val="auto"/>
              </w:rPr>
              <w:t>Change of Control</w:t>
            </w:r>
            <w:r>
              <w:rPr>
                <w:rFonts w:ascii="Arial" w:cs="Arial" w:eastAsia="Arial" w:hAnsi="Arial"/>
                <w:sz w:val="20"/>
                <w:szCs w:val="20"/>
                <w:color w:val="auto"/>
                <w:vertAlign w:val="superscript"/>
              </w:rPr>
              <w:t>1</w:t>
            </w:r>
          </w:p>
        </w:tc>
        <w:tc>
          <w:tcPr>
            <w:tcW w:w="1180" w:type="dxa"/>
            <w:vAlign w:val="bottom"/>
            <w:tcBorders>
              <w:bottom w:val="single" w:sz="8" w:color="58585A"/>
            </w:tcBorders>
          </w:tcPr>
          <w:p>
            <w:pPr>
              <w:spacing w:after="0"/>
              <w:rPr>
                <w:sz w:val="15"/>
                <w:szCs w:val="15"/>
                <w:color w:val="auto"/>
              </w:rPr>
            </w:pPr>
          </w:p>
        </w:tc>
        <w:tc>
          <w:tcPr>
            <w:tcW w:w="1160" w:type="dxa"/>
            <w:vAlign w:val="bottom"/>
            <w:tcBorders>
              <w:bottom w:val="single" w:sz="8" w:color="58585A"/>
            </w:tcBorders>
          </w:tcPr>
          <w:p>
            <w:pPr>
              <w:spacing w:after="0"/>
              <w:rPr>
                <w:sz w:val="15"/>
                <w:szCs w:val="15"/>
                <w:color w:val="auto"/>
              </w:rPr>
            </w:pPr>
          </w:p>
        </w:tc>
        <w:tc>
          <w:tcPr>
            <w:tcW w:w="960" w:type="dxa"/>
            <w:vAlign w:val="bottom"/>
            <w:tcBorders>
              <w:bottom w:val="single" w:sz="8" w:color="58585A"/>
            </w:tcBorders>
          </w:tcPr>
          <w:p>
            <w:pPr>
              <w:spacing w:after="0"/>
              <w:rPr>
                <w:sz w:val="15"/>
                <w:szCs w:val="15"/>
                <w:color w:val="auto"/>
              </w:rPr>
            </w:pPr>
          </w:p>
        </w:tc>
        <w:tc>
          <w:tcPr>
            <w:tcW w:w="1220" w:type="dxa"/>
            <w:vAlign w:val="bottom"/>
            <w:tcBorders>
              <w:bottom w:val="single" w:sz="8" w:color="58585A"/>
            </w:tcBorders>
          </w:tcPr>
          <w:p>
            <w:pPr>
              <w:spacing w:after="0"/>
              <w:rPr>
                <w:sz w:val="15"/>
                <w:szCs w:val="15"/>
                <w:color w:val="auto"/>
              </w:rPr>
            </w:pPr>
          </w:p>
        </w:tc>
        <w:tc>
          <w:tcPr>
            <w:tcW w:w="1180" w:type="dxa"/>
            <w:vAlign w:val="bottom"/>
            <w:tcBorders>
              <w:bottom w:val="single" w:sz="8" w:color="58585A"/>
            </w:tcBorders>
          </w:tcPr>
          <w:p>
            <w:pPr>
              <w:spacing w:after="0"/>
              <w:rPr>
                <w:sz w:val="15"/>
                <w:szCs w:val="15"/>
                <w:color w:val="auto"/>
              </w:rPr>
            </w:pPr>
          </w:p>
        </w:tc>
        <w:tc>
          <w:tcPr>
            <w:tcW w:w="960" w:type="dxa"/>
            <w:vAlign w:val="bottom"/>
            <w:tcBorders>
              <w:bottom w:val="single" w:sz="8" w:color="58585A"/>
            </w:tcBorders>
          </w:tcPr>
          <w:p>
            <w:pPr>
              <w:spacing w:after="0"/>
              <w:rPr>
                <w:sz w:val="15"/>
                <w:szCs w:val="15"/>
                <w:color w:val="auto"/>
              </w:rPr>
            </w:pPr>
          </w:p>
        </w:tc>
        <w:tc>
          <w:tcPr>
            <w:tcW w:w="1180" w:type="dxa"/>
            <w:vAlign w:val="bottom"/>
            <w:tcBorders>
              <w:bottom w:val="single" w:sz="8" w:color="58585A"/>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20" w:type="dxa"/>
            <w:vAlign w:val="bottom"/>
            <w:tcBorders>
              <w:bottom w:val="single" w:sz="8" w:color="58585A"/>
            </w:tcBorders>
            <w:shd w:val="clear" w:color="auto" w:fill="EEEEEF"/>
          </w:tcPr>
          <w:p>
            <w:pPr>
              <w:ind w:left="60"/>
              <w:spacing w:after="0" w:line="142" w:lineRule="exact"/>
              <w:rPr>
                <w:sz w:val="20"/>
                <w:szCs w:val="20"/>
                <w:color w:val="auto"/>
              </w:rPr>
            </w:pPr>
            <w:r>
              <w:rPr>
                <w:rFonts w:ascii="Arial" w:cs="Arial" w:eastAsia="Arial" w:hAnsi="Arial"/>
                <w:sz w:val="13"/>
                <w:szCs w:val="13"/>
                <w:color w:val="auto"/>
              </w:rPr>
              <w:t>Involuntary Termination</w:t>
            </w:r>
          </w:p>
        </w:tc>
        <w:tc>
          <w:tcPr>
            <w:tcW w:w="1180" w:type="dxa"/>
            <w:vAlign w:val="bottom"/>
            <w:tcBorders>
              <w:bottom w:val="single" w:sz="8" w:color="58585A"/>
            </w:tcBorders>
            <w:shd w:val="clear" w:color="auto" w:fill="EEEEEF"/>
          </w:tcPr>
          <w:p>
            <w:pPr>
              <w:jc w:val="right"/>
              <w:ind w:right="61"/>
              <w:spacing w:after="0" w:line="142" w:lineRule="exact"/>
              <w:rPr>
                <w:sz w:val="20"/>
                <w:szCs w:val="20"/>
                <w:color w:val="auto"/>
              </w:rPr>
            </w:pPr>
            <w:r>
              <w:rPr>
                <w:rFonts w:ascii="Arial" w:cs="Arial" w:eastAsia="Arial" w:hAnsi="Arial"/>
                <w:sz w:val="11"/>
                <w:szCs w:val="11"/>
                <w:color w:val="auto"/>
              </w:rPr>
              <w:t>$6,200,828</w:t>
            </w:r>
            <w:r>
              <w:rPr>
                <w:rFonts w:ascii="Arial" w:cs="Arial" w:eastAsia="Arial" w:hAnsi="Arial"/>
                <w:sz w:val="16"/>
                <w:szCs w:val="16"/>
                <w:color w:val="auto"/>
                <w:vertAlign w:val="superscript"/>
              </w:rPr>
              <w:t>7</w:t>
            </w:r>
          </w:p>
        </w:tc>
        <w:tc>
          <w:tcPr>
            <w:tcW w:w="1160" w:type="dxa"/>
            <w:vAlign w:val="bottom"/>
            <w:tcBorders>
              <w:bottom w:val="single" w:sz="8" w:color="58585A"/>
            </w:tcBorders>
            <w:shd w:val="clear" w:color="auto" w:fill="EEEEEF"/>
          </w:tcPr>
          <w:p>
            <w:pPr>
              <w:ind w:left="380"/>
              <w:spacing w:after="0" w:line="142" w:lineRule="exact"/>
              <w:rPr>
                <w:sz w:val="20"/>
                <w:szCs w:val="20"/>
                <w:color w:val="auto"/>
              </w:rPr>
            </w:pPr>
            <w:r>
              <w:rPr>
                <w:rFonts w:ascii="Arial" w:cs="Arial" w:eastAsia="Arial" w:hAnsi="Arial"/>
                <w:sz w:val="11"/>
                <w:szCs w:val="11"/>
                <w:color w:val="auto"/>
              </w:rPr>
              <w:t>$139,493</w:t>
            </w:r>
            <w:r>
              <w:rPr>
                <w:rFonts w:ascii="Arial" w:cs="Arial" w:eastAsia="Arial" w:hAnsi="Arial"/>
                <w:sz w:val="16"/>
                <w:szCs w:val="16"/>
                <w:color w:val="auto"/>
                <w:vertAlign w:val="superscript"/>
              </w:rPr>
              <w:t>8</w:t>
            </w:r>
          </w:p>
        </w:tc>
        <w:tc>
          <w:tcPr>
            <w:tcW w:w="960" w:type="dxa"/>
            <w:vAlign w:val="bottom"/>
            <w:tcBorders>
              <w:bottom w:val="single" w:sz="8" w:color="58585A"/>
            </w:tcBorders>
            <w:shd w:val="clear" w:color="auto" w:fill="EEEEEF"/>
          </w:tcPr>
          <w:p>
            <w:pPr>
              <w:jc w:val="center"/>
              <w:ind w:right="117"/>
              <w:spacing w:after="0" w:line="14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shd w:val="clear" w:color="auto" w:fill="EEEEEF"/>
          </w:tcPr>
          <w:p>
            <w:pPr>
              <w:ind w:left="920"/>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shd w:val="clear" w:color="auto" w:fill="EEEEEF"/>
          </w:tcPr>
          <w:p>
            <w:pPr>
              <w:jc w:val="right"/>
              <w:ind w:right="107"/>
              <w:spacing w:after="0" w:line="142" w:lineRule="exact"/>
              <w:rPr>
                <w:sz w:val="20"/>
                <w:szCs w:val="20"/>
                <w:color w:val="auto"/>
              </w:rPr>
            </w:pPr>
            <w:r>
              <w:rPr>
                <w:rFonts w:ascii="Arial" w:cs="Arial" w:eastAsia="Arial" w:hAnsi="Arial"/>
                <w:sz w:val="11"/>
                <w:szCs w:val="11"/>
                <w:color w:val="auto"/>
              </w:rPr>
              <w:t>$83,664,401</w:t>
            </w:r>
            <w:r>
              <w:rPr>
                <w:rFonts w:ascii="Arial" w:cs="Arial" w:eastAsia="Arial" w:hAnsi="Arial"/>
                <w:sz w:val="16"/>
                <w:szCs w:val="16"/>
                <w:color w:val="auto"/>
                <w:vertAlign w:val="superscript"/>
              </w:rPr>
              <w:t>9</w:t>
            </w:r>
          </w:p>
        </w:tc>
        <w:tc>
          <w:tcPr>
            <w:tcW w:w="960" w:type="dxa"/>
            <w:vAlign w:val="bottom"/>
            <w:tcBorders>
              <w:bottom w:val="single" w:sz="8" w:color="58585A"/>
            </w:tcBorders>
            <w:shd w:val="clear" w:color="auto" w:fill="EEEEEF"/>
          </w:tcPr>
          <w:p>
            <w:pPr>
              <w:jc w:val="center"/>
              <w:ind w:right="77"/>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shd w:val="clear" w:color="auto" w:fill="EEEEEF"/>
          </w:tcPr>
          <w:p>
            <w:pPr>
              <w:jc w:val="right"/>
              <w:ind w:right="59"/>
              <w:spacing w:after="0" w:line="142" w:lineRule="exact"/>
              <w:rPr>
                <w:sz w:val="20"/>
                <w:szCs w:val="20"/>
                <w:color w:val="auto"/>
              </w:rPr>
            </w:pPr>
            <w:r>
              <w:rPr>
                <w:rFonts w:ascii="Arial" w:cs="Arial" w:eastAsia="Arial" w:hAnsi="Arial"/>
                <w:sz w:val="13"/>
                <w:szCs w:val="13"/>
                <w:color w:val="auto"/>
              </w:rPr>
              <w:t>$90,004,722</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58585A"/>
            </w:tcBorders>
          </w:tcPr>
          <w:p>
            <w:pPr>
              <w:ind w:left="60"/>
              <w:spacing w:after="0" w:line="142" w:lineRule="exact"/>
              <w:rPr>
                <w:sz w:val="20"/>
                <w:szCs w:val="20"/>
                <w:color w:val="auto"/>
              </w:rPr>
            </w:pPr>
            <w:r>
              <w:rPr>
                <w:rFonts w:ascii="Arial" w:cs="Arial" w:eastAsia="Arial" w:hAnsi="Arial"/>
                <w:sz w:val="13"/>
                <w:szCs w:val="13"/>
                <w:color w:val="auto"/>
              </w:rPr>
              <w:t>Death</w:t>
            </w:r>
          </w:p>
        </w:tc>
        <w:tc>
          <w:tcPr>
            <w:tcW w:w="1180" w:type="dxa"/>
            <w:vAlign w:val="bottom"/>
            <w:tcBorders>
              <w:bottom w:val="single" w:sz="8" w:color="58585A"/>
            </w:tcBorders>
          </w:tcPr>
          <w:p>
            <w:pPr>
              <w:jc w:val="right"/>
              <w:ind w:right="121"/>
              <w:spacing w:after="0" w:line="142"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58585A"/>
            </w:tcBorders>
          </w:tcPr>
          <w:p>
            <w:pPr>
              <w:ind w:left="380"/>
              <w:spacing w:after="0" w:line="142" w:lineRule="exact"/>
              <w:rPr>
                <w:sz w:val="20"/>
                <w:szCs w:val="20"/>
                <w:color w:val="auto"/>
              </w:rPr>
            </w:pPr>
            <w:r>
              <w:rPr>
                <w:rFonts w:ascii="Arial" w:cs="Arial" w:eastAsia="Arial" w:hAnsi="Arial"/>
                <w:sz w:val="11"/>
                <w:szCs w:val="11"/>
                <w:color w:val="auto"/>
              </w:rPr>
              <w:t>$108,407</w:t>
            </w:r>
            <w:r>
              <w:rPr>
                <w:rFonts w:ascii="Arial" w:cs="Arial" w:eastAsia="Arial" w:hAnsi="Arial"/>
                <w:sz w:val="16"/>
                <w:szCs w:val="16"/>
                <w:color w:val="auto"/>
                <w:vertAlign w:val="superscript"/>
              </w:rPr>
              <w:t>10</w:t>
            </w:r>
          </w:p>
        </w:tc>
        <w:tc>
          <w:tcPr>
            <w:tcW w:w="960" w:type="dxa"/>
            <w:vAlign w:val="bottom"/>
            <w:tcBorders>
              <w:bottom w:val="single" w:sz="8" w:color="58585A"/>
            </w:tcBorders>
          </w:tcPr>
          <w:p>
            <w:pPr>
              <w:jc w:val="center"/>
              <w:ind w:right="117"/>
              <w:spacing w:after="0" w:line="14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58585A"/>
            </w:tcBorders>
          </w:tcPr>
          <w:p>
            <w:pPr>
              <w:ind w:left="920"/>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tcPr>
          <w:p>
            <w:pPr>
              <w:jc w:val="right"/>
              <w:ind w:right="47"/>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11</w:t>
            </w:r>
          </w:p>
        </w:tc>
        <w:tc>
          <w:tcPr>
            <w:tcW w:w="960" w:type="dxa"/>
            <w:vAlign w:val="bottom"/>
            <w:tcBorders>
              <w:bottom w:val="single" w:sz="8" w:color="58585A"/>
            </w:tcBorders>
          </w:tcPr>
          <w:p>
            <w:pPr>
              <w:jc w:val="center"/>
              <w:ind w:right="77"/>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tcPr>
          <w:p>
            <w:pPr>
              <w:jc w:val="right"/>
              <w:spacing w:after="0" w:line="142" w:lineRule="exact"/>
              <w:rPr>
                <w:sz w:val="20"/>
                <w:szCs w:val="20"/>
                <w:color w:val="auto"/>
              </w:rPr>
            </w:pPr>
            <w:r>
              <w:rPr>
                <w:rFonts w:ascii="Arial" w:cs="Arial" w:eastAsia="Arial" w:hAnsi="Arial"/>
                <w:sz w:val="11"/>
                <w:szCs w:val="11"/>
                <w:color w:val="auto"/>
              </w:rPr>
              <w:t>$108,407</w:t>
            </w:r>
            <w:r>
              <w:rPr>
                <w:rFonts w:ascii="Arial" w:cs="Arial" w:eastAsia="Arial" w:hAnsi="Arial"/>
                <w:sz w:val="16"/>
                <w:szCs w:val="16"/>
                <w:color w:val="auto"/>
                <w:vertAlign w:val="superscript"/>
              </w:rPr>
              <w:t>11</w:t>
            </w:r>
          </w:p>
        </w:tc>
        <w:tc>
          <w:tcPr>
            <w:tcW w:w="0" w:type="dxa"/>
            <w:vAlign w:val="bottom"/>
          </w:tcPr>
          <w:p>
            <w:pPr>
              <w:spacing w:after="0"/>
              <w:rPr>
                <w:sz w:val="1"/>
                <w:szCs w:val="1"/>
                <w:color w:val="auto"/>
              </w:rPr>
            </w:pPr>
          </w:p>
        </w:tc>
      </w:tr>
      <w:tr>
        <w:trPr>
          <w:trHeight w:val="142"/>
        </w:trPr>
        <w:tc>
          <w:tcPr>
            <w:tcW w:w="2320" w:type="dxa"/>
            <w:vAlign w:val="bottom"/>
            <w:tcBorders>
              <w:bottom w:val="single" w:sz="8" w:color="2459A8"/>
            </w:tcBorders>
            <w:shd w:val="clear" w:color="auto" w:fill="EEEEEF"/>
          </w:tcPr>
          <w:p>
            <w:pPr>
              <w:ind w:left="60"/>
              <w:spacing w:after="0" w:line="142" w:lineRule="exact"/>
              <w:rPr>
                <w:sz w:val="20"/>
                <w:szCs w:val="20"/>
                <w:color w:val="auto"/>
              </w:rPr>
            </w:pPr>
            <w:r>
              <w:rPr>
                <w:rFonts w:ascii="Arial" w:cs="Arial" w:eastAsia="Arial" w:hAnsi="Arial"/>
                <w:sz w:val="13"/>
                <w:szCs w:val="13"/>
                <w:color w:val="auto"/>
              </w:rPr>
              <w:t>Disability</w:t>
            </w:r>
          </w:p>
        </w:tc>
        <w:tc>
          <w:tcPr>
            <w:tcW w:w="1180" w:type="dxa"/>
            <w:vAlign w:val="bottom"/>
            <w:tcBorders>
              <w:bottom w:val="single" w:sz="8" w:color="2459A8"/>
            </w:tcBorders>
            <w:shd w:val="clear" w:color="auto" w:fill="EEEEEF"/>
          </w:tcPr>
          <w:p>
            <w:pPr>
              <w:jc w:val="right"/>
              <w:ind w:right="121"/>
              <w:spacing w:after="0" w:line="142"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2459A8"/>
            </w:tcBorders>
            <w:shd w:val="clear" w:color="auto" w:fill="EEEEEF"/>
          </w:tcPr>
          <w:p>
            <w:pPr>
              <w:ind w:left="380"/>
              <w:spacing w:after="0" w:line="142" w:lineRule="exact"/>
              <w:rPr>
                <w:sz w:val="20"/>
                <w:szCs w:val="20"/>
                <w:color w:val="auto"/>
              </w:rPr>
            </w:pPr>
            <w:r>
              <w:rPr>
                <w:rFonts w:ascii="Arial" w:cs="Arial" w:eastAsia="Arial" w:hAnsi="Arial"/>
                <w:sz w:val="11"/>
                <w:szCs w:val="11"/>
                <w:color w:val="auto"/>
              </w:rPr>
              <w:t>$139,493</w:t>
            </w:r>
            <w:r>
              <w:rPr>
                <w:rFonts w:ascii="Arial" w:cs="Arial" w:eastAsia="Arial" w:hAnsi="Arial"/>
                <w:sz w:val="16"/>
                <w:szCs w:val="16"/>
                <w:color w:val="auto"/>
                <w:vertAlign w:val="superscript"/>
              </w:rPr>
              <w:t>8</w:t>
            </w:r>
          </w:p>
        </w:tc>
        <w:tc>
          <w:tcPr>
            <w:tcW w:w="960" w:type="dxa"/>
            <w:vAlign w:val="bottom"/>
            <w:tcBorders>
              <w:bottom w:val="single" w:sz="8" w:color="2459A8"/>
            </w:tcBorders>
            <w:shd w:val="clear" w:color="auto" w:fill="EEEEEF"/>
          </w:tcPr>
          <w:p>
            <w:pPr>
              <w:jc w:val="center"/>
              <w:ind w:right="117"/>
              <w:spacing w:after="0" w:line="14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2459A8"/>
            </w:tcBorders>
            <w:shd w:val="clear" w:color="auto" w:fill="EEEEEF"/>
          </w:tcPr>
          <w:p>
            <w:pPr>
              <w:jc w:val="right"/>
              <w:spacing w:after="0" w:line="142" w:lineRule="exact"/>
              <w:rPr>
                <w:sz w:val="20"/>
                <w:szCs w:val="20"/>
                <w:color w:val="auto"/>
              </w:rPr>
            </w:pPr>
            <w:r>
              <w:rPr>
                <w:rFonts w:ascii="Arial" w:cs="Arial" w:eastAsia="Arial" w:hAnsi="Arial"/>
                <w:sz w:val="11"/>
                <w:szCs w:val="11"/>
                <w:color w:val="auto"/>
              </w:rPr>
              <w:t>$928,095</w:t>
            </w:r>
            <w:r>
              <w:rPr>
                <w:rFonts w:ascii="Arial" w:cs="Arial" w:eastAsia="Arial" w:hAnsi="Arial"/>
                <w:sz w:val="16"/>
                <w:szCs w:val="16"/>
                <w:color w:val="auto"/>
                <w:vertAlign w:val="superscript"/>
              </w:rPr>
              <w:t>12</w:t>
            </w:r>
          </w:p>
        </w:tc>
        <w:tc>
          <w:tcPr>
            <w:tcW w:w="1180" w:type="dxa"/>
            <w:vAlign w:val="bottom"/>
            <w:tcBorders>
              <w:bottom w:val="single" w:sz="8" w:color="2459A8"/>
            </w:tcBorders>
            <w:shd w:val="clear" w:color="auto" w:fill="EEEEEF"/>
          </w:tcPr>
          <w:p>
            <w:pPr>
              <w:jc w:val="right"/>
              <w:ind w:right="47"/>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13</w:t>
            </w:r>
          </w:p>
        </w:tc>
        <w:tc>
          <w:tcPr>
            <w:tcW w:w="960" w:type="dxa"/>
            <w:vAlign w:val="bottom"/>
            <w:tcBorders>
              <w:bottom w:val="single" w:sz="8" w:color="2459A8"/>
            </w:tcBorders>
            <w:shd w:val="clear" w:color="auto" w:fill="EEEEEF"/>
          </w:tcPr>
          <w:p>
            <w:pPr>
              <w:jc w:val="center"/>
              <w:ind w:right="77"/>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2459A8"/>
            </w:tcBorders>
            <w:shd w:val="clear" w:color="auto" w:fill="EEEEEF"/>
          </w:tcPr>
          <w:p>
            <w:pPr>
              <w:jc w:val="right"/>
              <w:ind w:right="59"/>
              <w:spacing w:after="0" w:line="142" w:lineRule="exact"/>
              <w:rPr>
                <w:sz w:val="20"/>
                <w:szCs w:val="20"/>
                <w:color w:val="auto"/>
              </w:rPr>
            </w:pPr>
            <w:r>
              <w:rPr>
                <w:rFonts w:ascii="Arial" w:cs="Arial" w:eastAsia="Arial" w:hAnsi="Arial"/>
                <w:sz w:val="13"/>
                <w:szCs w:val="13"/>
                <w:color w:val="auto"/>
              </w:rPr>
              <w:t>$1,067,588</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720" w:right="560" w:hanging="172"/>
        <w:spacing w:after="0" w:line="243" w:lineRule="auto"/>
        <w:tabs>
          <w:tab w:leader="none" w:pos="720" w:val="left"/>
        </w:tabs>
        <w:numPr>
          <w:ilvl w:val="0"/>
          <w:numId w:val="169"/>
        </w:numPr>
        <w:rPr>
          <w:rFonts w:ascii="Arial" w:cs="Arial" w:eastAsia="Arial" w:hAnsi="Arial"/>
          <w:sz w:val="14"/>
          <w:szCs w:val="14"/>
          <w:color w:val="215BA8"/>
        </w:rPr>
      </w:pPr>
      <w:r>
        <w:rPr>
          <w:rFonts w:ascii="Arial" w:cs="Arial" w:eastAsia="Arial" w:hAnsi="Arial"/>
          <w:sz w:val="14"/>
          <w:szCs w:val="14"/>
          <w:color w:val="1A1A1A"/>
        </w:rPr>
        <w:t>For purposes of these calculations, (i) we used Dr. Schleifer’s 2021 base salary and the annual cash incentives paid to Dr. Schleifer for performance in 2018, 2019, and 2020, respectively; (ii) we assumed that Dr. Schleifer received his annual cash incentive that was earned in 2021 and paid in 2022 (described in the Summary Compensation Table above);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 6.5% annual increase in medical premiums, 4% annual increase in dental premiums, and no increase in annual disability or life insurance premiums; (v) we assumed that the medical and dental insurance benefits received in 2022, 2023, and 2024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assessing excise tax liabilities and potential cutbacks; and (vii) although certain payments to Dr. Schleifer would be subject to potential delays upon separation of service under Section 409A, we did not attempt to determine which, if any, payments would be delayed or revise the values to reflect any such delay.</w:t>
      </w:r>
    </w:p>
    <w:p>
      <w:pPr>
        <w:spacing w:after="0" w:line="70" w:lineRule="exact"/>
        <w:rPr>
          <w:sz w:val="20"/>
          <w:szCs w:val="20"/>
          <w:color w:val="auto"/>
        </w:rPr>
      </w:pPr>
    </w:p>
    <w:p>
      <w:pPr>
        <w:ind w:left="720" w:right="580" w:hanging="172"/>
        <w:spacing w:after="0" w:line="249" w:lineRule="auto"/>
        <w:tabs>
          <w:tab w:leader="none" w:pos="720" w:val="left"/>
        </w:tabs>
        <w:numPr>
          <w:ilvl w:val="0"/>
          <w:numId w:val="170"/>
        </w:numPr>
        <w:rPr>
          <w:rFonts w:ascii="Arial" w:cs="Arial" w:eastAsia="Arial" w:hAnsi="Arial"/>
          <w:sz w:val="14"/>
          <w:szCs w:val="14"/>
          <w:color w:val="215BA8"/>
        </w:rPr>
      </w:pPr>
      <w:r>
        <w:rPr>
          <w:rFonts w:ascii="Arial" w:cs="Arial" w:eastAsia="Arial" w:hAnsi="Arial"/>
          <w:sz w:val="14"/>
          <w:szCs w:val="14"/>
          <w:color w:val="1A1A1A"/>
        </w:rPr>
        <w:t>Equal to three times the sum of (a) Dr. Schleifer’s 2021 base salary and (b) the average annual cash incentive paid to Dr. Schleifer for performance in the three completed years prior to the termination date. For purposes of this calculation, we used Dr. Schleifer’s annual cash incentives for performance in 2018, 2019, and 2020.</w:t>
      </w:r>
    </w:p>
    <w:p>
      <w:pPr>
        <w:spacing w:after="0" w:line="66" w:lineRule="exact"/>
        <w:rPr>
          <w:sz w:val="20"/>
          <w:szCs w:val="20"/>
          <w:color w:val="auto"/>
        </w:rPr>
      </w:pPr>
    </w:p>
    <w:p>
      <w:pPr>
        <w:ind w:left="720" w:hanging="172"/>
        <w:spacing w:after="0"/>
        <w:tabs>
          <w:tab w:leader="none" w:pos="720" w:val="left"/>
        </w:tabs>
        <w:numPr>
          <w:ilvl w:val="0"/>
          <w:numId w:val="171"/>
        </w:numPr>
        <w:rPr>
          <w:rFonts w:ascii="Arial" w:cs="Arial" w:eastAsia="Arial" w:hAnsi="Arial"/>
          <w:sz w:val="14"/>
          <w:szCs w:val="14"/>
          <w:color w:val="215BA8"/>
        </w:rPr>
      </w:pPr>
      <w:r>
        <w:rPr>
          <w:rFonts w:ascii="Arial" w:cs="Arial" w:eastAsia="Arial" w:hAnsi="Arial"/>
          <w:sz w:val="14"/>
          <w:szCs w:val="14"/>
          <w:color w:val="1A1A1A"/>
        </w:rPr>
        <w:t>Equal to the estimated cost of providing Dr. Schleifer and his dependents medical, dental, and life insurance benefits for 36 months.</w:t>
      </w:r>
    </w:p>
    <w:p>
      <w:pPr>
        <w:spacing w:after="0" w:line="82" w:lineRule="exact"/>
        <w:rPr>
          <w:rFonts w:ascii="Arial" w:cs="Arial" w:eastAsia="Arial" w:hAnsi="Arial"/>
          <w:sz w:val="14"/>
          <w:szCs w:val="14"/>
          <w:color w:val="215BA8"/>
        </w:rPr>
      </w:pPr>
    </w:p>
    <w:p>
      <w:pPr>
        <w:ind w:left="540"/>
        <w:spacing w:after="0"/>
        <w:rPr>
          <w:rFonts w:ascii="Arial" w:cs="Arial" w:eastAsia="Arial" w:hAnsi="Arial"/>
          <w:sz w:val="14"/>
          <w:szCs w:val="14"/>
          <w:color w:val="215BA8"/>
        </w:rPr>
      </w:pPr>
      <w:r>
        <w:rPr>
          <w:rFonts w:ascii="Arial" w:cs="Arial" w:eastAsia="Arial" w:hAnsi="Arial"/>
          <w:sz w:val="14"/>
          <w:szCs w:val="14"/>
          <w:color w:val="215BA8"/>
        </w:rPr>
        <w:t xml:space="preserve">4 </w:t>
      </w:r>
      <w:r>
        <w:rPr>
          <w:rFonts w:ascii="Arial" w:cs="Arial" w:eastAsia="Arial" w:hAnsi="Arial"/>
          <w:sz w:val="14"/>
          <w:szCs w:val="14"/>
          <w:color w:val="1A1A1A"/>
        </w:rPr>
        <w:t>We maintain $1 million of term life insurance covering Dr. Schleifer payable to his designated beneficiary.</w:t>
      </w:r>
    </w:p>
    <w:p>
      <w:pPr>
        <w:spacing w:after="0" w:line="82" w:lineRule="exact"/>
        <w:rPr>
          <w:sz w:val="20"/>
          <w:szCs w:val="20"/>
          <w:color w:val="auto"/>
        </w:rPr>
      </w:pPr>
    </w:p>
    <w:p>
      <w:pPr>
        <w:ind w:left="720" w:right="620" w:hanging="172"/>
        <w:spacing w:after="0" w:line="244" w:lineRule="auto"/>
        <w:tabs>
          <w:tab w:leader="none" w:pos="720" w:val="left"/>
        </w:tabs>
        <w:numPr>
          <w:ilvl w:val="0"/>
          <w:numId w:val="172"/>
        </w:numPr>
        <w:rPr>
          <w:rFonts w:ascii="Arial" w:cs="Arial" w:eastAsia="Arial" w:hAnsi="Arial"/>
          <w:sz w:val="14"/>
          <w:szCs w:val="14"/>
          <w:color w:val="215BA8"/>
        </w:rPr>
      </w:pPr>
      <w:r>
        <w:rPr>
          <w:rFonts w:ascii="Arial" w:cs="Arial" w:eastAsia="Arial" w:hAnsi="Arial"/>
          <w:sz w:val="14"/>
          <w:szCs w:val="14"/>
          <w:color w:val="1A1A1A"/>
        </w:rPr>
        <w:t>Equal to the sum of (a) the aggregate amount of the differences between the exercise prices of Dr. Schleifer’s accelerated stock options and the closing sales price per share of the Company’s common stock on the Nasdaq Global Select Market on December 31, 2021, the last business day of 2021, of $631.52 and (b) the value of 25,155 PSUs from his 2019 grant and 126,853 PSUs from his 2020 grant that would have been earned had the applicable vesting determination been made on December 31, 2021 in respect of performance for the period from the date of grant to December 31, 2021. In the case of the 2020 PSUs, this calculation assumes a change of control transaction price equal to the closing sales price per share of the Company’s common stock on the Nasdaq Global Select Market on December 31, 2021.</w:t>
      </w:r>
    </w:p>
    <w:p>
      <w:pPr>
        <w:spacing w:after="0" w:line="71" w:lineRule="exact"/>
        <w:rPr>
          <w:sz w:val="20"/>
          <w:szCs w:val="20"/>
          <w:color w:val="auto"/>
        </w:rPr>
      </w:pPr>
    </w:p>
    <w:p>
      <w:pPr>
        <w:ind w:left="720" w:right="560" w:hanging="172"/>
        <w:spacing w:after="0" w:line="246" w:lineRule="auto"/>
        <w:tabs>
          <w:tab w:leader="none" w:pos="720" w:val="left"/>
        </w:tabs>
        <w:numPr>
          <w:ilvl w:val="0"/>
          <w:numId w:val="173"/>
        </w:numPr>
        <w:rPr>
          <w:rFonts w:ascii="Arial" w:cs="Arial" w:eastAsia="Arial" w:hAnsi="Arial"/>
          <w:sz w:val="14"/>
          <w:szCs w:val="14"/>
          <w:color w:val="215BA8"/>
        </w:rPr>
      </w:pPr>
      <w:r>
        <w:rPr>
          <w:rFonts w:ascii="Arial" w:cs="Arial" w:eastAsia="Arial" w:hAnsi="Arial"/>
          <w:sz w:val="14"/>
          <w:szCs w:val="14"/>
          <w:color w:val="1A1A1A"/>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10%. Otherwise, we will pay him an additional “gross up” amount so that his after-tax benefits are the same as though no excise tax had been applied. We have determined that Dr. Schleifer would not have been subject to excise taxes if he had been terminated on December 31, 2021 as a result of a change of control.</w:t>
      </w:r>
    </w:p>
    <w:p>
      <w:pPr>
        <w:spacing w:after="0" w:line="231" w:lineRule="exact"/>
        <w:rPr>
          <w:sz w:val="20"/>
          <w:szCs w:val="20"/>
          <w:color w:val="auto"/>
        </w:rPr>
      </w:pPr>
    </w:p>
    <w:p>
      <w:pPr>
        <w:ind w:left="720" w:right="560" w:hanging="172"/>
        <w:spacing w:after="0" w:line="249" w:lineRule="auto"/>
        <w:tabs>
          <w:tab w:leader="none" w:pos="720" w:val="left"/>
        </w:tabs>
        <w:numPr>
          <w:ilvl w:val="0"/>
          <w:numId w:val="174"/>
        </w:numPr>
        <w:rPr>
          <w:rFonts w:ascii="Arial" w:cs="Arial" w:eastAsia="Arial" w:hAnsi="Arial"/>
          <w:sz w:val="14"/>
          <w:szCs w:val="14"/>
          <w:color w:val="215BA8"/>
        </w:rPr>
      </w:pPr>
      <w:r>
        <w:rPr>
          <w:rFonts w:ascii="Arial" w:cs="Arial" w:eastAsia="Arial" w:hAnsi="Arial"/>
          <w:sz w:val="14"/>
          <w:szCs w:val="14"/>
          <w:color w:val="1A1A1A"/>
        </w:rPr>
        <w:t>Equal to 1.25 times the sum of (a) Dr. Schleifer’s 2021 base salary and (b) the average annual cash incentive paid to Dr. Schleifer for performance in the three completed years prior to the termination date. For purposes of this calculation, we used Dr. Schleifer’s year-end cash incentive awards for performance in 2018, 2019, and 2020.</w:t>
      </w:r>
    </w:p>
    <w:p>
      <w:pPr>
        <w:spacing w:after="0" w:line="66" w:lineRule="exact"/>
        <w:rPr>
          <w:sz w:val="20"/>
          <w:szCs w:val="20"/>
          <w:color w:val="auto"/>
        </w:rPr>
      </w:pPr>
    </w:p>
    <w:p>
      <w:pPr>
        <w:ind w:left="720" w:hanging="172"/>
        <w:spacing w:after="0"/>
        <w:tabs>
          <w:tab w:leader="none" w:pos="720" w:val="left"/>
        </w:tabs>
        <w:numPr>
          <w:ilvl w:val="0"/>
          <w:numId w:val="175"/>
        </w:numPr>
        <w:rPr>
          <w:rFonts w:ascii="Arial" w:cs="Arial" w:eastAsia="Arial" w:hAnsi="Arial"/>
          <w:sz w:val="14"/>
          <w:szCs w:val="14"/>
          <w:color w:val="215BA8"/>
        </w:rPr>
      </w:pPr>
      <w:r>
        <w:rPr>
          <w:rFonts w:ascii="Arial" w:cs="Arial" w:eastAsia="Arial" w:hAnsi="Arial"/>
          <w:sz w:val="14"/>
          <w:szCs w:val="14"/>
          <w:color w:val="1A1A1A"/>
        </w:rPr>
        <w:t>Equal to the estimated cost of providing Dr. Schleifer and his dependents medical, dental, and life insurance benefits for 18 months.</w:t>
      </w:r>
    </w:p>
    <w:p>
      <w:pPr>
        <w:spacing w:after="0" w:line="82" w:lineRule="exact"/>
        <w:rPr>
          <w:sz w:val="20"/>
          <w:szCs w:val="20"/>
          <w:color w:val="auto"/>
        </w:rPr>
      </w:pPr>
    </w:p>
    <w:p>
      <w:pPr>
        <w:ind w:left="720" w:right="600" w:hanging="172"/>
        <w:spacing w:after="0" w:line="244" w:lineRule="auto"/>
        <w:tabs>
          <w:tab w:leader="none" w:pos="720" w:val="left"/>
        </w:tabs>
        <w:numPr>
          <w:ilvl w:val="0"/>
          <w:numId w:val="176"/>
        </w:numPr>
        <w:rPr>
          <w:rFonts w:ascii="Arial" w:cs="Arial" w:eastAsia="Arial" w:hAnsi="Arial"/>
          <w:sz w:val="14"/>
          <w:szCs w:val="14"/>
          <w:color w:val="215BA8"/>
        </w:rPr>
      </w:pPr>
      <w:r>
        <w:rPr>
          <w:rFonts w:ascii="Arial" w:cs="Arial" w:eastAsia="Arial" w:hAnsi="Arial"/>
          <w:sz w:val="14"/>
          <w:szCs w:val="14"/>
          <w:color w:val="1A1A1A"/>
        </w:rPr>
        <w:t>Equal to the value of 132,481 PSUs from Dr. Schleifer’s 2020 grant that would have been earned had a vesting determination been made on December 31, 2021 in respect of performance for the period from the date of grant to December 31, 2021 (and disregarding that PSUs not earned as of such termination date would have 12 additional months to be earned under the terms of the applicable award agreement). In addition, under such a scenario (i) all of Dr. Schleifer’s unvested stock options would continue to vest in accordance with the terms of the applicable award grant and he would be entitled to exercise all of his stock options throughout the remainder of their original term, and (ii) all of his unvested PSUs from the 2019 grant would remain outstanding (with vesting and forfeiture determined in the manner set forth in the applicable award agreement).</w:t>
      </w:r>
    </w:p>
    <w:p>
      <w:pPr>
        <w:spacing w:after="0" w:line="71" w:lineRule="exact"/>
        <w:rPr>
          <w:sz w:val="20"/>
          <w:szCs w:val="20"/>
          <w:color w:val="auto"/>
        </w:rPr>
      </w:pPr>
    </w:p>
    <w:p>
      <w:pPr>
        <w:ind w:left="540"/>
        <w:spacing w:after="0"/>
        <w:rPr>
          <w:sz w:val="20"/>
          <w:szCs w:val="20"/>
          <w:color w:val="auto"/>
        </w:rPr>
      </w:pPr>
      <w:r>
        <w:rPr>
          <w:rFonts w:ascii="Arial" w:cs="Arial" w:eastAsia="Arial" w:hAnsi="Arial"/>
          <w:sz w:val="14"/>
          <w:szCs w:val="14"/>
          <w:color w:val="215BA8"/>
        </w:rPr>
        <w:t>10</w:t>
      </w:r>
      <w:r>
        <w:rPr>
          <w:rFonts w:ascii="Arial" w:cs="Arial" w:eastAsia="Arial" w:hAnsi="Arial"/>
          <w:sz w:val="14"/>
          <w:szCs w:val="14"/>
          <w:color w:val="1A1A1A"/>
        </w:rPr>
        <w:t>Equal to the estimated cost of providing Dr. Schleifer’s dependents medical and dental benefits for 18 months.</w:t>
      </w:r>
    </w:p>
    <w:p>
      <w:pPr>
        <w:spacing w:after="0" w:line="82" w:lineRule="exact"/>
        <w:rPr>
          <w:sz w:val="20"/>
          <w:szCs w:val="20"/>
          <w:color w:val="auto"/>
        </w:rPr>
      </w:pPr>
    </w:p>
    <w:p>
      <w:pPr>
        <w:ind w:left="720" w:right="780" w:hanging="174"/>
        <w:spacing w:after="0" w:line="245" w:lineRule="auto"/>
        <w:rPr>
          <w:sz w:val="20"/>
          <w:szCs w:val="20"/>
          <w:color w:val="auto"/>
        </w:rPr>
      </w:pPr>
      <w:r>
        <w:rPr>
          <w:rFonts w:ascii="Arial" w:cs="Arial" w:eastAsia="Arial" w:hAnsi="Arial"/>
          <w:sz w:val="14"/>
          <w:szCs w:val="14"/>
          <w:color w:val="215BA8"/>
        </w:rPr>
        <w:t>11</w:t>
      </w:r>
      <w:r>
        <w:rPr>
          <w:rFonts w:ascii="Arial" w:cs="Arial" w:eastAsia="Arial" w:hAnsi="Arial"/>
          <w:sz w:val="14"/>
          <w:szCs w:val="14"/>
          <w:color w:val="1A1A1A"/>
        </w:rPr>
        <w:t>As discussed in “Compensation Dashboard—Additional Compensation Information—Potential Severance Payments,” unvested stock options held by any</w:t>
      </w:r>
      <w:r>
        <w:rPr>
          <w:rFonts w:ascii="Arial" w:cs="Arial" w:eastAsia="Arial" w:hAnsi="Arial"/>
          <w:sz w:val="14"/>
          <w:szCs w:val="14"/>
          <w:color w:val="215BA8"/>
        </w:rPr>
        <w:t xml:space="preserve"> </w:t>
      </w:r>
      <w:r>
        <w:rPr>
          <w:rFonts w:ascii="Arial" w:cs="Arial" w:eastAsia="Arial" w:hAnsi="Arial"/>
          <w:sz w:val="14"/>
          <w:szCs w:val="14"/>
          <w:color w:val="1A1A1A"/>
        </w:rPr>
        <w:t>employee (including Dr. Schleifer) become immediately exercisable upon his or her death. The value of such accelerated stock options would have been $18,594,801. In addition, any PSUs held by Dr. Schleifer will remain outstanding upon his death, and any vesting or forfeiture of such PSUs will be determined following the completion of the applicable performance period as it otherwise would have been determined if he remained employed by the Company for the duration of such performance period.</w:t>
      </w:r>
    </w:p>
    <w:p>
      <w:pPr>
        <w:spacing w:after="0" w:line="69" w:lineRule="exact"/>
        <w:rPr>
          <w:sz w:val="20"/>
          <w:szCs w:val="20"/>
          <w:color w:val="auto"/>
        </w:rPr>
      </w:pPr>
    </w:p>
    <w:p>
      <w:pPr>
        <w:ind w:left="720" w:right="600" w:hanging="174"/>
        <w:spacing w:after="0" w:line="258" w:lineRule="auto"/>
        <w:rPr>
          <w:sz w:val="20"/>
          <w:szCs w:val="20"/>
          <w:color w:val="auto"/>
        </w:rPr>
      </w:pPr>
      <w:r>
        <w:rPr>
          <w:rFonts w:ascii="Arial" w:cs="Arial" w:eastAsia="Arial" w:hAnsi="Arial"/>
          <w:sz w:val="14"/>
          <w:szCs w:val="14"/>
          <w:color w:val="215BA8"/>
        </w:rPr>
        <w:t>12</w:t>
      </w:r>
      <w:r>
        <w:rPr>
          <w:rFonts w:ascii="Arial" w:cs="Arial" w:eastAsia="Arial" w:hAnsi="Arial"/>
          <w:sz w:val="14"/>
          <w:szCs w:val="14"/>
          <w:color w:val="1A1A1A"/>
        </w:rPr>
        <w:t>Represents 35% of Dr. Schleifer’s 2021 salary over a period of 18 months. We have assumed long-term disability coverage exists pursuant to Dr. Schleifer’s</w:t>
      </w:r>
      <w:r>
        <w:rPr>
          <w:rFonts w:ascii="Arial" w:cs="Arial" w:eastAsia="Arial" w:hAnsi="Arial"/>
          <w:sz w:val="14"/>
          <w:szCs w:val="14"/>
          <w:color w:val="215BA8"/>
        </w:rPr>
        <w:t xml:space="preserve"> </w:t>
      </w:r>
      <w:r>
        <w:rPr>
          <w:rFonts w:ascii="Arial" w:cs="Arial" w:eastAsia="Arial" w:hAnsi="Arial"/>
          <w:sz w:val="14"/>
          <w:szCs w:val="14"/>
          <w:color w:val="1A1A1A"/>
        </w:rPr>
        <w:t>employment agreement for the remaining 65% of Dr. Schleifer’s salary.</w:t>
      </w:r>
    </w:p>
    <w:p>
      <w:pPr>
        <w:spacing w:after="0" w:line="59" w:lineRule="exact"/>
        <w:rPr>
          <w:sz w:val="20"/>
          <w:szCs w:val="20"/>
          <w:color w:val="auto"/>
        </w:rPr>
      </w:pPr>
    </w:p>
    <w:p>
      <w:pPr>
        <w:ind w:left="720" w:right="640" w:hanging="174"/>
        <w:spacing w:after="0" w:line="249" w:lineRule="auto"/>
        <w:rPr>
          <w:sz w:val="20"/>
          <w:szCs w:val="20"/>
          <w:color w:val="auto"/>
        </w:rPr>
      </w:pPr>
      <w:r>
        <w:rPr>
          <w:rFonts w:ascii="Arial" w:cs="Arial" w:eastAsia="Arial" w:hAnsi="Arial"/>
          <w:sz w:val="14"/>
          <w:szCs w:val="14"/>
          <w:color w:val="215BA8"/>
        </w:rPr>
        <w:t>13</w:t>
      </w:r>
      <w:r>
        <w:rPr>
          <w:rFonts w:ascii="Arial" w:cs="Arial" w:eastAsia="Arial" w:hAnsi="Arial"/>
          <w:sz w:val="14"/>
          <w:szCs w:val="14"/>
          <w:color w:val="1A1A1A"/>
        </w:rPr>
        <w:t>In the case of a termination of Dr. Schleifer’s employment due to disability, (i) all of his unvested stock options would continue to vest in accordance with the</w:t>
      </w:r>
      <w:r>
        <w:rPr>
          <w:rFonts w:ascii="Arial" w:cs="Arial" w:eastAsia="Arial" w:hAnsi="Arial"/>
          <w:sz w:val="14"/>
          <w:szCs w:val="14"/>
          <w:color w:val="215BA8"/>
        </w:rPr>
        <w:t xml:space="preserve"> </w:t>
      </w:r>
      <w:r>
        <w:rPr>
          <w:rFonts w:ascii="Arial" w:cs="Arial" w:eastAsia="Arial" w:hAnsi="Arial"/>
          <w:sz w:val="14"/>
          <w:szCs w:val="14"/>
          <w:color w:val="1A1A1A"/>
        </w:rPr>
        <w:t>terms of the applicable award grant and he would be entitled to exercise the stock options throughout their original term, and (ii) any PSUs held by Dr. Schleifer would remain outstanding (with vesting and forfeiture determined in the manner set forth in the applicable award agreement).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89</w:t>
            </w:r>
          </w:p>
        </w:tc>
      </w:tr>
      <w:tr>
        <w:trPr>
          <w:trHeight w:val="221"/>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104" w:name="page105"/>
    <w:bookmarkEnd w:id="104"/>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Change in Control Severance Plan</w:t>
      </w:r>
    </w:p>
    <w:p>
      <w:pPr>
        <w:spacing w:after="0" w:line="187" w:lineRule="exact"/>
        <w:rPr>
          <w:sz w:val="20"/>
          <w:szCs w:val="20"/>
          <w:color w:val="auto"/>
        </w:rPr>
      </w:pPr>
    </w:p>
    <w:p>
      <w:pPr>
        <w:ind w:left="540" w:right="540"/>
        <w:spacing w:after="0" w:line="232" w:lineRule="auto"/>
        <w:rPr>
          <w:sz w:val="20"/>
          <w:szCs w:val="20"/>
          <w:color w:val="auto"/>
        </w:rPr>
      </w:pPr>
      <w:r>
        <w:rPr>
          <w:rFonts w:ascii="Arial" w:cs="Arial" w:eastAsia="Arial" w:hAnsi="Arial"/>
          <w:sz w:val="16"/>
          <w:szCs w:val="16"/>
          <w:color w:val="auto"/>
        </w:rPr>
        <w:t>Each of the NEOs, other than our CEO,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w:t>
      </w:r>
    </w:p>
    <w:p>
      <w:pPr>
        <w:spacing w:after="0" w:line="150"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NEOs other than Dr. Schleifer, two times the sum of the participant’s annual base salary and his or her average annual cash incentive over the prior three years if, within two years after or 180 days before a change in control, either the participant resigns his or her employment for Good Reason (as defined in the plan) or the participant’s employment is terminated by the Company for any reason other than Cause (as defined in the plan). This amount will be paid in a lump-sum severance payment. A participant so terminated is also entitled to receive a pro-rata annual cash incentive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 have been if he or she had continued his or her employment with the Company.</w:t>
      </w:r>
    </w:p>
    <w:p>
      <w:pPr>
        <w:spacing w:after="0" w:line="155" w:lineRule="exact"/>
        <w:rPr>
          <w:sz w:val="20"/>
          <w:szCs w:val="20"/>
          <w:color w:val="auto"/>
        </w:rPr>
      </w:pPr>
    </w:p>
    <w:p>
      <w:pPr>
        <w:ind w:left="540" w:right="560"/>
        <w:spacing w:after="0" w:line="230"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two years after or 180 days before a change in control, then, unless otherwise provided in an award agreement,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30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155" w:lineRule="exact"/>
        <w:rPr>
          <w:sz w:val="20"/>
          <w:szCs w:val="20"/>
          <w:color w:val="auto"/>
        </w:rPr>
      </w:pPr>
    </w:p>
    <w:p>
      <w:pPr>
        <w:ind w:left="540" w:right="560"/>
        <w:spacing w:after="0" w:line="232" w:lineRule="auto"/>
        <w:rPr>
          <w:sz w:val="20"/>
          <w:szCs w:val="20"/>
          <w:color w:val="auto"/>
        </w:rPr>
      </w:pPr>
      <w:r>
        <w:rPr>
          <w:rFonts w:ascii="Arial" w:cs="Arial" w:eastAsia="Arial" w:hAnsi="Arial"/>
          <w:sz w:val="16"/>
          <w:szCs w:val="16"/>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153" w:lineRule="exact"/>
        <w:rPr>
          <w:sz w:val="20"/>
          <w:szCs w:val="20"/>
          <w:color w:val="auto"/>
        </w:rPr>
      </w:pPr>
    </w:p>
    <w:p>
      <w:pPr>
        <w:ind w:left="540" w:right="640"/>
        <w:spacing w:after="0" w:line="232" w:lineRule="auto"/>
        <w:rPr>
          <w:sz w:val="20"/>
          <w:szCs w:val="20"/>
          <w:color w:val="auto"/>
        </w:rPr>
      </w:pPr>
      <w:r>
        <w:rPr>
          <w:rFonts w:ascii="Arial" w:cs="Arial" w:eastAsia="Arial" w:hAnsi="Arial"/>
          <w:sz w:val="16"/>
          <w:szCs w:val="16"/>
          <w:color w:val="auto"/>
        </w:rPr>
        <w:t>The following table shows the potential payments to our NEOs (other than our CEO), upon their hypothetical termination (other than for Cause) or resignation for Good Reason, in the two years following, or the 180 days prior to, a change in control. The information in the table below assumes an effective termination or resignation date of December 31, 2021 and is further based on the assumptions set forth in the footnotes to the table; actual values and amounts may differ from those presented below.</w:t>
      </w:r>
    </w:p>
    <w:p>
      <w:pPr>
        <w:spacing w:after="0" w:line="187"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90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105" w:name="page106"/>
    <w:bookmarkEnd w:id="105"/>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D60058"/>
        </w:rPr>
        <w:t>Potential Payments under Change in Control Severance Plan</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3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jc w:val="center"/>
              <w:ind w:right="18"/>
              <w:spacing w:after="0"/>
              <w:rPr>
                <w:sz w:val="20"/>
                <w:szCs w:val="20"/>
                <w:color w:val="auto"/>
              </w:rPr>
            </w:pPr>
            <w:r>
              <w:rPr>
                <w:rFonts w:ascii="Arial" w:cs="Arial" w:eastAsia="Arial" w:hAnsi="Arial"/>
                <w:sz w:val="12"/>
                <w:szCs w:val="12"/>
                <w:b w:val="1"/>
                <w:bCs w:val="1"/>
                <w:color w:val="215BA8"/>
                <w:w w:val="98"/>
              </w:rPr>
              <w:t>Value of</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35"/>
        </w:trPr>
        <w:tc>
          <w:tcPr>
            <w:tcW w:w="35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jc w:val="center"/>
              <w:ind w:right="18"/>
              <w:spacing w:after="0" w:line="135" w:lineRule="exact"/>
              <w:rPr>
                <w:sz w:val="20"/>
                <w:szCs w:val="20"/>
                <w:color w:val="auto"/>
              </w:rPr>
            </w:pPr>
            <w:r>
              <w:rPr>
                <w:rFonts w:ascii="Arial" w:cs="Arial" w:eastAsia="Arial" w:hAnsi="Arial"/>
                <w:sz w:val="12"/>
                <w:szCs w:val="12"/>
                <w:b w:val="1"/>
                <w:bCs w:val="1"/>
                <w:color w:val="215BA8"/>
                <w:w w:val="97"/>
              </w:rPr>
              <w:t>Accelerated Stock</w:t>
            </w:r>
          </w:p>
        </w:tc>
        <w:tc>
          <w:tcPr>
            <w:tcW w:w="9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1"/>
        </w:trPr>
        <w:tc>
          <w:tcPr>
            <w:tcW w:w="3580" w:type="dxa"/>
            <w:vAlign w:val="bottom"/>
          </w:tcPr>
          <w:p>
            <w:pPr>
              <w:spacing w:after="0"/>
              <w:rPr>
                <w:sz w:val="12"/>
                <w:szCs w:val="12"/>
                <w:color w:val="auto"/>
              </w:rPr>
            </w:pPr>
          </w:p>
        </w:tc>
        <w:tc>
          <w:tcPr>
            <w:tcW w:w="2180" w:type="dxa"/>
            <w:vAlign w:val="bottom"/>
          </w:tcPr>
          <w:p>
            <w:pPr>
              <w:jc w:val="right"/>
              <w:ind w:right="397"/>
              <w:spacing w:after="0"/>
              <w:rPr>
                <w:sz w:val="20"/>
                <w:szCs w:val="20"/>
                <w:color w:val="auto"/>
              </w:rPr>
            </w:pPr>
            <w:r>
              <w:rPr>
                <w:rFonts w:ascii="Arial" w:cs="Arial" w:eastAsia="Arial" w:hAnsi="Arial"/>
                <w:sz w:val="12"/>
                <w:szCs w:val="12"/>
                <w:b w:val="1"/>
                <w:bCs w:val="1"/>
                <w:color w:val="215BA8"/>
              </w:rPr>
              <w:t>Cash</w:t>
            </w:r>
          </w:p>
        </w:tc>
        <w:tc>
          <w:tcPr>
            <w:tcW w:w="1060" w:type="dxa"/>
            <w:vAlign w:val="bottom"/>
          </w:tcPr>
          <w:p>
            <w:pPr>
              <w:jc w:val="right"/>
              <w:ind w:right="237"/>
              <w:spacing w:after="0"/>
              <w:rPr>
                <w:sz w:val="20"/>
                <w:szCs w:val="20"/>
                <w:color w:val="auto"/>
              </w:rPr>
            </w:pPr>
            <w:r>
              <w:rPr>
                <w:rFonts w:ascii="Arial" w:cs="Arial" w:eastAsia="Arial" w:hAnsi="Arial"/>
                <w:sz w:val="12"/>
                <w:szCs w:val="12"/>
                <w:b w:val="1"/>
                <w:bCs w:val="1"/>
                <w:color w:val="215BA8"/>
              </w:rPr>
              <w:t>Benefits</w:t>
            </w:r>
          </w:p>
        </w:tc>
        <w:tc>
          <w:tcPr>
            <w:tcW w:w="1220" w:type="dxa"/>
            <w:vAlign w:val="bottom"/>
          </w:tcPr>
          <w:p>
            <w:pPr>
              <w:jc w:val="center"/>
              <w:ind w:right="18"/>
              <w:spacing w:after="0"/>
              <w:rPr>
                <w:sz w:val="20"/>
                <w:szCs w:val="20"/>
                <w:color w:val="auto"/>
              </w:rPr>
            </w:pPr>
            <w:r>
              <w:rPr>
                <w:rFonts w:ascii="Arial" w:cs="Arial" w:eastAsia="Arial" w:hAnsi="Arial"/>
                <w:sz w:val="12"/>
                <w:szCs w:val="12"/>
                <w:b w:val="1"/>
                <w:bCs w:val="1"/>
                <w:color w:val="215BA8"/>
                <w:w w:val="97"/>
              </w:rPr>
              <w:t>Options/RSAs/</w:t>
            </w:r>
          </w:p>
        </w:tc>
        <w:tc>
          <w:tcPr>
            <w:tcW w:w="940" w:type="dxa"/>
            <w:vAlign w:val="bottom"/>
          </w:tcPr>
          <w:p>
            <w:pPr>
              <w:spacing w:after="0"/>
              <w:rPr>
                <w:sz w:val="12"/>
                <w:szCs w:val="12"/>
                <w:color w:val="auto"/>
              </w:rPr>
            </w:pPr>
          </w:p>
        </w:tc>
        <w:tc>
          <w:tcPr>
            <w:tcW w:w="1180" w:type="dxa"/>
            <w:vAlign w:val="bottom"/>
          </w:tcPr>
          <w:p>
            <w:pPr>
              <w:jc w:val="right"/>
              <w:ind w:right="357"/>
              <w:spacing w:after="0"/>
              <w:rPr>
                <w:sz w:val="20"/>
                <w:szCs w:val="20"/>
                <w:color w:val="auto"/>
              </w:rPr>
            </w:pPr>
            <w:r>
              <w:rPr>
                <w:rFonts w:ascii="Arial" w:cs="Arial" w:eastAsia="Arial" w:hAnsi="Arial"/>
                <w:sz w:val="12"/>
                <w:szCs w:val="12"/>
                <w:b w:val="1"/>
                <w:bCs w:val="1"/>
                <w:color w:val="215BA8"/>
              </w:rPr>
              <w:t>Total</w:t>
            </w:r>
          </w:p>
        </w:tc>
      </w:tr>
      <w:tr>
        <w:trPr>
          <w:trHeight w:val="181"/>
        </w:trPr>
        <w:tc>
          <w:tcPr>
            <w:tcW w:w="3580" w:type="dxa"/>
            <w:vAlign w:val="bottom"/>
            <w:tcBorders>
              <w:bottom w:val="single" w:sz="8" w:color="58585A"/>
            </w:tcBorders>
          </w:tcPr>
          <w:p>
            <w:pPr>
              <w:spacing w:after="0"/>
              <w:rPr>
                <w:sz w:val="15"/>
                <w:szCs w:val="15"/>
                <w:color w:val="auto"/>
              </w:rPr>
            </w:pPr>
          </w:p>
        </w:tc>
        <w:tc>
          <w:tcPr>
            <w:tcW w:w="2180" w:type="dxa"/>
            <w:vAlign w:val="bottom"/>
            <w:tcBorders>
              <w:bottom w:val="single" w:sz="8" w:color="58585A"/>
            </w:tcBorders>
          </w:tcPr>
          <w:p>
            <w:pPr>
              <w:jc w:val="right"/>
              <w:ind w:right="217"/>
              <w:spacing w:after="0" w:line="182" w:lineRule="exact"/>
              <w:rPr>
                <w:sz w:val="20"/>
                <w:szCs w:val="20"/>
                <w:color w:val="auto"/>
              </w:rPr>
            </w:pPr>
            <w:r>
              <w:rPr>
                <w:rFonts w:ascii="Arial" w:cs="Arial" w:eastAsia="Arial" w:hAnsi="Arial"/>
                <w:sz w:val="12"/>
                <w:szCs w:val="12"/>
                <w:b w:val="1"/>
                <w:bCs w:val="1"/>
                <w:color w:val="215BA8"/>
              </w:rPr>
              <w:t>Severance</w:t>
            </w:r>
            <w:r>
              <w:rPr>
                <w:rFonts w:ascii="Arial" w:cs="Arial" w:eastAsia="Arial" w:hAnsi="Arial"/>
                <w:sz w:val="19"/>
                <w:szCs w:val="19"/>
                <w:b w:val="1"/>
                <w:bCs w:val="1"/>
                <w:color w:val="215BA8"/>
                <w:vertAlign w:val="superscript"/>
              </w:rPr>
              <w:t>1</w:t>
            </w:r>
          </w:p>
        </w:tc>
        <w:tc>
          <w:tcPr>
            <w:tcW w:w="1060" w:type="dxa"/>
            <w:vAlign w:val="bottom"/>
            <w:tcBorders>
              <w:bottom w:val="single" w:sz="8" w:color="58585A"/>
            </w:tcBorders>
          </w:tcPr>
          <w:p>
            <w:pPr>
              <w:jc w:val="right"/>
              <w:ind w:right="77"/>
              <w:spacing w:after="0" w:line="182" w:lineRule="exact"/>
              <w:rPr>
                <w:sz w:val="20"/>
                <w:szCs w:val="20"/>
                <w:color w:val="auto"/>
              </w:rPr>
            </w:pPr>
            <w:r>
              <w:rPr>
                <w:rFonts w:ascii="Arial" w:cs="Arial" w:eastAsia="Arial" w:hAnsi="Arial"/>
                <w:sz w:val="12"/>
                <w:szCs w:val="12"/>
                <w:b w:val="1"/>
                <w:bCs w:val="1"/>
                <w:color w:val="215BA8"/>
              </w:rPr>
              <w:t>Continuation</w:t>
            </w:r>
            <w:r>
              <w:rPr>
                <w:rFonts w:ascii="Arial" w:cs="Arial" w:eastAsia="Arial" w:hAnsi="Arial"/>
                <w:sz w:val="19"/>
                <w:szCs w:val="19"/>
                <w:b w:val="1"/>
                <w:bCs w:val="1"/>
                <w:color w:val="215BA8"/>
                <w:vertAlign w:val="superscript"/>
              </w:rPr>
              <w:t>2</w:t>
            </w:r>
          </w:p>
        </w:tc>
        <w:tc>
          <w:tcPr>
            <w:tcW w:w="1220" w:type="dxa"/>
            <w:vAlign w:val="bottom"/>
            <w:tcBorders>
              <w:bottom w:val="single" w:sz="8" w:color="58585A"/>
            </w:tcBorders>
          </w:tcPr>
          <w:p>
            <w:pPr>
              <w:jc w:val="center"/>
              <w:spacing w:after="0" w:line="182" w:lineRule="exact"/>
              <w:rPr>
                <w:sz w:val="20"/>
                <w:szCs w:val="20"/>
                <w:color w:val="auto"/>
              </w:rPr>
            </w:pPr>
            <w:r>
              <w:rPr>
                <w:rFonts w:ascii="Arial" w:cs="Arial" w:eastAsia="Arial" w:hAnsi="Arial"/>
                <w:sz w:val="12"/>
                <w:szCs w:val="12"/>
                <w:b w:val="1"/>
                <w:bCs w:val="1"/>
                <w:color w:val="215BA8"/>
                <w:w w:val="93"/>
              </w:rPr>
              <w:t>PSUs</w:t>
            </w:r>
            <w:r>
              <w:rPr>
                <w:rFonts w:ascii="Arial" w:cs="Arial" w:eastAsia="Arial" w:hAnsi="Arial"/>
                <w:sz w:val="19"/>
                <w:szCs w:val="19"/>
                <w:b w:val="1"/>
                <w:bCs w:val="1"/>
                <w:color w:val="215BA8"/>
                <w:w w:val="93"/>
                <w:vertAlign w:val="superscript"/>
              </w:rPr>
              <w:t>3</w:t>
            </w:r>
          </w:p>
        </w:tc>
        <w:tc>
          <w:tcPr>
            <w:tcW w:w="940" w:type="dxa"/>
            <w:vAlign w:val="bottom"/>
            <w:tcBorders>
              <w:bottom w:val="single" w:sz="8" w:color="58585A"/>
            </w:tcBorders>
          </w:tcPr>
          <w:p>
            <w:pPr>
              <w:jc w:val="center"/>
              <w:ind w:right="56"/>
              <w:spacing w:after="0" w:line="182" w:lineRule="exact"/>
              <w:rPr>
                <w:sz w:val="20"/>
                <w:szCs w:val="20"/>
                <w:color w:val="auto"/>
              </w:rPr>
            </w:pPr>
            <w:r>
              <w:rPr>
                <w:rFonts w:ascii="Arial" w:cs="Arial" w:eastAsia="Arial" w:hAnsi="Arial"/>
                <w:sz w:val="12"/>
                <w:szCs w:val="12"/>
                <w:b w:val="1"/>
                <w:bCs w:val="1"/>
                <w:color w:val="215BA8"/>
                <w:w w:val="91"/>
              </w:rPr>
              <w:t>Cutback</w:t>
            </w:r>
            <w:r>
              <w:rPr>
                <w:rFonts w:ascii="Arial" w:cs="Arial" w:eastAsia="Arial" w:hAnsi="Arial"/>
                <w:sz w:val="19"/>
                <w:szCs w:val="19"/>
                <w:b w:val="1"/>
                <w:bCs w:val="1"/>
                <w:color w:val="215BA8"/>
                <w:w w:val="91"/>
                <w:vertAlign w:val="superscript"/>
              </w:rPr>
              <w:t>4</w:t>
            </w:r>
          </w:p>
        </w:tc>
        <w:tc>
          <w:tcPr>
            <w:tcW w:w="1180" w:type="dxa"/>
            <w:vAlign w:val="bottom"/>
            <w:tcBorders>
              <w:bottom w:val="single" w:sz="8" w:color="58585A"/>
            </w:tcBorders>
          </w:tcPr>
          <w:p>
            <w:pPr>
              <w:jc w:val="right"/>
              <w:ind w:right="237"/>
              <w:spacing w:after="0" w:line="182" w:lineRule="exact"/>
              <w:rPr>
                <w:sz w:val="20"/>
                <w:szCs w:val="20"/>
                <w:color w:val="auto"/>
              </w:rPr>
            </w:pPr>
            <w:r>
              <w:rPr>
                <w:rFonts w:ascii="Arial" w:cs="Arial" w:eastAsia="Arial" w:hAnsi="Arial"/>
                <w:sz w:val="12"/>
                <w:szCs w:val="12"/>
                <w:b w:val="1"/>
                <w:bCs w:val="1"/>
                <w:color w:val="215BA8"/>
              </w:rPr>
              <w:t>Amount</w:t>
            </w:r>
            <w:r>
              <w:rPr>
                <w:rFonts w:ascii="Arial" w:cs="Arial" w:eastAsia="Arial" w:hAnsi="Arial"/>
                <w:sz w:val="19"/>
                <w:szCs w:val="19"/>
                <w:b w:val="1"/>
                <w:bCs w:val="1"/>
                <w:color w:val="215BA8"/>
                <w:vertAlign w:val="superscript"/>
              </w:rPr>
              <w:t>5</w:t>
            </w:r>
          </w:p>
        </w:tc>
      </w:tr>
      <w:tr>
        <w:trPr>
          <w:trHeight w:val="142"/>
        </w:trPr>
        <w:tc>
          <w:tcPr>
            <w:tcW w:w="3580" w:type="dxa"/>
            <w:vAlign w:val="bottom"/>
            <w:tcBorders>
              <w:bottom w:val="single" w:sz="8" w:color="58585A"/>
            </w:tcBorders>
            <w:shd w:val="clear" w:color="auto" w:fill="EEEEEF"/>
          </w:tcPr>
          <w:p>
            <w:pPr>
              <w:spacing w:after="0" w:line="142" w:lineRule="exact"/>
              <w:rPr>
                <w:sz w:val="20"/>
                <w:szCs w:val="20"/>
                <w:color w:val="auto"/>
              </w:rPr>
            </w:pPr>
            <w:r>
              <w:rPr>
                <w:rFonts w:ascii="Arial" w:cs="Arial" w:eastAsia="Arial" w:hAnsi="Arial"/>
                <w:sz w:val="13"/>
                <w:szCs w:val="13"/>
                <w:b w:val="1"/>
                <w:bCs w:val="1"/>
                <w:color w:val="D60058"/>
              </w:rPr>
              <w:t>George D. Yancopoulos, M. D., Ph. D.</w:t>
            </w:r>
          </w:p>
        </w:tc>
        <w:tc>
          <w:tcPr>
            <w:tcW w:w="2180" w:type="dxa"/>
            <w:vAlign w:val="bottom"/>
            <w:tcBorders>
              <w:bottom w:val="single" w:sz="8" w:color="58585A"/>
            </w:tcBorders>
            <w:shd w:val="clear" w:color="auto" w:fill="EEEEEF"/>
          </w:tcPr>
          <w:p>
            <w:pPr>
              <w:jc w:val="right"/>
              <w:ind w:right="77"/>
              <w:spacing w:after="0" w:line="142" w:lineRule="exact"/>
              <w:rPr>
                <w:sz w:val="20"/>
                <w:szCs w:val="20"/>
                <w:color w:val="auto"/>
              </w:rPr>
            </w:pPr>
            <w:r>
              <w:rPr>
                <w:rFonts w:ascii="Arial" w:cs="Arial" w:eastAsia="Arial" w:hAnsi="Arial"/>
                <w:sz w:val="13"/>
                <w:szCs w:val="13"/>
                <w:color w:val="auto"/>
              </w:rPr>
              <w:t>$8,944,599</w:t>
            </w:r>
          </w:p>
        </w:tc>
        <w:tc>
          <w:tcPr>
            <w:tcW w:w="106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$87,848</w:t>
            </w:r>
          </w:p>
        </w:tc>
        <w:tc>
          <w:tcPr>
            <w:tcW w:w="1220" w:type="dxa"/>
            <w:vAlign w:val="bottom"/>
            <w:tcBorders>
              <w:bottom w:val="single" w:sz="8" w:color="58585A"/>
            </w:tcBorders>
            <w:shd w:val="clear" w:color="auto" w:fill="EEEEEF"/>
          </w:tcPr>
          <w:p>
            <w:pPr>
              <w:jc w:val="right"/>
              <w:ind w:right="118"/>
              <w:spacing w:after="0" w:line="142" w:lineRule="exact"/>
              <w:rPr>
                <w:sz w:val="20"/>
                <w:szCs w:val="20"/>
                <w:color w:val="auto"/>
              </w:rPr>
            </w:pPr>
            <w:r>
              <w:rPr>
                <w:rFonts w:ascii="Arial" w:cs="Arial" w:eastAsia="Arial" w:hAnsi="Arial"/>
                <w:sz w:val="13"/>
                <w:szCs w:val="13"/>
                <w:color w:val="auto"/>
              </w:rPr>
              <w:t>$114,590,893</w:t>
            </w:r>
          </w:p>
        </w:tc>
        <w:tc>
          <w:tcPr>
            <w:tcW w:w="940" w:type="dxa"/>
            <w:vAlign w:val="bottom"/>
            <w:tcBorders>
              <w:bottom w:val="single" w:sz="8" w:color="58585A"/>
            </w:tcBorders>
            <w:shd w:val="clear" w:color="auto" w:fill="EEEEEF"/>
          </w:tcPr>
          <w:p>
            <w:pPr>
              <w:jc w:val="center"/>
              <w:ind w:right="56"/>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shd w:val="clear" w:color="auto" w:fill="EEEEEF"/>
          </w:tcPr>
          <w:p>
            <w:pPr>
              <w:jc w:val="right"/>
              <w:ind w:right="37"/>
              <w:spacing w:after="0" w:line="142" w:lineRule="exact"/>
              <w:rPr>
                <w:sz w:val="20"/>
                <w:szCs w:val="20"/>
                <w:color w:val="auto"/>
              </w:rPr>
            </w:pPr>
            <w:r>
              <w:rPr>
                <w:rFonts w:ascii="Arial" w:cs="Arial" w:eastAsia="Arial" w:hAnsi="Arial"/>
                <w:sz w:val="13"/>
                <w:szCs w:val="13"/>
                <w:color w:val="auto"/>
              </w:rPr>
              <w:t>$123,623,340</w:t>
            </w:r>
          </w:p>
        </w:tc>
      </w:tr>
      <w:tr>
        <w:trPr>
          <w:trHeight w:val="142"/>
        </w:trPr>
        <w:tc>
          <w:tcPr>
            <w:tcW w:w="358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b w:val="1"/>
                <w:bCs w:val="1"/>
                <w:color w:val="D60058"/>
              </w:rPr>
              <w:t>Robert E. Landry</w:t>
            </w:r>
          </w:p>
        </w:tc>
        <w:tc>
          <w:tcPr>
            <w:tcW w:w="218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$3,200,045</w:t>
            </w:r>
          </w:p>
        </w:tc>
        <w:tc>
          <w:tcPr>
            <w:tcW w:w="10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$150,647</w:t>
            </w:r>
          </w:p>
        </w:tc>
        <w:tc>
          <w:tcPr>
            <w:tcW w:w="1220" w:type="dxa"/>
            <w:vAlign w:val="bottom"/>
            <w:tcBorders>
              <w:bottom w:val="single" w:sz="8" w:color="58585A"/>
            </w:tcBorders>
          </w:tcPr>
          <w:p>
            <w:pPr>
              <w:jc w:val="right"/>
              <w:ind w:right="118"/>
              <w:spacing w:after="0" w:line="142" w:lineRule="exact"/>
              <w:rPr>
                <w:sz w:val="20"/>
                <w:szCs w:val="20"/>
                <w:color w:val="auto"/>
              </w:rPr>
            </w:pPr>
            <w:r>
              <w:rPr>
                <w:rFonts w:ascii="Arial" w:cs="Arial" w:eastAsia="Arial" w:hAnsi="Arial"/>
                <w:sz w:val="13"/>
                <w:szCs w:val="13"/>
                <w:color w:val="auto"/>
              </w:rPr>
              <w:t>$22,118,337</w:t>
            </w:r>
          </w:p>
        </w:tc>
        <w:tc>
          <w:tcPr>
            <w:tcW w:w="940" w:type="dxa"/>
            <w:vAlign w:val="bottom"/>
            <w:tcBorders>
              <w:bottom w:val="single" w:sz="8" w:color="58585A"/>
            </w:tcBorders>
          </w:tcPr>
          <w:p>
            <w:pPr>
              <w:jc w:val="center"/>
              <w:ind w:right="56"/>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$25,469,029</w:t>
            </w:r>
          </w:p>
        </w:tc>
      </w:tr>
      <w:tr>
        <w:trPr>
          <w:trHeight w:val="142"/>
        </w:trPr>
        <w:tc>
          <w:tcPr>
            <w:tcW w:w="3580" w:type="dxa"/>
            <w:vAlign w:val="bottom"/>
            <w:tcBorders>
              <w:bottom w:val="single" w:sz="8" w:color="58585A"/>
            </w:tcBorders>
            <w:shd w:val="clear" w:color="auto" w:fill="EEEEEF"/>
          </w:tcPr>
          <w:p>
            <w:pPr>
              <w:spacing w:after="0" w:line="142" w:lineRule="exact"/>
              <w:rPr>
                <w:sz w:val="20"/>
                <w:szCs w:val="20"/>
                <w:color w:val="auto"/>
              </w:rPr>
            </w:pPr>
            <w:r>
              <w:rPr>
                <w:rFonts w:ascii="Arial" w:cs="Arial" w:eastAsia="Arial" w:hAnsi="Arial"/>
                <w:sz w:val="13"/>
                <w:szCs w:val="13"/>
                <w:b w:val="1"/>
                <w:bCs w:val="1"/>
                <w:color w:val="D60058"/>
              </w:rPr>
              <w:t>Daniel P. Van Plew</w:t>
            </w:r>
          </w:p>
        </w:tc>
        <w:tc>
          <w:tcPr>
            <w:tcW w:w="2180" w:type="dxa"/>
            <w:vAlign w:val="bottom"/>
            <w:tcBorders>
              <w:bottom w:val="single" w:sz="8" w:color="58585A"/>
            </w:tcBorders>
            <w:shd w:val="clear" w:color="auto" w:fill="EEEEEF"/>
          </w:tcPr>
          <w:p>
            <w:pPr>
              <w:jc w:val="right"/>
              <w:ind w:right="77"/>
              <w:spacing w:after="0" w:line="142" w:lineRule="exact"/>
              <w:rPr>
                <w:sz w:val="20"/>
                <w:szCs w:val="20"/>
                <w:color w:val="auto"/>
              </w:rPr>
            </w:pPr>
            <w:r>
              <w:rPr>
                <w:rFonts w:ascii="Arial" w:cs="Arial" w:eastAsia="Arial" w:hAnsi="Arial"/>
                <w:sz w:val="13"/>
                <w:szCs w:val="13"/>
                <w:color w:val="auto"/>
              </w:rPr>
              <w:t>$3,229,132</w:t>
            </w:r>
          </w:p>
        </w:tc>
        <w:tc>
          <w:tcPr>
            <w:tcW w:w="1060" w:type="dxa"/>
            <w:vAlign w:val="bottom"/>
            <w:tcBorders>
              <w:bottom w:val="single" w:sz="8" w:color="58585A"/>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$144,883</w:t>
            </w:r>
          </w:p>
        </w:tc>
        <w:tc>
          <w:tcPr>
            <w:tcW w:w="1220" w:type="dxa"/>
            <w:vAlign w:val="bottom"/>
            <w:tcBorders>
              <w:bottom w:val="single" w:sz="8" w:color="58585A"/>
            </w:tcBorders>
            <w:shd w:val="clear" w:color="auto" w:fill="EEEEEF"/>
          </w:tcPr>
          <w:p>
            <w:pPr>
              <w:jc w:val="right"/>
              <w:ind w:right="118"/>
              <w:spacing w:after="0" w:line="142" w:lineRule="exact"/>
              <w:rPr>
                <w:sz w:val="20"/>
                <w:szCs w:val="20"/>
                <w:color w:val="auto"/>
              </w:rPr>
            </w:pPr>
            <w:r>
              <w:rPr>
                <w:rFonts w:ascii="Arial" w:cs="Arial" w:eastAsia="Arial" w:hAnsi="Arial"/>
                <w:sz w:val="13"/>
                <w:szCs w:val="13"/>
                <w:color w:val="auto"/>
              </w:rPr>
              <w:t>$19,258,781</w:t>
            </w:r>
          </w:p>
        </w:tc>
        <w:tc>
          <w:tcPr>
            <w:tcW w:w="940" w:type="dxa"/>
            <w:vAlign w:val="bottom"/>
            <w:tcBorders>
              <w:bottom w:val="single" w:sz="8" w:color="58585A"/>
            </w:tcBorders>
            <w:shd w:val="clear" w:color="auto" w:fill="EEEEEF"/>
          </w:tcPr>
          <w:p>
            <w:pPr>
              <w:jc w:val="center"/>
              <w:ind w:right="56"/>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shd w:val="clear" w:color="auto" w:fill="EEEEEF"/>
          </w:tcPr>
          <w:p>
            <w:pPr>
              <w:jc w:val="right"/>
              <w:ind w:right="37"/>
              <w:spacing w:after="0" w:line="142" w:lineRule="exact"/>
              <w:rPr>
                <w:sz w:val="20"/>
                <w:szCs w:val="20"/>
                <w:color w:val="auto"/>
              </w:rPr>
            </w:pPr>
            <w:r>
              <w:rPr>
                <w:rFonts w:ascii="Arial" w:cs="Arial" w:eastAsia="Arial" w:hAnsi="Arial"/>
                <w:sz w:val="13"/>
                <w:szCs w:val="13"/>
                <w:color w:val="auto"/>
              </w:rPr>
              <w:t>$22,632,796</w:t>
            </w:r>
          </w:p>
        </w:tc>
      </w:tr>
      <w:tr>
        <w:trPr>
          <w:trHeight w:val="142"/>
        </w:trPr>
        <w:tc>
          <w:tcPr>
            <w:tcW w:w="3580" w:type="dxa"/>
            <w:vAlign w:val="bottom"/>
            <w:tcBorders>
              <w:bottom w:val="single" w:sz="8" w:color="58585A"/>
            </w:tcBorders>
          </w:tcPr>
          <w:p>
            <w:pPr>
              <w:spacing w:after="0" w:line="142" w:lineRule="exact"/>
              <w:rPr>
                <w:sz w:val="20"/>
                <w:szCs w:val="20"/>
                <w:color w:val="auto"/>
              </w:rPr>
            </w:pPr>
            <w:r>
              <w:rPr>
                <w:rFonts w:ascii="Arial" w:cs="Arial" w:eastAsia="Arial" w:hAnsi="Arial"/>
                <w:sz w:val="13"/>
                <w:szCs w:val="13"/>
                <w:b w:val="1"/>
                <w:bCs w:val="1"/>
                <w:color w:val="D60058"/>
              </w:rPr>
              <w:t>Andrew J. Murphy, Ph.D.</w:t>
            </w:r>
          </w:p>
        </w:tc>
        <w:tc>
          <w:tcPr>
            <w:tcW w:w="2180" w:type="dxa"/>
            <w:vAlign w:val="bottom"/>
            <w:tcBorders>
              <w:bottom w:val="single" w:sz="8" w:color="58585A"/>
            </w:tcBorders>
          </w:tcPr>
          <w:p>
            <w:pPr>
              <w:jc w:val="right"/>
              <w:ind w:right="77"/>
              <w:spacing w:after="0" w:line="142" w:lineRule="exact"/>
              <w:rPr>
                <w:sz w:val="20"/>
                <w:szCs w:val="20"/>
                <w:color w:val="auto"/>
              </w:rPr>
            </w:pPr>
            <w:r>
              <w:rPr>
                <w:rFonts w:ascii="Arial" w:cs="Arial" w:eastAsia="Arial" w:hAnsi="Arial"/>
                <w:sz w:val="13"/>
                <w:szCs w:val="13"/>
                <w:color w:val="auto"/>
              </w:rPr>
              <w:t>$2,738,807</w:t>
            </w:r>
          </w:p>
        </w:tc>
        <w:tc>
          <w:tcPr>
            <w:tcW w:w="1060" w:type="dxa"/>
            <w:vAlign w:val="bottom"/>
            <w:tcBorders>
              <w:bottom w:val="single" w:sz="8" w:color="58585A"/>
            </w:tcBorders>
          </w:tcPr>
          <w:p>
            <w:pPr>
              <w:jc w:val="right"/>
              <w:ind w:right="17"/>
              <w:spacing w:after="0" w:line="142" w:lineRule="exact"/>
              <w:rPr>
                <w:sz w:val="20"/>
                <w:szCs w:val="20"/>
                <w:color w:val="auto"/>
              </w:rPr>
            </w:pPr>
            <w:r>
              <w:rPr>
                <w:rFonts w:ascii="Arial" w:cs="Arial" w:eastAsia="Arial" w:hAnsi="Arial"/>
                <w:sz w:val="13"/>
                <w:szCs w:val="13"/>
                <w:color w:val="auto"/>
              </w:rPr>
              <w:t>$113,514</w:t>
            </w:r>
          </w:p>
        </w:tc>
        <w:tc>
          <w:tcPr>
            <w:tcW w:w="1220" w:type="dxa"/>
            <w:vAlign w:val="bottom"/>
            <w:tcBorders>
              <w:bottom w:val="single" w:sz="8" w:color="58585A"/>
            </w:tcBorders>
          </w:tcPr>
          <w:p>
            <w:pPr>
              <w:jc w:val="right"/>
              <w:ind w:right="118"/>
              <w:spacing w:after="0" w:line="142" w:lineRule="exact"/>
              <w:rPr>
                <w:sz w:val="20"/>
                <w:szCs w:val="20"/>
                <w:color w:val="auto"/>
              </w:rPr>
            </w:pPr>
            <w:r>
              <w:rPr>
                <w:rFonts w:ascii="Arial" w:cs="Arial" w:eastAsia="Arial" w:hAnsi="Arial"/>
                <w:sz w:val="13"/>
                <w:szCs w:val="13"/>
                <w:color w:val="auto"/>
              </w:rPr>
              <w:t>$32,605,957</w:t>
            </w:r>
          </w:p>
        </w:tc>
        <w:tc>
          <w:tcPr>
            <w:tcW w:w="940" w:type="dxa"/>
            <w:vAlign w:val="bottom"/>
            <w:tcBorders>
              <w:bottom w:val="single" w:sz="8" w:color="58585A"/>
            </w:tcBorders>
          </w:tcPr>
          <w:p>
            <w:pPr>
              <w:jc w:val="center"/>
              <w:ind w:right="56"/>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58585A"/>
            </w:tcBorders>
          </w:tcPr>
          <w:p>
            <w:pPr>
              <w:jc w:val="right"/>
              <w:ind w:right="37"/>
              <w:spacing w:after="0" w:line="142" w:lineRule="exact"/>
              <w:rPr>
                <w:sz w:val="20"/>
                <w:szCs w:val="20"/>
                <w:color w:val="auto"/>
              </w:rPr>
            </w:pPr>
            <w:r>
              <w:rPr>
                <w:rFonts w:ascii="Arial" w:cs="Arial" w:eastAsia="Arial" w:hAnsi="Arial"/>
                <w:sz w:val="13"/>
                <w:szCs w:val="13"/>
                <w:color w:val="auto"/>
              </w:rPr>
              <w:t>$35,458,278</w:t>
            </w:r>
          </w:p>
        </w:tc>
      </w:tr>
      <w:tr>
        <w:trPr>
          <w:trHeight w:val="142"/>
        </w:trPr>
        <w:tc>
          <w:tcPr>
            <w:tcW w:w="3580" w:type="dxa"/>
            <w:vAlign w:val="bottom"/>
            <w:tcBorders>
              <w:bottom w:val="single" w:sz="8" w:color="255AA8"/>
            </w:tcBorders>
            <w:shd w:val="clear" w:color="auto" w:fill="EEEEEF"/>
          </w:tcPr>
          <w:p>
            <w:pPr>
              <w:spacing w:after="0" w:line="142" w:lineRule="exact"/>
              <w:rPr>
                <w:sz w:val="20"/>
                <w:szCs w:val="20"/>
                <w:color w:val="auto"/>
              </w:rPr>
            </w:pPr>
            <w:r>
              <w:rPr>
                <w:rFonts w:ascii="Arial" w:cs="Arial" w:eastAsia="Arial" w:hAnsi="Arial"/>
                <w:sz w:val="13"/>
                <w:szCs w:val="13"/>
                <w:b w:val="1"/>
                <w:bCs w:val="1"/>
                <w:color w:val="D60058"/>
              </w:rPr>
              <w:t>Joseph J. LaRosa</w:t>
            </w:r>
          </w:p>
        </w:tc>
        <w:tc>
          <w:tcPr>
            <w:tcW w:w="2180" w:type="dxa"/>
            <w:vAlign w:val="bottom"/>
            <w:tcBorders>
              <w:bottom w:val="single" w:sz="8" w:color="255AA8"/>
            </w:tcBorders>
            <w:shd w:val="clear" w:color="auto" w:fill="EEEEEF"/>
          </w:tcPr>
          <w:p>
            <w:pPr>
              <w:jc w:val="right"/>
              <w:ind w:right="77"/>
              <w:spacing w:after="0" w:line="142" w:lineRule="exact"/>
              <w:rPr>
                <w:sz w:val="20"/>
                <w:szCs w:val="20"/>
                <w:color w:val="auto"/>
              </w:rPr>
            </w:pPr>
            <w:r>
              <w:rPr>
                <w:rFonts w:ascii="Arial" w:cs="Arial" w:eastAsia="Arial" w:hAnsi="Arial"/>
                <w:sz w:val="13"/>
                <w:szCs w:val="13"/>
                <w:color w:val="auto"/>
              </w:rPr>
              <w:t>$3,135,115</w:t>
            </w:r>
          </w:p>
        </w:tc>
        <w:tc>
          <w:tcPr>
            <w:tcW w:w="1060" w:type="dxa"/>
            <w:vAlign w:val="bottom"/>
            <w:tcBorders>
              <w:bottom w:val="single" w:sz="8" w:color="255AA8"/>
            </w:tcBorders>
            <w:shd w:val="clear" w:color="auto" w:fill="EEEEEF"/>
          </w:tcPr>
          <w:p>
            <w:pPr>
              <w:jc w:val="right"/>
              <w:ind w:right="17"/>
              <w:spacing w:after="0" w:line="142" w:lineRule="exact"/>
              <w:rPr>
                <w:sz w:val="20"/>
                <w:szCs w:val="20"/>
                <w:color w:val="auto"/>
              </w:rPr>
            </w:pPr>
            <w:r>
              <w:rPr>
                <w:rFonts w:ascii="Arial" w:cs="Arial" w:eastAsia="Arial" w:hAnsi="Arial"/>
                <w:sz w:val="13"/>
                <w:szCs w:val="13"/>
                <w:color w:val="auto"/>
              </w:rPr>
              <w:t>$139,360</w:t>
            </w:r>
          </w:p>
        </w:tc>
        <w:tc>
          <w:tcPr>
            <w:tcW w:w="1220" w:type="dxa"/>
            <w:vAlign w:val="bottom"/>
            <w:tcBorders>
              <w:bottom w:val="single" w:sz="8" w:color="255AA8"/>
            </w:tcBorders>
            <w:shd w:val="clear" w:color="auto" w:fill="EEEEEF"/>
          </w:tcPr>
          <w:p>
            <w:pPr>
              <w:jc w:val="right"/>
              <w:ind w:right="118"/>
              <w:spacing w:after="0" w:line="142" w:lineRule="exact"/>
              <w:rPr>
                <w:sz w:val="20"/>
                <w:szCs w:val="20"/>
                <w:color w:val="auto"/>
              </w:rPr>
            </w:pPr>
            <w:r>
              <w:rPr>
                <w:rFonts w:ascii="Arial" w:cs="Arial" w:eastAsia="Arial" w:hAnsi="Arial"/>
                <w:sz w:val="13"/>
                <w:szCs w:val="13"/>
                <w:color w:val="auto"/>
              </w:rPr>
              <w:t>$10,666,985</w:t>
            </w:r>
          </w:p>
        </w:tc>
        <w:tc>
          <w:tcPr>
            <w:tcW w:w="940" w:type="dxa"/>
            <w:vAlign w:val="bottom"/>
            <w:tcBorders>
              <w:bottom w:val="single" w:sz="8" w:color="255AA8"/>
            </w:tcBorders>
            <w:shd w:val="clear" w:color="auto" w:fill="EEEEEF"/>
          </w:tcPr>
          <w:p>
            <w:pPr>
              <w:jc w:val="center"/>
              <w:ind w:right="56"/>
              <w:spacing w:after="0" w:line="142"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255AA8"/>
            </w:tcBorders>
            <w:shd w:val="clear" w:color="auto" w:fill="EEEEEF"/>
          </w:tcPr>
          <w:p>
            <w:pPr>
              <w:jc w:val="right"/>
              <w:ind w:right="37"/>
              <w:spacing w:after="0" w:line="142" w:lineRule="exact"/>
              <w:rPr>
                <w:sz w:val="20"/>
                <w:szCs w:val="20"/>
                <w:color w:val="auto"/>
              </w:rPr>
            </w:pPr>
            <w:r>
              <w:rPr>
                <w:rFonts w:ascii="Arial" w:cs="Arial" w:eastAsia="Arial" w:hAnsi="Arial"/>
                <w:sz w:val="13"/>
                <w:szCs w:val="13"/>
                <w:color w:val="auto"/>
              </w:rPr>
              <w:t>$13,941,460</w:t>
            </w:r>
          </w:p>
        </w:tc>
      </w:tr>
    </w:tbl>
    <w:p>
      <w:pPr>
        <w:spacing w:after="0" w:line="167" w:lineRule="exact"/>
        <w:rPr>
          <w:sz w:val="20"/>
          <w:szCs w:val="20"/>
          <w:color w:val="auto"/>
        </w:rPr>
      </w:pPr>
    </w:p>
    <w:p>
      <w:pPr>
        <w:ind w:left="720" w:hanging="172"/>
        <w:spacing w:after="0"/>
        <w:tabs>
          <w:tab w:leader="none" w:pos="720" w:val="left"/>
        </w:tabs>
        <w:numPr>
          <w:ilvl w:val="0"/>
          <w:numId w:val="177"/>
        </w:numPr>
        <w:rPr>
          <w:rFonts w:ascii="Arial" w:cs="Arial" w:eastAsia="Arial" w:hAnsi="Arial"/>
          <w:sz w:val="14"/>
          <w:szCs w:val="14"/>
          <w:color w:val="215BA8"/>
        </w:rPr>
      </w:pPr>
      <w:r>
        <w:rPr>
          <w:rFonts w:ascii="Arial" w:cs="Arial" w:eastAsia="Arial" w:hAnsi="Arial"/>
          <w:sz w:val="14"/>
          <w:szCs w:val="14"/>
          <w:color w:val="1A1A1A"/>
        </w:rPr>
        <w:t>Equal to two times the sum of (a) the NEO’s 2021 base salary and (b) the average annual cash incentives paid to the NEO over the prior three years.</w:t>
      </w:r>
    </w:p>
    <w:p>
      <w:pPr>
        <w:spacing w:after="0" w:line="82" w:lineRule="exact"/>
        <w:rPr>
          <w:sz w:val="20"/>
          <w:szCs w:val="20"/>
          <w:color w:val="auto"/>
        </w:rPr>
      </w:pPr>
    </w:p>
    <w:p>
      <w:pPr>
        <w:ind w:left="720" w:right="580" w:hanging="172"/>
        <w:spacing w:after="0" w:line="258" w:lineRule="auto"/>
        <w:tabs>
          <w:tab w:leader="none" w:pos="720" w:val="left"/>
        </w:tabs>
        <w:numPr>
          <w:ilvl w:val="0"/>
          <w:numId w:val="178"/>
        </w:numPr>
        <w:rPr>
          <w:rFonts w:ascii="Arial" w:cs="Arial" w:eastAsia="Arial" w:hAnsi="Arial"/>
          <w:sz w:val="14"/>
          <w:szCs w:val="14"/>
          <w:color w:val="215BA8"/>
        </w:rPr>
      </w:pPr>
      <w:r>
        <w:rPr>
          <w:rFonts w:ascii="Arial" w:cs="Arial" w:eastAsia="Arial" w:hAnsi="Arial"/>
          <w:sz w:val="14"/>
          <w:szCs w:val="14"/>
          <w:color w:val="1A1A1A"/>
        </w:rPr>
        <w:t>Equal to the estimated cost of providing each NEO and his dependents medical, dental, vision, disability, and life insurance coverage for 24 months, plus the estimated cost of providing each NEO tax and financial planning advisory services for 24 months.</w:t>
      </w:r>
    </w:p>
    <w:p>
      <w:pPr>
        <w:spacing w:after="0" w:line="59" w:lineRule="exact"/>
        <w:rPr>
          <w:sz w:val="20"/>
          <w:szCs w:val="20"/>
          <w:color w:val="auto"/>
        </w:rPr>
      </w:pPr>
    </w:p>
    <w:p>
      <w:pPr>
        <w:ind w:left="720" w:right="600" w:hanging="172"/>
        <w:spacing w:after="0" w:line="245" w:lineRule="auto"/>
        <w:tabs>
          <w:tab w:leader="none" w:pos="720" w:val="left"/>
        </w:tabs>
        <w:numPr>
          <w:ilvl w:val="0"/>
          <w:numId w:val="179"/>
        </w:numPr>
        <w:rPr>
          <w:rFonts w:ascii="Arial" w:cs="Arial" w:eastAsia="Arial" w:hAnsi="Arial"/>
          <w:sz w:val="14"/>
          <w:szCs w:val="14"/>
          <w:color w:val="215BA8"/>
        </w:rPr>
      </w:pPr>
      <w:r>
        <w:rPr>
          <w:rFonts w:ascii="Arial" w:cs="Arial" w:eastAsia="Arial" w:hAnsi="Arial"/>
          <w:sz w:val="14"/>
          <w:szCs w:val="14"/>
          <w:color w:val="1A1A1A"/>
        </w:rPr>
        <w:t>For stock options, equal to the aggregate amount of the differences between the exercise prices of each NEO’s accelerated “in-the-money” stock options and the closing sales price per share of the Company’s common stock on the Nasdaq Global Select Market on December 31, 2021 of $631.52. In the case of Messrs. Landry, LaRosa, and Van Plew and Dr. Murphy, the amounts also include the value as of December 31, 2021 of accelerated RSAs. In the case of Dr. Yancopoulos, the amount includes the value of 25,155 PSUs from his 2019 grant and 126,853 PSUs from his 2020 grant that would have been earned had the applicable vesting determination been made on December 31, 2021 in respect of performance for the period from the date of grant to December 31, 2021.</w:t>
      </w:r>
    </w:p>
    <w:p>
      <w:pPr>
        <w:spacing w:after="0" w:line="231" w:lineRule="exact"/>
        <w:rPr>
          <w:sz w:val="20"/>
          <w:szCs w:val="20"/>
          <w:color w:val="auto"/>
        </w:rPr>
      </w:pPr>
    </w:p>
    <w:p>
      <w:pPr>
        <w:ind w:left="720" w:right="860" w:hanging="172"/>
        <w:spacing w:after="0" w:line="258" w:lineRule="auto"/>
        <w:tabs>
          <w:tab w:leader="none" w:pos="720" w:val="left"/>
        </w:tabs>
        <w:numPr>
          <w:ilvl w:val="0"/>
          <w:numId w:val="180"/>
        </w:numPr>
        <w:rPr>
          <w:rFonts w:ascii="Arial" w:cs="Arial" w:eastAsia="Arial" w:hAnsi="Arial"/>
          <w:sz w:val="14"/>
          <w:szCs w:val="14"/>
          <w:color w:val="215BA8"/>
        </w:rPr>
      </w:pPr>
      <w:r>
        <w:rPr>
          <w:rFonts w:ascii="Arial" w:cs="Arial" w:eastAsia="Arial" w:hAnsi="Arial"/>
          <w:sz w:val="14"/>
          <w:szCs w:val="14"/>
          <w:color w:val="1A1A1A"/>
        </w:rPr>
        <w:t>We have determined (using the assumptions outlined in footnote 5) that all of the NEOs listed in the table above would have been under their applicable “golden parachute” safe harbor limits and not subject to any cutbacks or excise taxes if terminated on December 31, 2021.</w:t>
      </w:r>
    </w:p>
    <w:p>
      <w:pPr>
        <w:spacing w:after="0" w:line="59" w:lineRule="exact"/>
        <w:rPr>
          <w:sz w:val="20"/>
          <w:szCs w:val="20"/>
          <w:color w:val="auto"/>
        </w:rPr>
      </w:pPr>
    </w:p>
    <w:p>
      <w:pPr>
        <w:ind w:left="720" w:right="580" w:hanging="172"/>
        <w:spacing w:after="0" w:line="243" w:lineRule="auto"/>
        <w:tabs>
          <w:tab w:leader="none" w:pos="720" w:val="left"/>
        </w:tabs>
        <w:numPr>
          <w:ilvl w:val="0"/>
          <w:numId w:val="181"/>
        </w:numPr>
        <w:rPr>
          <w:rFonts w:ascii="Arial" w:cs="Arial" w:eastAsia="Arial" w:hAnsi="Arial"/>
          <w:sz w:val="14"/>
          <w:szCs w:val="14"/>
          <w:color w:val="215BA8"/>
        </w:rPr>
      </w:pPr>
      <w:r>
        <w:rPr>
          <w:rFonts w:ascii="Arial" w:cs="Arial" w:eastAsia="Arial" w:hAnsi="Arial"/>
          <w:sz w:val="14"/>
          <w:szCs w:val="14"/>
          <w:color w:val="1A1A1A"/>
        </w:rPr>
        <w:t>For purposes of these calculations, (i) we used base salaries as of December 31, 2021 and annual cash incentives paid to the NEOs for performance in 2018, 2019, and 2020, respectively; (ii) we assumed that each NEO received his annual cash incentive that was earned in 2021 and paid in 2022 (described in the Summary Compensation Table above); (iii) we took into consideration, for purposes of determining whether each NEO was subject to a reduction under the terms of the change in control severance plan, the fact that each NEO’s equity awards may vest in full or in part following a change in control (parachute payments for time vesting stock options and restricted stock were valued using Internal Revenue Code Treas. Reg. Section 1.28G-1 Q&amp;A 24(c)); (iv) we assumed a 6.5% annual increase in medical premiums, 4% annual increase in dental and vision premiums, and no increase in disability or life insurance premiums or employer cost of tax and financial planning advisory services for 2022 and 2023; (v) we assumed that the medical insurance benefits received in 2022 and 2023 would be taxable and that the NEOs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for purposes of assessing excise tax liabilities and potential cutbacks; and (vii) although certain payments to the NEOs would be subject to potential delays upon separation of service under Section 409A, we did not attempt to determine which, if any, payments would be delayed or revise the values to reflect any such delay.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91</w:t>
            </w:r>
          </w:p>
        </w:tc>
      </w:tr>
      <w:tr>
        <w:trPr>
          <w:trHeight w:val="222"/>
        </w:trPr>
        <w:tc>
          <w:tcPr>
            <w:tcW w:w="8200" w:type="dxa"/>
            <w:vAlign w:val="bottom"/>
            <w:tcBorders>
              <w:bottom w:val="single" w:sz="8" w:color="C0C0C0"/>
            </w:tcBorders>
          </w:tcPr>
          <w:p>
            <w:pPr>
              <w:spacing w:after="0"/>
              <w:rPr>
                <w:sz w:val="19"/>
                <w:szCs w:val="19"/>
                <w:color w:val="auto"/>
              </w:rPr>
            </w:pPr>
          </w:p>
        </w:tc>
        <w:tc>
          <w:tcPr>
            <w:tcW w:w="3040" w:type="dxa"/>
            <w:vAlign w:val="bottom"/>
            <w:tcBorders>
              <w:bottom w:val="single" w:sz="8" w:color="C0C0C0"/>
            </w:tcBorders>
          </w:tcPr>
          <w:p>
            <w:pPr>
              <w:spacing w:after="0"/>
              <w:rPr>
                <w:sz w:val="19"/>
                <w:szCs w:val="19"/>
                <w:color w:val="auto"/>
              </w:rPr>
            </w:pPr>
          </w:p>
        </w:tc>
      </w:tr>
    </w:tbl>
    <w:p>
      <w:pPr>
        <w:sectPr>
          <w:pgSz w:w="11900" w:h="16838" w:orient="portrait"/>
          <w:cols w:equalWidth="0" w:num="1">
            <w:col w:w="11240"/>
          </w:cols>
          <w:pgMar w:left="320" w:top="626" w:right="339" w:bottom="1440" w:gutter="0" w:footer="0" w:header="0"/>
        </w:sectPr>
      </w:pPr>
    </w:p>
    <w:bookmarkStart w:id="106" w:name="page107"/>
    <w:bookmarkEnd w:id="106"/>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215BA8"/>
        </w:rPr>
        <w:t>ADDITIONAL COMPENSATION INFORMATION</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ANNUAL CASH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540"/>
        <w:spacing w:after="0" w:line="245" w:lineRule="auto"/>
        <w:rPr>
          <w:sz w:val="20"/>
          <w:szCs w:val="20"/>
          <w:color w:val="auto"/>
        </w:rPr>
      </w:pPr>
      <w:r>
        <w:rPr>
          <w:rFonts w:ascii="Arial" w:cs="Arial" w:eastAsia="Arial" w:hAnsi="Arial"/>
          <w:sz w:val="15"/>
          <w:szCs w:val="15"/>
          <w:color w:val="auto"/>
        </w:rPr>
        <w:t>In 2016, we adopted our Cash Incentive Bonus Plan for purposes of allowing our annual cash incentives to qualify as performance-based compensation under Section 162(m) of the Internal Revenue Code and permitting us to deduct cash incentive compensation that might otherwise not be deductible by reason of Section 162(m) (as then in effect). Although the Tax Cuts and Jobs Act eliminated the performance-based compensation exception for compensation paid in 2018 and beyond (as discussed under “Compensation Processes—Tax Implications” above), we have continued to use the Cash Incentive Bonus Plan for annual cash incentives because we believe it furthers our compensation philosophy and objectives regardless of tax treatment. For 2021 annual cash incentives for the NEOs, in March 2021 the Compensation Committee set up a cash incentive pool under the Cash Incentive Bonus Plan; specified maximum allocations of such pool to the NEOs and certain other senior executives; and established a R&amp;D-related performance goal consisting of (i) the submission of one or more Investigational New Drug Applications, Biologics License Applications, or supplemental Biologics License Applications with the FDA (or its equivalent outside the United States) or (ii) the approval of any regulatory filing of the type described in clause (i) by the FDA or the applicable regulatory authority outside the United States. In November 2021, the Compensation Committee determined that Regeneron’s performance in 2021 exceeded the established goal, thus enabling the funding of the cash incentive pool. The Compensation Committee then exercised “negative discretion” (as permitted under the Plan) to reduce the respective allocations of such pool for each NEO with the exception of Mr. Landry, who was awarded the maximum allocation for the reasons discussed below. In exercising negative discretion for the other NEOs, the Compensation Committee determined that their annual cash incentives should be set consistent with the Company’s historical practice of using a formula that utilizes their respective cash incentive targets, a corporate performance component, and, if applicable, an individual performance component, as described below.</w:t>
      </w:r>
    </w:p>
    <w:p>
      <w:pPr>
        <w:spacing w:after="0" w:line="166" w:lineRule="exact"/>
        <w:rPr>
          <w:sz w:val="20"/>
          <w:szCs w:val="20"/>
          <w:color w:val="auto"/>
        </w:rPr>
      </w:pPr>
    </w:p>
    <w:p>
      <w:pPr>
        <w:ind w:left="540" w:right="620"/>
        <w:spacing w:after="0" w:line="236" w:lineRule="auto"/>
        <w:rPr>
          <w:sz w:val="20"/>
          <w:szCs w:val="20"/>
          <w:color w:val="auto"/>
        </w:rPr>
      </w:pPr>
      <w:r>
        <w:rPr>
          <w:rFonts w:ascii="Arial" w:cs="Arial" w:eastAsia="Arial" w:hAnsi="Arial"/>
          <w:sz w:val="16"/>
          <w:szCs w:val="16"/>
          <w:color w:val="auto"/>
        </w:rPr>
        <w:t>The targets for the 2021 annual cash incentives for the NEOs were set as percentages of their respective base salaries as follows: Dr. Schleifer— 120%; Dr. Yancopoulos—120%; Mr. Landry—65%; Mr. Van Plew—65%; Dr. Murphy—65%; and Mr. LaRosa—65%.</w:t>
      </w:r>
    </w:p>
    <w:p>
      <w:pPr>
        <w:spacing w:after="0" w:line="165" w:lineRule="exact"/>
        <w:rPr>
          <w:sz w:val="20"/>
          <w:szCs w:val="20"/>
          <w:color w:val="auto"/>
        </w:rPr>
      </w:pPr>
    </w:p>
    <w:p>
      <w:pPr>
        <w:ind w:left="540" w:right="540"/>
        <w:spacing w:after="0" w:line="230" w:lineRule="auto"/>
        <w:rPr>
          <w:sz w:val="20"/>
          <w:szCs w:val="20"/>
          <w:color w:val="auto"/>
        </w:rPr>
      </w:pPr>
      <w:r>
        <w:rPr>
          <w:rFonts w:ascii="Arial" w:cs="Arial" w:eastAsia="Arial" w:hAnsi="Arial"/>
          <w:sz w:val="16"/>
          <w:szCs w:val="16"/>
          <w:color w:val="auto"/>
        </w:rPr>
        <w:t>For 2021, Dr. Schleifer’s cash incentive target was set approximately at the median of the Peer Group. In determining the cash incentive target for Dr. Yancopoulos, the Compensation Committee took into consideration the importance of his scientific leadership as President &amp; CSO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 there were no meaningful comparative data for Dr. Yancopoulos relating to similarly situated executives and that his cash incentive target for 2021 would be set to equal Dr. Schleifer’s. In determining the cash incentive targets for 2021 for Messrs. Landry, Van Plew, and LaRosa and Dr. Murphy, the Compensation Committee took into consideration the compensation of similarly situated executive officers at companies in the Peer Group.</w:t>
      </w:r>
    </w:p>
    <w:p>
      <w:pPr>
        <w:spacing w:after="0" w:line="169" w:lineRule="exact"/>
        <w:rPr>
          <w:sz w:val="20"/>
          <w:szCs w:val="20"/>
          <w:color w:val="auto"/>
        </w:rPr>
      </w:pPr>
    </w:p>
    <w:p>
      <w:pPr>
        <w:ind w:left="540" w:right="580"/>
        <w:spacing w:after="0" w:line="232" w:lineRule="auto"/>
        <w:rPr>
          <w:sz w:val="20"/>
          <w:szCs w:val="20"/>
          <w:color w:val="auto"/>
        </w:rPr>
      </w:pPr>
      <w:r>
        <w:rPr>
          <w:rFonts w:ascii="Arial" w:cs="Arial" w:eastAsia="Arial" w:hAnsi="Arial"/>
          <w:sz w:val="16"/>
          <w:szCs w:val="16"/>
          <w:color w:val="auto"/>
        </w:rPr>
        <w:t>The cash incentives were determined through the use of both an individual and a Company performance component with a range of 0 to 1.5 for the personal performance multiplier and a range of 0 to 2.0 for the Company performance multiplier, depending upon performance during the year. Both the personal performance multiplier and the Company performance multiplier were determined by the Compensation Committee for each NEO based on the Committee’s assessment of the Company’s performance relative to the general corporate goals described below and, in the case of each of Messrs. Landry, Van Plew, and LaRosa and Dr. Murphy, the NEO’s personal performance during the year.</w:t>
      </w:r>
    </w:p>
    <w:p>
      <w:pPr>
        <w:spacing w:after="0" w:line="164" w:lineRule="exact"/>
        <w:rPr>
          <w:sz w:val="20"/>
          <w:szCs w:val="20"/>
          <w:color w:val="auto"/>
        </w:rPr>
      </w:pPr>
    </w:p>
    <w:p>
      <w:pPr>
        <w:ind w:left="540" w:right="540"/>
        <w:spacing w:after="0" w:line="234" w:lineRule="auto"/>
        <w:rPr>
          <w:sz w:val="20"/>
          <w:szCs w:val="20"/>
          <w:color w:val="auto"/>
        </w:rPr>
      </w:pPr>
      <w:r>
        <w:rPr>
          <w:rFonts w:ascii="Arial" w:cs="Arial" w:eastAsia="Arial" w:hAnsi="Arial"/>
          <w:sz w:val="16"/>
          <w:szCs w:val="16"/>
          <w:color w:val="auto"/>
        </w:rPr>
        <w:t>With respect to 2021, the Compensation Committee set the Company performance multiplier at 1.9. For a discussion of the factors that contributed most to the Compensation Committee’s determination of the Company performance multiplier in 2021, see the subsection “Compensation Discussion and Analysis—Components of Executive Pay: What We Pay and Why We Pay It—Annual Cash Incentives.”</w:t>
      </w:r>
    </w:p>
    <w:p>
      <w:pPr>
        <w:spacing w:after="0" w:line="171"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92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26" w:right="339" w:bottom="1440" w:gutter="0" w:footer="0" w:header="0"/>
        </w:sectPr>
      </w:pPr>
    </w:p>
    <w:bookmarkStart w:id="107" w:name="page108"/>
    <w:bookmarkEnd w:id="107"/>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With respect to 2021, the Compensation Committee approved a personal performance multiplier of 1.5 for each of Messrs. Landry, Van Plew, and LaRosa and Dr. Murphy. The personal performance component accounted for 40% of these NEOs’ cash incentives (other than with respect to Mr. Landry, as described below). The Company component was based on a Company performance multiplier that was determined based on the Company’s overall corporate performance (as described above) against 2021 goals that were approved by the board of directors in January 2021. This Company performance component accounted for 60% of the cash incentives awarded to Messrs. Van Plew and LaRosa and Dr. Murphy. In the case of Drs. Schleifer and Yancopoulos, the Compensation Committee focused exclusively on overall Company performance in 2021 (as described above) when determining their cash incentives and did not utilize a personal performance multiplier. For Mr. Landry, the Compensation Committee determined to award him an annual cash incentive equal to his maximum 2021 allocation under our Cash Incentive Bonus Plan, which amount was higher than the amount that would have resulted from this calculation and effectively resulted in a personal performance multiplier of 2.07.</w:t>
      </w:r>
    </w:p>
    <w:p>
      <w:pPr>
        <w:spacing w:after="0" w:line="167" w:lineRule="exact"/>
        <w:rPr>
          <w:sz w:val="20"/>
          <w:szCs w:val="20"/>
          <w:color w:val="auto"/>
        </w:rPr>
      </w:pPr>
    </w:p>
    <w:p>
      <w:pPr>
        <w:ind w:left="540" w:right="740"/>
        <w:spacing w:after="0" w:line="245" w:lineRule="auto"/>
        <w:rPr>
          <w:sz w:val="20"/>
          <w:szCs w:val="20"/>
          <w:color w:val="auto"/>
        </w:rPr>
      </w:pPr>
      <w:r>
        <w:rPr>
          <w:rFonts w:ascii="Arial" w:cs="Arial" w:eastAsia="Arial" w:hAnsi="Arial"/>
          <w:sz w:val="15"/>
          <w:szCs w:val="15"/>
          <w:color w:val="auto"/>
        </w:rPr>
        <w:t>In determining the annual cash incentive for Mr. Landry, the Compensation Committee gave special consideration to Mr. Landry’s leadership of and accomplishments in the Company’s accounting, finance, and tax functions and across his other responsibilities, including the successful execution of the Company’s capital allocation priorities in 2021 through investment in R&amp;D capabilities, pursuit and funding of business development opportunities, and the return of cash to our shareholders through share buybacks. In the case of Mr. Van Plew, the Compensation Committee focused primarily on Mr. Van Plew’s leadership of and accomplishments in the Company’s Industrial Operations and Product Supply organization, including with respect to the fulfillment of the Company’s REGEN-COV supply agreements with the U.S. government; preparations for new product launches; progress toward the establishment of fill/finish facilities; and the successful transfer of products to, and inspection of, manufacturing facilities in Ireland. In the case of Dr. Murphy, the Compensation Committee considered the progress and continued expansion of the Company’s research and preclinical development pipeline, as summarized in the subsection “Compensation Discussion and Analysis— Components of Executive Pay: What We Pay and Why We Pay It—Annual Cash Incentives.” In the case of Mr. LaRosa, the Compensation Committee focused primarily on Mr. LaRosa’s leadership of and accomplishments in the Company’s legal function, including his leadership of several significant favorable outcomes in legal proceedings related to intellectual property protection and other matters and the legal function’s efforts in the establishment of commercial capabilities outside the United States.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PERQUISITES AND PERSONAL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All employees who participate in our 401(k) Savings Plan, including the NEOs, are eligible to receive certain matching contributions. In each plan year, we contribute to each participant’s account a matching contribution (in the form of shares of our common stock) equal to 50% of a specified percentage of the participant’s compensation that the participant has contributed to the plan (which was 10% with respect to each of the last three years), up to a maximum level established under the Internal Revenue Code. Each of our NEOs participated in our 401(k) Savings Plan during 2021 and received matching contributions in the aggregate amount of $13,000 ($9,750 in the case of Mr. Van Plew) in the form of shares of our common stock. The contributions were paid quarterly up and until the maximum level was reached and are included in the compensation amounts reported for each of our NEOs in the Summary Compensation Table included in this proxy statement. As with all employees, the number of shares of common stock that each NEO received on a quarterly basis was determined using the average market price per share of our common stock during the applicable quarter.</w:t>
      </w:r>
    </w:p>
    <w:p>
      <w:pPr>
        <w:spacing w:after="0" w:line="168" w:lineRule="exact"/>
        <w:rPr>
          <w:sz w:val="20"/>
          <w:szCs w:val="20"/>
          <w:color w:val="auto"/>
        </w:rPr>
      </w:pPr>
    </w:p>
    <w:p>
      <w:pPr>
        <w:ind w:left="540" w:right="540"/>
        <w:spacing w:after="0" w:line="230" w:lineRule="auto"/>
        <w:rPr>
          <w:sz w:val="20"/>
          <w:szCs w:val="20"/>
          <w:color w:val="auto"/>
        </w:rPr>
      </w:pPr>
      <w:r>
        <w:rPr>
          <w:rFonts w:ascii="Arial" w:cs="Arial" w:eastAsia="Arial" w:hAnsi="Arial"/>
          <w:sz w:val="16"/>
          <w:szCs w:val="16"/>
          <w:color w:val="auto"/>
        </w:rPr>
        <w:t>To achieve increased efficiencies and a more secure traveling environment, the Company provides air transportation for certain executive and director travel in accordance with guidelines approved by our board of directors. Based on the recommendation of an independent, third-party security study, the guidelines and our security policy require Drs. Schleifer and Yancopoulos (as well as their spouses and children when they accompany them) to use, as much as practicable, Company-provided aircraft for all business and personal air travel. Regeneron covers the cost of any such personal air travel for up to $250,000 in incremental cost (as described below) annually for each of Drs. Schleifer and Yancopoulos. Family members or other guests may accompany our NEOs and directors during Company-provided air business travel, space permitting, so long as they cover any incremental cost related to such guests (other than with respect to the family members of Drs. Schleifer and Yancopoulos as described above). In addition, in limited circumstances personal use of Company-provided air travel by our other NEOs or directors may be permitted if authorized by the Chair and any incremental cost is paid by the lead passenger. Any required reimbursement or other payment of the incremental cost is made to the extent permitted by applicable Federal Aviation Administration rules.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93</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108" w:name="page109"/>
    <w:bookmarkEnd w:id="108"/>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580"/>
        <w:spacing w:after="0" w:line="246" w:lineRule="auto"/>
        <w:rPr>
          <w:sz w:val="20"/>
          <w:szCs w:val="20"/>
          <w:color w:val="auto"/>
        </w:rPr>
      </w:pPr>
      <w:r>
        <w:rPr>
          <w:rFonts w:ascii="Arial" w:cs="Arial" w:eastAsia="Arial" w:hAnsi="Arial"/>
          <w:sz w:val="15"/>
          <w:szCs w:val="15"/>
          <w:color w:val="auto"/>
        </w:rPr>
        <w:t>We determine the incremental cost of any Company-provided personal or guest air travel based on the direct variable operating cost. Items included in the calculation include (as applicable) fuel costs; landing, non-home-base hangar or aircraft parking, and ground handling fees; in-flight catering; travel, lodging, and other expenses for flight crew; and other trip-related variable cost, including the use of our fractional jet interests. Because Company-provided air transportation is used primarily for business travel, incremental costs exclude fixed costs that generally do not change based on usage, such as (as applicable) flight crew salaries; aircraft purchase or lease costs; depreciation; insurance costs; certain maintenance fees based on minimum usage; and home-base hangar costs. When the aircraft is already flying to a destination for business purposes, only the direct variable costs associated with the guest (for example, catering), if any, are included in determining the aggregate incremental cost to Regeneron. If any aircraft flies empty before picking up or after dropping off a passenger for personal reasons, this “deadhead” segment would be included in the aggregate incremental cost based on the methodology described above. The amount of disallowed corporate tax deductions attributable to Company-provided personal and guest air travel is not included in the NEO incremental cost calculation.</w:t>
      </w:r>
    </w:p>
    <w:p>
      <w:pPr>
        <w:spacing w:after="0" w:line="163" w:lineRule="exact"/>
        <w:rPr>
          <w:sz w:val="20"/>
          <w:szCs w:val="20"/>
          <w:color w:val="auto"/>
        </w:rPr>
      </w:pPr>
    </w:p>
    <w:p>
      <w:pPr>
        <w:ind w:left="540" w:right="580"/>
        <w:spacing w:after="0" w:line="230" w:lineRule="auto"/>
        <w:rPr>
          <w:sz w:val="20"/>
          <w:szCs w:val="20"/>
          <w:color w:val="auto"/>
        </w:rPr>
      </w:pPr>
      <w:r>
        <w:rPr>
          <w:rFonts w:ascii="Arial" w:cs="Arial" w:eastAsia="Arial" w:hAnsi="Arial"/>
          <w:sz w:val="16"/>
          <w:szCs w:val="16"/>
          <w:color w:val="auto"/>
        </w:rPr>
        <w:t>The security policy also covers secure car transportation, on-site residential security at the primary residence for each of Drs. Schleifer and Yancopoulos, and 24/7 personal security services for Drs. Schleifer and Yancopoulos. Such services are rendered by third-party providers and/or full-time employees of the Company depending on availability and time of day. The incremental costs of such services are calculated based on the methodology described below and exclude costs that the Company would have incurred in any event, such as the ordinary wages, taxes, and benefits of drivers that are employed full-time by the Company for business travel and the costs of security services provided at the Company’s offices during normal business hours. We generally calculate the incremental costs of such services based on (a) the average fuel cost per mile times total miles traveled in connection with secure car transportation for personal travel or security services outside of the office; (b) the amount paid by the Company to the third-party providers of such services or any overtime wages of full-time employees of the Company attributed to such services based on the number of hours expended; and (c) the costs of leasing or renting vehicles dedicated to the provision of such services. In addition, in 2021, the incremental costs associated with on-site residential security included expenses incurred by the Company to upgrade the home security systems at the primary residences of Drs. Schleifer and Yancopoulos, as had been determined to be necessary based on the recommendation of an independent, third-party security study.</w:t>
      </w:r>
    </w:p>
    <w:p>
      <w:pPr>
        <w:spacing w:after="0" w:line="166" w:lineRule="exact"/>
        <w:rPr>
          <w:sz w:val="20"/>
          <w:szCs w:val="20"/>
          <w:color w:val="auto"/>
        </w:rPr>
      </w:pPr>
    </w:p>
    <w:p>
      <w:pPr>
        <w:ind w:left="540" w:right="540"/>
        <w:spacing w:after="0" w:line="234" w:lineRule="auto"/>
        <w:rPr>
          <w:sz w:val="20"/>
          <w:szCs w:val="20"/>
          <w:color w:val="auto"/>
        </w:rPr>
      </w:pPr>
      <w:r>
        <w:rPr>
          <w:rFonts w:ascii="Arial" w:cs="Arial" w:eastAsia="Arial" w:hAnsi="Arial"/>
          <w:sz w:val="16"/>
          <w:szCs w:val="16"/>
          <w:color w:val="auto"/>
        </w:rPr>
        <w:t>Amounts associated with personal or guest Company-provided air and secure car transportation/personal and residential security services are imputed as income to the NEOs to the extent required by applicable tax regulations. The NEOs do not receive a tax gross-up from us to cover their personal income tax obligations in respect of any such imputed income.</w:t>
      </w:r>
    </w:p>
    <w:p>
      <w:pPr>
        <w:spacing w:after="0" w:line="164" w:lineRule="exact"/>
        <w:rPr>
          <w:sz w:val="20"/>
          <w:szCs w:val="20"/>
          <w:color w:val="auto"/>
        </w:rPr>
      </w:pPr>
    </w:p>
    <w:p>
      <w:pPr>
        <w:ind w:left="540" w:right="760"/>
        <w:spacing w:after="0" w:line="232" w:lineRule="auto"/>
        <w:rPr>
          <w:sz w:val="20"/>
          <w:szCs w:val="20"/>
          <w:color w:val="auto"/>
        </w:rPr>
      </w:pPr>
      <w:r>
        <w:rPr>
          <w:rFonts w:ascii="Arial" w:cs="Arial" w:eastAsia="Arial" w:hAnsi="Arial"/>
          <w:sz w:val="16"/>
          <w:szCs w:val="16"/>
          <w:color w:val="auto"/>
        </w:rPr>
        <w:t>The amounts disclosed in the “All other compensation” column of the Summary Compensation Table relating to personal and guest use of Company-provided air transportation, secure car transportation, and personal and residential security services in accordance with our security policy attributable to Drs. Schleifer and Yancopoulos are based on the incremental cost resulting from such transportation/services as described above.</w:t>
      </w:r>
    </w:p>
    <w:p>
      <w:pPr>
        <w:spacing w:after="0" w:line="166" w:lineRule="exact"/>
        <w:rPr>
          <w:sz w:val="20"/>
          <w:szCs w:val="20"/>
          <w:color w:val="auto"/>
        </w:rPr>
      </w:pPr>
    </w:p>
    <w:p>
      <w:pPr>
        <w:ind w:left="540" w:right="700"/>
        <w:spacing w:after="0" w:line="236" w:lineRule="auto"/>
        <w:rPr>
          <w:sz w:val="20"/>
          <w:szCs w:val="20"/>
          <w:color w:val="auto"/>
        </w:rPr>
      </w:pPr>
      <w:r>
        <w:rPr>
          <w:rFonts w:ascii="Arial" w:cs="Arial" w:eastAsia="Arial" w:hAnsi="Arial"/>
          <w:sz w:val="16"/>
          <w:szCs w:val="16"/>
          <w:color w:val="auto"/>
        </w:rPr>
        <w:t>The Corporate Governance and Compliance Committee monitors business and any personal or guest Company-provided air travel on a periodic basis.</w:t>
      </w:r>
    </w:p>
    <w:p>
      <w:pPr>
        <w:spacing w:after="0" w:line="165" w:lineRule="exact"/>
        <w:rPr>
          <w:sz w:val="20"/>
          <w:szCs w:val="20"/>
          <w:color w:val="auto"/>
        </w:rPr>
      </w:pPr>
    </w:p>
    <w:p>
      <w:pPr>
        <w:ind w:left="540" w:right="560"/>
        <w:spacing w:after="0" w:line="236" w:lineRule="auto"/>
        <w:rPr>
          <w:sz w:val="20"/>
          <w:szCs w:val="20"/>
          <w:color w:val="auto"/>
        </w:rPr>
      </w:pPr>
      <w:r>
        <w:rPr>
          <w:rFonts w:ascii="Arial" w:cs="Arial" w:eastAsia="Arial" w:hAnsi="Arial"/>
          <w:sz w:val="16"/>
          <w:szCs w:val="16"/>
          <w:color w:val="auto"/>
        </w:rPr>
        <w:t>Additional information regarding perquisites and other personal benefits provided to our NEOs in, or with respect to, 2021 is given in the applicable footnotes to the Summary Compensation Table included in this proxy statement.</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94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9" w:name="page110"/>
    <w:bookmarkEnd w:id="109"/>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POTENTIAL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5" w:lineRule="exact"/>
        <w:rPr>
          <w:sz w:val="20"/>
          <w:szCs w:val="20"/>
          <w:color w:val="auto"/>
        </w:rPr>
      </w:pPr>
    </w:p>
    <w:p>
      <w:pPr>
        <w:ind w:left="540" w:right="920"/>
        <w:spacing w:after="0" w:line="216" w:lineRule="auto"/>
        <w:rPr>
          <w:sz w:val="20"/>
          <w:szCs w:val="20"/>
          <w:color w:val="auto"/>
        </w:rPr>
      </w:pPr>
      <w:r>
        <w:rPr>
          <w:rFonts w:ascii="Arial" w:cs="Arial" w:eastAsia="Arial" w:hAnsi="Arial"/>
          <w:sz w:val="16"/>
          <w:szCs w:val="16"/>
          <w:color w:val="auto"/>
        </w:rPr>
        <w:t>Except for equity award agreements for Dr. Vagelos and the 2020 PSU award agreements,</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outstanding equity award agreements for all employees include a “double trigger” provision for the acceleration of vesting of unvested equity awards upon a termination by the Company without cause or by the employee for good reason within two years following a change in control. Dr. Vagelos’s stock option, PSU, and RSU awards contain change-of-control provisions consistent with those applicable to the non-employee director equity awards, as described under “Board of Directors—Compensation of Directors” above.</w:t>
      </w:r>
    </w:p>
    <w:p>
      <w:pPr>
        <w:spacing w:after="0" w:line="165" w:lineRule="exact"/>
        <w:rPr>
          <w:sz w:val="20"/>
          <w:szCs w:val="20"/>
          <w:color w:val="auto"/>
        </w:rPr>
      </w:pPr>
    </w:p>
    <w:p>
      <w:pPr>
        <w:ind w:left="540" w:right="620"/>
        <w:spacing w:after="0" w:line="230" w:lineRule="auto"/>
        <w:rPr>
          <w:sz w:val="20"/>
          <w:szCs w:val="20"/>
          <w:color w:val="auto"/>
        </w:rPr>
      </w:pPr>
      <w:r>
        <w:rPr>
          <w:rFonts w:ascii="Arial" w:cs="Arial" w:eastAsia="Arial" w:hAnsi="Arial"/>
          <w:sz w:val="16"/>
          <w:szCs w:val="16"/>
          <w:color w:val="auto"/>
        </w:rPr>
        <w:t>Our CEO has an employment agreement that provides for certain severance benefits following termination, including following death or disability, resignation following defined “good reason” events, or termination in connection with a change in control. The other NEOs are covered by a change in control severance plan, which provides certain benefits to them and other designated officers if they are terminated in connection with a change in control. In addition, in the case of our CSO, stock option, RSA, and PSU award agreements applicable to his awards granted since December 2015 provide that he would have a “good reason” for terminating his employment with Regeneron upon or within two years after the occurrence of a change in control if the employment of our CEO has ended due to our CEO’s involuntary termination (as defined in the CEO’s employment agreement). Information regarding applicable payments under this employment agreement and change in control severance plan is provided in the subsection “2021 Executive Compensation Tables—Post-Employment Compensation.”</w:t>
      </w:r>
    </w:p>
    <w:p>
      <w:pPr>
        <w:spacing w:after="0" w:line="169" w:lineRule="exact"/>
        <w:rPr>
          <w:sz w:val="20"/>
          <w:szCs w:val="20"/>
          <w:color w:val="auto"/>
        </w:rPr>
      </w:pPr>
    </w:p>
    <w:p>
      <w:pPr>
        <w:ind w:left="540" w:right="600"/>
        <w:spacing w:after="0" w:line="230" w:lineRule="auto"/>
        <w:rPr>
          <w:sz w:val="20"/>
          <w:szCs w:val="20"/>
          <w:color w:val="auto"/>
        </w:rPr>
      </w:pPr>
      <w:r>
        <w:rPr>
          <w:rFonts w:ascii="Arial" w:cs="Arial" w:eastAsia="Arial" w:hAnsi="Arial"/>
          <w:sz w:val="16"/>
          <w:szCs w:val="16"/>
          <w:color w:val="auto"/>
        </w:rPr>
        <w:t>Our NEOs will forfeit any unvested stock options or RSAs upon the termination of their employment for any reason (including disability or retirement) other than death, except as provided in our employment agreement with our CEO, in our change in control severance plan, and in certain stock option agreements with our CSO. In the event of the death of an employee, any unvested stock options held by such employee become immediately exercisable, and any shares subject to RSAs/RSUs will become fully vested. In the case of PSU awards to our CEO and CSO (as well as the 2019 PSU award to Dr. Vagelos), upon a termination of employment due to death (or, in the case of 2020 PSU awards, also disability), the PSU award will remain outstanding, and any vesting of the PSUs will be determined following the completion of the applicable performance period. For information regarding the value of accelerated stock options, RSAs, and PSUs held by our CEO and other NEOs (as applicable) as of December 31, 2021, see the subsection “2021 Executive Compensation Tables—Post-Employment Compensation” under “Value of Accelerated Stock Options/PSUs” in the table entitled “Potential Severance Payments under Dr. Schleifer’s Employment Agreement” (for our CEO) and under “Value of Accelerated Stock Options/RSAs/PSUs” in the table entitled “Potential Payments under Change in Control Severance Plan” (for other NEOs).</w:t>
      </w:r>
    </w:p>
    <w:p>
      <w:pPr>
        <w:spacing w:after="0" w:line="166" w:lineRule="exact"/>
        <w:rPr>
          <w:sz w:val="20"/>
          <w:szCs w:val="20"/>
          <w:color w:val="auto"/>
        </w:rPr>
      </w:pPr>
    </w:p>
    <w:p>
      <w:pPr>
        <w:ind w:left="540" w:right="660"/>
        <w:spacing w:after="0" w:line="248" w:lineRule="auto"/>
        <w:rPr>
          <w:sz w:val="20"/>
          <w:szCs w:val="20"/>
          <w:color w:val="auto"/>
        </w:rPr>
      </w:pPr>
      <w:r>
        <w:rPr>
          <w:rFonts w:ascii="Arial" w:cs="Arial" w:eastAsia="Arial" w:hAnsi="Arial"/>
          <w:sz w:val="15"/>
          <w:szCs w:val="15"/>
          <w:color w:val="auto"/>
        </w:rPr>
        <w:t>Except as provided below, when employees retire, they forfeit all unvested stock options, RSAs, and PSUs, including the PSUs granted to our CEO and CSO in 2020. An employee considered “retirement eligible” upon separation under our employee policies as in effect from time to time has the remaining life of the 10-year stock option term to exercise stock options that are vested as of the date of his or her retirement. In addition, in the case of (i) stock option award agreements with our CEO (as provided in his employment agreement) and, commencing in December 2018, our CSO and Dr. Vagelos and (ii) the 2019 PSU award agreements with our CEO and CSO and Dr. Vagelos, awards thereunder will continue to vest in accordance with the terms of the applicable award agreement so long as they are “retirement eligible” upon separation.</w:t>
      </w:r>
    </w:p>
    <w:p>
      <w:pPr>
        <w:spacing w:after="0" w:line="159" w:lineRule="exact"/>
        <w:rPr>
          <w:sz w:val="20"/>
          <w:szCs w:val="20"/>
          <w:color w:val="auto"/>
        </w:rPr>
      </w:pPr>
    </w:p>
    <w:p>
      <w:pPr>
        <w:ind w:left="540" w:right="540"/>
        <w:spacing w:after="0" w:line="231" w:lineRule="auto"/>
        <w:rPr>
          <w:sz w:val="20"/>
          <w:szCs w:val="20"/>
          <w:color w:val="auto"/>
        </w:rPr>
      </w:pPr>
      <w:r>
        <w:rPr>
          <w:rFonts w:ascii="Arial" w:cs="Arial" w:eastAsia="Arial" w:hAnsi="Arial"/>
          <w:sz w:val="16"/>
          <w:szCs w:val="16"/>
          <w:color w:val="auto"/>
        </w:rPr>
        <w:t>The award agreements for the 2020 PSU awards to our CEO and CSO provide that if the recipient’s employment with the Company is terminated without Cause or the recipient leaves his employment with the Company for a Good Reason (each as defined in or incorporated by reference into the Second Amended and Restated Regeneron Pharmaceuticals, Inc. 2014 Long-Term Incentive Plan or the award agreement), earnout is measured as of termination and all PSUs earned as of that date vest and remain subject to a mandatory deferral and holding period of three years after vesting. In this circumstance, PSUs not earned as of such termination date have 12 additional months to be earned and, to the extent earned, will vest on the fifth anniversary of the grant date or the first anniversary of the termination, whichever comes first (with the holding period beginning upon such vesting). Unearned PSUs are forfeited at the end of the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100330</wp:posOffset>
            </wp:positionV>
            <wp:extent cx="64465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446520" cy="8890"/>
                    </a:xfrm>
                    <a:prstGeom prst="rect">
                      <a:avLst/>
                    </a:prstGeom>
                    <a:noFill/>
                  </pic:spPr>
                </pic:pic>
              </a:graphicData>
            </a:graphic>
          </wp:anchor>
        </w:drawing>
      </w:r>
    </w:p>
    <w:p>
      <w:pPr>
        <w:spacing w:after="0" w:line="237" w:lineRule="exact"/>
        <w:rPr>
          <w:sz w:val="20"/>
          <w:szCs w:val="20"/>
          <w:color w:val="auto"/>
        </w:rPr>
      </w:pPr>
    </w:p>
    <w:p>
      <w:pPr>
        <w:ind w:left="760" w:right="640" w:hanging="212"/>
        <w:spacing w:after="0" w:line="249" w:lineRule="auto"/>
        <w:tabs>
          <w:tab w:leader="none" w:pos="760" w:val="left"/>
        </w:tabs>
        <w:numPr>
          <w:ilvl w:val="0"/>
          <w:numId w:val="182"/>
        </w:numPr>
        <w:rPr>
          <w:rFonts w:ascii="Arial" w:cs="Arial" w:eastAsia="Arial" w:hAnsi="Arial"/>
          <w:sz w:val="14"/>
          <w:szCs w:val="14"/>
          <w:color w:val="215BA8"/>
        </w:rPr>
      </w:pPr>
      <w:r>
        <w:rPr>
          <w:rFonts w:ascii="Arial" w:cs="Arial" w:eastAsia="Arial" w:hAnsi="Arial"/>
          <w:sz w:val="14"/>
          <w:szCs w:val="14"/>
          <w:color w:val="1A1A1A"/>
        </w:rPr>
        <w:t>In the case of the PSUs granted to our CEO and CSO in 2020, if there is a change in control, earnout is measured as of the date of the change in control (using the applicable transaction price as the ending stock price), and all PSUs earned as of that date vest with no Holding Period and any unearned PSUs are forfeited immediately.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95</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sectPr>
      </w:pPr>
    </w:p>
    <w:bookmarkStart w:id="110" w:name="page111"/>
    <w:bookmarkEnd w:id="110"/>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860"/>
        <w:spacing w:after="0" w:line="232" w:lineRule="auto"/>
        <w:rPr>
          <w:sz w:val="20"/>
          <w:szCs w:val="20"/>
          <w:color w:val="auto"/>
        </w:rPr>
      </w:pPr>
      <w:r>
        <w:rPr>
          <w:rFonts w:ascii="Arial" w:cs="Arial" w:eastAsia="Arial" w:hAnsi="Arial"/>
          <w:sz w:val="16"/>
          <w:szCs w:val="16"/>
          <w:color w:val="auto"/>
        </w:rPr>
        <w:t>See the table entitled “Potential Severance Payments under Dr. Schleifer’s Employment Agreement” in the subsection “2021 Executive Compensation Tables—Post-Employment Compensation” for the value of accelerated 2020 PSU awards to our CEO under such a termination scenario as of December 31, 2021 (which value would be the same in respect of the 2020 PSU awards to our CSO under a corresponding termination scenario).</w:t>
      </w:r>
    </w:p>
    <w:p>
      <w:pPr>
        <w:spacing w:after="0" w:line="166" w:lineRule="exact"/>
        <w:rPr>
          <w:sz w:val="20"/>
          <w:szCs w:val="20"/>
          <w:color w:val="auto"/>
        </w:rPr>
      </w:pPr>
    </w:p>
    <w:p>
      <w:pPr>
        <w:ind w:left="540" w:right="720"/>
        <w:spacing w:after="0" w:line="232" w:lineRule="auto"/>
        <w:rPr>
          <w:sz w:val="20"/>
          <w:szCs w:val="20"/>
          <w:color w:val="auto"/>
        </w:rPr>
      </w:pPr>
      <w:r>
        <w:rPr>
          <w:rFonts w:ascii="Arial" w:cs="Arial" w:eastAsia="Arial" w:hAnsi="Arial"/>
          <w:sz w:val="16"/>
          <w:szCs w:val="16"/>
          <w:color w:val="auto"/>
        </w:rPr>
        <w:t>The change-in-control severance benefits provided to our NEOs are designed to promote stability and continuity of our senior management and are intended to preserve employee morale and productivity and encourage retention in the face of the disruptive impact of an actual, threatened, or rumored change in control of the Company. These severance benefits were established following a review of comparable practices at the Company’s peer companies and with the advice of the Compensation Committee’s consultant.</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no pension, deferred compensation, or retirement plans applicable to our NEOs, other than our 401(k) Savings Plan described above.</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9" w:lineRule="exact"/>
        <w:rPr>
          <w:sz w:val="20"/>
          <w:szCs w:val="20"/>
          <w:color w:val="auto"/>
        </w:rPr>
      </w:pPr>
    </w:p>
    <w:p>
      <w:pPr>
        <w:jc w:val="both"/>
        <w:ind w:left="540" w:right="900"/>
        <w:spacing w:after="0" w:line="234"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required to disclose the median of the annual total compensation of our employees (excluding our principal executive officer), the annual total compensation of our principal executive officer, Dr. Schleifer, and the ratio of these two amounts.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determined the total compensation of our median employee (based on the 2021 annual total compensation of our employees, excluding</w:t>
      </w:r>
    </w:p>
    <w:p>
      <w:pPr>
        <w:ind w:left="540"/>
        <w:spacing w:after="0" w:line="228" w:lineRule="auto"/>
        <w:rPr>
          <w:sz w:val="20"/>
          <w:szCs w:val="20"/>
          <w:color w:val="auto"/>
        </w:rPr>
      </w:pPr>
      <w:r>
        <w:rPr>
          <w:rFonts w:ascii="Arial" w:cs="Arial" w:eastAsia="Arial" w:hAnsi="Arial"/>
          <w:sz w:val="16"/>
          <w:szCs w:val="16"/>
          <w:color w:val="auto"/>
        </w:rPr>
        <w:t>Dr. Schleifer) to be $149,250. The total 2021 compensation of Dr. Schleifer, as reported in the Summary Compensation Table above, was</w:t>
      </w:r>
    </w:p>
    <w:p>
      <w:pPr>
        <w:ind w:left="540"/>
        <w:spacing w:after="0" w:line="225" w:lineRule="auto"/>
        <w:rPr>
          <w:sz w:val="20"/>
          <w:szCs w:val="20"/>
          <w:color w:val="auto"/>
        </w:rPr>
      </w:pPr>
      <w:r>
        <w:rPr>
          <w:rFonts w:ascii="Arial" w:cs="Arial" w:eastAsia="Arial" w:hAnsi="Arial"/>
          <w:sz w:val="16"/>
          <w:szCs w:val="16"/>
          <w:color w:val="auto"/>
        </w:rPr>
        <w:t>$6,470,514. Accordingly, the ratio of the 2021 annual total compensation of Dr. Schleifer to the median of the 2021 annual total compensation of</w:t>
      </w:r>
    </w:p>
    <w:p>
      <w:pPr>
        <w:ind w:left="540"/>
        <w:spacing w:after="0"/>
        <w:rPr>
          <w:sz w:val="20"/>
          <w:szCs w:val="20"/>
          <w:color w:val="auto"/>
        </w:rPr>
      </w:pPr>
      <w:r>
        <w:rPr>
          <w:rFonts w:ascii="Arial" w:cs="Arial" w:eastAsia="Arial" w:hAnsi="Arial"/>
          <w:sz w:val="16"/>
          <w:szCs w:val="16"/>
          <w:color w:val="auto"/>
        </w:rPr>
        <w:t>our employees was approximately 43 to 1.</w:t>
      </w:r>
      <w:r>
        <w:rPr>
          <w:rFonts w:ascii="Arial" w:cs="Arial" w:eastAsia="Arial" w:hAnsi="Arial"/>
          <w:sz w:val="26"/>
          <w:szCs w:val="26"/>
          <w:color w:val="auto"/>
          <w:vertAlign w:val="superscript"/>
        </w:rPr>
        <w:t>10</w:t>
      </w:r>
    </w:p>
    <w:p>
      <w:pPr>
        <w:spacing w:after="0" w:line="96" w:lineRule="exact"/>
        <w:rPr>
          <w:sz w:val="20"/>
          <w:szCs w:val="20"/>
          <w:color w:val="auto"/>
        </w:rPr>
      </w:pPr>
    </w:p>
    <w:p>
      <w:pPr>
        <w:ind w:left="540" w:right="600"/>
        <w:spacing w:after="0" w:line="231" w:lineRule="auto"/>
        <w:rPr>
          <w:sz w:val="20"/>
          <w:szCs w:val="20"/>
          <w:color w:val="auto"/>
        </w:rPr>
      </w:pPr>
      <w:r>
        <w:rPr>
          <w:rFonts w:ascii="Arial" w:cs="Arial" w:eastAsia="Arial" w:hAnsi="Arial"/>
          <w:sz w:val="16"/>
          <w:szCs w:val="16"/>
          <w:color w:val="auto"/>
        </w:rPr>
        <w:t>For 2021, we identified the median employee as of December 31, 2021 by (i) aggregating for each applicable employee (a) annual base salary for salaried employees (or wages plus overtime, based on annual work schedule, for permanent hourly employees), (b) the target annual cash incentive, and (c) the grant date fair value of any equity awards granted during 2021, and (ii) ranking this compensation measure from lowest to highest. This calculation was performed for all employees, excluding Dr. Schleifer, whether employed on a full-time, part-time, or seasonal basis. For purposes of identifying the median employee, we converted amounts paid in foreign currencies to U.S. dollars based on the applicable 2021 average exchange rate.</w:t>
      </w:r>
    </w:p>
    <w:p>
      <w:pPr>
        <w:spacing w:after="0" w:line="166" w:lineRule="exact"/>
        <w:rPr>
          <w:sz w:val="20"/>
          <w:szCs w:val="20"/>
          <w:color w:val="auto"/>
        </w:rPr>
      </w:pPr>
    </w:p>
    <w:p>
      <w:pPr>
        <w:ind w:left="540" w:right="560"/>
        <w:spacing w:after="0" w:line="248" w:lineRule="auto"/>
        <w:rPr>
          <w:sz w:val="20"/>
          <w:szCs w:val="20"/>
          <w:color w:val="auto"/>
        </w:rPr>
      </w:pPr>
      <w:r>
        <w:rPr>
          <w:rFonts w:ascii="Arial" w:cs="Arial" w:eastAsia="Arial" w:hAnsi="Arial"/>
          <w:sz w:val="15"/>
          <w:szCs w:val="15"/>
          <w:color w:val="auto"/>
        </w:rPr>
        <w:t>We believe that 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79375</wp:posOffset>
            </wp:positionV>
            <wp:extent cx="64465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05" w:lineRule="exact"/>
        <w:rPr>
          <w:sz w:val="20"/>
          <w:szCs w:val="20"/>
          <w:color w:val="auto"/>
        </w:rPr>
      </w:pPr>
    </w:p>
    <w:p>
      <w:pPr>
        <w:ind w:left="760" w:right="820" w:hanging="212"/>
        <w:spacing w:after="0" w:line="258" w:lineRule="auto"/>
        <w:tabs>
          <w:tab w:leader="none" w:pos="760" w:val="left"/>
        </w:tabs>
        <w:numPr>
          <w:ilvl w:val="0"/>
          <w:numId w:val="183"/>
        </w:numPr>
        <w:rPr>
          <w:rFonts w:ascii="Arial" w:cs="Arial" w:eastAsia="Arial" w:hAnsi="Arial"/>
          <w:sz w:val="14"/>
          <w:szCs w:val="14"/>
          <w:color w:val="215BA8"/>
        </w:rPr>
      </w:pPr>
      <w:r>
        <w:rPr>
          <w:rFonts w:ascii="Arial" w:cs="Arial" w:eastAsia="Arial" w:hAnsi="Arial"/>
          <w:sz w:val="14"/>
          <w:szCs w:val="14"/>
          <w:color w:val="1A1A1A"/>
        </w:rPr>
        <w:t>This ratio would have been approximately 218 to 1 if the five-year, front-loaded PSU award granted to Dr. Schleifer in 2020 in lieu of five years of annual equity awards (i.e., until the Company’s regular year-end grant cycle in December 2025) were annualized over such five-year period.</w:t>
      </w:r>
    </w:p>
    <w:p>
      <w:pPr>
        <w:spacing w:after="0" w:line="162"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96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1" w:name="page112"/>
    <w:bookmarkEnd w:id="111"/>
    <w:p>
      <w:pPr>
        <w:jc w:val="right"/>
        <w:ind w:righ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23"/>
          <w:szCs w:val="23"/>
          <w:b w:val="1"/>
          <w:bCs w:val="1"/>
          <w:color w:val="D60058"/>
        </w:rPr>
        <w:t>EQUITY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27305</wp:posOffset>
            </wp:positionV>
            <wp:extent cx="64465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89" w:lineRule="exact"/>
        <w:rPr>
          <w:sz w:val="20"/>
          <w:szCs w:val="20"/>
          <w:color w:val="auto"/>
        </w:rPr>
      </w:pPr>
    </w:p>
    <w:p>
      <w:pPr>
        <w:ind w:left="540" w:right="820"/>
        <w:spacing w:after="0" w:line="271" w:lineRule="auto"/>
        <w:rPr>
          <w:sz w:val="20"/>
          <w:szCs w:val="20"/>
          <w:color w:val="auto"/>
        </w:rPr>
      </w:pPr>
      <w:r>
        <w:rPr>
          <w:rFonts w:ascii="Arial" w:cs="Arial" w:eastAsia="Arial" w:hAnsi="Arial"/>
          <w:sz w:val="18"/>
          <w:szCs w:val="18"/>
          <w:b w:val="1"/>
          <w:bCs w:val="1"/>
          <w:color w:val="215BA8"/>
        </w:rPr>
        <w:t>Corporate Governance Aspects of the Second Amended and Restated Regeneron Pharmaceuticals, Inc. 2014 Long-Term Incentive Plan</w:t>
      </w:r>
    </w:p>
    <w:p>
      <w:pPr>
        <w:spacing w:after="0" w:line="143" w:lineRule="exact"/>
        <w:rPr>
          <w:sz w:val="20"/>
          <w:szCs w:val="20"/>
          <w:color w:val="auto"/>
        </w:rPr>
      </w:pPr>
    </w:p>
    <w:p>
      <w:pPr>
        <w:ind w:left="540" w:right="540"/>
        <w:spacing w:after="0" w:line="232" w:lineRule="auto"/>
        <w:rPr>
          <w:sz w:val="20"/>
          <w:szCs w:val="20"/>
          <w:color w:val="auto"/>
        </w:rPr>
      </w:pPr>
      <w:r>
        <w:rPr>
          <w:rFonts w:ascii="Arial" w:cs="Arial" w:eastAsia="Arial" w:hAnsi="Arial"/>
          <w:sz w:val="16"/>
          <w:szCs w:val="16"/>
          <w:color w:val="auto"/>
        </w:rPr>
        <w:t>The Second Amended and Restated Regeneron Pharmaceuticals, Inc. 2014 Long-Term Incentive Plan (referred to in this subsection as the “Plan”) is the only plan currently used by the Company to grant equity awards. The Plan was approved by shareholders and is designed to promote best practices by reinforcing the alignment between equity compensation arrangements for employees and non-employee directors and the interests of shareholders. The provisions that promote such best practices include:</w:t>
      </w:r>
    </w:p>
    <w:p>
      <w:pPr>
        <w:spacing w:after="0" w:line="175"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1860" w:type="dxa"/>
            <w:vAlign w:val="bottom"/>
          </w:tcPr>
          <w:p>
            <w:pPr>
              <w:ind w:left="60"/>
              <w:spacing w:after="0"/>
              <w:rPr>
                <w:sz w:val="20"/>
                <w:szCs w:val="20"/>
                <w:color w:val="auto"/>
              </w:rPr>
            </w:pPr>
            <w:r>
              <w:rPr>
                <w:rFonts w:ascii="Arial" w:cs="Arial" w:eastAsia="Arial" w:hAnsi="Arial"/>
                <w:sz w:val="12"/>
                <w:szCs w:val="12"/>
                <w:b w:val="1"/>
                <w:bCs w:val="1"/>
                <w:color w:val="215BA8"/>
              </w:rPr>
              <w:t>Provision</w:t>
            </w:r>
          </w:p>
        </w:tc>
        <w:tc>
          <w:tcPr>
            <w:tcW w:w="8300" w:type="dxa"/>
            <w:vAlign w:val="bottom"/>
          </w:tcPr>
          <w:p>
            <w:pPr>
              <w:ind w:left="380"/>
              <w:spacing w:after="0"/>
              <w:rPr>
                <w:sz w:val="20"/>
                <w:szCs w:val="20"/>
                <w:color w:val="auto"/>
              </w:rPr>
            </w:pPr>
            <w:r>
              <w:rPr>
                <w:rFonts w:ascii="Arial" w:cs="Arial" w:eastAsia="Arial" w:hAnsi="Arial"/>
                <w:sz w:val="12"/>
                <w:szCs w:val="12"/>
                <w:b w:val="1"/>
                <w:bCs w:val="1"/>
                <w:color w:val="215BA8"/>
              </w:rPr>
              <w:t>Description</w:t>
            </w:r>
          </w:p>
        </w:tc>
      </w:tr>
      <w:tr>
        <w:trPr>
          <w:trHeight w:val="27"/>
        </w:trPr>
        <w:tc>
          <w:tcPr>
            <w:tcW w:w="1860" w:type="dxa"/>
            <w:vAlign w:val="bottom"/>
            <w:tcBorders>
              <w:bottom w:val="single" w:sz="8" w:color="215AA8"/>
            </w:tcBorders>
          </w:tcPr>
          <w:p>
            <w:pPr>
              <w:spacing w:after="0"/>
              <w:rPr>
                <w:sz w:val="2"/>
                <w:szCs w:val="2"/>
                <w:color w:val="auto"/>
              </w:rPr>
            </w:pPr>
          </w:p>
        </w:tc>
        <w:tc>
          <w:tcPr>
            <w:tcW w:w="8300" w:type="dxa"/>
            <w:vAlign w:val="bottom"/>
            <w:tcBorders>
              <w:bottom w:val="single" w:sz="8" w:color="215AA8"/>
            </w:tcBorders>
          </w:tcPr>
          <w:p>
            <w:pPr>
              <w:spacing w:after="0"/>
              <w:rPr>
                <w:sz w:val="2"/>
                <w:szCs w:val="2"/>
                <w:color w:val="auto"/>
              </w:rPr>
            </w:pPr>
          </w:p>
        </w:tc>
      </w:tr>
      <w:tr>
        <w:trPr>
          <w:trHeight w:val="176"/>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No Discounted Stock</w:t>
            </w:r>
          </w:p>
        </w:tc>
        <w:tc>
          <w:tcPr>
            <w:tcW w:w="8300" w:type="dxa"/>
            <w:vAlign w:val="bottom"/>
          </w:tcPr>
          <w:p>
            <w:pPr>
              <w:ind w:left="380"/>
              <w:spacing w:after="0"/>
              <w:rPr>
                <w:sz w:val="20"/>
                <w:szCs w:val="20"/>
                <w:color w:val="auto"/>
              </w:rPr>
            </w:pPr>
            <w:r>
              <w:rPr>
                <w:rFonts w:ascii="Arial" w:cs="Arial" w:eastAsia="Arial" w:hAnsi="Arial"/>
                <w:sz w:val="14"/>
                <w:szCs w:val="14"/>
                <w:color w:val="auto"/>
              </w:rPr>
              <w:t>Stock options and stock appreciation rights are not granted with an exercise or base price less than the fair market value of</w:t>
            </w:r>
          </w:p>
        </w:tc>
      </w:tr>
      <w:tr>
        <w:trPr>
          <w:trHeight w:val="162"/>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Options or Stock</w:t>
            </w:r>
          </w:p>
        </w:tc>
        <w:tc>
          <w:tcPr>
            <w:tcW w:w="8300" w:type="dxa"/>
            <w:vAlign w:val="bottom"/>
          </w:tcPr>
          <w:p>
            <w:pPr>
              <w:ind w:left="380"/>
              <w:spacing w:after="0"/>
              <w:rPr>
                <w:sz w:val="20"/>
                <w:szCs w:val="20"/>
                <w:color w:val="auto"/>
              </w:rPr>
            </w:pPr>
            <w:r>
              <w:rPr>
                <w:rFonts w:ascii="Arial" w:cs="Arial" w:eastAsia="Arial" w:hAnsi="Arial"/>
                <w:sz w:val="14"/>
                <w:szCs w:val="14"/>
                <w:color w:val="auto"/>
              </w:rPr>
              <w:t>common stock (as defined in the Plan) on the date of grant.</w:t>
            </w:r>
          </w:p>
        </w:tc>
      </w:tr>
      <w:tr>
        <w:trPr>
          <w:trHeight w:val="190"/>
        </w:trPr>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Appreciation Rights</w:t>
            </w:r>
          </w:p>
        </w:tc>
        <w:tc>
          <w:tcPr>
            <w:tcW w:w="83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7620</wp:posOffset>
            </wp:positionV>
            <wp:extent cx="6446520" cy="5575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446520" cy="55753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39" w:lineRule="exact"/>
        <w:rPr>
          <w:sz w:val="20"/>
          <w:szCs w:val="20"/>
          <w:color w:val="auto"/>
        </w:rPr>
      </w:pPr>
    </w:p>
    <w:p>
      <w:pPr>
        <w:ind w:left="600"/>
        <w:spacing w:after="0" w:line="263" w:lineRule="auto"/>
        <w:rPr>
          <w:sz w:val="20"/>
          <w:szCs w:val="20"/>
          <w:color w:val="auto"/>
        </w:rPr>
      </w:pPr>
      <w:r>
        <w:rPr>
          <w:rFonts w:ascii="Arial" w:cs="Arial" w:eastAsia="Arial" w:hAnsi="Arial"/>
          <w:sz w:val="14"/>
          <w:szCs w:val="14"/>
          <w:b w:val="1"/>
          <w:bCs w:val="1"/>
          <w:color w:val="auto"/>
        </w:rPr>
        <w:t>No Stock Option or Stock Appreciation Right Re-pricing or Exchange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740"/>
        <w:spacing w:after="0" w:line="246" w:lineRule="auto"/>
        <w:rPr>
          <w:sz w:val="20"/>
          <w:szCs w:val="20"/>
          <w:color w:val="auto"/>
        </w:rPr>
      </w:pPr>
      <w:r>
        <w:rPr>
          <w:rFonts w:ascii="Arial" w:cs="Arial" w:eastAsia="Arial" w:hAnsi="Arial"/>
          <w:sz w:val="14"/>
          <w:szCs w:val="14"/>
          <w:color w:val="auto"/>
        </w:rPr>
        <w:t>Except for equitable adjustments in connection with specific corporate transactions (such as stock splits, recapitalizations, reorganizations, mergers, consolidations, and similar transactions), the Plan does not permit a decrease in the exercise price or base price of a stock option or stock appreciation right granted under the Plan through settlement, cancellation, forfeiture, exchange, surrender, or otherwise below the fair market value of common stock (as defined in the Plan)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109220</wp:posOffset>
            </wp:positionV>
            <wp:extent cx="64465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2340" w:space="440"/>
            <w:col w:w="8460"/>
          </w:cols>
          <w:pgMar w:left="320" w:top="410" w:right="339" w:bottom="1440" w:gutter="0" w:footer="0" w:header="0"/>
          <w:type w:val="continuous"/>
        </w:sectPr>
      </w:pPr>
    </w:p>
    <w:p>
      <w:pPr>
        <w:ind w:left="600"/>
        <w:spacing w:after="0"/>
        <w:tabs>
          <w:tab w:leader="none" w:pos="2760" w:val="left"/>
        </w:tabs>
        <w:rPr>
          <w:sz w:val="20"/>
          <w:szCs w:val="20"/>
          <w:color w:val="auto"/>
        </w:rPr>
      </w:pPr>
      <w:r>
        <w:rPr>
          <w:rFonts w:ascii="Arial" w:cs="Arial" w:eastAsia="Arial" w:hAnsi="Arial"/>
          <w:sz w:val="14"/>
          <w:szCs w:val="14"/>
          <w:b w:val="1"/>
          <w:bCs w:val="1"/>
          <w:color w:val="auto"/>
        </w:rPr>
        <w:t>Recoupment (Clawback)</w:t>
      </w:r>
      <w:r>
        <w:rPr>
          <w:sz w:val="20"/>
          <w:szCs w:val="20"/>
          <w:color w:val="auto"/>
        </w:rPr>
        <w:tab/>
      </w:r>
      <w:r>
        <w:rPr>
          <w:rFonts w:ascii="Arial" w:cs="Arial" w:eastAsia="Arial" w:hAnsi="Arial"/>
          <w:sz w:val="14"/>
          <w:szCs w:val="14"/>
          <w:color w:val="auto"/>
        </w:rPr>
        <w:t>Awards granted to our officers and other employees under the Plan are subject to recoupment or reduction in accordance</w:t>
      </w:r>
    </w:p>
    <w:p>
      <w:pPr>
        <w:spacing w:after="0" w:line="19" w:lineRule="exact"/>
        <w:rPr>
          <w:sz w:val="20"/>
          <w:szCs w:val="20"/>
          <w:color w:val="auto"/>
        </w:rPr>
      </w:pPr>
    </w:p>
    <w:p>
      <w:pPr>
        <w:ind w:left="2780" w:right="880" w:hanging="2179"/>
        <w:spacing w:after="0" w:line="258" w:lineRule="auto"/>
        <w:tabs>
          <w:tab w:leader="none" w:pos="2760" w:val="left"/>
        </w:tabs>
        <w:rPr>
          <w:sz w:val="20"/>
          <w:szCs w:val="20"/>
          <w:color w:val="auto"/>
        </w:rPr>
      </w:pPr>
      <w:r>
        <w:rPr>
          <w:rFonts w:ascii="Arial" w:cs="Arial" w:eastAsia="Arial" w:hAnsi="Arial"/>
          <w:sz w:val="14"/>
          <w:szCs w:val="14"/>
          <w:b w:val="1"/>
          <w:bCs w:val="1"/>
          <w:color w:val="auto"/>
        </w:rPr>
        <w:t>Policy</w:t>
      </w:r>
      <w:r>
        <w:rPr>
          <w:sz w:val="20"/>
          <w:szCs w:val="20"/>
          <w:color w:val="auto"/>
        </w:rPr>
        <w:tab/>
      </w:r>
      <w:r>
        <w:rPr>
          <w:rFonts w:ascii="Arial" w:cs="Arial" w:eastAsia="Arial" w:hAnsi="Arial"/>
          <w:sz w:val="14"/>
          <w:szCs w:val="14"/>
          <w:color w:val="auto"/>
        </w:rPr>
        <w:t>with the terms of our policy regarding recoupment or reduction of incentive compensation (sometimes referred to as our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0</wp:posOffset>
            </wp:positionV>
            <wp:extent cx="6446520" cy="4546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446520" cy="454660"/>
                    </a:xfrm>
                    <a:prstGeom prst="rect">
                      <a:avLst/>
                    </a:prstGeom>
                    <a:noFill/>
                  </pic:spPr>
                </pic:pic>
              </a:graphicData>
            </a:graphic>
          </wp:anchor>
        </w:drawing>
      </w:r>
    </w:p>
    <w:p>
      <w:pPr>
        <w:spacing w:after="0" w:line="7" w:lineRule="exact"/>
        <w:rPr>
          <w:sz w:val="20"/>
          <w:szCs w:val="20"/>
          <w:color w:val="auto"/>
        </w:rPr>
      </w:pPr>
    </w:p>
    <w:p>
      <w:pPr>
        <w:ind w:left="2780" w:right="700" w:hanging="2168"/>
        <w:spacing w:after="0" w:line="247" w:lineRule="auto"/>
        <w:tabs>
          <w:tab w:leader="none" w:pos="2760" w:val="left"/>
        </w:tabs>
        <w:rPr>
          <w:sz w:val="20"/>
          <w:szCs w:val="20"/>
          <w:color w:val="auto"/>
        </w:rPr>
      </w:pPr>
      <w:r>
        <w:rPr>
          <w:rFonts w:ascii="Arial" w:cs="Arial" w:eastAsia="Arial" w:hAnsi="Arial"/>
          <w:sz w:val="14"/>
          <w:szCs w:val="14"/>
          <w:b w:val="1"/>
          <w:bCs w:val="1"/>
          <w:color w:val="auto"/>
        </w:rPr>
        <w:t>Independent Administration</w:t>
      </w:r>
      <w:r>
        <w:rPr>
          <w:sz w:val="20"/>
          <w:szCs w:val="20"/>
          <w:color w:val="auto"/>
        </w:rPr>
        <w:tab/>
      </w:r>
      <w:r>
        <w:rPr>
          <w:rFonts w:ascii="Arial" w:cs="Arial" w:eastAsia="Arial" w:hAnsi="Arial"/>
          <w:sz w:val="14"/>
          <w:szCs w:val="14"/>
          <w:color w:val="auto"/>
        </w:rPr>
        <w:t>The Plan is administered by the Compensation Committee, which is intended to be comprised solely of non-employee directors each of whom meets the additional independence criteria applicable to compensation committee members under the listing standards of The Nasdaq Stock Market LLC and qualifies as a “Non-Employee Director” pursuant to Rule 16b-3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15875</wp:posOffset>
            </wp:positionV>
            <wp:extent cx="64465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33" w:lineRule="exact"/>
        <w:rPr>
          <w:sz w:val="20"/>
          <w:szCs w:val="20"/>
          <w:color w:val="auto"/>
        </w:rPr>
      </w:pPr>
    </w:p>
    <w:p>
      <w:pPr>
        <w:ind w:left="2780" w:right="720" w:hanging="2168"/>
        <w:spacing w:after="0" w:line="258" w:lineRule="auto"/>
        <w:tabs>
          <w:tab w:leader="none" w:pos="2760" w:val="left"/>
        </w:tabs>
        <w:rPr>
          <w:sz w:val="20"/>
          <w:szCs w:val="20"/>
          <w:color w:val="auto"/>
        </w:rPr>
      </w:pPr>
      <w:r>
        <w:rPr>
          <w:rFonts w:ascii="Arial" w:cs="Arial" w:eastAsia="Arial" w:hAnsi="Arial"/>
          <w:sz w:val="14"/>
          <w:szCs w:val="14"/>
          <w:b w:val="1"/>
          <w:bCs w:val="1"/>
          <w:color w:val="auto"/>
        </w:rPr>
        <w:t>No “Evergreen” Provision</w:t>
      </w:r>
      <w:r>
        <w:rPr>
          <w:sz w:val="20"/>
          <w:szCs w:val="20"/>
          <w:color w:val="auto"/>
        </w:rPr>
        <w:tab/>
      </w:r>
      <w:r>
        <w:rPr>
          <w:rFonts w:ascii="Arial" w:cs="Arial" w:eastAsia="Arial" w:hAnsi="Arial"/>
          <w:sz w:val="14"/>
          <w:szCs w:val="14"/>
          <w:color w:val="auto"/>
        </w:rPr>
        <w:t>The Plan does not contain an “evergreen” feature pursuant to which the shares authorized for issuance thereunder can be automatically replenished.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11430</wp:posOffset>
            </wp:positionV>
            <wp:extent cx="6446520" cy="1454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446520" cy="145415"/>
                    </a:xfrm>
                    <a:prstGeom prst="rect">
                      <a:avLst/>
                    </a:prstGeom>
                    <a:noFill/>
                  </pic:spPr>
                </pic:pic>
              </a:graphicData>
            </a:graphic>
          </wp:anchor>
        </w:drawing>
      </w:r>
    </w:p>
    <w:p>
      <w:pPr>
        <w:spacing w:after="0" w:line="25" w:lineRule="exact"/>
        <w:rPr>
          <w:sz w:val="20"/>
          <w:szCs w:val="20"/>
          <w:color w:val="auto"/>
        </w:rPr>
      </w:pPr>
    </w:p>
    <w:p>
      <w:pPr>
        <w:ind w:left="600"/>
        <w:spacing w:after="0"/>
        <w:tabs>
          <w:tab w:leader="none" w:pos="2760" w:val="left"/>
        </w:tabs>
        <w:rPr>
          <w:sz w:val="20"/>
          <w:szCs w:val="20"/>
          <w:color w:val="auto"/>
        </w:rPr>
      </w:pPr>
      <w:r>
        <w:rPr>
          <w:rFonts w:ascii="Arial" w:cs="Arial" w:eastAsia="Arial" w:hAnsi="Arial"/>
          <w:sz w:val="14"/>
          <w:szCs w:val="14"/>
          <w:b w:val="1"/>
          <w:bCs w:val="1"/>
          <w:color w:val="auto"/>
        </w:rPr>
        <w:t>No Tax Gross-ups</w:t>
      </w:r>
      <w:r>
        <w:rPr>
          <w:sz w:val="20"/>
          <w:szCs w:val="20"/>
          <w:color w:val="auto"/>
        </w:rPr>
        <w:tab/>
      </w:r>
      <w:r>
        <w:rPr>
          <w:rFonts w:ascii="Arial" w:cs="Arial" w:eastAsia="Arial" w:hAnsi="Arial"/>
          <w:sz w:val="14"/>
          <w:szCs w:val="14"/>
          <w:color w:val="auto"/>
        </w:rPr>
        <w:t>The Plan does not provide for any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26035</wp:posOffset>
            </wp:positionV>
            <wp:extent cx="64465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46520" cy="8255"/>
                    </a:xfrm>
                    <a:prstGeom prst="rect">
                      <a:avLst/>
                    </a:prstGeom>
                    <a:noFill/>
                  </pic:spPr>
                </pic:pic>
              </a:graphicData>
            </a:graphic>
          </wp:anchor>
        </w:drawing>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Key Equity Metrics</w:t>
      </w:r>
    </w:p>
    <w:p>
      <w:pPr>
        <w:spacing w:after="0" w:line="201" w:lineRule="exact"/>
        <w:rPr>
          <w:sz w:val="20"/>
          <w:szCs w:val="20"/>
          <w:color w:val="auto"/>
        </w:rPr>
      </w:pPr>
    </w:p>
    <w:p>
      <w:pPr>
        <w:ind w:left="540" w:right="540"/>
        <w:spacing w:after="0" w:line="232" w:lineRule="auto"/>
        <w:rPr>
          <w:sz w:val="20"/>
          <w:szCs w:val="20"/>
          <w:color w:val="auto"/>
        </w:rPr>
      </w:pPr>
      <w:r>
        <w:rPr>
          <w:rFonts w:ascii="Arial" w:cs="Arial" w:eastAsia="Arial" w:hAnsi="Arial"/>
          <w:sz w:val="16"/>
          <w:szCs w:val="16"/>
          <w:color w:val="auto"/>
        </w:rPr>
        <w:t>The following table summarizes some key metrics relating to the equity component of our compensation program. When evaluating the information below, it is important to keep in mind the 40% increase in the number of our employees over the 2019 – 2021 period and our all-employee equity award strategy encompassing initial equity grants to all new hires as well as a comprehensive annual equity program covering all levels of employees:</w:t>
      </w:r>
    </w:p>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3820" w:type="dxa"/>
            <w:vAlign w:val="bottom"/>
            <w:tcBorders>
              <w:bottom w:val="single" w:sz="8" w:color="215AA8"/>
            </w:tcBorders>
          </w:tcPr>
          <w:p>
            <w:pPr>
              <w:spacing w:after="0"/>
              <w:rPr>
                <w:sz w:val="13"/>
                <w:szCs w:val="13"/>
                <w:color w:val="auto"/>
              </w:rPr>
            </w:pPr>
          </w:p>
        </w:tc>
        <w:tc>
          <w:tcPr>
            <w:tcW w:w="3300" w:type="dxa"/>
            <w:vAlign w:val="bottom"/>
            <w:tcBorders>
              <w:bottom w:val="single" w:sz="8" w:color="215AA8"/>
            </w:tcBorders>
          </w:tcPr>
          <w:p>
            <w:pPr>
              <w:jc w:val="center"/>
              <w:ind w:left="1696"/>
              <w:spacing w:after="0"/>
              <w:rPr>
                <w:sz w:val="20"/>
                <w:szCs w:val="20"/>
                <w:color w:val="auto"/>
              </w:rPr>
            </w:pPr>
            <w:r>
              <w:rPr>
                <w:rFonts w:ascii="Arial" w:cs="Arial" w:eastAsia="Arial" w:hAnsi="Arial"/>
                <w:sz w:val="12"/>
                <w:szCs w:val="12"/>
                <w:b w:val="1"/>
                <w:bCs w:val="1"/>
                <w:color w:val="215BA8"/>
                <w:w w:val="97"/>
              </w:rPr>
              <w:t>2021</w:t>
            </w:r>
          </w:p>
        </w:tc>
        <w:tc>
          <w:tcPr>
            <w:tcW w:w="1520" w:type="dxa"/>
            <w:vAlign w:val="bottom"/>
            <w:tcBorders>
              <w:bottom w:val="single" w:sz="8" w:color="215AA8"/>
            </w:tcBorders>
          </w:tcPr>
          <w:p>
            <w:pPr>
              <w:jc w:val="center"/>
              <w:spacing w:after="0"/>
              <w:rPr>
                <w:sz w:val="20"/>
                <w:szCs w:val="20"/>
                <w:color w:val="auto"/>
              </w:rPr>
            </w:pPr>
            <w:r>
              <w:rPr>
                <w:rFonts w:ascii="Arial" w:cs="Arial" w:eastAsia="Arial" w:hAnsi="Arial"/>
                <w:sz w:val="12"/>
                <w:szCs w:val="12"/>
                <w:b w:val="1"/>
                <w:bCs w:val="1"/>
                <w:color w:val="215BA8"/>
                <w:w w:val="97"/>
              </w:rPr>
              <w:t>2020</w:t>
            </w:r>
          </w:p>
        </w:tc>
        <w:tc>
          <w:tcPr>
            <w:tcW w:w="1520" w:type="dxa"/>
            <w:vAlign w:val="bottom"/>
            <w:tcBorders>
              <w:bottom w:val="single" w:sz="8" w:color="215AA8"/>
            </w:tcBorders>
          </w:tcPr>
          <w:p>
            <w:pPr>
              <w:jc w:val="center"/>
              <w:spacing w:after="0"/>
              <w:rPr>
                <w:sz w:val="20"/>
                <w:szCs w:val="20"/>
                <w:color w:val="auto"/>
              </w:rPr>
            </w:pPr>
            <w:r>
              <w:rPr>
                <w:rFonts w:ascii="Arial" w:cs="Arial" w:eastAsia="Arial" w:hAnsi="Arial"/>
                <w:sz w:val="12"/>
                <w:szCs w:val="12"/>
                <w:b w:val="1"/>
                <w:bCs w:val="1"/>
                <w:color w:val="215BA8"/>
                <w:w w:val="97"/>
              </w:rPr>
              <w:t>2019</w:t>
            </w:r>
          </w:p>
        </w:tc>
      </w:tr>
      <w:tr>
        <w:trPr>
          <w:trHeight w:val="254"/>
        </w:trPr>
        <w:tc>
          <w:tcPr>
            <w:tcW w:w="3820" w:type="dxa"/>
            <w:vAlign w:val="bottom"/>
          </w:tcPr>
          <w:p>
            <w:pPr>
              <w:ind w:left="60"/>
              <w:spacing w:after="0"/>
              <w:rPr>
                <w:sz w:val="20"/>
                <w:szCs w:val="20"/>
                <w:color w:val="auto"/>
              </w:rPr>
            </w:pPr>
            <w:r>
              <w:rPr>
                <w:rFonts w:ascii="Arial" w:cs="Arial" w:eastAsia="Arial" w:hAnsi="Arial"/>
                <w:sz w:val="13"/>
                <w:szCs w:val="13"/>
                <w:b w:val="1"/>
                <w:bCs w:val="1"/>
                <w:color w:val="auto"/>
              </w:rPr>
              <w:t>Unadjusted Burn Rate</w:t>
            </w:r>
            <w:r>
              <w:rPr>
                <w:rFonts w:ascii="Arial" w:cs="Arial" w:eastAsia="Arial" w:hAnsi="Arial"/>
                <w:sz w:val="21"/>
                <w:szCs w:val="21"/>
                <w:b w:val="1"/>
                <w:bCs w:val="1"/>
                <w:color w:val="auto"/>
                <w:vertAlign w:val="superscript"/>
              </w:rPr>
              <w:t>1</w:t>
            </w:r>
          </w:p>
        </w:tc>
        <w:tc>
          <w:tcPr>
            <w:tcW w:w="3300" w:type="dxa"/>
            <w:vAlign w:val="bottom"/>
          </w:tcPr>
          <w:p>
            <w:pPr>
              <w:jc w:val="center"/>
              <w:ind w:left="1716"/>
              <w:spacing w:after="0"/>
              <w:rPr>
                <w:sz w:val="20"/>
                <w:szCs w:val="20"/>
                <w:color w:val="auto"/>
              </w:rPr>
            </w:pPr>
            <w:r>
              <w:rPr>
                <w:rFonts w:ascii="Arial" w:cs="Arial" w:eastAsia="Arial" w:hAnsi="Arial"/>
                <w:sz w:val="13"/>
                <w:szCs w:val="13"/>
                <w:color w:val="auto"/>
                <w:w w:val="97"/>
              </w:rPr>
              <w:t>3.14%</w:t>
            </w:r>
          </w:p>
        </w:tc>
        <w:tc>
          <w:tcPr>
            <w:tcW w:w="1520" w:type="dxa"/>
            <w:vAlign w:val="bottom"/>
          </w:tcPr>
          <w:p>
            <w:pPr>
              <w:jc w:val="center"/>
              <w:spacing w:after="0"/>
              <w:rPr>
                <w:sz w:val="20"/>
                <w:szCs w:val="20"/>
                <w:color w:val="auto"/>
              </w:rPr>
            </w:pPr>
            <w:r>
              <w:rPr>
                <w:rFonts w:ascii="Arial" w:cs="Arial" w:eastAsia="Arial" w:hAnsi="Arial"/>
                <w:sz w:val="13"/>
                <w:szCs w:val="13"/>
                <w:color w:val="auto"/>
              </w:rPr>
              <w:t>3.25%</w:t>
            </w:r>
          </w:p>
        </w:tc>
        <w:tc>
          <w:tcPr>
            <w:tcW w:w="1520" w:type="dxa"/>
            <w:vAlign w:val="bottom"/>
          </w:tcPr>
          <w:p>
            <w:pPr>
              <w:jc w:val="center"/>
              <w:spacing w:after="0"/>
              <w:rPr>
                <w:sz w:val="20"/>
                <w:szCs w:val="20"/>
                <w:color w:val="auto"/>
              </w:rPr>
            </w:pPr>
            <w:r>
              <w:rPr>
                <w:rFonts w:ascii="Arial" w:cs="Arial" w:eastAsia="Arial" w:hAnsi="Arial"/>
                <w:sz w:val="13"/>
                <w:szCs w:val="13"/>
                <w:color w:val="auto"/>
                <w:w w:val="97"/>
              </w:rPr>
              <w:t>3.58%</w:t>
            </w:r>
          </w:p>
        </w:tc>
      </w:tr>
      <w:tr>
        <w:trPr>
          <w:trHeight w:val="205"/>
        </w:trPr>
        <w:tc>
          <w:tcPr>
            <w:tcW w:w="3820" w:type="dxa"/>
            <w:vAlign w:val="bottom"/>
            <w:tcBorders>
              <w:bottom w:val="single" w:sz="8" w:color="58585A"/>
            </w:tcBorders>
          </w:tcPr>
          <w:p>
            <w:pPr>
              <w:ind w:left="60"/>
              <w:spacing w:after="0" w:line="205" w:lineRule="exact"/>
              <w:rPr>
                <w:sz w:val="20"/>
                <w:szCs w:val="20"/>
                <w:color w:val="auto"/>
              </w:rPr>
            </w:pPr>
            <w:r>
              <w:rPr>
                <w:rFonts w:ascii="Arial" w:cs="Arial" w:eastAsia="Arial" w:hAnsi="Arial"/>
                <w:sz w:val="13"/>
                <w:szCs w:val="13"/>
                <w:b w:val="1"/>
                <w:bCs w:val="1"/>
                <w:color w:val="auto"/>
              </w:rPr>
              <w:t>Adjusted Burn Rate</w:t>
            </w:r>
            <w:r>
              <w:rPr>
                <w:rFonts w:ascii="Arial" w:cs="Arial" w:eastAsia="Arial" w:hAnsi="Arial"/>
                <w:sz w:val="21"/>
                <w:szCs w:val="21"/>
                <w:b w:val="1"/>
                <w:bCs w:val="1"/>
                <w:color w:val="auto"/>
                <w:vertAlign w:val="superscript"/>
              </w:rPr>
              <w:t>1</w:t>
            </w:r>
          </w:p>
        </w:tc>
        <w:tc>
          <w:tcPr>
            <w:tcW w:w="3300" w:type="dxa"/>
            <w:vAlign w:val="bottom"/>
            <w:tcBorders>
              <w:bottom w:val="single" w:sz="8" w:color="58585A"/>
            </w:tcBorders>
          </w:tcPr>
          <w:p>
            <w:pPr>
              <w:jc w:val="center"/>
              <w:ind w:left="1716"/>
              <w:spacing w:after="0"/>
              <w:rPr>
                <w:sz w:val="20"/>
                <w:szCs w:val="20"/>
                <w:color w:val="auto"/>
              </w:rPr>
            </w:pPr>
            <w:r>
              <w:rPr>
                <w:rFonts w:ascii="Arial" w:cs="Arial" w:eastAsia="Arial" w:hAnsi="Arial"/>
                <w:sz w:val="13"/>
                <w:szCs w:val="13"/>
                <w:color w:val="auto"/>
                <w:w w:val="97"/>
              </w:rPr>
              <w:t>4.53%</w:t>
            </w:r>
          </w:p>
        </w:tc>
        <w:tc>
          <w:tcPr>
            <w:tcW w:w="15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rPr>
              <w:t>4.15%</w:t>
            </w:r>
          </w:p>
        </w:tc>
        <w:tc>
          <w:tcPr>
            <w:tcW w:w="1520" w:type="dxa"/>
            <w:vAlign w:val="bottom"/>
            <w:tcBorders>
              <w:bottom w:val="single" w:sz="8" w:color="58585A"/>
            </w:tcBorders>
          </w:tcPr>
          <w:p>
            <w:pPr>
              <w:jc w:val="center"/>
              <w:spacing w:after="0"/>
              <w:rPr>
                <w:sz w:val="20"/>
                <w:szCs w:val="20"/>
                <w:color w:val="auto"/>
              </w:rPr>
            </w:pPr>
            <w:r>
              <w:rPr>
                <w:rFonts w:ascii="Arial" w:cs="Arial" w:eastAsia="Arial" w:hAnsi="Arial"/>
                <w:sz w:val="13"/>
                <w:szCs w:val="13"/>
                <w:color w:val="auto"/>
                <w:w w:val="97"/>
              </w:rPr>
              <w:t>4.46%</w:t>
            </w:r>
          </w:p>
        </w:tc>
      </w:tr>
      <w:tr>
        <w:trPr>
          <w:trHeight w:val="169"/>
        </w:trPr>
        <w:tc>
          <w:tcPr>
            <w:tcW w:w="3820" w:type="dxa"/>
            <w:vAlign w:val="bottom"/>
            <w:tcBorders>
              <w:bottom w:val="single" w:sz="8" w:color="58585A"/>
            </w:tcBorders>
            <w:shd w:val="clear" w:color="auto" w:fill="EEEEEF"/>
          </w:tcPr>
          <w:p>
            <w:pPr>
              <w:ind w:left="60"/>
              <w:spacing w:after="0" w:line="169" w:lineRule="exact"/>
              <w:rPr>
                <w:sz w:val="20"/>
                <w:szCs w:val="20"/>
                <w:color w:val="auto"/>
              </w:rPr>
            </w:pPr>
            <w:r>
              <w:rPr>
                <w:rFonts w:ascii="Arial" w:cs="Arial" w:eastAsia="Arial" w:hAnsi="Arial"/>
                <w:sz w:val="12"/>
                <w:szCs w:val="12"/>
                <w:b w:val="1"/>
                <w:bCs w:val="1"/>
                <w:color w:val="auto"/>
              </w:rPr>
              <w:t>Overhang</w:t>
            </w:r>
            <w:r>
              <w:rPr>
                <w:rFonts w:ascii="Arial" w:cs="Arial" w:eastAsia="Arial" w:hAnsi="Arial"/>
                <w:sz w:val="19"/>
                <w:szCs w:val="19"/>
                <w:b w:val="1"/>
                <w:bCs w:val="1"/>
                <w:color w:val="auto"/>
                <w:vertAlign w:val="superscript"/>
              </w:rPr>
              <w:t>2</w:t>
            </w:r>
          </w:p>
        </w:tc>
        <w:tc>
          <w:tcPr>
            <w:tcW w:w="3300" w:type="dxa"/>
            <w:vAlign w:val="bottom"/>
            <w:tcBorders>
              <w:bottom w:val="single" w:sz="8" w:color="58585A"/>
            </w:tcBorders>
            <w:shd w:val="clear" w:color="auto" w:fill="EEEEEF"/>
          </w:tcPr>
          <w:p>
            <w:pPr>
              <w:jc w:val="center"/>
              <w:ind w:left="1716"/>
              <w:spacing w:after="0"/>
              <w:rPr>
                <w:sz w:val="20"/>
                <w:szCs w:val="20"/>
                <w:color w:val="auto"/>
              </w:rPr>
            </w:pPr>
            <w:r>
              <w:rPr>
                <w:rFonts w:ascii="Arial" w:cs="Arial" w:eastAsia="Arial" w:hAnsi="Arial"/>
                <w:sz w:val="13"/>
                <w:szCs w:val="13"/>
                <w:color w:val="auto"/>
                <w:w w:val="99"/>
              </w:rPr>
              <w:t>26.92%</w:t>
            </w:r>
          </w:p>
        </w:tc>
        <w:tc>
          <w:tcPr>
            <w:tcW w:w="152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3"/>
                <w:szCs w:val="13"/>
                <w:color w:val="auto"/>
                <w:w w:val="99"/>
              </w:rPr>
              <w:t>29.27%</w:t>
            </w:r>
          </w:p>
        </w:tc>
        <w:tc>
          <w:tcPr>
            <w:tcW w:w="1520" w:type="dxa"/>
            <w:vAlign w:val="bottom"/>
            <w:tcBorders>
              <w:bottom w:val="single" w:sz="8" w:color="58585A"/>
            </w:tcBorders>
            <w:shd w:val="clear" w:color="auto" w:fill="EEEEEF"/>
          </w:tcPr>
          <w:p>
            <w:pPr>
              <w:jc w:val="center"/>
              <w:spacing w:after="0"/>
              <w:rPr>
                <w:sz w:val="20"/>
                <w:szCs w:val="20"/>
                <w:color w:val="auto"/>
              </w:rPr>
            </w:pPr>
            <w:r>
              <w:rPr>
                <w:rFonts w:ascii="Arial" w:cs="Arial" w:eastAsia="Arial" w:hAnsi="Arial"/>
                <w:sz w:val="13"/>
                <w:szCs w:val="13"/>
                <w:color w:val="auto"/>
                <w:w w:val="99"/>
              </w:rPr>
              <w:t>26.47%</w:t>
            </w:r>
          </w:p>
        </w:tc>
      </w:tr>
      <w:tr>
        <w:trPr>
          <w:trHeight w:val="169"/>
        </w:trPr>
        <w:tc>
          <w:tcPr>
            <w:tcW w:w="3820" w:type="dxa"/>
            <w:vAlign w:val="bottom"/>
            <w:tcBorders>
              <w:bottom w:val="single" w:sz="8" w:color="215AA8"/>
            </w:tcBorders>
          </w:tcPr>
          <w:p>
            <w:pPr>
              <w:ind w:left="60"/>
              <w:spacing w:after="0" w:line="169" w:lineRule="exact"/>
              <w:rPr>
                <w:sz w:val="20"/>
                <w:szCs w:val="20"/>
                <w:color w:val="auto"/>
              </w:rPr>
            </w:pPr>
            <w:r>
              <w:rPr>
                <w:rFonts w:ascii="Arial" w:cs="Arial" w:eastAsia="Arial" w:hAnsi="Arial"/>
                <w:sz w:val="12"/>
                <w:szCs w:val="12"/>
                <w:b w:val="1"/>
                <w:bCs w:val="1"/>
                <w:color w:val="auto"/>
              </w:rPr>
              <w:t>Dilution</w:t>
            </w:r>
            <w:r>
              <w:rPr>
                <w:rFonts w:ascii="Arial" w:cs="Arial" w:eastAsia="Arial" w:hAnsi="Arial"/>
                <w:sz w:val="19"/>
                <w:szCs w:val="19"/>
                <w:b w:val="1"/>
                <w:bCs w:val="1"/>
                <w:color w:val="auto"/>
                <w:vertAlign w:val="superscript"/>
              </w:rPr>
              <w:t>3</w:t>
            </w:r>
          </w:p>
        </w:tc>
        <w:tc>
          <w:tcPr>
            <w:tcW w:w="3300" w:type="dxa"/>
            <w:vAlign w:val="bottom"/>
            <w:tcBorders>
              <w:bottom w:val="single" w:sz="8" w:color="215AA8"/>
            </w:tcBorders>
          </w:tcPr>
          <w:p>
            <w:pPr>
              <w:jc w:val="center"/>
              <w:ind w:left="1716"/>
              <w:spacing w:after="0"/>
              <w:rPr>
                <w:sz w:val="20"/>
                <w:szCs w:val="20"/>
                <w:color w:val="auto"/>
              </w:rPr>
            </w:pPr>
            <w:r>
              <w:rPr>
                <w:rFonts w:ascii="Arial" w:cs="Arial" w:eastAsia="Arial" w:hAnsi="Arial"/>
                <w:sz w:val="13"/>
                <w:szCs w:val="13"/>
                <w:color w:val="auto"/>
                <w:w w:val="99"/>
              </w:rPr>
              <w:t>16.71%</w:t>
            </w:r>
          </w:p>
        </w:tc>
        <w:tc>
          <w:tcPr>
            <w:tcW w:w="1520" w:type="dxa"/>
            <w:vAlign w:val="bottom"/>
            <w:tcBorders>
              <w:bottom w:val="single" w:sz="8" w:color="215AA8"/>
            </w:tcBorders>
          </w:tcPr>
          <w:p>
            <w:pPr>
              <w:jc w:val="center"/>
              <w:spacing w:after="0"/>
              <w:rPr>
                <w:sz w:val="20"/>
                <w:szCs w:val="20"/>
                <w:color w:val="auto"/>
              </w:rPr>
            </w:pPr>
            <w:r>
              <w:rPr>
                <w:rFonts w:ascii="Arial" w:cs="Arial" w:eastAsia="Arial" w:hAnsi="Arial"/>
                <w:sz w:val="13"/>
                <w:szCs w:val="13"/>
                <w:color w:val="auto"/>
                <w:w w:val="99"/>
              </w:rPr>
              <w:t>18.98%</w:t>
            </w:r>
          </w:p>
        </w:tc>
        <w:tc>
          <w:tcPr>
            <w:tcW w:w="1520" w:type="dxa"/>
            <w:vAlign w:val="bottom"/>
            <w:tcBorders>
              <w:bottom w:val="single" w:sz="8" w:color="215AA8"/>
            </w:tcBorders>
          </w:tcPr>
          <w:p>
            <w:pPr>
              <w:jc w:val="center"/>
              <w:spacing w:after="0"/>
              <w:rPr>
                <w:sz w:val="20"/>
                <w:szCs w:val="20"/>
                <w:color w:val="auto"/>
              </w:rPr>
            </w:pPr>
            <w:r>
              <w:rPr>
                <w:rFonts w:ascii="Arial" w:cs="Arial" w:eastAsia="Arial" w:hAnsi="Arial"/>
                <w:sz w:val="13"/>
                <w:szCs w:val="13"/>
                <w:color w:val="auto"/>
                <w:w w:val="99"/>
              </w:rPr>
              <w:t>21.42%</w:t>
            </w:r>
          </w:p>
        </w:tc>
      </w:tr>
    </w:tbl>
    <w:p>
      <w:pPr>
        <w:spacing w:after="0" w:line="86" w:lineRule="exact"/>
        <w:rPr>
          <w:sz w:val="20"/>
          <w:szCs w:val="20"/>
          <w:color w:val="auto"/>
        </w:rPr>
      </w:pPr>
    </w:p>
    <w:p>
      <w:pPr>
        <w:ind w:left="760" w:right="600" w:hanging="212"/>
        <w:spacing w:after="0" w:line="249" w:lineRule="auto"/>
        <w:tabs>
          <w:tab w:leader="none" w:pos="760" w:val="left"/>
        </w:tabs>
        <w:numPr>
          <w:ilvl w:val="0"/>
          <w:numId w:val="184"/>
        </w:numPr>
        <w:rPr>
          <w:rFonts w:ascii="Arial" w:cs="Arial" w:eastAsia="Arial" w:hAnsi="Arial"/>
          <w:sz w:val="14"/>
          <w:szCs w:val="14"/>
          <w:color w:val="215BA8"/>
        </w:rPr>
      </w:pPr>
      <w:r>
        <w:rPr>
          <w:rFonts w:ascii="Arial" w:cs="Arial" w:eastAsia="Arial" w:hAnsi="Arial"/>
          <w:sz w:val="14"/>
          <w:szCs w:val="14"/>
          <w:color w:val="1A1A1A"/>
        </w:rPr>
        <w:t>Calculated by dividing (a) the sum of the number of shares subject to (i) stock options, RSAs, and RSUs granted during the year and (ii) PSUs earned during the year (if any), by (b) the basic weighted-average number of shares of common stock and Class A stock outstanding during the year. For “Adjusted Burn Rate,” a multiplier of 2.5 is applied to RSAs, RSUs, and PSUs.</w:t>
      </w:r>
    </w:p>
    <w:p>
      <w:pPr>
        <w:spacing w:after="0" w:line="66" w:lineRule="exact"/>
        <w:rPr>
          <w:sz w:val="20"/>
          <w:szCs w:val="20"/>
          <w:color w:val="auto"/>
        </w:rPr>
      </w:pPr>
    </w:p>
    <w:p>
      <w:pPr>
        <w:ind w:left="760" w:right="620" w:hanging="212"/>
        <w:spacing w:after="0" w:line="245" w:lineRule="auto"/>
        <w:tabs>
          <w:tab w:leader="none" w:pos="760" w:val="left"/>
        </w:tabs>
        <w:numPr>
          <w:ilvl w:val="0"/>
          <w:numId w:val="185"/>
        </w:numPr>
        <w:rPr>
          <w:rFonts w:ascii="Arial" w:cs="Arial" w:eastAsia="Arial" w:hAnsi="Arial"/>
          <w:sz w:val="14"/>
          <w:szCs w:val="14"/>
          <w:color w:val="215BA8"/>
        </w:rPr>
      </w:pPr>
      <w:r>
        <w:rPr>
          <w:rFonts w:ascii="Arial" w:cs="Arial" w:eastAsia="Arial" w:hAnsi="Arial"/>
          <w:sz w:val="14"/>
          <w:szCs w:val="14"/>
          <w:color w:val="1A1A1A"/>
        </w:rPr>
        <w:t>Calculated by dividing (a) the sum of (i) the number of shares subject to equity awards (stock options and unvested RSAs, RSUs, and PSUs (assuming, in the case of PSUs, maximum payouts earned)) outstanding at the end of the year and (ii) the number of shares available for future grants under the Plan at the end of the year, by (b) the sum of (i) the number of shares of common stock and Class A stock outstanding at the end of the year, (ii) the shares subject to equity awards (stock options and unvested RSAs, RSUs, and PSUs (assuming, in the case of PSUs, maximum payouts earned)) outstanding at the end of the year, and (iii) the number of shares available for future grants under the Plan at the end of the year.</w:t>
      </w:r>
    </w:p>
    <w:p>
      <w:pPr>
        <w:spacing w:after="0" w:line="69" w:lineRule="exact"/>
        <w:rPr>
          <w:sz w:val="20"/>
          <w:szCs w:val="20"/>
          <w:color w:val="auto"/>
        </w:rPr>
      </w:pPr>
    </w:p>
    <w:p>
      <w:pPr>
        <w:jc w:val="both"/>
        <w:ind w:left="760" w:right="560" w:hanging="212"/>
        <w:spacing w:after="0" w:line="247" w:lineRule="auto"/>
        <w:tabs>
          <w:tab w:leader="none" w:pos="760" w:val="left"/>
        </w:tabs>
        <w:numPr>
          <w:ilvl w:val="0"/>
          <w:numId w:val="186"/>
        </w:numPr>
        <w:rPr>
          <w:rFonts w:ascii="Arial" w:cs="Arial" w:eastAsia="Arial" w:hAnsi="Arial"/>
          <w:sz w:val="14"/>
          <w:szCs w:val="14"/>
          <w:color w:val="215BA8"/>
        </w:rPr>
      </w:pPr>
      <w:r>
        <w:rPr>
          <w:rFonts w:ascii="Arial" w:cs="Arial" w:eastAsia="Arial" w:hAnsi="Arial"/>
          <w:sz w:val="14"/>
          <w:szCs w:val="14"/>
          <w:color w:val="1A1A1A"/>
        </w:rPr>
        <w:t>Calculated by dividing the number of shares subject to equity awards (stock options and unvested RSAs, RSUs, and PSUs (assuming, in the case of PSUs, maximum payouts earned)) outstanding at the end of the year by the sum of (i) the number of shares of common stock and Class A stock outstanding at the end of the year and (ii) the shares subject to equity awards (stock options and unvested RSAs, RSUs, and PSUs (assuming, in the case of PSUs, maximum payouts earned)) outstanding at the end of the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97</w:t>
            </w:r>
          </w:p>
        </w:tc>
      </w:tr>
      <w:tr>
        <w:trPr>
          <w:trHeight w:val="262"/>
        </w:trPr>
        <w:tc>
          <w:tcPr>
            <w:tcW w:w="82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410" w:right="339" w:bottom="1440" w:gutter="0" w:footer="0" w:header="0"/>
          <w:type w:val="continuous"/>
        </w:sectPr>
      </w:pPr>
    </w:p>
    <w:bookmarkStart w:id="112" w:name="page113"/>
    <w:bookmarkEnd w:id="112"/>
    <w:p>
      <w:pPr>
        <w:ind w:left="540"/>
        <w:spacing w:after="0"/>
        <w:rPr>
          <w:sz w:val="20"/>
          <w:szCs w:val="20"/>
          <w:color w:val="auto"/>
        </w:rPr>
      </w:pPr>
      <w:r>
        <w:rPr>
          <w:rFonts w:ascii="Arial" w:cs="Arial" w:eastAsia="Arial" w:hAnsi="Arial"/>
          <w:sz w:val="14"/>
          <w:szCs w:val="14"/>
          <w:b w:val="1"/>
          <w:bCs w:val="1"/>
          <w:color w:val="215BA8"/>
        </w:rPr>
        <w:t xml:space="preserve">COMPENSATION-RELATED MATTERS / </w:t>
      </w:r>
      <w:r>
        <w:rPr>
          <w:rFonts w:ascii="Arial" w:cs="Arial" w:eastAsia="Arial" w:hAnsi="Arial"/>
          <w:sz w:val="14"/>
          <w:szCs w:val="14"/>
          <w:b w:val="1"/>
          <w:bCs w:val="1"/>
          <w:color w:val="D60058"/>
        </w:rPr>
        <w:t>COMPENSATION DASHBOARD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Equity Compensation Plan Information</w:t>
      </w:r>
    </w:p>
    <w:p>
      <w:pPr>
        <w:spacing w:after="0" w:line="201" w:lineRule="exact"/>
        <w:rPr>
          <w:sz w:val="20"/>
          <w:szCs w:val="20"/>
          <w:color w:val="auto"/>
        </w:rPr>
      </w:pPr>
    </w:p>
    <w:p>
      <w:pPr>
        <w:ind w:left="540" w:right="780"/>
        <w:spacing w:after="0" w:line="236" w:lineRule="auto"/>
        <w:rPr>
          <w:sz w:val="20"/>
          <w:szCs w:val="20"/>
          <w:color w:val="auto"/>
        </w:rPr>
      </w:pPr>
      <w:r>
        <w:rPr>
          <w:rFonts w:ascii="Arial" w:cs="Arial" w:eastAsia="Arial" w:hAnsi="Arial"/>
          <w:sz w:val="16"/>
          <w:szCs w:val="16"/>
          <w:color w:val="auto"/>
        </w:rPr>
        <w:t>The following table shows information with respect to securities authorized for issuance under the equity compensation plans maintained by the Company as of December 31, 2021.</w:t>
      </w:r>
    </w:p>
    <w:p>
      <w:pPr>
        <w:spacing w:after="0" w:line="138" w:lineRule="exact"/>
        <w:rPr>
          <w:sz w:val="20"/>
          <w:szCs w:val="20"/>
          <w:color w:val="auto"/>
        </w:rPr>
      </w:pPr>
    </w:p>
    <w:tbl>
      <w:tblPr>
        <w:tblLayout w:type="fixed"/>
        <w:tblInd w:w="540" w:type="dxa"/>
        <w:tblCellMar>
          <w:top w:w="0" w:type="dxa"/>
          <w:left w:w="0" w:type="dxa"/>
          <w:bottom w:w="0" w:type="dxa"/>
          <w:right w:w="0" w:type="dxa"/>
        </w:tblCellMar>
      </w:tblPr>
      <w:tr>
        <w:trPr>
          <w:trHeight w:val="148"/>
        </w:trPr>
        <w:tc>
          <w:tcPr>
            <w:tcW w:w="2360" w:type="dxa"/>
            <w:vAlign w:val="bottom"/>
            <w:tcBorders>
              <w:top w:val="single" w:sz="8" w:color="215AA8"/>
              <w:bottom w:val="single" w:sz="8" w:color="215AA8"/>
            </w:tcBorders>
          </w:tcPr>
          <w:p>
            <w:pPr>
              <w:spacing w:after="0"/>
              <w:rPr>
                <w:sz w:val="12"/>
                <w:szCs w:val="12"/>
                <w:color w:val="auto"/>
              </w:rPr>
            </w:pPr>
          </w:p>
        </w:tc>
        <w:tc>
          <w:tcPr>
            <w:tcW w:w="2760" w:type="dxa"/>
            <w:vAlign w:val="bottom"/>
            <w:tcBorders>
              <w:top w:val="single" w:sz="8" w:color="215AA8"/>
              <w:bottom w:val="single" w:sz="8" w:color="215AA8"/>
            </w:tcBorders>
          </w:tcPr>
          <w:p>
            <w:pPr>
              <w:jc w:val="center"/>
              <w:ind w:left="55"/>
              <w:spacing w:after="0"/>
              <w:rPr>
                <w:sz w:val="20"/>
                <w:szCs w:val="20"/>
                <w:color w:val="auto"/>
              </w:rPr>
            </w:pPr>
            <w:r>
              <w:rPr>
                <w:rFonts w:ascii="Arial" w:cs="Arial" w:eastAsia="Arial" w:hAnsi="Arial"/>
                <w:sz w:val="12"/>
                <w:szCs w:val="12"/>
                <w:b w:val="1"/>
                <w:bCs w:val="1"/>
                <w:color w:val="215BA8"/>
                <w:w w:val="91"/>
              </w:rPr>
              <w:t>A</w:t>
            </w:r>
          </w:p>
        </w:tc>
        <w:tc>
          <w:tcPr>
            <w:tcW w:w="2160" w:type="dxa"/>
            <w:vAlign w:val="bottom"/>
            <w:tcBorders>
              <w:top w:val="single" w:sz="8" w:color="215AA8"/>
              <w:bottom w:val="single" w:sz="8" w:color="215AA8"/>
            </w:tcBorders>
          </w:tcPr>
          <w:p>
            <w:pPr>
              <w:jc w:val="center"/>
              <w:ind w:left="16"/>
              <w:spacing w:after="0"/>
              <w:rPr>
                <w:sz w:val="20"/>
                <w:szCs w:val="20"/>
                <w:color w:val="auto"/>
              </w:rPr>
            </w:pPr>
            <w:r>
              <w:rPr>
                <w:rFonts w:ascii="Arial" w:cs="Arial" w:eastAsia="Arial" w:hAnsi="Arial"/>
                <w:sz w:val="12"/>
                <w:szCs w:val="12"/>
                <w:b w:val="1"/>
                <w:bCs w:val="1"/>
                <w:color w:val="215BA8"/>
                <w:w w:val="91"/>
              </w:rPr>
              <w:t>B</w:t>
            </w:r>
          </w:p>
        </w:tc>
        <w:tc>
          <w:tcPr>
            <w:tcW w:w="2880" w:type="dxa"/>
            <w:vAlign w:val="bottom"/>
            <w:tcBorders>
              <w:top w:val="single" w:sz="8" w:color="215AA8"/>
              <w:bottom w:val="single" w:sz="8" w:color="215AA8"/>
            </w:tcBorders>
          </w:tcPr>
          <w:p>
            <w:pPr>
              <w:jc w:val="center"/>
              <w:ind w:left="54"/>
              <w:spacing w:after="0"/>
              <w:rPr>
                <w:sz w:val="20"/>
                <w:szCs w:val="20"/>
                <w:color w:val="auto"/>
              </w:rPr>
            </w:pPr>
            <w:r>
              <w:rPr>
                <w:rFonts w:ascii="Arial" w:cs="Arial" w:eastAsia="Arial" w:hAnsi="Arial"/>
                <w:sz w:val="12"/>
                <w:szCs w:val="12"/>
                <w:b w:val="1"/>
                <w:bCs w:val="1"/>
                <w:color w:val="215BA8"/>
                <w:w w:val="91"/>
              </w:rPr>
              <w:t>C</w:t>
            </w:r>
          </w:p>
        </w:tc>
        <w:tc>
          <w:tcPr>
            <w:tcW w:w="0" w:type="dxa"/>
            <w:vAlign w:val="bottom"/>
          </w:tcPr>
          <w:p>
            <w:pPr>
              <w:spacing w:after="0"/>
              <w:rPr>
                <w:sz w:val="1"/>
                <w:szCs w:val="1"/>
                <w:color w:val="auto"/>
              </w:rPr>
            </w:pPr>
          </w:p>
        </w:tc>
      </w:tr>
      <w:tr>
        <w:trPr>
          <w:trHeight w:val="117"/>
        </w:trPr>
        <w:tc>
          <w:tcPr>
            <w:tcW w:w="2360" w:type="dxa"/>
            <w:vAlign w:val="bottom"/>
          </w:tcPr>
          <w:p>
            <w:pPr>
              <w:spacing w:after="0"/>
              <w:rPr>
                <w:sz w:val="10"/>
                <w:szCs w:val="10"/>
                <w:color w:val="auto"/>
              </w:rPr>
            </w:pPr>
          </w:p>
        </w:tc>
        <w:tc>
          <w:tcPr>
            <w:tcW w:w="2760" w:type="dxa"/>
            <w:vAlign w:val="bottom"/>
          </w:tcPr>
          <w:p>
            <w:pPr>
              <w:jc w:val="center"/>
              <w:ind w:left="55"/>
              <w:spacing w:after="0" w:line="117" w:lineRule="exact"/>
              <w:rPr>
                <w:sz w:val="20"/>
                <w:szCs w:val="20"/>
                <w:color w:val="auto"/>
              </w:rPr>
            </w:pPr>
            <w:r>
              <w:rPr>
                <w:rFonts w:ascii="Arial" w:cs="Arial" w:eastAsia="Arial" w:hAnsi="Arial"/>
                <w:sz w:val="12"/>
                <w:szCs w:val="12"/>
                <w:b w:val="1"/>
                <w:bCs w:val="1"/>
                <w:color w:val="215BA8"/>
                <w:w w:val="97"/>
              </w:rPr>
              <w:t>Number of securities to be issued upon</w:t>
            </w:r>
          </w:p>
        </w:tc>
        <w:tc>
          <w:tcPr>
            <w:tcW w:w="2160" w:type="dxa"/>
            <w:vAlign w:val="bottom"/>
          </w:tcPr>
          <w:p>
            <w:pPr>
              <w:jc w:val="center"/>
              <w:ind w:left="36"/>
              <w:spacing w:after="0" w:line="117" w:lineRule="exact"/>
              <w:rPr>
                <w:sz w:val="20"/>
                <w:szCs w:val="20"/>
                <w:color w:val="auto"/>
              </w:rPr>
            </w:pPr>
            <w:r>
              <w:rPr>
                <w:rFonts w:ascii="Arial" w:cs="Arial" w:eastAsia="Arial" w:hAnsi="Arial"/>
                <w:sz w:val="12"/>
                <w:szCs w:val="12"/>
                <w:b w:val="1"/>
                <w:bCs w:val="1"/>
                <w:color w:val="215BA8"/>
                <w:w w:val="97"/>
              </w:rPr>
              <w:t>Weighted-average exercise price</w:t>
            </w:r>
          </w:p>
        </w:tc>
        <w:tc>
          <w:tcPr>
            <w:tcW w:w="2880" w:type="dxa"/>
            <w:vAlign w:val="bottom"/>
          </w:tcPr>
          <w:p>
            <w:pPr>
              <w:jc w:val="center"/>
              <w:ind w:left="54"/>
              <w:spacing w:after="0" w:line="117" w:lineRule="exact"/>
              <w:rPr>
                <w:sz w:val="20"/>
                <w:szCs w:val="20"/>
                <w:color w:val="auto"/>
              </w:rPr>
            </w:pPr>
            <w:r>
              <w:rPr>
                <w:rFonts w:ascii="Arial" w:cs="Arial" w:eastAsia="Arial" w:hAnsi="Arial"/>
                <w:sz w:val="12"/>
                <w:szCs w:val="12"/>
                <w:b w:val="1"/>
                <w:bCs w:val="1"/>
                <w:color w:val="215BA8"/>
                <w:w w:val="97"/>
              </w:rPr>
              <w:t>Number of securities remaining available for</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2760" w:type="dxa"/>
            <w:vAlign w:val="bottom"/>
          </w:tcPr>
          <w:p>
            <w:pPr>
              <w:jc w:val="center"/>
              <w:ind w:left="55"/>
              <w:spacing w:after="0" w:line="135" w:lineRule="exact"/>
              <w:rPr>
                <w:sz w:val="20"/>
                <w:szCs w:val="20"/>
                <w:color w:val="auto"/>
              </w:rPr>
            </w:pPr>
            <w:r>
              <w:rPr>
                <w:rFonts w:ascii="Arial" w:cs="Arial" w:eastAsia="Arial" w:hAnsi="Arial"/>
                <w:sz w:val="12"/>
                <w:szCs w:val="12"/>
                <w:b w:val="1"/>
                <w:bCs w:val="1"/>
                <w:color w:val="215BA8"/>
                <w:w w:val="97"/>
              </w:rPr>
              <w:t>exercise of outstanding options,</w:t>
            </w:r>
          </w:p>
        </w:tc>
        <w:tc>
          <w:tcPr>
            <w:tcW w:w="2160" w:type="dxa"/>
            <w:vAlign w:val="bottom"/>
          </w:tcPr>
          <w:p>
            <w:pPr>
              <w:jc w:val="center"/>
              <w:ind w:left="36"/>
              <w:spacing w:after="0" w:line="135" w:lineRule="exact"/>
              <w:rPr>
                <w:sz w:val="20"/>
                <w:szCs w:val="20"/>
                <w:color w:val="auto"/>
              </w:rPr>
            </w:pPr>
            <w:r>
              <w:rPr>
                <w:rFonts w:ascii="Arial" w:cs="Arial" w:eastAsia="Arial" w:hAnsi="Arial"/>
                <w:sz w:val="12"/>
                <w:szCs w:val="12"/>
                <w:b w:val="1"/>
                <w:bCs w:val="1"/>
                <w:color w:val="215BA8"/>
                <w:w w:val="97"/>
              </w:rPr>
              <w:t>of outstanding options,</w:t>
            </w:r>
          </w:p>
        </w:tc>
        <w:tc>
          <w:tcPr>
            <w:tcW w:w="2880" w:type="dxa"/>
            <w:vAlign w:val="bottom"/>
          </w:tcPr>
          <w:p>
            <w:pPr>
              <w:jc w:val="center"/>
              <w:ind w:left="54"/>
              <w:spacing w:after="0" w:line="135" w:lineRule="exact"/>
              <w:rPr>
                <w:sz w:val="20"/>
                <w:szCs w:val="20"/>
                <w:color w:val="auto"/>
              </w:rPr>
            </w:pPr>
            <w:r>
              <w:rPr>
                <w:rFonts w:ascii="Arial" w:cs="Arial" w:eastAsia="Arial" w:hAnsi="Arial"/>
                <w:sz w:val="12"/>
                <w:szCs w:val="12"/>
                <w:b w:val="1"/>
                <w:bCs w:val="1"/>
                <w:color w:val="215BA8"/>
                <w:w w:val="97"/>
              </w:rPr>
              <w:t>future issuance under equity compensation plans</w:t>
            </w:r>
          </w:p>
        </w:tc>
        <w:tc>
          <w:tcPr>
            <w:tcW w:w="0" w:type="dxa"/>
            <w:vAlign w:val="bottom"/>
          </w:tcPr>
          <w:p>
            <w:pPr>
              <w:spacing w:after="0"/>
              <w:rPr>
                <w:sz w:val="1"/>
                <w:szCs w:val="1"/>
                <w:color w:val="auto"/>
              </w:rPr>
            </w:pPr>
          </w:p>
        </w:tc>
      </w:tr>
      <w:tr>
        <w:trPr>
          <w:trHeight w:val="154"/>
        </w:trPr>
        <w:tc>
          <w:tcPr>
            <w:tcW w:w="2360" w:type="dxa"/>
            <w:vAlign w:val="bottom"/>
            <w:tcBorders>
              <w:bottom w:val="single" w:sz="8" w:color="215AA8"/>
            </w:tcBorders>
          </w:tcPr>
          <w:p>
            <w:pPr>
              <w:ind w:left="60"/>
              <w:spacing w:after="0"/>
              <w:rPr>
                <w:sz w:val="20"/>
                <w:szCs w:val="20"/>
                <w:color w:val="auto"/>
              </w:rPr>
            </w:pPr>
            <w:r>
              <w:rPr>
                <w:rFonts w:ascii="Arial" w:cs="Arial" w:eastAsia="Arial" w:hAnsi="Arial"/>
                <w:sz w:val="12"/>
                <w:szCs w:val="12"/>
                <w:b w:val="1"/>
                <w:bCs w:val="1"/>
                <w:color w:val="215BA8"/>
              </w:rPr>
              <w:t>Plan Category</w:t>
            </w:r>
          </w:p>
        </w:tc>
        <w:tc>
          <w:tcPr>
            <w:tcW w:w="2760" w:type="dxa"/>
            <w:vAlign w:val="bottom"/>
            <w:tcBorders>
              <w:bottom w:val="single" w:sz="8" w:color="215AA8"/>
            </w:tcBorders>
          </w:tcPr>
          <w:p>
            <w:pPr>
              <w:jc w:val="center"/>
              <w:ind w:left="55"/>
              <w:spacing w:after="0"/>
              <w:rPr>
                <w:sz w:val="20"/>
                <w:szCs w:val="20"/>
                <w:color w:val="auto"/>
              </w:rPr>
            </w:pPr>
            <w:r>
              <w:rPr>
                <w:rFonts w:ascii="Arial" w:cs="Arial" w:eastAsia="Arial" w:hAnsi="Arial"/>
                <w:sz w:val="12"/>
                <w:szCs w:val="12"/>
                <w:b w:val="1"/>
                <w:bCs w:val="1"/>
                <w:color w:val="215BA8"/>
                <w:w w:val="97"/>
              </w:rPr>
              <w:t>warrants, and rights</w:t>
            </w:r>
          </w:p>
        </w:tc>
        <w:tc>
          <w:tcPr>
            <w:tcW w:w="2160" w:type="dxa"/>
            <w:vAlign w:val="bottom"/>
            <w:tcBorders>
              <w:bottom w:val="single" w:sz="8" w:color="215AA8"/>
            </w:tcBorders>
          </w:tcPr>
          <w:p>
            <w:pPr>
              <w:jc w:val="center"/>
              <w:ind w:left="16"/>
              <w:spacing w:after="0"/>
              <w:rPr>
                <w:sz w:val="20"/>
                <w:szCs w:val="20"/>
                <w:color w:val="auto"/>
              </w:rPr>
            </w:pPr>
            <w:r>
              <w:rPr>
                <w:rFonts w:ascii="Arial" w:cs="Arial" w:eastAsia="Arial" w:hAnsi="Arial"/>
                <w:sz w:val="12"/>
                <w:szCs w:val="12"/>
                <w:b w:val="1"/>
                <w:bCs w:val="1"/>
                <w:color w:val="215BA8"/>
                <w:w w:val="97"/>
              </w:rPr>
              <w:t>warrants, and rights</w:t>
            </w:r>
          </w:p>
        </w:tc>
        <w:tc>
          <w:tcPr>
            <w:tcW w:w="2880" w:type="dxa"/>
            <w:vAlign w:val="bottom"/>
            <w:tcBorders>
              <w:bottom w:val="single" w:sz="8" w:color="215AA8"/>
            </w:tcBorders>
          </w:tcPr>
          <w:p>
            <w:pPr>
              <w:jc w:val="center"/>
              <w:ind w:left="54"/>
              <w:spacing w:after="0"/>
              <w:rPr>
                <w:sz w:val="20"/>
                <w:szCs w:val="20"/>
                <w:color w:val="auto"/>
              </w:rPr>
            </w:pPr>
            <w:r>
              <w:rPr>
                <w:rFonts w:ascii="Arial" w:cs="Arial" w:eastAsia="Arial" w:hAnsi="Arial"/>
                <w:sz w:val="12"/>
                <w:szCs w:val="12"/>
                <w:b w:val="1"/>
                <w:bCs w:val="1"/>
                <w:color w:val="215BA8"/>
                <w:w w:val="97"/>
              </w:rPr>
              <w:t>(excluding securities reflected in column (a))</w:t>
            </w:r>
          </w:p>
        </w:tc>
        <w:tc>
          <w:tcPr>
            <w:tcW w:w="0" w:type="dxa"/>
            <w:vAlign w:val="bottom"/>
          </w:tcPr>
          <w:p>
            <w:pPr>
              <w:spacing w:after="0"/>
              <w:rPr>
                <w:sz w:val="1"/>
                <w:szCs w:val="1"/>
                <w:color w:val="auto"/>
              </w:rPr>
            </w:pPr>
          </w:p>
        </w:tc>
      </w:tr>
      <w:tr>
        <w:trPr>
          <w:trHeight w:val="162"/>
        </w:trPr>
        <w:tc>
          <w:tcPr>
            <w:tcW w:w="2360" w:type="dxa"/>
            <w:vAlign w:val="bottom"/>
            <w:shd w:val="clear" w:color="auto" w:fill="EEEEEF"/>
          </w:tcPr>
          <w:p>
            <w:pPr>
              <w:ind w:left="60"/>
              <w:spacing w:after="0"/>
              <w:rPr>
                <w:sz w:val="20"/>
                <w:szCs w:val="20"/>
                <w:color w:val="auto"/>
              </w:rPr>
            </w:pPr>
            <w:r>
              <w:rPr>
                <w:rFonts w:ascii="Arial" w:cs="Arial" w:eastAsia="Arial" w:hAnsi="Arial"/>
                <w:sz w:val="14"/>
                <w:szCs w:val="14"/>
                <w:color w:val="auto"/>
              </w:rPr>
              <w:t>Equity compensation plans</w:t>
            </w:r>
          </w:p>
        </w:tc>
        <w:tc>
          <w:tcPr>
            <w:tcW w:w="2760" w:type="dxa"/>
            <w:vAlign w:val="bottom"/>
            <w:shd w:val="clear" w:color="auto" w:fill="EEEEEF"/>
          </w:tcPr>
          <w:p>
            <w:pPr>
              <w:jc w:val="center"/>
              <w:ind w:left="35"/>
              <w:spacing w:after="0" w:line="162" w:lineRule="exact"/>
              <w:rPr>
                <w:sz w:val="20"/>
                <w:szCs w:val="20"/>
                <w:color w:val="auto"/>
              </w:rPr>
            </w:pPr>
            <w:r>
              <w:rPr>
                <w:rFonts w:ascii="Arial" w:cs="Arial" w:eastAsia="Arial" w:hAnsi="Arial"/>
                <w:sz w:val="12"/>
                <w:szCs w:val="12"/>
                <w:color w:val="auto"/>
              </w:rPr>
              <w:t>19,443,061</w:t>
            </w:r>
            <w:r>
              <w:rPr>
                <w:rFonts w:ascii="Arial" w:cs="Arial" w:eastAsia="Arial" w:hAnsi="Arial"/>
                <w:sz w:val="18"/>
                <w:szCs w:val="18"/>
                <w:color w:val="auto"/>
                <w:vertAlign w:val="superscript"/>
              </w:rPr>
              <w:t>3</w:t>
            </w:r>
          </w:p>
        </w:tc>
        <w:tc>
          <w:tcPr>
            <w:tcW w:w="2160" w:type="dxa"/>
            <w:vAlign w:val="bottom"/>
            <w:vMerge w:val="restart"/>
            <w:shd w:val="clear" w:color="auto" w:fill="EEEEEF"/>
          </w:tcPr>
          <w:p>
            <w:pPr>
              <w:jc w:val="center"/>
              <w:ind w:left="36"/>
              <w:spacing w:after="0"/>
              <w:rPr>
                <w:sz w:val="20"/>
                <w:szCs w:val="20"/>
                <w:color w:val="auto"/>
              </w:rPr>
            </w:pPr>
            <w:r>
              <w:rPr>
                <w:rFonts w:ascii="Arial" w:cs="Arial" w:eastAsia="Arial" w:hAnsi="Arial"/>
                <w:sz w:val="14"/>
                <w:szCs w:val="14"/>
                <w:color w:val="auto"/>
                <w:w w:val="98"/>
              </w:rPr>
              <w:t>$435.56</w:t>
            </w:r>
            <w:r>
              <w:rPr>
                <w:rFonts w:ascii="Arial" w:cs="Arial" w:eastAsia="Arial" w:hAnsi="Arial"/>
                <w:sz w:val="23"/>
                <w:szCs w:val="23"/>
                <w:color w:val="auto"/>
                <w:w w:val="98"/>
                <w:vertAlign w:val="superscript"/>
              </w:rPr>
              <w:t>4</w:t>
            </w:r>
          </w:p>
        </w:tc>
        <w:tc>
          <w:tcPr>
            <w:tcW w:w="2880" w:type="dxa"/>
            <w:vAlign w:val="bottom"/>
            <w:vMerge w:val="restart"/>
            <w:shd w:val="clear" w:color="auto" w:fill="EEEEEF"/>
          </w:tcPr>
          <w:p>
            <w:pPr>
              <w:jc w:val="center"/>
              <w:ind w:left="34"/>
              <w:spacing w:after="0"/>
              <w:rPr>
                <w:sz w:val="20"/>
                <w:szCs w:val="20"/>
                <w:color w:val="auto"/>
              </w:rPr>
            </w:pPr>
            <w:r>
              <w:rPr>
                <w:rFonts w:ascii="Arial" w:cs="Arial" w:eastAsia="Arial" w:hAnsi="Arial"/>
                <w:sz w:val="14"/>
                <w:szCs w:val="14"/>
                <w:color w:val="auto"/>
              </w:rPr>
              <w:t>17,907,658 shares of common stock</w:t>
            </w:r>
            <w:r>
              <w:rPr>
                <w:rFonts w:ascii="Arial" w:cs="Arial" w:eastAsia="Arial" w:hAnsi="Arial"/>
                <w:sz w:val="23"/>
                <w:szCs w:val="23"/>
                <w:color w:val="auto"/>
                <w:vertAlign w:val="superscript"/>
              </w:rPr>
              <w:t>5</w:t>
            </w:r>
          </w:p>
        </w:tc>
        <w:tc>
          <w:tcPr>
            <w:tcW w:w="0" w:type="dxa"/>
            <w:vAlign w:val="bottom"/>
          </w:tcPr>
          <w:p>
            <w:pPr>
              <w:spacing w:after="0"/>
              <w:rPr>
                <w:sz w:val="1"/>
                <w:szCs w:val="1"/>
                <w:color w:val="auto"/>
              </w:rPr>
            </w:pPr>
          </w:p>
        </w:tc>
      </w:tr>
      <w:tr>
        <w:trPr>
          <w:trHeight w:val="189"/>
        </w:trPr>
        <w:tc>
          <w:tcPr>
            <w:tcW w:w="2360" w:type="dxa"/>
            <w:vAlign w:val="bottom"/>
            <w:tcBorders>
              <w:bottom w:val="single" w:sz="8" w:color="EEEEEF"/>
            </w:tcBorders>
            <w:shd w:val="clear" w:color="auto" w:fill="EEEEEF"/>
          </w:tcPr>
          <w:p>
            <w:pPr>
              <w:ind w:left="60"/>
              <w:spacing w:after="0" w:line="189" w:lineRule="exact"/>
              <w:rPr>
                <w:sz w:val="20"/>
                <w:szCs w:val="20"/>
                <w:color w:val="auto"/>
              </w:rPr>
            </w:pPr>
            <w:r>
              <w:rPr>
                <w:rFonts w:ascii="Arial" w:cs="Arial" w:eastAsia="Arial" w:hAnsi="Arial"/>
                <w:sz w:val="13"/>
                <w:szCs w:val="13"/>
                <w:color w:val="auto"/>
              </w:rPr>
              <w:t>approved by security holders</w:t>
            </w:r>
            <w:r>
              <w:rPr>
                <w:rFonts w:ascii="Arial" w:cs="Arial" w:eastAsia="Arial" w:hAnsi="Arial"/>
                <w:sz w:val="21"/>
                <w:szCs w:val="21"/>
                <w:color w:val="auto"/>
                <w:vertAlign w:val="superscript"/>
              </w:rPr>
              <w:t>1</w:t>
            </w:r>
          </w:p>
        </w:tc>
        <w:tc>
          <w:tcPr>
            <w:tcW w:w="2760" w:type="dxa"/>
            <w:vAlign w:val="bottom"/>
            <w:tcBorders>
              <w:bottom w:val="single" w:sz="8" w:color="EEEEEF"/>
            </w:tcBorders>
            <w:shd w:val="clear" w:color="auto" w:fill="EEEEEF"/>
          </w:tcPr>
          <w:p>
            <w:pPr>
              <w:jc w:val="center"/>
              <w:ind w:left="55"/>
              <w:spacing w:after="0"/>
              <w:rPr>
                <w:sz w:val="20"/>
                <w:szCs w:val="20"/>
                <w:color w:val="auto"/>
              </w:rPr>
            </w:pPr>
            <w:r>
              <w:rPr>
                <w:rFonts w:ascii="Arial" w:cs="Arial" w:eastAsia="Arial" w:hAnsi="Arial"/>
                <w:sz w:val="14"/>
                <w:szCs w:val="14"/>
                <w:color w:val="auto"/>
              </w:rPr>
              <w:t>shares of common stock</w:t>
            </w:r>
          </w:p>
        </w:tc>
        <w:tc>
          <w:tcPr>
            <w:tcW w:w="2160" w:type="dxa"/>
            <w:vAlign w:val="bottom"/>
            <w:tcBorders>
              <w:bottom w:val="single" w:sz="8" w:color="EEEEEF"/>
            </w:tcBorders>
            <w:vMerge w:val="continue"/>
            <w:shd w:val="clear" w:color="auto" w:fill="EEEEEF"/>
          </w:tcPr>
          <w:p>
            <w:pPr>
              <w:spacing w:after="0"/>
              <w:rPr>
                <w:sz w:val="16"/>
                <w:szCs w:val="16"/>
                <w:color w:val="auto"/>
              </w:rPr>
            </w:pPr>
          </w:p>
        </w:tc>
        <w:tc>
          <w:tcPr>
            <w:tcW w:w="2880" w:type="dxa"/>
            <w:vAlign w:val="bottom"/>
            <w:tcBorders>
              <w:bottom w:val="single" w:sz="8" w:color="EEEEEF"/>
            </w:tcBorders>
            <w:vMerge w:val="continue"/>
            <w:shd w:val="clear" w:color="auto" w:fill="EEEEE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60" w:type="dxa"/>
            <w:vAlign w:val="bottom"/>
            <w:tcBorders>
              <w:top w:val="single" w:sz="8" w:color="58585A"/>
            </w:tcBorders>
          </w:tcPr>
          <w:p>
            <w:pPr>
              <w:ind w:left="60"/>
              <w:spacing w:after="0" w:line="155" w:lineRule="exact"/>
              <w:rPr>
                <w:sz w:val="20"/>
                <w:szCs w:val="20"/>
                <w:color w:val="auto"/>
              </w:rPr>
            </w:pPr>
            <w:r>
              <w:rPr>
                <w:rFonts w:ascii="Arial" w:cs="Arial" w:eastAsia="Arial" w:hAnsi="Arial"/>
                <w:sz w:val="14"/>
                <w:szCs w:val="14"/>
                <w:color w:val="auto"/>
              </w:rPr>
              <w:t>Equity compensation plans not</w:t>
            </w:r>
          </w:p>
        </w:tc>
        <w:tc>
          <w:tcPr>
            <w:tcW w:w="2760" w:type="dxa"/>
            <w:vAlign w:val="bottom"/>
            <w:tcBorders>
              <w:top w:val="single" w:sz="8" w:color="58585A"/>
            </w:tcBorders>
            <w:vMerge w:val="restart"/>
          </w:tcPr>
          <w:p>
            <w:pPr>
              <w:jc w:val="center"/>
              <w:ind w:left="35"/>
              <w:spacing w:after="0"/>
              <w:rPr>
                <w:sz w:val="20"/>
                <w:szCs w:val="20"/>
                <w:color w:val="auto"/>
              </w:rPr>
            </w:pPr>
            <w:r>
              <w:rPr>
                <w:rFonts w:ascii="Arial" w:cs="Arial" w:eastAsia="Arial" w:hAnsi="Arial"/>
                <w:sz w:val="14"/>
                <w:szCs w:val="14"/>
                <w:color w:val="auto"/>
                <w:w w:val="99"/>
              </w:rPr>
              <w:t>—</w:t>
            </w:r>
          </w:p>
        </w:tc>
        <w:tc>
          <w:tcPr>
            <w:tcW w:w="2160" w:type="dxa"/>
            <w:vAlign w:val="bottom"/>
            <w:tcBorders>
              <w:top w:val="single" w:sz="8" w:color="58585A"/>
            </w:tcBorders>
            <w:vMerge w:val="restart"/>
          </w:tcPr>
          <w:p>
            <w:pPr>
              <w:jc w:val="center"/>
              <w:ind w:left="36"/>
              <w:spacing w:after="0"/>
              <w:rPr>
                <w:sz w:val="20"/>
                <w:szCs w:val="20"/>
                <w:color w:val="auto"/>
              </w:rPr>
            </w:pPr>
            <w:r>
              <w:rPr>
                <w:rFonts w:ascii="Arial" w:cs="Arial" w:eastAsia="Arial" w:hAnsi="Arial"/>
                <w:sz w:val="14"/>
                <w:szCs w:val="14"/>
                <w:color w:val="auto"/>
              </w:rPr>
              <w:t>$ —</w:t>
            </w:r>
          </w:p>
        </w:tc>
        <w:tc>
          <w:tcPr>
            <w:tcW w:w="2880" w:type="dxa"/>
            <w:vAlign w:val="bottom"/>
            <w:tcBorders>
              <w:top w:val="single" w:sz="8" w:color="58585A"/>
            </w:tcBorders>
            <w:vMerge w:val="restart"/>
          </w:tcPr>
          <w:p>
            <w:pPr>
              <w:jc w:val="center"/>
              <w:ind w:left="34"/>
              <w:spacing w:after="0"/>
              <w:rPr>
                <w:sz w:val="20"/>
                <w:szCs w:val="20"/>
                <w:color w:val="auto"/>
              </w:rPr>
            </w:pPr>
            <w:r>
              <w:rPr>
                <w:rFonts w:ascii="Arial" w:cs="Arial" w:eastAsia="Arial" w:hAnsi="Arial"/>
                <w:sz w:val="14"/>
                <w:szCs w:val="14"/>
                <w:color w:val="auto"/>
              </w:rPr>
              <w:t>44,246 shares of Class A stock</w:t>
            </w:r>
          </w:p>
        </w:tc>
        <w:tc>
          <w:tcPr>
            <w:tcW w:w="0" w:type="dxa"/>
            <w:vAlign w:val="bottom"/>
          </w:tcPr>
          <w:p>
            <w:pPr>
              <w:spacing w:after="0"/>
              <w:rPr>
                <w:sz w:val="1"/>
                <w:szCs w:val="1"/>
                <w:color w:val="auto"/>
              </w:rPr>
            </w:pPr>
          </w:p>
        </w:tc>
      </w:tr>
      <w:tr>
        <w:trPr>
          <w:trHeight w:val="110"/>
        </w:trPr>
        <w:tc>
          <w:tcPr>
            <w:tcW w:w="2360" w:type="dxa"/>
            <w:vAlign w:val="bottom"/>
            <w:vMerge w:val="restart"/>
          </w:tcPr>
          <w:p>
            <w:pPr>
              <w:ind w:left="60"/>
              <w:spacing w:after="0" w:line="190" w:lineRule="exact"/>
              <w:rPr>
                <w:sz w:val="20"/>
                <w:szCs w:val="20"/>
                <w:color w:val="auto"/>
              </w:rPr>
            </w:pPr>
            <w:r>
              <w:rPr>
                <w:rFonts w:ascii="Arial" w:cs="Arial" w:eastAsia="Arial" w:hAnsi="Arial"/>
                <w:sz w:val="13"/>
                <w:szCs w:val="13"/>
                <w:color w:val="auto"/>
              </w:rPr>
              <w:t>approved by security holders</w:t>
            </w:r>
            <w:r>
              <w:rPr>
                <w:rFonts w:ascii="Arial" w:cs="Arial" w:eastAsia="Arial" w:hAnsi="Arial"/>
                <w:sz w:val="21"/>
                <w:szCs w:val="21"/>
                <w:color w:val="auto"/>
                <w:vertAlign w:val="superscript"/>
              </w:rPr>
              <w:t>2</w:t>
            </w:r>
          </w:p>
        </w:tc>
        <w:tc>
          <w:tcPr>
            <w:tcW w:w="2760" w:type="dxa"/>
            <w:vAlign w:val="bottom"/>
            <w:vMerge w:val="continue"/>
          </w:tcPr>
          <w:p>
            <w:pPr>
              <w:spacing w:after="0"/>
              <w:rPr>
                <w:sz w:val="9"/>
                <w:szCs w:val="9"/>
                <w:color w:val="auto"/>
              </w:rPr>
            </w:pPr>
          </w:p>
        </w:tc>
        <w:tc>
          <w:tcPr>
            <w:tcW w:w="2160" w:type="dxa"/>
            <w:vAlign w:val="bottom"/>
            <w:vMerge w:val="continue"/>
          </w:tcPr>
          <w:p>
            <w:pPr>
              <w:spacing w:after="0"/>
              <w:rPr>
                <w:sz w:val="9"/>
                <w:szCs w:val="9"/>
                <w:color w:val="auto"/>
              </w:rPr>
            </w:pP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360" w:type="dxa"/>
            <w:vAlign w:val="bottom"/>
            <w:tcBorders>
              <w:bottom w:val="single" w:sz="8" w:color="58585A"/>
            </w:tcBorders>
            <w:vMerge w:val="continue"/>
          </w:tcPr>
          <w:p>
            <w:pPr>
              <w:spacing w:after="0"/>
              <w:rPr>
                <w:sz w:val="6"/>
                <w:szCs w:val="6"/>
                <w:color w:val="auto"/>
              </w:rPr>
            </w:pPr>
          </w:p>
        </w:tc>
        <w:tc>
          <w:tcPr>
            <w:tcW w:w="2760" w:type="dxa"/>
            <w:vAlign w:val="bottom"/>
            <w:tcBorders>
              <w:bottom w:val="single" w:sz="8" w:color="58585A"/>
            </w:tcBorders>
          </w:tcPr>
          <w:p>
            <w:pPr>
              <w:spacing w:after="0"/>
              <w:rPr>
                <w:sz w:val="6"/>
                <w:szCs w:val="6"/>
                <w:color w:val="auto"/>
              </w:rPr>
            </w:pPr>
          </w:p>
        </w:tc>
        <w:tc>
          <w:tcPr>
            <w:tcW w:w="2160" w:type="dxa"/>
            <w:vAlign w:val="bottom"/>
            <w:tcBorders>
              <w:bottom w:val="single" w:sz="8" w:color="58585A"/>
            </w:tcBorders>
          </w:tcPr>
          <w:p>
            <w:pPr>
              <w:spacing w:after="0"/>
              <w:rPr>
                <w:sz w:val="6"/>
                <w:szCs w:val="6"/>
                <w:color w:val="auto"/>
              </w:rPr>
            </w:pPr>
          </w:p>
        </w:tc>
        <w:tc>
          <w:tcPr>
            <w:tcW w:w="2880" w:type="dxa"/>
            <w:vAlign w:val="bottom"/>
            <w:tcBorders>
              <w:bottom w:val="single" w:sz="8" w:color="58585A"/>
            </w:tcBorders>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360" w:type="dxa"/>
            <w:vAlign w:val="bottom"/>
            <w:shd w:val="clear" w:color="auto" w:fill="EEEEEF"/>
          </w:tcPr>
          <w:p>
            <w:pPr>
              <w:spacing w:after="0"/>
              <w:rPr>
                <w:sz w:val="13"/>
                <w:szCs w:val="13"/>
                <w:color w:val="auto"/>
              </w:rPr>
            </w:pPr>
          </w:p>
        </w:tc>
        <w:tc>
          <w:tcPr>
            <w:tcW w:w="2760" w:type="dxa"/>
            <w:vAlign w:val="bottom"/>
            <w:vMerge w:val="restart"/>
            <w:shd w:val="clear" w:color="auto" w:fill="EEEEEF"/>
          </w:tcPr>
          <w:p>
            <w:pPr>
              <w:jc w:val="center"/>
              <w:ind w:left="55"/>
              <w:spacing w:after="0"/>
              <w:rPr>
                <w:sz w:val="20"/>
                <w:szCs w:val="20"/>
                <w:color w:val="auto"/>
              </w:rPr>
            </w:pPr>
            <w:r>
              <w:rPr>
                <w:rFonts w:ascii="Arial" w:cs="Arial" w:eastAsia="Arial" w:hAnsi="Arial"/>
                <w:sz w:val="14"/>
                <w:szCs w:val="14"/>
                <w:color w:val="auto"/>
              </w:rPr>
              <w:t>19,443,061</w:t>
            </w:r>
          </w:p>
        </w:tc>
        <w:tc>
          <w:tcPr>
            <w:tcW w:w="2160" w:type="dxa"/>
            <w:vAlign w:val="bottom"/>
            <w:shd w:val="clear" w:color="auto" w:fill="EEEEEF"/>
          </w:tcPr>
          <w:p>
            <w:pPr>
              <w:spacing w:after="0"/>
              <w:rPr>
                <w:sz w:val="13"/>
                <w:szCs w:val="13"/>
                <w:color w:val="auto"/>
              </w:rPr>
            </w:pPr>
          </w:p>
        </w:tc>
        <w:tc>
          <w:tcPr>
            <w:tcW w:w="2880" w:type="dxa"/>
            <w:vAlign w:val="bottom"/>
            <w:shd w:val="clear" w:color="auto" w:fill="EEEEEF"/>
          </w:tcPr>
          <w:p>
            <w:pPr>
              <w:jc w:val="center"/>
              <w:ind w:left="54"/>
              <w:spacing w:after="0"/>
              <w:rPr>
                <w:sz w:val="20"/>
                <w:szCs w:val="20"/>
                <w:color w:val="auto"/>
              </w:rPr>
            </w:pPr>
            <w:r>
              <w:rPr>
                <w:rFonts w:ascii="Arial" w:cs="Arial" w:eastAsia="Arial" w:hAnsi="Arial"/>
                <w:sz w:val="14"/>
                <w:szCs w:val="14"/>
                <w:color w:val="auto"/>
              </w:rPr>
              <w:t>17,951,904</w:t>
            </w:r>
          </w:p>
        </w:tc>
        <w:tc>
          <w:tcPr>
            <w:tcW w:w="0" w:type="dxa"/>
            <w:vAlign w:val="bottom"/>
          </w:tcPr>
          <w:p>
            <w:pPr>
              <w:spacing w:after="0"/>
              <w:rPr>
                <w:sz w:val="1"/>
                <w:szCs w:val="1"/>
                <w:color w:val="auto"/>
              </w:rPr>
            </w:pPr>
          </w:p>
        </w:tc>
      </w:tr>
      <w:tr>
        <w:trPr>
          <w:trHeight w:val="81"/>
        </w:trPr>
        <w:tc>
          <w:tcPr>
            <w:tcW w:w="2360" w:type="dxa"/>
            <w:vAlign w:val="bottom"/>
            <w:vMerge w:val="restart"/>
            <w:shd w:val="clear" w:color="auto" w:fill="EEEEEF"/>
          </w:tcPr>
          <w:p>
            <w:pPr>
              <w:ind w:left="60"/>
              <w:spacing w:after="0"/>
              <w:rPr>
                <w:sz w:val="20"/>
                <w:szCs w:val="20"/>
                <w:color w:val="auto"/>
              </w:rPr>
            </w:pPr>
            <w:r>
              <w:rPr>
                <w:rFonts w:ascii="Arial" w:cs="Arial" w:eastAsia="Arial" w:hAnsi="Arial"/>
                <w:sz w:val="14"/>
                <w:szCs w:val="14"/>
                <w:color w:val="auto"/>
              </w:rPr>
              <w:t>Total</w:t>
            </w:r>
          </w:p>
        </w:tc>
        <w:tc>
          <w:tcPr>
            <w:tcW w:w="2760" w:type="dxa"/>
            <w:vAlign w:val="bottom"/>
            <w:vMerge w:val="continue"/>
            <w:shd w:val="clear" w:color="auto" w:fill="EEEEEF"/>
          </w:tcPr>
          <w:p>
            <w:pPr>
              <w:spacing w:after="0"/>
              <w:rPr>
                <w:sz w:val="7"/>
                <w:szCs w:val="7"/>
                <w:color w:val="auto"/>
              </w:rPr>
            </w:pPr>
          </w:p>
        </w:tc>
        <w:tc>
          <w:tcPr>
            <w:tcW w:w="2160" w:type="dxa"/>
            <w:vAlign w:val="bottom"/>
            <w:vMerge w:val="restart"/>
            <w:shd w:val="clear" w:color="auto" w:fill="EEEEEF"/>
          </w:tcPr>
          <w:p>
            <w:pPr>
              <w:jc w:val="center"/>
              <w:ind w:left="16"/>
              <w:spacing w:after="0"/>
              <w:rPr>
                <w:sz w:val="20"/>
                <w:szCs w:val="20"/>
                <w:color w:val="auto"/>
              </w:rPr>
            </w:pPr>
            <w:r>
              <w:rPr>
                <w:rFonts w:ascii="Arial" w:cs="Arial" w:eastAsia="Arial" w:hAnsi="Arial"/>
                <w:sz w:val="14"/>
                <w:szCs w:val="14"/>
                <w:color w:val="auto"/>
              </w:rPr>
              <w:t>$435.56</w:t>
            </w:r>
          </w:p>
        </w:tc>
        <w:tc>
          <w:tcPr>
            <w:tcW w:w="2880" w:type="dxa"/>
            <w:vAlign w:val="bottom"/>
            <w:vMerge w:val="restart"/>
            <w:shd w:val="clear" w:color="auto" w:fill="EEEEEF"/>
          </w:tcPr>
          <w:p>
            <w:pPr>
              <w:jc w:val="center"/>
              <w:ind w:left="54"/>
              <w:spacing w:after="0"/>
              <w:rPr>
                <w:sz w:val="20"/>
                <w:szCs w:val="20"/>
                <w:color w:val="auto"/>
              </w:rPr>
            </w:pPr>
            <w:r>
              <w:rPr>
                <w:rFonts w:ascii="Arial" w:cs="Arial" w:eastAsia="Arial" w:hAnsi="Arial"/>
                <w:sz w:val="14"/>
                <w:szCs w:val="14"/>
                <w:color w:val="auto"/>
              </w:rPr>
              <w:t>shares of common stock</w:t>
            </w:r>
          </w:p>
        </w:tc>
        <w:tc>
          <w:tcPr>
            <w:tcW w:w="0" w:type="dxa"/>
            <w:vAlign w:val="bottom"/>
          </w:tcPr>
          <w:p>
            <w:pPr>
              <w:spacing w:after="0"/>
              <w:rPr>
                <w:sz w:val="1"/>
                <w:szCs w:val="1"/>
                <w:color w:val="auto"/>
              </w:rPr>
            </w:pPr>
          </w:p>
        </w:tc>
      </w:tr>
      <w:tr>
        <w:trPr>
          <w:trHeight w:val="81"/>
        </w:trPr>
        <w:tc>
          <w:tcPr>
            <w:tcW w:w="2360" w:type="dxa"/>
            <w:vAlign w:val="bottom"/>
            <w:vMerge w:val="continue"/>
            <w:shd w:val="clear" w:color="auto" w:fill="EEEEEF"/>
          </w:tcPr>
          <w:p>
            <w:pPr>
              <w:spacing w:after="0"/>
              <w:rPr>
                <w:sz w:val="7"/>
                <w:szCs w:val="7"/>
                <w:color w:val="auto"/>
              </w:rPr>
            </w:pPr>
          </w:p>
        </w:tc>
        <w:tc>
          <w:tcPr>
            <w:tcW w:w="2760" w:type="dxa"/>
            <w:vAlign w:val="bottom"/>
            <w:vMerge w:val="restart"/>
            <w:shd w:val="clear" w:color="auto" w:fill="EEEEEF"/>
          </w:tcPr>
          <w:p>
            <w:pPr>
              <w:jc w:val="center"/>
              <w:ind w:left="55"/>
              <w:spacing w:after="0"/>
              <w:rPr>
                <w:sz w:val="20"/>
                <w:szCs w:val="20"/>
                <w:color w:val="auto"/>
              </w:rPr>
            </w:pPr>
            <w:r>
              <w:rPr>
                <w:rFonts w:ascii="Arial" w:cs="Arial" w:eastAsia="Arial" w:hAnsi="Arial"/>
                <w:sz w:val="14"/>
                <w:szCs w:val="14"/>
                <w:color w:val="auto"/>
              </w:rPr>
              <w:t>shares of common stock</w:t>
            </w:r>
          </w:p>
        </w:tc>
        <w:tc>
          <w:tcPr>
            <w:tcW w:w="2160" w:type="dxa"/>
            <w:vAlign w:val="bottom"/>
            <w:vMerge w:val="continue"/>
            <w:shd w:val="clear" w:color="auto" w:fill="EEEEEF"/>
          </w:tcPr>
          <w:p>
            <w:pPr>
              <w:spacing w:after="0"/>
              <w:rPr>
                <w:sz w:val="7"/>
                <w:szCs w:val="7"/>
                <w:color w:val="auto"/>
              </w:rPr>
            </w:pPr>
          </w:p>
        </w:tc>
        <w:tc>
          <w:tcPr>
            <w:tcW w:w="2880" w:type="dxa"/>
            <w:vAlign w:val="bottom"/>
            <w:vMerge w:val="continue"/>
            <w:shd w:val="clear" w:color="auto" w:fill="EEEEEF"/>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360" w:type="dxa"/>
            <w:vAlign w:val="bottom"/>
            <w:shd w:val="clear" w:color="auto" w:fill="EEEEEF"/>
          </w:tcPr>
          <w:p>
            <w:pPr>
              <w:spacing w:after="0"/>
              <w:rPr>
                <w:sz w:val="7"/>
                <w:szCs w:val="7"/>
                <w:color w:val="auto"/>
              </w:rPr>
            </w:pPr>
          </w:p>
        </w:tc>
        <w:tc>
          <w:tcPr>
            <w:tcW w:w="2760" w:type="dxa"/>
            <w:vAlign w:val="bottom"/>
            <w:vMerge w:val="continue"/>
            <w:shd w:val="clear" w:color="auto" w:fill="EEEEEF"/>
          </w:tcPr>
          <w:p>
            <w:pPr>
              <w:spacing w:after="0"/>
              <w:rPr>
                <w:sz w:val="7"/>
                <w:szCs w:val="7"/>
                <w:color w:val="auto"/>
              </w:rPr>
            </w:pPr>
          </w:p>
        </w:tc>
        <w:tc>
          <w:tcPr>
            <w:tcW w:w="2160" w:type="dxa"/>
            <w:vAlign w:val="bottom"/>
            <w:shd w:val="clear" w:color="auto" w:fill="EEEEEF"/>
          </w:tcPr>
          <w:p>
            <w:pPr>
              <w:spacing w:after="0"/>
              <w:rPr>
                <w:sz w:val="7"/>
                <w:szCs w:val="7"/>
                <w:color w:val="auto"/>
              </w:rPr>
            </w:pPr>
          </w:p>
        </w:tc>
        <w:tc>
          <w:tcPr>
            <w:tcW w:w="2880" w:type="dxa"/>
            <w:vAlign w:val="bottom"/>
            <w:vMerge w:val="restart"/>
            <w:shd w:val="clear" w:color="auto" w:fill="EEEEEF"/>
          </w:tcPr>
          <w:p>
            <w:pPr>
              <w:jc w:val="center"/>
              <w:ind w:left="54"/>
              <w:spacing w:after="0" w:line="157" w:lineRule="exact"/>
              <w:rPr>
                <w:sz w:val="20"/>
                <w:szCs w:val="20"/>
                <w:color w:val="auto"/>
              </w:rPr>
            </w:pPr>
            <w:r>
              <w:rPr>
                <w:rFonts w:ascii="Arial" w:cs="Arial" w:eastAsia="Arial" w:hAnsi="Arial"/>
                <w:sz w:val="14"/>
                <w:szCs w:val="14"/>
                <w:color w:val="auto"/>
              </w:rPr>
              <w:t>and Class A stock</w:t>
            </w:r>
          </w:p>
        </w:tc>
        <w:tc>
          <w:tcPr>
            <w:tcW w:w="0" w:type="dxa"/>
            <w:vAlign w:val="bottom"/>
          </w:tcPr>
          <w:p>
            <w:pPr>
              <w:spacing w:after="0"/>
              <w:rPr>
                <w:sz w:val="1"/>
                <w:szCs w:val="1"/>
                <w:color w:val="auto"/>
              </w:rPr>
            </w:pPr>
          </w:p>
        </w:tc>
      </w:tr>
      <w:tr>
        <w:trPr>
          <w:trHeight w:val="66"/>
        </w:trPr>
        <w:tc>
          <w:tcPr>
            <w:tcW w:w="2360" w:type="dxa"/>
            <w:vAlign w:val="bottom"/>
            <w:tcBorders>
              <w:bottom w:val="single" w:sz="8" w:color="215AA8"/>
            </w:tcBorders>
            <w:shd w:val="clear" w:color="auto" w:fill="EEEEEF"/>
          </w:tcPr>
          <w:p>
            <w:pPr>
              <w:spacing w:after="0"/>
              <w:rPr>
                <w:sz w:val="5"/>
                <w:szCs w:val="5"/>
                <w:color w:val="auto"/>
              </w:rPr>
            </w:pPr>
          </w:p>
        </w:tc>
        <w:tc>
          <w:tcPr>
            <w:tcW w:w="2760" w:type="dxa"/>
            <w:vAlign w:val="bottom"/>
            <w:tcBorders>
              <w:bottom w:val="single" w:sz="8" w:color="215AA8"/>
            </w:tcBorders>
            <w:shd w:val="clear" w:color="auto" w:fill="EEEEEF"/>
          </w:tcPr>
          <w:p>
            <w:pPr>
              <w:spacing w:after="0"/>
              <w:rPr>
                <w:sz w:val="5"/>
                <w:szCs w:val="5"/>
                <w:color w:val="auto"/>
              </w:rPr>
            </w:pPr>
          </w:p>
        </w:tc>
        <w:tc>
          <w:tcPr>
            <w:tcW w:w="2160" w:type="dxa"/>
            <w:vAlign w:val="bottom"/>
            <w:tcBorders>
              <w:bottom w:val="single" w:sz="8" w:color="215AA8"/>
            </w:tcBorders>
            <w:shd w:val="clear" w:color="auto" w:fill="EEEEEF"/>
          </w:tcPr>
          <w:p>
            <w:pPr>
              <w:spacing w:after="0"/>
              <w:rPr>
                <w:sz w:val="5"/>
                <w:szCs w:val="5"/>
                <w:color w:val="auto"/>
              </w:rPr>
            </w:pPr>
          </w:p>
        </w:tc>
        <w:tc>
          <w:tcPr>
            <w:tcW w:w="2880" w:type="dxa"/>
            <w:vAlign w:val="bottom"/>
            <w:tcBorders>
              <w:bottom w:val="single" w:sz="8" w:color="215AA8"/>
            </w:tcBorders>
            <w:vMerge w:val="continue"/>
            <w:shd w:val="clear" w:color="auto" w:fill="EEEEEF"/>
          </w:tcPr>
          <w:p>
            <w:pPr>
              <w:spacing w:after="0"/>
              <w:rPr>
                <w:sz w:val="5"/>
                <w:szCs w:val="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760" w:right="540" w:hanging="212"/>
        <w:spacing w:after="0" w:line="246" w:lineRule="auto"/>
        <w:tabs>
          <w:tab w:leader="none" w:pos="760" w:val="left"/>
        </w:tabs>
        <w:numPr>
          <w:ilvl w:val="0"/>
          <w:numId w:val="187"/>
        </w:numPr>
        <w:rPr>
          <w:rFonts w:ascii="Arial" w:cs="Arial" w:eastAsia="Arial" w:hAnsi="Arial"/>
          <w:sz w:val="14"/>
          <w:szCs w:val="14"/>
          <w:color w:val="215BA8"/>
        </w:rPr>
      </w:pPr>
      <w:r>
        <w:rPr>
          <w:rFonts w:ascii="Arial" w:cs="Arial" w:eastAsia="Arial" w:hAnsi="Arial"/>
          <w:sz w:val="14"/>
          <w:szCs w:val="14"/>
          <w:color w:val="1A1A1A"/>
        </w:rPr>
        <w:t>The equity compensation plans approved by the security holders are the Regeneron Pharmaceuticals, Inc. Second Amended and Restated 2000 Long-Term Incentive Plan; the Regeneron Pharmaceuticals, Inc. 2014 Long-Term Incentive Plan; the Amended and Restated Regeneron Pharmaceuticals, Inc. 2014 Long-Term Incentive Plan; and the Second Amended and Restated Regeneron Pharmaceuticals, Inc. 2014 Long-Term Incentive Plan. The Second Amended and Restated Regeneron Pharmaceuticals, Inc. 2014 Long-Term Incentive Plan is the only plan currently used by the Company to grant equity awards.</w:t>
      </w:r>
    </w:p>
    <w:p>
      <w:pPr>
        <w:spacing w:after="0" w:line="231" w:lineRule="exact"/>
        <w:rPr>
          <w:sz w:val="20"/>
          <w:szCs w:val="20"/>
          <w:color w:val="auto"/>
        </w:rPr>
      </w:pPr>
    </w:p>
    <w:p>
      <w:pPr>
        <w:ind w:left="760" w:right="780" w:hanging="212"/>
        <w:spacing w:after="0" w:line="244" w:lineRule="auto"/>
        <w:tabs>
          <w:tab w:leader="none" w:pos="760" w:val="left"/>
        </w:tabs>
        <w:numPr>
          <w:ilvl w:val="0"/>
          <w:numId w:val="188"/>
        </w:numPr>
        <w:rPr>
          <w:rFonts w:ascii="Arial" w:cs="Arial" w:eastAsia="Arial" w:hAnsi="Arial"/>
          <w:sz w:val="14"/>
          <w:szCs w:val="14"/>
          <w:color w:val="215BA8"/>
        </w:rPr>
      </w:pPr>
      <w:r>
        <w:rPr>
          <w:rFonts w:ascii="Arial" w:cs="Arial" w:eastAsia="Arial" w:hAnsi="Arial"/>
          <w:sz w:val="14"/>
          <w:szCs w:val="14"/>
          <w:color w:val="1A1A1A"/>
        </w:rPr>
        <w:t>The equity compensation plan not approved by the security holders is the Executive Stock Purchase Plan. It was adopted in 1989 and provides for the Compensation Committee of the board of directors to award employees, directors, consultants, and other individuals who render service to the Company the right to purchase Class A stock at a price set by the Compensation Committee. The Plan provides for the vesting of shares as determined by the Compensation Committee; should the Company’s relationship with a Plan participant terminate before all shares are vested, unvested shares will be repurchased by the Company at a price per share equal to the original amount paid by the Plan participant. As of December 31, 2021, there were no unvested shares and 44,246 shares of Class A stock available for future grants under the Plan.</w:t>
      </w:r>
    </w:p>
    <w:p>
      <w:pPr>
        <w:spacing w:after="0" w:line="71" w:lineRule="exact"/>
        <w:rPr>
          <w:sz w:val="20"/>
          <w:szCs w:val="20"/>
          <w:color w:val="auto"/>
        </w:rPr>
      </w:pPr>
    </w:p>
    <w:p>
      <w:pPr>
        <w:ind w:left="760" w:right="640" w:hanging="212"/>
        <w:spacing w:after="0" w:line="258" w:lineRule="auto"/>
        <w:tabs>
          <w:tab w:leader="none" w:pos="760" w:val="left"/>
        </w:tabs>
        <w:numPr>
          <w:ilvl w:val="0"/>
          <w:numId w:val="189"/>
        </w:numPr>
        <w:rPr>
          <w:rFonts w:ascii="Arial" w:cs="Arial" w:eastAsia="Arial" w:hAnsi="Arial"/>
          <w:sz w:val="14"/>
          <w:szCs w:val="14"/>
          <w:color w:val="215BA8"/>
        </w:rPr>
      </w:pPr>
      <w:r>
        <w:rPr>
          <w:rFonts w:ascii="Arial" w:cs="Arial" w:eastAsia="Arial" w:hAnsi="Arial"/>
          <w:sz w:val="14"/>
          <w:szCs w:val="14"/>
          <w:color w:val="1A1A1A"/>
        </w:rPr>
        <w:t>This amount includes (i) 17,978,130 shares to be issued upon exercise of outstanding options, (ii) 164,995 shares to be issued upon vesting of outstanding RSUs, and (iii) 1,299,936 shares to be issued upon vesting of outstanding PSUs (assuming, in the case of PSUs, maximum payouts earned) .</w:t>
      </w:r>
    </w:p>
    <w:p>
      <w:pPr>
        <w:spacing w:after="0" w:line="59" w:lineRule="exact"/>
        <w:rPr>
          <w:sz w:val="20"/>
          <w:szCs w:val="20"/>
          <w:color w:val="auto"/>
        </w:rPr>
      </w:pPr>
    </w:p>
    <w:p>
      <w:pPr>
        <w:ind w:left="760" w:right="680" w:hanging="212"/>
        <w:spacing w:after="0" w:line="258" w:lineRule="auto"/>
        <w:tabs>
          <w:tab w:leader="none" w:pos="760" w:val="left"/>
        </w:tabs>
        <w:numPr>
          <w:ilvl w:val="0"/>
          <w:numId w:val="190"/>
        </w:numPr>
        <w:rPr>
          <w:rFonts w:ascii="Arial" w:cs="Arial" w:eastAsia="Arial" w:hAnsi="Arial"/>
          <w:sz w:val="14"/>
          <w:szCs w:val="14"/>
          <w:color w:val="215BA8"/>
        </w:rPr>
      </w:pPr>
      <w:r>
        <w:rPr>
          <w:rFonts w:ascii="Arial" w:cs="Arial" w:eastAsia="Arial" w:hAnsi="Arial"/>
          <w:sz w:val="14"/>
          <w:szCs w:val="14"/>
          <w:color w:val="1A1A1A"/>
        </w:rPr>
        <w:t>The calculation of the weighted-average exercise price does not include the 164,995 shares to be issued upon vesting of RSUs or the 1,299,936 shares to be issued upon vesting of PSUs (assuming, in the case of PSUs, maximum payouts earned), as RSUs and PSUs do not have an exercise price.</w:t>
      </w:r>
    </w:p>
    <w:p>
      <w:pPr>
        <w:spacing w:after="0" w:line="59" w:lineRule="exact"/>
        <w:rPr>
          <w:sz w:val="20"/>
          <w:szCs w:val="20"/>
          <w:color w:val="auto"/>
        </w:rPr>
      </w:pPr>
    </w:p>
    <w:p>
      <w:pPr>
        <w:ind w:left="760" w:right="1120" w:hanging="212"/>
        <w:spacing w:after="0" w:line="258" w:lineRule="auto"/>
        <w:tabs>
          <w:tab w:leader="none" w:pos="760" w:val="left"/>
        </w:tabs>
        <w:numPr>
          <w:ilvl w:val="0"/>
          <w:numId w:val="191"/>
        </w:numPr>
        <w:rPr>
          <w:rFonts w:ascii="Arial" w:cs="Arial" w:eastAsia="Arial" w:hAnsi="Arial"/>
          <w:sz w:val="14"/>
          <w:szCs w:val="14"/>
          <w:color w:val="215BA8"/>
        </w:rPr>
      </w:pPr>
      <w:r>
        <w:rPr>
          <w:rFonts w:ascii="Arial" w:cs="Arial" w:eastAsia="Arial" w:hAnsi="Arial"/>
          <w:sz w:val="14"/>
          <w:szCs w:val="14"/>
          <w:color w:val="1A1A1A"/>
        </w:rPr>
        <w:t>This amount is net of 1,963,047 outstanding RSAs. As these shares are considered issued and outstanding upon grant, they are not included in the amounts reported in column (a).</w:t>
      </w:r>
    </w:p>
    <w:p>
      <w:pPr>
        <w:spacing w:after="0" w:line="162"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98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88811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00" cy="8881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80"/>
        <w:spacing w:after="0"/>
        <w:rPr>
          <w:sz w:val="20"/>
          <w:szCs w:val="20"/>
          <w:color w:val="auto"/>
        </w:rPr>
      </w:pPr>
      <w:r>
        <w:rPr>
          <w:rFonts w:ascii="Arial" w:cs="Arial" w:eastAsia="Arial" w:hAnsi="Arial"/>
          <w:sz w:val="45"/>
          <w:szCs w:val="45"/>
          <w:b w:val="1"/>
          <w:bCs w:val="1"/>
          <w:color w:val="00ADEE"/>
        </w:rPr>
        <w:t>PROPOSAL 3</w:t>
      </w:r>
    </w:p>
    <w:p>
      <w:pPr>
        <w:spacing w:after="0" w:line="159" w:lineRule="exact"/>
        <w:rPr>
          <w:sz w:val="20"/>
          <w:szCs w:val="20"/>
          <w:color w:val="auto"/>
        </w:rPr>
      </w:pPr>
    </w:p>
    <w:p>
      <w:pPr>
        <w:ind w:left="2380"/>
        <w:spacing w:after="0"/>
        <w:rPr>
          <w:sz w:val="20"/>
          <w:szCs w:val="20"/>
          <w:color w:val="auto"/>
        </w:rPr>
      </w:pPr>
      <w:r>
        <w:rPr>
          <w:rFonts w:ascii="Arial" w:cs="Arial" w:eastAsia="Arial" w:hAnsi="Arial"/>
          <w:sz w:val="54"/>
          <w:szCs w:val="54"/>
          <w:b w:val="1"/>
          <w:bCs w:val="1"/>
          <w:color w:val="FFFFFF"/>
        </w:rPr>
        <w:t>ADVISORY VOTE ON</w:t>
      </w:r>
    </w:p>
    <w:p>
      <w:pPr>
        <w:spacing w:after="0" w:line="41" w:lineRule="exact"/>
        <w:rPr>
          <w:sz w:val="20"/>
          <w:szCs w:val="20"/>
          <w:color w:val="auto"/>
        </w:rPr>
      </w:pPr>
    </w:p>
    <w:p>
      <w:pPr>
        <w:ind w:left="2380"/>
        <w:spacing w:after="0"/>
        <w:rPr>
          <w:sz w:val="20"/>
          <w:szCs w:val="20"/>
          <w:color w:val="auto"/>
        </w:rPr>
      </w:pPr>
      <w:r>
        <w:rPr>
          <w:rFonts w:ascii="Arial" w:cs="Arial" w:eastAsia="Arial" w:hAnsi="Arial"/>
          <w:sz w:val="54"/>
          <w:szCs w:val="54"/>
          <w:b w:val="1"/>
          <w:bCs w:val="1"/>
          <w:color w:val="FFFFFF"/>
        </w:rPr>
        <w:t>COMPENSATION OF</w:t>
      </w:r>
    </w:p>
    <w:p>
      <w:pPr>
        <w:ind w:left="2380"/>
        <w:spacing w:after="0" w:line="234" w:lineRule="auto"/>
        <w:rPr>
          <w:sz w:val="20"/>
          <w:szCs w:val="20"/>
          <w:color w:val="auto"/>
        </w:rPr>
      </w:pPr>
      <w:r>
        <w:rPr>
          <w:rFonts w:ascii="Arial" w:cs="Arial" w:eastAsia="Arial" w:hAnsi="Arial"/>
          <w:sz w:val="54"/>
          <w:szCs w:val="54"/>
          <w:b w:val="1"/>
          <w:bCs w:val="1"/>
          <w:color w:val="FFFFFF"/>
        </w:rPr>
        <w:t>NAMED EXECUTIVE</w:t>
      </w:r>
    </w:p>
    <w:p>
      <w:pPr>
        <w:ind w:left="2380"/>
        <w:spacing w:after="0" w:line="235" w:lineRule="auto"/>
        <w:rPr>
          <w:sz w:val="20"/>
          <w:szCs w:val="20"/>
          <w:color w:val="auto"/>
        </w:rPr>
      </w:pPr>
      <w:r>
        <w:rPr>
          <w:rFonts w:ascii="Arial" w:cs="Arial" w:eastAsia="Arial" w:hAnsi="Arial"/>
          <w:sz w:val="54"/>
          <w:szCs w:val="54"/>
          <w:b w:val="1"/>
          <w:bCs w:val="1"/>
          <w:color w:val="FFFFFF"/>
        </w:rPr>
        <w:t>OFFICERS (SAY-ON-</w:t>
      </w:r>
    </w:p>
    <w:p>
      <w:pPr>
        <w:spacing w:after="0" w:line="2" w:lineRule="exact"/>
        <w:rPr>
          <w:sz w:val="20"/>
          <w:szCs w:val="20"/>
          <w:color w:val="auto"/>
        </w:rPr>
      </w:pPr>
    </w:p>
    <w:p>
      <w:pPr>
        <w:ind w:left="2380"/>
        <w:spacing w:after="0"/>
        <w:rPr>
          <w:sz w:val="20"/>
          <w:szCs w:val="20"/>
          <w:color w:val="auto"/>
        </w:rPr>
      </w:pPr>
      <w:r>
        <w:rPr>
          <w:rFonts w:ascii="Arial" w:cs="Arial" w:eastAsia="Arial" w:hAnsi="Arial"/>
          <w:sz w:val="54"/>
          <w:szCs w:val="54"/>
          <w:b w:val="1"/>
          <w:bCs w:val="1"/>
          <w:color w:val="FFFFFF"/>
        </w:rPr>
        <w:t>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380" w:right="3020"/>
        <w:spacing w:after="0" w:line="232" w:lineRule="auto"/>
        <w:rPr>
          <w:sz w:val="20"/>
          <w:szCs w:val="20"/>
          <w:color w:val="auto"/>
        </w:rPr>
      </w:pPr>
      <w:r>
        <w:rPr>
          <w:rFonts w:ascii="Arial" w:cs="Arial" w:eastAsia="Arial" w:hAnsi="Arial"/>
          <w:sz w:val="20"/>
          <w:szCs w:val="20"/>
          <w:color w:val="AAE1FA"/>
        </w:rPr>
        <w:t xml:space="preserve">The Board of Directors Unanimously Recommends a Vote, on an Advisory Basis, </w:t>
      </w:r>
      <w:r>
        <w:rPr>
          <w:rFonts w:ascii="Arial" w:cs="Arial" w:eastAsia="Arial" w:hAnsi="Arial"/>
          <w:sz w:val="20"/>
          <w:szCs w:val="20"/>
          <w:b w:val="1"/>
          <w:bCs w:val="1"/>
          <w:color w:val="AAE1FA"/>
        </w:rPr>
        <w:t>FOR</w:t>
      </w:r>
      <w:r>
        <w:rPr>
          <w:rFonts w:ascii="Arial" w:cs="Arial" w:eastAsia="Arial" w:hAnsi="Arial"/>
          <w:sz w:val="20"/>
          <w:szCs w:val="20"/>
          <w:color w:val="AAE1FA"/>
        </w:rPr>
        <w:t xml:space="preserve"> Approval of the Compensation of Our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ind w:left="760"/>
              <w:spacing w:after="0"/>
              <w:rPr>
                <w:sz w:val="20"/>
                <w:szCs w:val="20"/>
                <w:color w:val="auto"/>
              </w:rPr>
            </w:pPr>
            <w:r>
              <w:rPr>
                <w:rFonts w:ascii="Arial" w:cs="Arial" w:eastAsia="Arial" w:hAnsi="Arial"/>
                <w:sz w:val="14"/>
                <w:szCs w:val="14"/>
                <w:b w:val="1"/>
                <w:bCs w:val="1"/>
                <w:color w:val="FFFFFF"/>
              </w:rPr>
              <w:t>2022 PROXY STATEMENT AND NOTICE OF ANNUAL SHAREHOLDER MEETING</w:t>
            </w:r>
          </w:p>
        </w:tc>
        <w:tc>
          <w:tcPr>
            <w:tcW w:w="3120" w:type="dxa"/>
            <w:vAlign w:val="bottom"/>
          </w:tcPr>
          <w:p>
            <w:pPr>
              <w:jc w:val="right"/>
              <w:ind w:right="868"/>
              <w:spacing w:after="0"/>
              <w:rPr>
                <w:sz w:val="20"/>
                <w:szCs w:val="20"/>
                <w:color w:val="auto"/>
              </w:rPr>
            </w:pPr>
            <w:r>
              <w:rPr>
                <w:rFonts w:ascii="Arial" w:cs="Arial" w:eastAsia="Arial" w:hAnsi="Arial"/>
                <w:sz w:val="14"/>
                <w:szCs w:val="14"/>
                <w:b w:val="1"/>
                <w:bCs w:val="1"/>
                <w:color w:val="FFFFFF"/>
              </w:rPr>
              <w:t>/ 99</w:t>
            </w:r>
          </w:p>
        </w:tc>
      </w:tr>
      <w:tr>
        <w:trPr>
          <w:trHeight w:val="586"/>
        </w:trPr>
        <w:tc>
          <w:tcPr>
            <w:tcW w:w="8120" w:type="dxa"/>
            <w:vAlign w:val="bottom"/>
            <w:tcBorders>
              <w:bottom w:val="single" w:sz="8" w:color="C0C0C0"/>
            </w:tcBorders>
          </w:tcPr>
          <w:p>
            <w:pPr>
              <w:spacing w:after="0"/>
              <w:rPr>
                <w:sz w:val="24"/>
                <w:szCs w:val="24"/>
                <w:color w:val="auto"/>
              </w:rPr>
            </w:pPr>
          </w:p>
        </w:tc>
        <w:tc>
          <w:tcPr>
            <w:tcW w:w="312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14" w:name="page115"/>
    <w:bookmarkEnd w:id="114"/>
    <w:p>
      <w:pPr>
        <w:ind w:left="540"/>
        <w:spacing w:after="0"/>
        <w:rPr>
          <w:sz w:val="20"/>
          <w:szCs w:val="20"/>
          <w:color w:val="auto"/>
        </w:rPr>
      </w:pPr>
      <w:r>
        <w:rPr>
          <w:rFonts w:ascii="Arial" w:cs="Arial" w:eastAsia="Arial" w:hAnsi="Arial"/>
          <w:sz w:val="14"/>
          <w:szCs w:val="14"/>
          <w:b w:val="1"/>
          <w:bCs w:val="1"/>
          <w:color w:val="215BA8"/>
        </w:rPr>
        <w:t xml:space="preserve">PROPOSAL 3 / </w:t>
      </w:r>
      <w:r>
        <w:rPr>
          <w:rFonts w:ascii="Arial" w:cs="Arial" w:eastAsia="Arial" w:hAnsi="Arial"/>
          <w:sz w:val="14"/>
          <w:szCs w:val="14"/>
          <w:b w:val="1"/>
          <w:bCs w:val="1"/>
          <w:color w:val="D60058"/>
        </w:rPr>
        <w:t>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40" w:right="580"/>
        <w:spacing w:after="0" w:line="236" w:lineRule="auto"/>
        <w:rPr>
          <w:sz w:val="20"/>
          <w:szCs w:val="20"/>
          <w:color w:val="auto"/>
        </w:rPr>
      </w:pPr>
      <w:r>
        <w:rPr>
          <w:rFonts w:ascii="Arial" w:cs="Arial" w:eastAsia="Arial" w:hAnsi="Arial"/>
          <w:sz w:val="16"/>
          <w:szCs w:val="16"/>
          <w:color w:val="auto"/>
        </w:rPr>
        <w:t>As required by Section 14A of the Exchange Act, we are seeking, on an advisory basis, shareholder approval of the compensation of our NEOs as disclosed above (“say-on-pay” proposal). Specifically, shareholders are being asked to approve the following advisory resolution:</w:t>
      </w:r>
    </w:p>
    <w:p>
      <w:pPr>
        <w:spacing w:after="0" w:line="145" w:lineRule="exact"/>
        <w:rPr>
          <w:sz w:val="20"/>
          <w:szCs w:val="20"/>
          <w:color w:val="auto"/>
        </w:rPr>
      </w:pPr>
    </w:p>
    <w:p>
      <w:pPr>
        <w:ind w:left="880" w:right="740"/>
        <w:spacing w:after="0" w:line="260" w:lineRule="auto"/>
        <w:rPr>
          <w:sz w:val="20"/>
          <w:szCs w:val="20"/>
          <w:color w:val="auto"/>
        </w:rPr>
      </w:pPr>
      <w:r>
        <w:rPr>
          <w:rFonts w:ascii="Arial" w:cs="Arial" w:eastAsia="Arial" w:hAnsi="Arial"/>
          <w:sz w:val="15"/>
          <w:szCs w:val="15"/>
          <w:b w:val="1"/>
          <w:bCs w:val="1"/>
          <w:color w:val="auto"/>
        </w:rPr>
        <w:t xml:space="preserve">RESOLVED, </w:t>
      </w:r>
      <w:r>
        <w:rPr>
          <w:rFonts w:ascii="Arial" w:cs="Arial" w:eastAsia="Arial" w:hAnsi="Arial"/>
          <w:sz w:val="15"/>
          <w:szCs w:val="15"/>
          <w:color w:val="auto"/>
        </w:rPr>
        <w:t>that the shareholders of Regeneron Pharmaceuticals, Inc. hereby approve the compensation of the Company’s Named</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Officers, as disclosed in the Company’s proxy statement relating to the Company’s 2022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spacing w:after="0" w:line="150" w:lineRule="exact"/>
        <w:rPr>
          <w:sz w:val="20"/>
          <w:szCs w:val="20"/>
          <w:color w:val="auto"/>
        </w:rPr>
      </w:pPr>
    </w:p>
    <w:p>
      <w:pPr>
        <w:ind w:left="540" w:right="680"/>
        <w:spacing w:after="0" w:line="232" w:lineRule="auto"/>
        <w:rPr>
          <w:sz w:val="20"/>
          <w:szCs w:val="20"/>
          <w:color w:val="auto"/>
        </w:rPr>
      </w:pPr>
      <w:r>
        <w:rPr>
          <w:rFonts w:ascii="Arial" w:cs="Arial" w:eastAsia="Arial" w:hAnsi="Arial"/>
          <w:sz w:val="16"/>
          <w:szCs w:val="16"/>
          <w:color w:val="auto"/>
        </w:rPr>
        <w:t>In determining to recommend that shareholders approve the say-on-pay proposal, the board of directors considered, among other factors discussed under “Compensation Discussion and Analysis” above, that the Company had achieved its corporate goals in 2021 as well as in 2020, when the most recent say-on-pay vote was held. Information regarding compensation of the relevant NEOs for each of these years is provided in the Summary Compensation Table included in this proxy statement.</w:t>
      </w:r>
    </w:p>
    <w:p>
      <w:pPr>
        <w:spacing w:after="0" w:line="166" w:lineRule="exact"/>
        <w:rPr>
          <w:sz w:val="20"/>
          <w:szCs w:val="20"/>
          <w:color w:val="auto"/>
        </w:rPr>
      </w:pPr>
    </w:p>
    <w:p>
      <w:pPr>
        <w:ind w:left="540" w:right="700"/>
        <w:spacing w:after="0" w:line="236" w:lineRule="auto"/>
        <w:rPr>
          <w:sz w:val="20"/>
          <w:szCs w:val="20"/>
          <w:color w:val="auto"/>
        </w:rPr>
      </w:pPr>
      <w:r>
        <w:rPr>
          <w:rFonts w:ascii="Arial" w:cs="Arial" w:eastAsia="Arial" w:hAnsi="Arial"/>
          <w:sz w:val="16"/>
          <w:szCs w:val="16"/>
          <w:color w:val="auto"/>
        </w:rPr>
        <w:t>As an advisory vote, this proposal is non-binding on the Company. However, the board of directors and the Compensation Committee value your opinion and will review and consider the voting results in connection with their ongoing evaluation of our compensation program.</w:t>
      </w:r>
    </w:p>
    <w:p>
      <w:pPr>
        <w:spacing w:after="0" w:line="18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100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5" w:name="page116"/>
    <w:bookmarkEnd w:id="115"/>
    <w:p>
      <w:pPr>
        <w:ind w:left="1400" w:right="1300"/>
        <w:spacing w:after="0" w:line="269" w:lineRule="auto"/>
        <w:rPr>
          <w:sz w:val="20"/>
          <w:szCs w:val="20"/>
          <w:color w:val="auto"/>
        </w:rPr>
      </w:pPr>
      <w:r>
        <w:rPr>
          <w:rFonts w:ascii="Arial" w:cs="Arial" w:eastAsia="Arial" w:hAnsi="Arial"/>
          <w:sz w:val="47"/>
          <w:szCs w:val="47"/>
          <w:b w:val="1"/>
          <w:bCs w:val="1"/>
          <w:color w:val="215AA8"/>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830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83005"/>
                    </a:xfrm>
                    <a:prstGeom prst="rect">
                      <a:avLst/>
                    </a:prstGeom>
                    <a:noFill/>
                  </pic:spPr>
                </pic:pic>
              </a:graphicData>
            </a:graphic>
          </wp:anchor>
        </w:drawing>
        <w:t>GENERAL INFORMATION ABOUT THE MEETING AND OTHER MATTERS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When is the Annual Meeting?</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June 10, 2022</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What time is the Annual Meeting?</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10:30 a.m., ET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Where is the Annual Meeting?</w:t>
      </w:r>
    </w:p>
    <w:p>
      <w:pPr>
        <w:spacing w:after="0" w:line="187" w:lineRule="exact"/>
        <w:rPr>
          <w:sz w:val="20"/>
          <w:szCs w:val="20"/>
          <w:color w:val="auto"/>
        </w:rPr>
      </w:pPr>
    </w:p>
    <w:p>
      <w:pPr>
        <w:ind w:left="540" w:right="620"/>
        <w:spacing w:after="0" w:line="249" w:lineRule="auto"/>
        <w:rPr>
          <w:sz w:val="20"/>
          <w:szCs w:val="20"/>
          <w:color w:val="auto"/>
        </w:rPr>
      </w:pPr>
      <w:r>
        <w:rPr>
          <w:rFonts w:ascii="Arial" w:cs="Arial" w:eastAsia="Arial" w:hAnsi="Arial"/>
          <w:sz w:val="15"/>
          <w:szCs w:val="15"/>
          <w:color w:val="auto"/>
        </w:rPr>
        <w:t xml:space="preserve">The Annual Meeting will be held virtually via the Internet at </w:t>
      </w:r>
      <w:r>
        <w:rPr>
          <w:rFonts w:ascii="Arial" w:cs="Arial" w:eastAsia="Arial" w:hAnsi="Arial"/>
          <w:sz w:val="15"/>
          <w:szCs w:val="15"/>
          <w:b w:val="1"/>
          <w:bCs w:val="1"/>
          <w:color w:val="auto"/>
        </w:rPr>
        <w:t>www.virtualshareholdermeeting.com/REGN2022</w:t>
      </w:r>
      <w:r>
        <w:rPr>
          <w:rFonts w:ascii="Arial" w:cs="Arial" w:eastAsia="Arial" w:hAnsi="Arial"/>
          <w:sz w:val="15"/>
          <w:szCs w:val="15"/>
          <w:color w:val="auto"/>
        </w:rPr>
        <w:t>.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designed the format of the Annual Meeting to ensure that shareholders are afforded similar rights and opportunities to participate as they would at an in-person meeting.</w:t>
      </w:r>
    </w:p>
    <w:p>
      <w:pPr>
        <w:spacing w:after="0" w:line="115" w:lineRule="exact"/>
        <w:rPr>
          <w:sz w:val="20"/>
          <w:szCs w:val="20"/>
          <w:color w:val="auto"/>
        </w:rPr>
      </w:pPr>
    </w:p>
    <w:p>
      <w:pPr>
        <w:ind w:left="540" w:right="280"/>
        <w:spacing w:after="0" w:line="271" w:lineRule="auto"/>
        <w:rPr>
          <w:sz w:val="20"/>
          <w:szCs w:val="20"/>
          <w:color w:val="auto"/>
        </w:rPr>
      </w:pPr>
      <w:r>
        <w:rPr>
          <w:rFonts w:ascii="Arial" w:cs="Arial" w:eastAsia="Arial" w:hAnsi="Arial"/>
          <w:sz w:val="18"/>
          <w:szCs w:val="18"/>
          <w:b w:val="1"/>
          <w:bCs w:val="1"/>
          <w:color w:val="215BA8"/>
        </w:rPr>
        <w:t>What form of identification do I need to be admitted to the meeting?</w:t>
      </w:r>
    </w:p>
    <w:p>
      <w:pPr>
        <w:spacing w:after="0" w:line="129" w:lineRule="exact"/>
        <w:rPr>
          <w:sz w:val="20"/>
          <w:szCs w:val="20"/>
          <w:color w:val="auto"/>
        </w:rPr>
      </w:pPr>
    </w:p>
    <w:p>
      <w:pPr>
        <w:ind w:left="540" w:right="40"/>
        <w:spacing w:after="0" w:line="248" w:lineRule="auto"/>
        <w:rPr>
          <w:sz w:val="20"/>
          <w:szCs w:val="20"/>
          <w:color w:val="auto"/>
        </w:rPr>
      </w:pPr>
      <w:r>
        <w:rPr>
          <w:rFonts w:ascii="Arial" w:cs="Arial" w:eastAsia="Arial" w:hAnsi="Arial"/>
          <w:sz w:val="15"/>
          <w:szCs w:val="15"/>
          <w:color w:val="auto"/>
        </w:rPr>
        <w:t xml:space="preserve">Instructions on how to attend and participate via the Internet are posted at </w:t>
      </w:r>
      <w:r>
        <w:rPr>
          <w:rFonts w:ascii="Arial" w:cs="Arial" w:eastAsia="Arial" w:hAnsi="Arial"/>
          <w:sz w:val="15"/>
          <w:szCs w:val="15"/>
          <w:b w:val="1"/>
          <w:bCs w:val="1"/>
          <w:color w:val="auto"/>
        </w:rPr>
        <w:t>www.virtualshareholdermeeting.com/REGN2022</w:t>
      </w:r>
      <w:r>
        <w:rPr>
          <w:rFonts w:ascii="Arial" w:cs="Arial" w:eastAsia="Arial" w:hAnsi="Arial"/>
          <w:sz w:val="15"/>
          <w:szCs w:val="15"/>
          <w:color w:val="auto"/>
        </w:rPr>
        <w:t>. To vote or submit questions during the meeting, you will need the 16-digit control number included on the Notice of Internet Availability of Proxy Materials (the “Notice”) or, if you received a paper copy of the proxy materials, the proxy card or voting instruction form you received.</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Can I vote at the Annual Meeting?</w:t>
      </w:r>
    </w:p>
    <w:p>
      <w:pPr>
        <w:spacing w:after="0" w:line="187" w:lineRule="exact"/>
        <w:rPr>
          <w:sz w:val="20"/>
          <w:szCs w:val="20"/>
          <w:color w:val="auto"/>
        </w:rPr>
      </w:pPr>
    </w:p>
    <w:p>
      <w:pPr>
        <w:ind w:left="540" w:right="60"/>
        <w:spacing w:after="0" w:line="246" w:lineRule="auto"/>
        <w:rPr>
          <w:sz w:val="20"/>
          <w:szCs w:val="20"/>
          <w:color w:val="auto"/>
        </w:rPr>
      </w:pPr>
      <w:r>
        <w:rPr>
          <w:rFonts w:ascii="Arial" w:cs="Arial" w:eastAsia="Arial" w:hAnsi="Arial"/>
          <w:sz w:val="15"/>
          <w:szCs w:val="15"/>
          <w:color w:val="auto"/>
        </w:rPr>
        <w:t>Only shareholders of record at the close of business on the record date, April 12, 2022, are entitled to vote at the Annual Meeting. As of April 12, 2022, 108,028,048 shares of common stock and 1,818,146 shares of Class A stock were issued and outstanding. The common stock and the Class A stock vote together on all matters as a single class, with the common stock being entitled to one vote per share and the Class A stock being entitled to ten votes per share. To vote your shares, you will need the 16-digit control number included on the Notice or, if you received a paper copy of the proxy materials, the proxy card or voting instruction form you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What is on the agenda for the meeting?</w:t>
      </w:r>
    </w:p>
    <w:p>
      <w:pPr>
        <w:spacing w:after="0" w:line="187" w:lineRule="exact"/>
        <w:rPr>
          <w:sz w:val="20"/>
          <w:szCs w:val="20"/>
          <w:color w:val="auto"/>
        </w:rPr>
      </w:pPr>
    </w:p>
    <w:p>
      <w:pPr>
        <w:ind w:left="340" w:hanging="333"/>
        <w:spacing w:after="0"/>
        <w:tabs>
          <w:tab w:leader="none" w:pos="340" w:val="left"/>
        </w:tabs>
        <w:numPr>
          <w:ilvl w:val="0"/>
          <w:numId w:val="192"/>
        </w:numPr>
        <w:rPr>
          <w:rFonts w:ascii="Arial" w:cs="Arial" w:eastAsia="Arial" w:hAnsi="Arial"/>
          <w:sz w:val="16"/>
          <w:szCs w:val="16"/>
          <w:b w:val="1"/>
          <w:bCs w:val="1"/>
          <w:color w:val="215BA8"/>
        </w:rPr>
      </w:pPr>
      <w:r>
        <w:rPr>
          <w:rFonts w:ascii="Arial" w:cs="Arial" w:eastAsia="Arial" w:hAnsi="Arial"/>
          <w:sz w:val="16"/>
          <w:szCs w:val="16"/>
          <w:color w:val="auto"/>
        </w:rPr>
        <w:t>Election of four Class I directors for a three-year term</w:t>
      </w:r>
    </w:p>
    <w:p>
      <w:pPr>
        <w:spacing w:after="0" w:line="167" w:lineRule="exact"/>
        <w:rPr>
          <w:sz w:val="20"/>
          <w:szCs w:val="20"/>
          <w:color w:val="auto"/>
        </w:rPr>
      </w:pPr>
    </w:p>
    <w:p>
      <w:pPr>
        <w:jc w:val="both"/>
        <w:ind w:left="340" w:right="640" w:hanging="333"/>
        <w:spacing w:after="0" w:line="234" w:lineRule="auto"/>
        <w:tabs>
          <w:tab w:leader="none" w:pos="340" w:val="left"/>
        </w:tabs>
        <w:numPr>
          <w:ilvl w:val="0"/>
          <w:numId w:val="193"/>
        </w:numPr>
        <w:rPr>
          <w:rFonts w:ascii="Arial" w:cs="Arial" w:eastAsia="Arial" w:hAnsi="Arial"/>
          <w:sz w:val="16"/>
          <w:szCs w:val="16"/>
          <w:b w:val="1"/>
          <w:bCs w:val="1"/>
          <w:color w:val="215BA8"/>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2022</w:t>
      </w:r>
    </w:p>
    <w:p>
      <w:pPr>
        <w:spacing w:after="0" w:line="164" w:lineRule="exact"/>
        <w:rPr>
          <w:sz w:val="20"/>
          <w:szCs w:val="20"/>
          <w:color w:val="auto"/>
        </w:rPr>
      </w:pPr>
    </w:p>
    <w:p>
      <w:pPr>
        <w:ind w:left="340" w:right="680" w:hanging="333"/>
        <w:spacing w:after="0" w:line="234" w:lineRule="auto"/>
        <w:tabs>
          <w:tab w:leader="none" w:pos="340" w:val="left"/>
        </w:tabs>
        <w:numPr>
          <w:ilvl w:val="0"/>
          <w:numId w:val="194"/>
        </w:numPr>
        <w:rPr>
          <w:rFonts w:ascii="Arial" w:cs="Arial" w:eastAsia="Arial" w:hAnsi="Arial"/>
          <w:sz w:val="16"/>
          <w:szCs w:val="16"/>
          <w:b w:val="1"/>
          <w:bCs w:val="1"/>
          <w:color w:val="215BA8"/>
        </w:rPr>
      </w:pPr>
      <w:r>
        <w:rPr>
          <w:rFonts w:ascii="Arial" w:cs="Arial" w:eastAsia="Arial" w:hAnsi="Arial"/>
          <w:sz w:val="16"/>
          <w:szCs w:val="16"/>
          <w:color w:val="auto"/>
        </w:rPr>
        <w:t>Advisory vote to approve the compensation of the Company’s Named Executive Officers as disclosed in these proxy materials (say-on-pay)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Can I ask a question at the Annual Meeting?</w:t>
      </w:r>
    </w:p>
    <w:p>
      <w:pPr>
        <w:spacing w:after="0" w:line="187" w:lineRule="exact"/>
        <w:rPr>
          <w:sz w:val="20"/>
          <w:szCs w:val="20"/>
          <w:color w:val="auto"/>
        </w:rPr>
      </w:pPr>
    </w:p>
    <w:p>
      <w:pPr>
        <w:ind w:right="580"/>
        <w:spacing w:after="0" w:line="230" w:lineRule="auto"/>
        <w:rPr>
          <w:sz w:val="20"/>
          <w:szCs w:val="20"/>
          <w:color w:val="auto"/>
        </w:rPr>
      </w:pPr>
      <w:r>
        <w:rPr>
          <w:rFonts w:ascii="Arial" w:cs="Arial" w:eastAsia="Arial" w:hAnsi="Arial"/>
          <w:sz w:val="16"/>
          <w:szCs w:val="16"/>
          <w:color w:val="auto"/>
        </w:rPr>
        <w:t xml:space="preserve">Shareholders who use the 16-digit control number that was furnished to them (either on the Notice or, if you received a paper copy of the proxy materials, the proxy card or voting instruction form you received) to log on to the meeting will be able to submit questions during the meeting, as time permits. If you wish to submit a question during the Annual Meeting, log on to the virtual meeting website using the 16-digit control number, type your question into the “Ask a Question” field, and click “Submit.” Questions and answers may be arranged by topic and substantially similar questions may be answered once. If we run out of time to answer all of the questions submitted, we will provide responses to the questions not addressed on our website at </w:t>
      </w:r>
      <w:r>
        <w:rPr>
          <w:rFonts w:ascii="Arial" w:cs="Arial" w:eastAsia="Arial" w:hAnsi="Arial"/>
          <w:sz w:val="16"/>
          <w:szCs w:val="16"/>
          <w:b w:val="1"/>
          <w:bCs w:val="1"/>
          <w:color w:val="auto"/>
        </w:rPr>
        <w:t>www.regeneron.com</w:t>
      </w:r>
      <w:r>
        <w:rPr>
          <w:rFonts w:ascii="Arial" w:cs="Arial" w:eastAsia="Arial" w:hAnsi="Arial"/>
          <w:sz w:val="16"/>
          <w:szCs w:val="16"/>
          <w:color w:val="auto"/>
        </w:rPr>
        <w:t xml:space="preserve"> on the “Investors &amp; Media” page.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Will the Annual Meeting be available for replay?</w:t>
      </w:r>
    </w:p>
    <w:p>
      <w:pPr>
        <w:spacing w:after="0" w:line="187" w:lineRule="exact"/>
        <w:rPr>
          <w:sz w:val="20"/>
          <w:szCs w:val="20"/>
          <w:color w:val="auto"/>
        </w:rPr>
      </w:pPr>
    </w:p>
    <w:p>
      <w:pPr>
        <w:ind w:right="760"/>
        <w:spacing w:after="0" w:line="232" w:lineRule="auto"/>
        <w:rPr>
          <w:sz w:val="20"/>
          <w:szCs w:val="20"/>
          <w:color w:val="auto"/>
        </w:rPr>
      </w:pPr>
      <w:r>
        <w:rPr>
          <w:rFonts w:ascii="Arial" w:cs="Arial" w:eastAsia="Arial" w:hAnsi="Arial"/>
          <w:sz w:val="16"/>
          <w:szCs w:val="16"/>
          <w:color w:val="auto"/>
        </w:rPr>
        <w:t xml:space="preserve">A replay of the Annual Meeting will be made publicly available approximately 24 hours after the Annual Meeting at </w:t>
      </w:r>
      <w:r>
        <w:rPr>
          <w:rFonts w:ascii="Arial" w:cs="Arial" w:eastAsia="Arial" w:hAnsi="Arial"/>
          <w:sz w:val="16"/>
          <w:szCs w:val="16"/>
          <w:b w:val="1"/>
          <w:bCs w:val="1"/>
          <w:color w:val="auto"/>
        </w:rPr>
        <w:t>www.virtualshareholdermeeting.com/REGN2022</w:t>
      </w:r>
      <w:r>
        <w:rPr>
          <w:rFonts w:ascii="Arial" w:cs="Arial" w:eastAsia="Arial" w:hAnsi="Arial"/>
          <w:sz w:val="16"/>
          <w:szCs w:val="16"/>
          <w:color w:val="auto"/>
        </w:rPr>
        <w:t>. The replay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available for one year.</w:t>
      </w:r>
    </w:p>
    <w:p>
      <w:pPr>
        <w:spacing w:after="0" w:line="123"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b w:val="1"/>
          <w:bCs w:val="1"/>
          <w:color w:val="215BA8"/>
        </w:rPr>
        <w:t>Why did I receive a notice in the mail regarding the Internet availability of proxy materials instead of a paper copy of the proxy materials?</w:t>
      </w:r>
    </w:p>
    <w:p>
      <w:pPr>
        <w:spacing w:after="0" w:line="145" w:lineRule="exact"/>
        <w:rPr>
          <w:sz w:val="20"/>
          <w:szCs w:val="20"/>
          <w:color w:val="auto"/>
        </w:rPr>
      </w:pPr>
    </w:p>
    <w:p>
      <w:pPr>
        <w:ind w:right="580"/>
        <w:spacing w:after="0" w:line="247" w:lineRule="auto"/>
        <w:rPr>
          <w:sz w:val="20"/>
          <w:szCs w:val="20"/>
          <w:color w:val="auto"/>
        </w:rPr>
      </w:pPr>
      <w:r>
        <w:rPr>
          <w:rFonts w:ascii="Arial" w:cs="Arial" w:eastAsia="Arial" w:hAnsi="Arial"/>
          <w:sz w:val="15"/>
          <w:szCs w:val="15"/>
          <w:color w:val="auto"/>
        </w:rPr>
        <w:t>The “Notice and Access” rules of the SEC permit us to furnish proxy materials, including this proxy statement and our 2021 Annual Report, to our shareholders by providing access to such documents on the Internet instead of mailing printed copies. Most shareholders received the Notice and will not receive printed copies of the proxy materials unless they request them. This method reduces the environmental impact of the Annual Meeting. The Notice will be mailed beginning 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101</w:t>
      </w:r>
    </w:p>
    <w:p>
      <w:pPr>
        <w:sectPr>
          <w:pgSz w:w="11900" w:h="16838" w:orient="portrait"/>
          <w:cols w:equalWidth="0" w:num="2">
            <w:col w:w="5440" w:space="380"/>
            <w:col w:w="5420"/>
          </w:cols>
          <w:pgMar w:left="320" w:top="873" w:right="339" w:bottom="1440" w:gutter="0" w:footer="0" w:header="0"/>
          <w:type w:val="continuous"/>
        </w:sectPr>
      </w:pPr>
    </w:p>
    <w:bookmarkStart w:id="116" w:name="page117"/>
    <w:bookmarkEnd w:id="116"/>
    <w:p>
      <w:pPr>
        <w:ind w:left="532"/>
        <w:spacing w:after="0"/>
        <w:rPr>
          <w:sz w:val="20"/>
          <w:szCs w:val="20"/>
          <w:color w:val="auto"/>
        </w:rPr>
      </w:pPr>
      <w:r>
        <w:rPr>
          <w:rFonts w:ascii="Arial" w:cs="Arial" w:eastAsia="Arial" w:hAnsi="Arial"/>
          <w:sz w:val="14"/>
          <w:szCs w:val="14"/>
          <w:b w:val="1"/>
          <w:bCs w:val="1"/>
          <w:color w:val="215BA8"/>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41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32"/>
        <w:spacing w:after="0" w:line="230" w:lineRule="auto"/>
        <w:rPr>
          <w:sz w:val="20"/>
          <w:szCs w:val="20"/>
          <w:color w:val="auto"/>
        </w:rPr>
      </w:pPr>
      <w:r>
        <w:rPr>
          <w:rFonts w:ascii="Arial" w:cs="Arial" w:eastAsia="Arial" w:hAnsi="Arial"/>
          <w:sz w:val="16"/>
          <w:szCs w:val="16"/>
          <w:color w:val="auto"/>
        </w:rPr>
        <w:t>or about April 21, 2022. The Notice includes instructions on how you may access and review all of our proxy materials and the 2021 Annual Report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26" w:lineRule="exact"/>
        <w:rPr>
          <w:sz w:val="20"/>
          <w:szCs w:val="20"/>
          <w:color w:val="auto"/>
        </w:rPr>
      </w:pPr>
    </w:p>
    <w:p>
      <w:pPr>
        <w:ind w:left="532" w:right="420"/>
        <w:spacing w:after="0" w:line="271" w:lineRule="auto"/>
        <w:rPr>
          <w:sz w:val="20"/>
          <w:szCs w:val="20"/>
          <w:color w:val="auto"/>
        </w:rPr>
      </w:pPr>
      <w:r>
        <w:rPr>
          <w:rFonts w:ascii="Arial" w:cs="Arial" w:eastAsia="Arial" w:hAnsi="Arial"/>
          <w:sz w:val="18"/>
          <w:szCs w:val="18"/>
          <w:b w:val="1"/>
          <w:bCs w:val="1"/>
          <w:color w:val="215BA8"/>
        </w:rPr>
        <w:t>Can I vote my shares by filling out and returning the Notice?</w:t>
      </w:r>
    </w:p>
    <w:p>
      <w:pPr>
        <w:spacing w:after="0" w:line="129" w:lineRule="exact"/>
        <w:rPr>
          <w:sz w:val="20"/>
          <w:szCs w:val="20"/>
          <w:color w:val="auto"/>
        </w:rPr>
      </w:pPr>
    </w:p>
    <w:p>
      <w:pPr>
        <w:ind w:left="532" w:right="180"/>
        <w:spacing w:after="0" w:line="232" w:lineRule="auto"/>
        <w:rPr>
          <w:sz w:val="20"/>
          <w:szCs w:val="20"/>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by Internet, by requesting and returning a paper proxy card, or by voting at the meeting.</w:t>
      </w:r>
    </w:p>
    <w:p>
      <w:pPr>
        <w:spacing w:after="0" w:line="121" w:lineRule="exact"/>
        <w:rPr>
          <w:sz w:val="20"/>
          <w:szCs w:val="20"/>
          <w:color w:val="auto"/>
        </w:rPr>
      </w:pPr>
    </w:p>
    <w:p>
      <w:pPr>
        <w:ind w:left="532"/>
        <w:spacing w:after="0"/>
        <w:rPr>
          <w:sz w:val="20"/>
          <w:szCs w:val="20"/>
          <w:color w:val="auto"/>
        </w:rPr>
      </w:pPr>
      <w:r>
        <w:rPr>
          <w:rFonts w:ascii="Arial" w:cs="Arial" w:eastAsia="Arial" w:hAnsi="Arial"/>
          <w:sz w:val="18"/>
          <w:szCs w:val="18"/>
          <w:b w:val="1"/>
          <w:bCs w:val="1"/>
          <w:color w:val="215BA8"/>
        </w:rPr>
        <w:t>Why did I receive the Notice?</w:t>
      </w:r>
    </w:p>
    <w:p>
      <w:pPr>
        <w:spacing w:after="0" w:line="187" w:lineRule="exact"/>
        <w:rPr>
          <w:sz w:val="20"/>
          <w:szCs w:val="20"/>
          <w:color w:val="auto"/>
        </w:rPr>
      </w:pPr>
    </w:p>
    <w:p>
      <w:pPr>
        <w:ind w:left="532" w:right="100"/>
        <w:spacing w:after="0" w:line="232" w:lineRule="auto"/>
        <w:rPr>
          <w:sz w:val="20"/>
          <w:szCs w:val="20"/>
          <w:color w:val="auto"/>
        </w:rPr>
      </w:pPr>
      <w:r>
        <w:rPr>
          <w:rFonts w:ascii="Arial" w:cs="Arial" w:eastAsia="Arial" w:hAnsi="Arial"/>
          <w:sz w:val="16"/>
          <w:szCs w:val="16"/>
          <w:color w:val="auto"/>
        </w:rPr>
        <w:t>We sent you the Notice regarding this proxy statement because Regeneron’s board of directors is asking (technically called soliciting) holders of common stock and Class A stock to provide proxies to be voted at our 2022 Annual Meeting of Shareholders or at any adjournment(s) or postponement(s) of the meeting.</w:t>
      </w:r>
    </w:p>
    <w:p>
      <w:pPr>
        <w:spacing w:after="0" w:line="121" w:lineRule="exact"/>
        <w:rPr>
          <w:sz w:val="20"/>
          <w:szCs w:val="20"/>
          <w:color w:val="auto"/>
        </w:rPr>
      </w:pPr>
    </w:p>
    <w:p>
      <w:pPr>
        <w:ind w:left="532"/>
        <w:spacing w:after="0"/>
        <w:rPr>
          <w:sz w:val="20"/>
          <w:szCs w:val="20"/>
          <w:color w:val="auto"/>
        </w:rPr>
      </w:pPr>
      <w:r>
        <w:rPr>
          <w:rFonts w:ascii="Arial" w:cs="Arial" w:eastAsia="Arial" w:hAnsi="Arial"/>
          <w:sz w:val="18"/>
          <w:szCs w:val="18"/>
          <w:b w:val="1"/>
          <w:bCs w:val="1"/>
          <w:color w:val="215BA8"/>
        </w:rPr>
        <w:t>How are proxies voted?</w:t>
      </w:r>
    </w:p>
    <w:p>
      <w:pPr>
        <w:spacing w:after="0" w:line="187" w:lineRule="exact"/>
        <w:rPr>
          <w:sz w:val="20"/>
          <w:szCs w:val="20"/>
          <w:color w:val="auto"/>
        </w:rPr>
      </w:pPr>
    </w:p>
    <w:p>
      <w:pPr>
        <w:ind w:left="532" w:right="40"/>
        <w:spacing w:after="0" w:line="230" w:lineRule="auto"/>
        <w:rPr>
          <w:sz w:val="20"/>
          <w:szCs w:val="20"/>
          <w:color w:val="auto"/>
        </w:rPr>
      </w:pPr>
      <w:r>
        <w:rPr>
          <w:rFonts w:ascii="Arial" w:cs="Arial" w:eastAsia="Arial" w:hAnsi="Arial"/>
          <w:sz w:val="16"/>
          <w:szCs w:val="16"/>
          <w:color w:val="auto"/>
        </w:rPr>
        <w:t>If you vote by proxy in time for it to be voted at the Annual Meeting, one of the individuals named as your proxy will vote your shares as you have directed. If you submit a proxy, but no indication is given as to how to vote your shares as to a proposal, your shares will be voted in the manner recommended by the board of directors. The board of directors knows of no matter, other than those indicated above under “What is on the agenda for the meeting?”, to be presented at the Annual Meeting. If any other matter properly comes before the Annual Meeting, the persons named and designated as proxies will vote your shares in their discretion.</w:t>
      </w:r>
    </w:p>
    <w:p>
      <w:pPr>
        <w:spacing w:after="0" w:line="124" w:lineRule="exact"/>
        <w:rPr>
          <w:sz w:val="20"/>
          <w:szCs w:val="20"/>
          <w:color w:val="auto"/>
        </w:rPr>
      </w:pPr>
    </w:p>
    <w:p>
      <w:pPr>
        <w:ind w:left="532" w:right="660"/>
        <w:spacing w:after="0" w:line="271" w:lineRule="auto"/>
        <w:rPr>
          <w:sz w:val="20"/>
          <w:szCs w:val="20"/>
          <w:color w:val="auto"/>
        </w:rPr>
      </w:pPr>
      <w:r>
        <w:rPr>
          <w:rFonts w:ascii="Arial" w:cs="Arial" w:eastAsia="Arial" w:hAnsi="Arial"/>
          <w:sz w:val="18"/>
          <w:szCs w:val="18"/>
          <w:b w:val="1"/>
          <w:bCs w:val="1"/>
          <w:color w:val="215BA8"/>
        </w:rPr>
        <w:t>Why didn’t I receive a notice in the mail about the Internet availability of the proxy materials?</w:t>
      </w:r>
    </w:p>
    <w:p>
      <w:pPr>
        <w:spacing w:after="0" w:line="129" w:lineRule="exact"/>
        <w:rPr>
          <w:sz w:val="20"/>
          <w:szCs w:val="20"/>
          <w:color w:val="auto"/>
        </w:rPr>
      </w:pPr>
    </w:p>
    <w:p>
      <w:pPr>
        <w:ind w:left="532" w:right="40"/>
        <w:spacing w:after="0" w:line="230" w:lineRule="auto"/>
        <w:rPr>
          <w:sz w:val="20"/>
          <w:szCs w:val="20"/>
          <w:color w:val="auto"/>
        </w:rPr>
      </w:pPr>
      <w:r>
        <w:rPr>
          <w:rFonts w:ascii="Arial" w:cs="Arial" w:eastAsia="Arial" w:hAnsi="Arial"/>
          <w:sz w:val="16"/>
          <w:szCs w:val="16"/>
          <w:color w:val="auto"/>
        </w:rPr>
        <w:t>Shareholders who previously elected to receive proxy materials by e-mail will not receive a notice in the mail about the Internet availability of the proxy materials. Instead, these shareholders should have received an e-mail with links to the proxy materials and the proxy voting website. Shareholders who have previously asked to receive paper copies of the proxy materials and shareholders who participate and hold shares of common stock in the Regeneron Pharmaceuticals, Inc.</w:t>
      </w:r>
    </w:p>
    <w:p>
      <w:pPr>
        <w:spacing w:after="0" w:line="176" w:lineRule="exact"/>
        <w:rPr>
          <w:sz w:val="20"/>
          <w:szCs w:val="20"/>
          <w:color w:val="auto"/>
        </w:rPr>
      </w:pPr>
    </w:p>
    <w:p>
      <w:pPr>
        <w:ind w:left="312" w:hanging="312"/>
        <w:spacing w:after="0"/>
        <w:tabs>
          <w:tab w:leader="none" w:pos="312" w:val="left"/>
        </w:tabs>
        <w:numPr>
          <w:ilvl w:val="0"/>
          <w:numId w:val="195"/>
        </w:numPr>
        <w:rPr>
          <w:rFonts w:ascii="Arial" w:cs="Arial" w:eastAsia="Arial" w:hAnsi="Arial"/>
          <w:sz w:val="14"/>
          <w:szCs w:val="14"/>
          <w:b w:val="1"/>
          <w:bCs w:val="1"/>
          <w:color w:val="auto"/>
        </w:rPr>
      </w:pPr>
      <w:r>
        <w:rPr>
          <w:rFonts w:ascii="Arial" w:cs="Arial" w:eastAsia="Arial" w:hAnsi="Arial"/>
          <w:sz w:val="14"/>
          <w:szCs w:val="14"/>
          <w:b w:val="1"/>
          <w:bCs w:val="1"/>
          <w:color w:val="00ADEE"/>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right="860"/>
        <w:spacing w:after="0" w:line="265" w:lineRule="auto"/>
        <w:rPr>
          <w:sz w:val="20"/>
          <w:szCs w:val="20"/>
          <w:color w:val="auto"/>
        </w:rPr>
      </w:pPr>
      <w:r>
        <w:rPr>
          <w:rFonts w:ascii="Arial" w:cs="Arial" w:eastAsia="Arial" w:hAnsi="Arial"/>
          <w:sz w:val="15"/>
          <w:szCs w:val="15"/>
          <w:color w:val="auto"/>
        </w:rPr>
        <w:t>401(k) Savings Plan or the Regeneron Ireland Share Participation Plan will receive paper copies of the proxy materials.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What constitutes a quorum?</w:t>
      </w:r>
    </w:p>
    <w:p>
      <w:pPr>
        <w:spacing w:after="0" w:line="187" w:lineRule="exact"/>
        <w:rPr>
          <w:sz w:val="20"/>
          <w:szCs w:val="20"/>
          <w:color w:val="auto"/>
        </w:rPr>
      </w:pPr>
    </w:p>
    <w:p>
      <w:pPr>
        <w:ind w:right="620"/>
        <w:spacing w:after="0" w:line="246" w:lineRule="auto"/>
        <w:rPr>
          <w:sz w:val="20"/>
          <w:szCs w:val="20"/>
          <w:color w:val="auto"/>
        </w:rPr>
      </w:pPr>
      <w:r>
        <w:rPr>
          <w:rFonts w:ascii="Arial" w:cs="Arial" w:eastAsia="Arial" w:hAnsi="Arial"/>
          <w:sz w:val="15"/>
          <w:szCs w:val="15"/>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11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215BA8"/>
        </w:rPr>
        <w:t>How can I vote my shares without attending the Annual Meeting?</w:t>
      </w:r>
    </w:p>
    <w:p>
      <w:pPr>
        <w:spacing w:after="0" w:line="129" w:lineRule="exact"/>
        <w:rPr>
          <w:sz w:val="20"/>
          <w:szCs w:val="20"/>
          <w:color w:val="auto"/>
        </w:rPr>
      </w:pPr>
    </w:p>
    <w:p>
      <w:pPr>
        <w:ind w:right="600"/>
        <w:spacing w:after="0" w:line="234" w:lineRule="auto"/>
        <w:rPr>
          <w:sz w:val="20"/>
          <w:szCs w:val="20"/>
          <w:color w:val="auto"/>
        </w:rPr>
      </w:pPr>
      <w:r>
        <w:rPr>
          <w:rFonts w:ascii="Arial" w:cs="Arial" w:eastAsia="Arial" w:hAnsi="Arial"/>
          <w:sz w:val="16"/>
          <w:szCs w:val="16"/>
          <w:color w:val="auto"/>
        </w:rPr>
        <w:t>We recommend that shareholders vote by proxy even if they plan to attend the Annual Meeting via the Internet. If you are a shareholder of record, there are three ways to vote by proxy:</w:t>
      </w:r>
    </w:p>
    <w:p>
      <w:pPr>
        <w:spacing w:after="0" w:line="144" w:lineRule="exact"/>
        <w:rPr>
          <w:sz w:val="20"/>
          <w:szCs w:val="20"/>
          <w:color w:val="auto"/>
        </w:rPr>
      </w:pPr>
    </w:p>
    <w:p>
      <w:pPr>
        <w:ind w:right="660"/>
        <w:spacing w:after="0" w:line="235" w:lineRule="auto"/>
        <w:rPr>
          <w:sz w:val="20"/>
          <w:szCs w:val="20"/>
          <w:color w:val="auto"/>
        </w:rPr>
      </w:pPr>
      <w:r>
        <w:rPr>
          <w:rFonts w:ascii="Arial" w:cs="Arial" w:eastAsia="Arial" w:hAnsi="Arial"/>
          <w:sz w:val="16"/>
          <w:szCs w:val="16"/>
          <w:b w:val="1"/>
          <w:bCs w:val="1"/>
          <w:color w:val="auto"/>
        </w:rPr>
        <w:t xml:space="preserve">Via the Internet. </w:t>
      </w:r>
      <w:r>
        <w:rPr>
          <w:rFonts w:ascii="Arial" w:cs="Arial" w:eastAsia="Arial" w:hAnsi="Arial"/>
          <w:sz w:val="16"/>
          <w:szCs w:val="16"/>
          <w:color w:val="auto"/>
        </w:rPr>
        <w:t>You may vote by proxy via the Internet by visiting</w:t>
      </w:r>
      <w:r>
        <w:rPr>
          <w:rFonts w:ascii="Arial" w:cs="Arial" w:eastAsia="Arial" w:hAnsi="Arial"/>
          <w:sz w:val="16"/>
          <w:szCs w:val="16"/>
          <w:b w:val="1"/>
          <w:bCs w:val="1"/>
          <w:color w:val="auto"/>
        </w:rPr>
        <w:t xml:space="preserve"> www.proxyvote.com</w:t>
      </w:r>
      <w:r>
        <w:rPr>
          <w:rFonts w:ascii="Arial" w:cs="Arial" w:eastAsia="Arial" w:hAnsi="Arial"/>
          <w:sz w:val="16"/>
          <w:szCs w:val="16"/>
          <w:color w:val="auto"/>
        </w:rPr>
        <w:t>. You will need the 16-digit control number</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on the Notice or, if you received a paper copy of the proxy materials, the proxy card or voting instruction form you received. You may vote via the Internet through 11:59 p.m., Eastern Time, on June 9, 2022.</w:t>
      </w:r>
    </w:p>
    <w:p>
      <w:pPr>
        <w:spacing w:after="0" w:line="134" w:lineRule="exact"/>
        <w:rPr>
          <w:sz w:val="20"/>
          <w:szCs w:val="20"/>
          <w:color w:val="auto"/>
        </w:rPr>
      </w:pPr>
    </w:p>
    <w:p>
      <w:pPr>
        <w:ind w:right="560"/>
        <w:spacing w:after="0" w:line="237" w:lineRule="auto"/>
        <w:rPr>
          <w:sz w:val="20"/>
          <w:szCs w:val="20"/>
          <w:color w:val="auto"/>
        </w:rPr>
      </w:pPr>
      <w:r>
        <w:rPr>
          <w:rFonts w:ascii="Arial" w:cs="Arial" w:eastAsia="Arial" w:hAnsi="Arial"/>
          <w:sz w:val="16"/>
          <w:szCs w:val="16"/>
          <w:b w:val="1"/>
          <w:bCs w:val="1"/>
          <w:color w:val="auto"/>
        </w:rPr>
        <w:t xml:space="preserve">Via telephone. </w:t>
      </w:r>
      <w:r>
        <w:rPr>
          <w:rFonts w:ascii="Arial" w:cs="Arial" w:eastAsia="Arial" w:hAnsi="Arial"/>
          <w:sz w:val="16"/>
          <w:szCs w:val="16"/>
          <w:color w:val="auto"/>
        </w:rPr>
        <w:t>You may vote by proxy via telephone by calling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toll-free number found on the proxy card or the voting instruction form. You will need the 16-digit control number included on the proxy card or voting instruction form. You may vote via telephone through 11:59 p.m., Eastern Time, on June 9, 2022.</w:t>
      </w:r>
    </w:p>
    <w:p>
      <w:pPr>
        <w:spacing w:after="0" w:line="131" w:lineRule="exact"/>
        <w:rPr>
          <w:sz w:val="20"/>
          <w:szCs w:val="20"/>
          <w:color w:val="auto"/>
        </w:rPr>
      </w:pPr>
    </w:p>
    <w:p>
      <w:pPr>
        <w:ind w:right="700"/>
        <w:spacing w:after="0" w:line="244" w:lineRule="auto"/>
        <w:rPr>
          <w:sz w:val="20"/>
          <w:szCs w:val="20"/>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If you received printed copies of the proxy materials, you</w:t>
      </w:r>
      <w:r>
        <w:rPr>
          <w:rFonts w:ascii="Arial" w:cs="Arial" w:eastAsia="Arial" w:hAnsi="Arial"/>
          <w:sz w:val="16"/>
          <w:szCs w:val="16"/>
          <w:b w:val="1"/>
          <w:bCs w:val="1"/>
          <w:color w:val="auto"/>
        </w:rPr>
        <w:t xml:space="preserve"> </w:t>
      </w:r>
      <w:r>
        <w:rPr>
          <w:rFonts w:ascii="Arial" w:cs="Arial" w:eastAsia="Arial" w:hAnsi="Arial"/>
          <w:sz w:val="16"/>
          <w:szCs w:val="16"/>
          <w:color w:val="auto"/>
        </w:rPr>
        <w:t>may vote by proxy by completing the proxy card or voting instruction form and returning it in the envelope provided.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How can I attend and vote at the Annual Meeting?</w:t>
      </w:r>
    </w:p>
    <w:p>
      <w:pPr>
        <w:spacing w:after="0" w:line="187" w:lineRule="exact"/>
        <w:rPr>
          <w:sz w:val="20"/>
          <w:szCs w:val="20"/>
          <w:color w:val="auto"/>
        </w:rPr>
      </w:pPr>
    </w:p>
    <w:p>
      <w:pPr>
        <w:ind w:right="560"/>
        <w:spacing w:after="0" w:line="232" w:lineRule="auto"/>
        <w:rPr>
          <w:sz w:val="20"/>
          <w:szCs w:val="20"/>
          <w:color w:val="auto"/>
        </w:rPr>
      </w:pPr>
      <w:r>
        <w:rPr>
          <w:rFonts w:ascii="Arial" w:cs="Arial" w:eastAsia="Arial" w:hAnsi="Arial"/>
          <w:sz w:val="16"/>
          <w:szCs w:val="16"/>
          <w:color w:val="auto"/>
        </w:rPr>
        <w:t xml:space="preserve">You may attend the Annual Meeting via the Internet at </w:t>
      </w:r>
      <w:r>
        <w:rPr>
          <w:rFonts w:ascii="Arial" w:cs="Arial" w:eastAsia="Arial" w:hAnsi="Arial"/>
          <w:sz w:val="16"/>
          <w:szCs w:val="16"/>
          <w:b w:val="1"/>
          <w:bCs w:val="1"/>
          <w:color w:val="auto"/>
        </w:rPr>
        <w:t>www.virtualshareholdermeeting.com/REGN2022</w:t>
      </w:r>
      <w:r>
        <w:rPr>
          <w:rFonts w:ascii="Arial" w:cs="Arial" w:eastAsia="Arial" w:hAnsi="Arial"/>
          <w:sz w:val="16"/>
          <w:szCs w:val="16"/>
          <w:color w:val="auto"/>
        </w:rPr>
        <w:t>.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who use the 16-digit control number that was furnished to them (either on the Notice or, if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146050</wp:posOffset>
            </wp:positionV>
            <wp:extent cx="713232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5412" w:space="400"/>
            <w:col w:w="5420"/>
          </w:cols>
          <w:pgMar w:left="328" w:top="410" w:right="339" w:bottom="1440" w:gutter="0" w:footer="0" w:header="0"/>
          <w:type w:val="continuous"/>
        </w:sectPr>
      </w:pPr>
    </w:p>
    <w:bookmarkStart w:id="117" w:name="page118"/>
    <w:bookmarkEnd w:id="117"/>
    <w:p>
      <w:pPr>
        <w:ind w:left="7380"/>
        <w:spacing w:after="0"/>
        <w:rPr>
          <w:sz w:val="20"/>
          <w:szCs w:val="20"/>
          <w:color w:val="auto"/>
        </w:rPr>
      </w:pPr>
      <w:r>
        <w:rPr>
          <w:rFonts w:ascii="Arial" w:cs="Arial" w:eastAsia="Arial" w:hAnsi="Arial"/>
          <w:sz w:val="14"/>
          <w:szCs w:val="14"/>
          <w:b w:val="1"/>
          <w:bCs w:val="1"/>
          <w:color w:val="215BA8"/>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both"/>
        <w:ind w:left="540" w:right="80"/>
        <w:spacing w:after="0" w:line="234" w:lineRule="auto"/>
        <w:rPr>
          <w:sz w:val="20"/>
          <w:szCs w:val="20"/>
          <w:color w:val="auto"/>
        </w:rPr>
      </w:pPr>
      <w:r>
        <w:rPr>
          <w:rFonts w:ascii="Arial" w:cs="Arial" w:eastAsia="Arial" w:hAnsi="Arial"/>
          <w:sz w:val="16"/>
          <w:szCs w:val="16"/>
          <w:color w:val="auto"/>
        </w:rPr>
        <w:t>received a paper copy of the proxy materials, the proxy card or voting instruction form you received) to log on to the meeting will be able to vote during the meeting.</w:t>
      </w:r>
    </w:p>
    <w:p>
      <w:pPr>
        <w:spacing w:after="0" w:line="121" w:lineRule="exact"/>
        <w:rPr>
          <w:sz w:val="20"/>
          <w:szCs w:val="20"/>
          <w:color w:val="auto"/>
        </w:rPr>
      </w:pPr>
    </w:p>
    <w:p>
      <w:pPr>
        <w:jc w:val="both"/>
        <w:ind w:left="540" w:right="540"/>
        <w:spacing w:after="0" w:line="253" w:lineRule="auto"/>
        <w:rPr>
          <w:sz w:val="20"/>
          <w:szCs w:val="20"/>
          <w:color w:val="auto"/>
        </w:rPr>
      </w:pPr>
      <w:r>
        <w:rPr>
          <w:rFonts w:ascii="Arial" w:cs="Arial" w:eastAsia="Arial" w:hAnsi="Arial"/>
          <w:sz w:val="18"/>
          <w:szCs w:val="18"/>
          <w:b w:val="1"/>
          <w:bCs w:val="1"/>
          <w:color w:val="215BA8"/>
        </w:rPr>
        <w:t>What if during the Annual Meeting I have technical difficulties or trouble accessing the virtual meeting website?</w:t>
      </w:r>
    </w:p>
    <w:p>
      <w:pPr>
        <w:spacing w:after="0" w:line="145" w:lineRule="exact"/>
        <w:rPr>
          <w:sz w:val="20"/>
          <w:szCs w:val="20"/>
          <w:color w:val="auto"/>
        </w:rPr>
      </w:pPr>
    </w:p>
    <w:p>
      <w:pPr>
        <w:ind w:left="540" w:right="60"/>
        <w:spacing w:after="0" w:line="249" w:lineRule="auto"/>
        <w:rPr>
          <w:sz w:val="20"/>
          <w:szCs w:val="20"/>
          <w:color w:val="auto"/>
        </w:rPr>
      </w:pPr>
      <w:r>
        <w:rPr>
          <w:rFonts w:ascii="Arial" w:cs="Arial" w:eastAsia="Arial" w:hAnsi="Arial"/>
          <w:sz w:val="15"/>
          <w:szCs w:val="15"/>
          <w:color w:val="auto"/>
        </w:rPr>
        <w:t xml:space="preserve">We will have technicians ready to assist you with any technical difficulties you may have accessing the virtual meeting website. If you encounter any difficulties accessing the virtual meeting website during the meeting time, please call the technical support number that will be posted at </w:t>
      </w:r>
      <w:r>
        <w:rPr>
          <w:rFonts w:ascii="Arial" w:cs="Arial" w:eastAsia="Arial" w:hAnsi="Arial"/>
          <w:sz w:val="15"/>
          <w:szCs w:val="15"/>
          <w:b w:val="1"/>
          <w:bCs w:val="1"/>
          <w:color w:val="auto"/>
        </w:rPr>
        <w:t>www.virtualshareholdermeeting.com/REGN2022</w:t>
      </w:r>
      <w:r>
        <w:rPr>
          <w:rFonts w:ascii="Arial" w:cs="Arial" w:eastAsia="Arial" w:hAnsi="Arial"/>
          <w:sz w:val="15"/>
          <w:szCs w:val="15"/>
          <w:color w:val="auto"/>
        </w:rPr>
        <w:t>.</w:t>
      </w:r>
    </w:p>
    <w:p>
      <w:pPr>
        <w:spacing w:after="0" w:line="115" w:lineRule="exact"/>
        <w:rPr>
          <w:sz w:val="20"/>
          <w:szCs w:val="20"/>
          <w:color w:val="auto"/>
        </w:rPr>
      </w:pPr>
    </w:p>
    <w:p>
      <w:pPr>
        <w:ind w:left="540" w:right="160"/>
        <w:spacing w:after="0" w:line="247" w:lineRule="auto"/>
        <w:rPr>
          <w:sz w:val="20"/>
          <w:szCs w:val="20"/>
          <w:color w:val="auto"/>
        </w:rPr>
      </w:pPr>
      <w:r>
        <w:rPr>
          <w:rFonts w:ascii="Arial" w:cs="Arial" w:eastAsia="Arial" w:hAnsi="Arial"/>
          <w:sz w:val="18"/>
          <w:szCs w:val="18"/>
          <w:b w:val="1"/>
          <w:bCs w:val="1"/>
          <w:color w:val="215BA8"/>
        </w:rPr>
        <w:t>If I am a Regeneron employee or former employee, how do I vote shares in the Company Stock Fund in my 401(k) account or in the Regeneron Ireland Share Participation Plan?</w:t>
      </w:r>
    </w:p>
    <w:p>
      <w:pPr>
        <w:spacing w:after="0" w:line="150" w:lineRule="exact"/>
        <w:rPr>
          <w:sz w:val="20"/>
          <w:szCs w:val="20"/>
          <w:color w:val="auto"/>
        </w:rPr>
      </w:pPr>
    </w:p>
    <w:p>
      <w:pPr>
        <w:ind w:left="540" w:right="20"/>
        <w:spacing w:after="0" w:line="246" w:lineRule="auto"/>
        <w:rPr>
          <w:sz w:val="20"/>
          <w:szCs w:val="20"/>
          <w:color w:val="auto"/>
        </w:rPr>
      </w:pPr>
      <w:r>
        <w:rPr>
          <w:rFonts w:ascii="Arial" w:cs="Arial" w:eastAsia="Arial" w:hAnsi="Arial"/>
          <w:sz w:val="15"/>
          <w:szCs w:val="15"/>
          <w:color w:val="auto"/>
        </w:rPr>
        <w:t xml:space="preserve">If you participate and hold shares of common stock in the Regeneron Pharmaceuticals, Inc. 401(k) Savings Plan, you may provide voting instructions to Fidelity Management Trust Company, the plan’s trustee, (1) through the Internet at </w:t>
      </w:r>
      <w:r>
        <w:rPr>
          <w:rFonts w:ascii="Arial" w:cs="Arial" w:eastAsia="Arial" w:hAnsi="Arial"/>
          <w:sz w:val="15"/>
          <w:szCs w:val="15"/>
          <w:b w:val="1"/>
          <w:bCs w:val="1"/>
          <w:color w:val="auto"/>
        </w:rPr>
        <w:t>www.proxyvote.com</w:t>
      </w:r>
      <w:r>
        <w:rPr>
          <w:rFonts w:ascii="Arial" w:cs="Arial" w:eastAsia="Arial" w:hAnsi="Arial"/>
          <w:sz w:val="15"/>
          <w:szCs w:val="15"/>
          <w:color w:val="auto"/>
        </w:rPr>
        <w:t xml:space="preserve"> by 11:59 p.m., Eastern Time, on June 7, 2022, (2) by calling 1-800-690-6903 by 11:59 p.m., Eastern Time, on June 7, 2022,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148" w:lineRule="exact"/>
        <w:rPr>
          <w:sz w:val="20"/>
          <w:szCs w:val="20"/>
          <w:color w:val="auto"/>
        </w:rPr>
      </w:pPr>
    </w:p>
    <w:p>
      <w:pPr>
        <w:ind w:left="540" w:right="120"/>
        <w:spacing w:after="0" w:line="247" w:lineRule="auto"/>
        <w:rPr>
          <w:sz w:val="20"/>
          <w:szCs w:val="20"/>
          <w:color w:val="auto"/>
        </w:rPr>
      </w:pPr>
      <w:r>
        <w:rPr>
          <w:rFonts w:ascii="Arial" w:cs="Arial" w:eastAsia="Arial" w:hAnsi="Arial"/>
          <w:sz w:val="15"/>
          <w:szCs w:val="15"/>
          <w:color w:val="auto"/>
        </w:rPr>
        <w:t>If you participate and hold shares of common stock in the Regeneron Ireland Share Participation Plan, you may provide voting instructions to Mercer Ireland Limited, who administers the Plan on behalf of Irish Pensions Trust Limited, the trustees of the Plan. You will receive a voting instruction form by mail sent directly to your home address, which you should complete, sign, and return to Mercer by mail using the enclosed pre-paid envelope or as an e-mail attachment in accordance with the instructions provided by Mercer.</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Can I change my vote or revoke my proxy?</w:t>
      </w:r>
    </w:p>
    <w:p>
      <w:pPr>
        <w:spacing w:after="0" w:line="187" w:lineRule="exact"/>
        <w:rPr>
          <w:sz w:val="20"/>
          <w:szCs w:val="20"/>
          <w:color w:val="auto"/>
        </w:rPr>
      </w:pPr>
    </w:p>
    <w:p>
      <w:pPr>
        <w:ind w:left="540" w:right="40"/>
        <w:spacing w:after="0" w:line="231" w:lineRule="auto"/>
        <w:rPr>
          <w:sz w:val="20"/>
          <w:szCs w:val="20"/>
          <w:color w:val="auto"/>
        </w:rPr>
      </w:pPr>
      <w:r>
        <w:rPr>
          <w:rFonts w:ascii="Arial" w:cs="Arial" w:eastAsia="Arial" w:hAnsi="Arial"/>
          <w:sz w:val="16"/>
          <w:szCs w:val="16"/>
          <w:color w:val="auto"/>
        </w:rPr>
        <w:t>Yes. You may change your vote or revoke your proxy at any time before the proxy is exercised by voting again electronically through the Internet or by telephone, by mailing a new proxy card or voting instruction form, or by attending the Annual Meeting (via the Internet) and voting. If you are a record holder, you may also revoke your proxy by filing with the Secretary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ind w:right="560"/>
        <w:spacing w:after="0" w:line="230" w:lineRule="auto"/>
        <w:rPr>
          <w:sz w:val="20"/>
          <w:szCs w:val="20"/>
          <w:color w:val="auto"/>
        </w:rPr>
      </w:pPr>
      <w:r>
        <w:rPr>
          <w:rFonts w:ascii="Arial" w:cs="Arial" w:eastAsia="Arial" w:hAnsi="Arial"/>
          <w:sz w:val="16"/>
          <w:szCs w:val="16"/>
          <w:color w:val="auto"/>
        </w:rPr>
        <w:t>at or before the taking of the vote at the Annual Meeting, a written notice of revocation bearing a later date than the proxy you previously submitted. Attendance at the Annual Meeting will not have the effect of revoking a proxy unless you are a record holder and give written notice of revocation to the Secretary of the Company before the proxy is exercised or you vote at the Annual Meeting. If you hold your shares through a broker, bank, or other nominee in “street name,” you will need to contact them or follow the instructions in the voting instruction form used by the firm that holds your shares to revoke your proxy. Only your latest dated proxy we receive at or prior to the Annual Meeting will be counted.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Who solicits proxies and bears the cost of solicitation?</w:t>
      </w:r>
    </w:p>
    <w:p>
      <w:pPr>
        <w:spacing w:after="0" w:line="187" w:lineRule="exact"/>
        <w:rPr>
          <w:sz w:val="20"/>
          <w:szCs w:val="20"/>
          <w:color w:val="auto"/>
        </w:rPr>
      </w:pPr>
    </w:p>
    <w:p>
      <w:pPr>
        <w:ind w:right="540"/>
        <w:spacing w:after="0" w:line="230" w:lineRule="auto"/>
        <w:rPr>
          <w:sz w:val="20"/>
          <w:szCs w:val="20"/>
          <w:color w:val="auto"/>
        </w:rPr>
      </w:pPr>
      <w:r>
        <w:rPr>
          <w:rFonts w:ascii="Arial" w:cs="Arial" w:eastAsia="Arial" w:hAnsi="Arial"/>
          <w:sz w:val="16"/>
          <w:szCs w:val="16"/>
          <w:color w:val="auto"/>
        </w:rPr>
        <w:t>Solicitation of proxies may be made by mail, in person, or by telephone by officers, directors, and other employees of the Company and by employees of the Company’s transfer agent, American Stock 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Innisfree M&amp;A Incorporated to assist in the solicitation of proxies and provide related advice and informational support for a service fee of $25,000 and the reimbursement of customary disbursements and expenses. We will bear all costs of the solicitation of proxies.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15BA8"/>
        </w:rPr>
        <w:t>What are the board’s recommendations?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385445" cy="3854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5445" cy="385445"/>
                    </a:xfrm>
                    <a:prstGeom prst="rect">
                      <a:avLst/>
                    </a:prstGeom>
                    <a:noFill/>
                  </pic:spPr>
                </pic:pic>
              </a:graphicData>
            </a:graphic>
          </wp:anchor>
        </w:drawing>
      </w:r>
    </w:p>
    <w:p>
      <w:pPr>
        <w:spacing w:after="0" w:line="249" w:lineRule="exact"/>
        <w:rPr>
          <w:sz w:val="20"/>
          <w:szCs w:val="20"/>
          <w:color w:val="auto"/>
        </w:rPr>
      </w:pPr>
    </w:p>
    <w:p>
      <w:pPr>
        <w:ind w:left="840" w:right="1060"/>
        <w:spacing w:after="0" w:line="259" w:lineRule="auto"/>
        <w:rPr>
          <w:sz w:val="20"/>
          <w:szCs w:val="20"/>
          <w:color w:val="auto"/>
        </w:rPr>
      </w:pPr>
      <w:r>
        <w:rPr>
          <w:rFonts w:ascii="Arial" w:cs="Arial" w:eastAsia="Arial" w:hAnsi="Arial"/>
          <w:sz w:val="16"/>
          <w:szCs w:val="16"/>
          <w:b w:val="1"/>
          <w:bCs w:val="1"/>
          <w:color w:val="215BA8"/>
        </w:rPr>
        <w:t xml:space="preserve">FOR </w:t>
      </w:r>
      <w:r>
        <w:rPr>
          <w:rFonts w:ascii="Arial" w:cs="Arial" w:eastAsia="Arial" w:hAnsi="Arial"/>
          <w:sz w:val="16"/>
          <w:szCs w:val="16"/>
          <w:color w:val="000000"/>
        </w:rPr>
        <w:t>election of each of the four nominated Class I</w:t>
      </w:r>
      <w:r>
        <w:rPr>
          <w:rFonts w:ascii="Arial" w:cs="Arial" w:eastAsia="Arial" w:hAnsi="Arial"/>
          <w:sz w:val="16"/>
          <w:szCs w:val="16"/>
          <w:b w:val="1"/>
          <w:bCs w:val="1"/>
          <w:color w:val="215BA8"/>
        </w:rPr>
        <w:t xml:space="preserve"> </w:t>
      </w:r>
      <w:r>
        <w:rPr>
          <w:rFonts w:ascii="Arial" w:cs="Arial" w:eastAsia="Arial" w:hAnsi="Arial"/>
          <w:sz w:val="16"/>
          <w:szCs w:val="16"/>
          <w:color w:val="000000"/>
        </w:rPr>
        <w:t>directors (Proposal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385445" cy="3860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325" w:lineRule="exact"/>
        <w:rPr>
          <w:sz w:val="20"/>
          <w:szCs w:val="20"/>
          <w:color w:val="auto"/>
        </w:rPr>
      </w:pPr>
    </w:p>
    <w:p>
      <w:pPr>
        <w:ind w:left="840" w:right="800"/>
        <w:spacing w:after="0" w:line="239" w:lineRule="auto"/>
        <w:rPr>
          <w:sz w:val="20"/>
          <w:szCs w:val="20"/>
          <w:color w:val="auto"/>
        </w:rPr>
      </w:pPr>
      <w:r>
        <w:rPr>
          <w:rFonts w:ascii="Arial" w:cs="Arial" w:eastAsia="Arial" w:hAnsi="Arial"/>
          <w:sz w:val="16"/>
          <w:szCs w:val="16"/>
          <w:b w:val="1"/>
          <w:bCs w:val="1"/>
          <w:color w:val="215BA8"/>
        </w:rPr>
        <w:t xml:space="preserve">FOR </w:t>
      </w:r>
      <w:r>
        <w:rPr>
          <w:rFonts w:ascii="Arial" w:cs="Arial" w:eastAsia="Arial" w:hAnsi="Arial"/>
          <w:sz w:val="16"/>
          <w:szCs w:val="16"/>
          <w:color w:val="000000"/>
        </w:rPr>
        <w:t>ratification of the appointment of</w:t>
      </w:r>
      <w:r>
        <w:rPr>
          <w:rFonts w:ascii="Arial" w:cs="Arial" w:eastAsia="Arial" w:hAnsi="Arial"/>
          <w:sz w:val="16"/>
          <w:szCs w:val="16"/>
          <w:b w:val="1"/>
          <w:bCs w:val="1"/>
          <w:color w:val="215BA8"/>
        </w:rPr>
        <w:t xml:space="preserve"> </w:t>
      </w:r>
      <w:r>
        <w:rPr>
          <w:rFonts w:ascii="Arial" w:cs="Arial" w:eastAsia="Arial" w:hAnsi="Arial"/>
          <w:sz w:val="16"/>
          <w:szCs w:val="16"/>
          <w:color w:val="000000"/>
        </w:rPr>
        <w:t>PricewaterhouseCoopers LLP as the Company’s independent registered public accounting firm for 2022 (Proposal No. 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385445" cy="3860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206" w:lineRule="exact"/>
        <w:rPr>
          <w:sz w:val="20"/>
          <w:szCs w:val="20"/>
          <w:color w:val="auto"/>
        </w:rPr>
      </w:pPr>
    </w:p>
    <w:p>
      <w:pPr>
        <w:jc w:val="both"/>
        <w:ind w:left="840" w:right="840"/>
        <w:spacing w:after="0" w:line="268" w:lineRule="auto"/>
        <w:rPr>
          <w:sz w:val="20"/>
          <w:szCs w:val="20"/>
          <w:color w:val="auto"/>
        </w:rPr>
      </w:pPr>
      <w:r>
        <w:rPr>
          <w:rFonts w:ascii="Arial" w:cs="Arial" w:eastAsia="Arial" w:hAnsi="Arial"/>
          <w:sz w:val="15"/>
          <w:szCs w:val="15"/>
          <w:b w:val="1"/>
          <w:bCs w:val="1"/>
          <w:color w:val="215BA8"/>
        </w:rPr>
        <w:t xml:space="preserve">FOR </w:t>
      </w:r>
      <w:r>
        <w:rPr>
          <w:rFonts w:ascii="Arial" w:cs="Arial" w:eastAsia="Arial" w:hAnsi="Arial"/>
          <w:sz w:val="15"/>
          <w:szCs w:val="15"/>
          <w:color w:val="000000"/>
        </w:rPr>
        <w:t>approval of the compensation of the Company’s</w:t>
      </w:r>
      <w:r>
        <w:rPr>
          <w:rFonts w:ascii="Arial" w:cs="Arial" w:eastAsia="Arial" w:hAnsi="Arial"/>
          <w:sz w:val="15"/>
          <w:szCs w:val="15"/>
          <w:b w:val="1"/>
          <w:bCs w:val="1"/>
          <w:color w:val="215BA8"/>
        </w:rPr>
        <w:t xml:space="preserve"> </w:t>
      </w:r>
      <w:r>
        <w:rPr>
          <w:rFonts w:ascii="Arial" w:cs="Arial" w:eastAsia="Arial" w:hAnsi="Arial"/>
          <w:sz w:val="15"/>
          <w:szCs w:val="15"/>
          <w:color w:val="000000"/>
        </w:rPr>
        <w:t>Named Executive Officers as disclosed in these proxy materials (say-on-pay) (Proposal No. 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103</w:t>
      </w:r>
    </w:p>
    <w:p>
      <w:pPr>
        <w:sectPr>
          <w:pgSz w:w="11900" w:h="16838" w:orient="portrait"/>
          <w:cols w:equalWidth="0" w:num="2">
            <w:col w:w="5440" w:space="380"/>
            <w:col w:w="5420"/>
          </w:cols>
          <w:pgMar w:left="320" w:top="410" w:right="339" w:bottom="1440" w:gutter="0" w:footer="0" w:header="0"/>
          <w:type w:val="continuous"/>
        </w:sectPr>
      </w:pPr>
    </w:p>
    <w:bookmarkStart w:id="118" w:name="page119"/>
    <w:bookmarkEnd w:id="118"/>
    <w:p>
      <w:pPr>
        <w:ind w:left="540"/>
        <w:spacing w:after="0"/>
        <w:rPr>
          <w:sz w:val="20"/>
          <w:szCs w:val="20"/>
          <w:color w:val="auto"/>
        </w:rPr>
      </w:pPr>
      <w:r>
        <w:rPr>
          <w:rFonts w:ascii="Arial" w:cs="Arial" w:eastAsia="Arial" w:hAnsi="Arial"/>
          <w:sz w:val="14"/>
          <w:szCs w:val="14"/>
          <w:b w:val="1"/>
          <w:bCs w:val="1"/>
          <w:color w:val="215BA8"/>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What vote is required to approve each proposal?</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voting requirements applicable to the proposals to be voted on at the Annual Meeting:</w:t>
      </w:r>
    </w:p>
    <w:p>
      <w:pPr>
        <w:spacing w:after="0" w:line="209" w:lineRule="exact"/>
        <w:rPr>
          <w:sz w:val="20"/>
          <w:szCs w:val="20"/>
          <w:color w:val="auto"/>
        </w:rPr>
      </w:pPr>
    </w:p>
    <w:tbl>
      <w:tblPr>
        <w:tblLayout w:type="fixed"/>
        <w:tblInd w:w="540" w:type="dxa"/>
        <w:tblCellMar>
          <w:top w:w="0" w:type="dxa"/>
          <w:left w:w="0" w:type="dxa"/>
          <w:bottom w:w="0" w:type="dxa"/>
          <w:right w:w="0" w:type="dxa"/>
        </w:tblCellMar>
      </w:tblPr>
      <w:tr>
        <w:trPr>
          <w:trHeight w:val="235"/>
        </w:trPr>
        <w:tc>
          <w:tcPr>
            <w:tcW w:w="2620" w:type="dxa"/>
            <w:vAlign w:val="bottom"/>
            <w:tcBorders>
              <w:bottom w:val="single" w:sz="8" w:color="215AA8"/>
            </w:tcBorders>
            <w:gridSpan w:val="2"/>
          </w:tcPr>
          <w:p>
            <w:pPr>
              <w:ind w:left="60"/>
              <w:spacing w:after="0"/>
              <w:rPr>
                <w:sz w:val="20"/>
                <w:szCs w:val="20"/>
                <w:color w:val="auto"/>
              </w:rPr>
            </w:pPr>
            <w:r>
              <w:rPr>
                <w:rFonts w:ascii="Arial" w:cs="Arial" w:eastAsia="Arial" w:hAnsi="Arial"/>
                <w:sz w:val="12"/>
                <w:szCs w:val="12"/>
                <w:b w:val="1"/>
                <w:bCs w:val="1"/>
                <w:color w:val="215BA8"/>
              </w:rPr>
              <w:t>Proposal</w:t>
            </w:r>
          </w:p>
        </w:tc>
        <w:tc>
          <w:tcPr>
            <w:tcW w:w="2920" w:type="dxa"/>
            <w:vAlign w:val="bottom"/>
            <w:tcBorders>
              <w:bottom w:val="single" w:sz="8" w:color="215AA8"/>
            </w:tcBorders>
          </w:tcPr>
          <w:p>
            <w:pPr>
              <w:ind w:left="420"/>
              <w:spacing w:after="0"/>
              <w:rPr>
                <w:sz w:val="20"/>
                <w:szCs w:val="20"/>
                <w:color w:val="auto"/>
              </w:rPr>
            </w:pPr>
            <w:r>
              <w:rPr>
                <w:rFonts w:ascii="Arial" w:cs="Arial" w:eastAsia="Arial" w:hAnsi="Arial"/>
                <w:sz w:val="12"/>
                <w:szCs w:val="12"/>
                <w:b w:val="1"/>
                <w:bCs w:val="1"/>
                <w:color w:val="215BA8"/>
              </w:rPr>
              <w:t>Vote Required</w:t>
            </w:r>
          </w:p>
        </w:tc>
        <w:tc>
          <w:tcPr>
            <w:tcW w:w="1680" w:type="dxa"/>
            <w:vAlign w:val="bottom"/>
            <w:tcBorders>
              <w:bottom w:val="single" w:sz="8" w:color="215AA8"/>
            </w:tcBorders>
          </w:tcPr>
          <w:p>
            <w:pPr>
              <w:ind w:left="220"/>
              <w:spacing w:after="0"/>
              <w:rPr>
                <w:sz w:val="20"/>
                <w:szCs w:val="20"/>
                <w:color w:val="auto"/>
              </w:rPr>
            </w:pPr>
            <w:r>
              <w:rPr>
                <w:rFonts w:ascii="Arial" w:cs="Arial" w:eastAsia="Arial" w:hAnsi="Arial"/>
                <w:sz w:val="12"/>
                <w:szCs w:val="12"/>
                <w:b w:val="1"/>
                <w:bCs w:val="1"/>
                <w:color w:val="215BA8"/>
              </w:rPr>
              <w:t>Effect of Abstentions*</w:t>
            </w:r>
          </w:p>
        </w:tc>
        <w:tc>
          <w:tcPr>
            <w:tcW w:w="2940" w:type="dxa"/>
            <w:vAlign w:val="bottom"/>
            <w:tcBorders>
              <w:bottom w:val="single" w:sz="8" w:color="215AA8"/>
            </w:tcBorders>
          </w:tcPr>
          <w:p>
            <w:pPr>
              <w:ind w:left="260"/>
              <w:spacing w:after="0"/>
              <w:rPr>
                <w:sz w:val="20"/>
                <w:szCs w:val="20"/>
                <w:color w:val="auto"/>
              </w:rPr>
            </w:pPr>
            <w:r>
              <w:rPr>
                <w:rFonts w:ascii="Arial" w:cs="Arial" w:eastAsia="Arial" w:hAnsi="Arial"/>
                <w:sz w:val="12"/>
                <w:szCs w:val="12"/>
                <w:b w:val="1"/>
                <w:bCs w:val="1"/>
                <w:color w:val="215BA8"/>
              </w:rPr>
              <w:t>Broker Discretionary Voting Allowed?</w:t>
            </w:r>
            <w:r>
              <w:rPr>
                <w:rFonts w:ascii="Arial" w:cs="Arial" w:eastAsia="Arial" w:hAnsi="Arial"/>
                <w:sz w:val="19"/>
                <w:szCs w:val="19"/>
                <w:b w:val="1"/>
                <w:bCs w:val="1"/>
                <w:color w:val="215BA8"/>
                <w:vertAlign w:val="superscript"/>
              </w:rPr>
              <w:t>+</w:t>
            </w:r>
          </w:p>
        </w:tc>
        <w:tc>
          <w:tcPr>
            <w:tcW w:w="0" w:type="dxa"/>
            <w:vAlign w:val="bottom"/>
          </w:tcPr>
          <w:p>
            <w:pPr>
              <w:spacing w:after="0"/>
              <w:rPr>
                <w:sz w:val="1"/>
                <w:szCs w:val="1"/>
                <w:color w:val="auto"/>
              </w:rPr>
            </w:pPr>
          </w:p>
        </w:tc>
      </w:tr>
      <w:tr>
        <w:trPr>
          <w:trHeight w:val="214"/>
        </w:trPr>
        <w:tc>
          <w:tcPr>
            <w:tcW w:w="400" w:type="dxa"/>
            <w:vAlign w:val="bottom"/>
            <w:vMerge w:val="restart"/>
          </w:tcPr>
          <w:p>
            <w:pPr>
              <w:ind w:left="60"/>
              <w:spacing w:after="0" w:line="539" w:lineRule="exact"/>
              <w:rPr>
                <w:sz w:val="20"/>
                <w:szCs w:val="20"/>
                <w:color w:val="auto"/>
              </w:rPr>
            </w:pPr>
            <w:r>
              <w:rPr>
                <w:rFonts w:ascii="Arial" w:cs="Arial" w:eastAsia="Arial" w:hAnsi="Arial"/>
                <w:sz w:val="47"/>
                <w:szCs w:val="47"/>
                <w:b w:val="1"/>
                <w:bCs w:val="1"/>
                <w:color w:val="D60058"/>
              </w:rPr>
              <w:t>1</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215AA8"/>
              </w:rPr>
              <w:t>Election of Directors</w:t>
            </w:r>
          </w:p>
        </w:tc>
        <w:tc>
          <w:tcPr>
            <w:tcW w:w="2920" w:type="dxa"/>
            <w:vAlign w:val="bottom"/>
          </w:tcPr>
          <w:p>
            <w:pPr>
              <w:ind w:left="420"/>
              <w:spacing w:after="0"/>
              <w:rPr>
                <w:sz w:val="20"/>
                <w:szCs w:val="20"/>
                <w:color w:val="auto"/>
              </w:rPr>
            </w:pPr>
            <w:r>
              <w:rPr>
                <w:rFonts w:ascii="Arial" w:cs="Arial" w:eastAsia="Arial" w:hAnsi="Arial"/>
                <w:sz w:val="14"/>
                <w:szCs w:val="14"/>
                <w:color w:val="auto"/>
              </w:rPr>
              <w:t>Majority of the votes cast. In</w:t>
            </w:r>
          </w:p>
        </w:tc>
        <w:tc>
          <w:tcPr>
            <w:tcW w:w="1680" w:type="dxa"/>
            <w:vAlign w:val="bottom"/>
          </w:tcPr>
          <w:p>
            <w:pPr>
              <w:ind w:left="220"/>
              <w:spacing w:after="0"/>
              <w:rPr>
                <w:sz w:val="20"/>
                <w:szCs w:val="20"/>
                <w:color w:val="auto"/>
              </w:rPr>
            </w:pPr>
            <w:r>
              <w:rPr>
                <w:rFonts w:ascii="Arial" w:cs="Arial" w:eastAsia="Arial" w:hAnsi="Arial"/>
                <w:sz w:val="14"/>
                <w:szCs w:val="14"/>
                <w:color w:val="auto"/>
              </w:rPr>
              <w:t>No effect –</w:t>
            </w:r>
          </w:p>
        </w:tc>
        <w:tc>
          <w:tcPr>
            <w:tcW w:w="2940" w:type="dxa"/>
            <w:vAlign w:val="bottom"/>
          </w:tcPr>
          <w:p>
            <w:pPr>
              <w:ind w:left="260"/>
              <w:spacing w:after="0"/>
              <w:rPr>
                <w:sz w:val="20"/>
                <w:szCs w:val="20"/>
                <w:color w:val="auto"/>
              </w:rPr>
            </w:pPr>
            <w:r>
              <w:rPr>
                <w:rFonts w:ascii="Arial" w:cs="Arial" w:eastAsia="Arial" w:hAnsi="Arial"/>
                <w:sz w:val="14"/>
                <w:szCs w:val="14"/>
                <w:color w:val="auto"/>
              </w:rPr>
              <w:t>No –</w:t>
            </w: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accordance with our director</w:t>
            </w:r>
          </w:p>
        </w:tc>
        <w:tc>
          <w:tcPr>
            <w:tcW w:w="1680" w:type="dxa"/>
            <w:vAlign w:val="bottom"/>
          </w:tcPr>
          <w:p>
            <w:pPr>
              <w:ind w:left="220"/>
              <w:spacing w:after="0"/>
              <w:rPr>
                <w:sz w:val="20"/>
                <w:szCs w:val="20"/>
                <w:color w:val="auto"/>
              </w:rPr>
            </w:pPr>
            <w:r>
              <w:rPr>
                <w:rFonts w:ascii="Arial" w:cs="Arial" w:eastAsia="Arial" w:hAnsi="Arial"/>
                <w:sz w:val="14"/>
                <w:szCs w:val="14"/>
                <w:color w:val="auto"/>
              </w:rPr>
              <w:t>not considered</w:t>
            </w:r>
          </w:p>
        </w:tc>
        <w:tc>
          <w:tcPr>
            <w:tcW w:w="2940" w:type="dxa"/>
            <w:vAlign w:val="bottom"/>
          </w:tcPr>
          <w:p>
            <w:pPr>
              <w:ind w:left="260"/>
              <w:spacing w:after="0"/>
              <w:rPr>
                <w:sz w:val="20"/>
                <w:szCs w:val="20"/>
                <w:color w:val="auto"/>
              </w:rPr>
            </w:pPr>
            <w:r>
              <w:rPr>
                <w:rFonts w:ascii="Arial" w:cs="Arial" w:eastAsia="Arial" w:hAnsi="Arial"/>
                <w:sz w:val="14"/>
                <w:szCs w:val="14"/>
                <w:color w:val="auto"/>
              </w:rPr>
              <w:t>brokers without voting instructions will</w:t>
            </w: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resignation policy, an incumbent</w:t>
            </w:r>
          </w:p>
        </w:tc>
        <w:tc>
          <w:tcPr>
            <w:tcW w:w="1680" w:type="dxa"/>
            <w:vAlign w:val="bottom"/>
          </w:tcPr>
          <w:p>
            <w:pPr>
              <w:ind w:left="220"/>
              <w:spacing w:after="0"/>
              <w:rPr>
                <w:sz w:val="20"/>
                <w:szCs w:val="20"/>
                <w:color w:val="auto"/>
              </w:rPr>
            </w:pPr>
            <w:r>
              <w:rPr>
                <w:rFonts w:ascii="Arial" w:cs="Arial" w:eastAsia="Arial" w:hAnsi="Arial"/>
                <w:sz w:val="14"/>
                <w:szCs w:val="14"/>
                <w:color w:val="auto"/>
              </w:rPr>
              <w:t>votes cast on this</w:t>
            </w:r>
          </w:p>
        </w:tc>
        <w:tc>
          <w:tcPr>
            <w:tcW w:w="2940" w:type="dxa"/>
            <w:vAlign w:val="bottom"/>
          </w:tcPr>
          <w:p>
            <w:pPr>
              <w:ind w:left="260"/>
              <w:spacing w:after="0"/>
              <w:rPr>
                <w:sz w:val="20"/>
                <w:szCs w:val="20"/>
                <w:color w:val="auto"/>
              </w:rPr>
            </w:pPr>
            <w:r>
              <w:rPr>
                <w:rFonts w:ascii="Arial" w:cs="Arial" w:eastAsia="Arial" w:hAnsi="Arial"/>
                <w:sz w:val="14"/>
                <w:szCs w:val="14"/>
                <w:color w:val="auto"/>
              </w:rPr>
              <w:t>not be able to vote on this proposal</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director who fails to receive the</w:t>
            </w:r>
          </w:p>
        </w:tc>
        <w:tc>
          <w:tcPr>
            <w:tcW w:w="168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required number of votes in an</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uncontested election will be</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required to tender his or her</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resignation to the Chair of the board</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of directors for consideration by the</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Corporate Governance and</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Compliance Committee.</w:t>
            </w:r>
          </w:p>
        </w:tc>
        <w:tc>
          <w:tcPr>
            <w:tcW w:w="16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00" w:type="dxa"/>
            <w:vAlign w:val="bottom"/>
            <w:vMerge w:val="restart"/>
            <w:shd w:val="clear" w:color="auto" w:fill="ECEDEF"/>
          </w:tcPr>
          <w:p>
            <w:pPr>
              <w:ind w:left="60"/>
              <w:spacing w:after="0" w:line="521" w:lineRule="exact"/>
              <w:rPr>
                <w:sz w:val="20"/>
                <w:szCs w:val="20"/>
                <w:color w:val="auto"/>
              </w:rPr>
            </w:pPr>
            <w:r>
              <w:rPr>
                <w:rFonts w:ascii="Arial" w:cs="Arial" w:eastAsia="Arial" w:hAnsi="Arial"/>
                <w:sz w:val="47"/>
                <w:szCs w:val="47"/>
                <w:b w:val="1"/>
                <w:bCs w:val="1"/>
                <w:color w:val="D60058"/>
              </w:rPr>
              <w:t>2</w:t>
            </w:r>
          </w:p>
        </w:tc>
        <w:tc>
          <w:tcPr>
            <w:tcW w:w="2220" w:type="dxa"/>
            <w:vAlign w:val="bottom"/>
            <w:shd w:val="clear" w:color="auto" w:fill="ECEDEF"/>
          </w:tcPr>
          <w:p>
            <w:pPr>
              <w:ind w:left="80"/>
              <w:spacing w:after="0"/>
              <w:rPr>
                <w:sz w:val="20"/>
                <w:szCs w:val="20"/>
                <w:color w:val="auto"/>
              </w:rPr>
            </w:pPr>
            <w:r>
              <w:rPr>
                <w:rFonts w:ascii="Arial" w:cs="Arial" w:eastAsia="Arial" w:hAnsi="Arial"/>
                <w:sz w:val="14"/>
                <w:szCs w:val="14"/>
                <w:b w:val="1"/>
                <w:bCs w:val="1"/>
                <w:color w:val="215AA8"/>
              </w:rPr>
              <w:t>Ratification of the</w:t>
            </w:r>
          </w:p>
        </w:tc>
        <w:tc>
          <w:tcPr>
            <w:tcW w:w="2920" w:type="dxa"/>
            <w:vAlign w:val="bottom"/>
            <w:shd w:val="clear" w:color="auto" w:fill="ECEDEF"/>
          </w:tcPr>
          <w:p>
            <w:pPr>
              <w:ind w:left="420"/>
              <w:spacing w:after="0"/>
              <w:rPr>
                <w:sz w:val="20"/>
                <w:szCs w:val="20"/>
                <w:color w:val="auto"/>
              </w:rPr>
            </w:pPr>
            <w:r>
              <w:rPr>
                <w:rFonts w:ascii="Arial" w:cs="Arial" w:eastAsia="Arial" w:hAnsi="Arial"/>
                <w:sz w:val="14"/>
                <w:szCs w:val="14"/>
                <w:color w:val="auto"/>
              </w:rPr>
              <w:t>Majority of the votes cast</w:t>
            </w:r>
          </w:p>
        </w:tc>
        <w:tc>
          <w:tcPr>
            <w:tcW w:w="1680" w:type="dxa"/>
            <w:vAlign w:val="bottom"/>
            <w:shd w:val="clear" w:color="auto" w:fill="ECEDEF"/>
          </w:tcPr>
          <w:p>
            <w:pPr>
              <w:ind w:left="220"/>
              <w:spacing w:after="0"/>
              <w:rPr>
                <w:sz w:val="20"/>
                <w:szCs w:val="20"/>
                <w:color w:val="auto"/>
              </w:rPr>
            </w:pPr>
            <w:r>
              <w:rPr>
                <w:rFonts w:ascii="Arial" w:cs="Arial" w:eastAsia="Arial" w:hAnsi="Arial"/>
                <w:sz w:val="14"/>
                <w:szCs w:val="14"/>
                <w:color w:val="auto"/>
              </w:rPr>
              <w:t>No effect –</w:t>
            </w:r>
          </w:p>
        </w:tc>
        <w:tc>
          <w:tcPr>
            <w:tcW w:w="2940" w:type="dxa"/>
            <w:vAlign w:val="bottom"/>
            <w:shd w:val="clear" w:color="auto" w:fill="ECEDEF"/>
          </w:tcPr>
          <w:p>
            <w:pPr>
              <w:ind w:left="260"/>
              <w:spacing w:after="0"/>
              <w:rPr>
                <w:sz w:val="20"/>
                <w:szCs w:val="20"/>
                <w:color w:val="auto"/>
              </w:rPr>
            </w:pPr>
            <w:r>
              <w:rPr>
                <w:rFonts w:ascii="Arial" w:cs="Arial" w:eastAsia="Arial" w:hAnsi="Arial"/>
                <w:sz w:val="14"/>
                <w:szCs w:val="14"/>
                <w:color w:val="auto"/>
              </w:rPr>
              <w:t>Yes –</w:t>
            </w:r>
          </w:p>
        </w:tc>
        <w:tc>
          <w:tcPr>
            <w:tcW w:w="0" w:type="dxa"/>
            <w:vAlign w:val="bottom"/>
          </w:tcPr>
          <w:p>
            <w:pPr>
              <w:spacing w:after="0"/>
              <w:rPr>
                <w:sz w:val="1"/>
                <w:szCs w:val="1"/>
                <w:color w:val="auto"/>
              </w:rPr>
            </w:pPr>
          </w:p>
        </w:tc>
      </w:tr>
      <w:tr>
        <w:trPr>
          <w:trHeight w:val="162"/>
        </w:trPr>
        <w:tc>
          <w:tcPr>
            <w:tcW w:w="400" w:type="dxa"/>
            <w:vAlign w:val="bottom"/>
            <w:vMerge w:val="continue"/>
            <w:shd w:val="clear" w:color="auto" w:fill="ECEDEF"/>
          </w:tcPr>
          <w:p>
            <w:pPr>
              <w:spacing w:after="0"/>
              <w:rPr>
                <w:sz w:val="14"/>
                <w:szCs w:val="14"/>
                <w:color w:val="auto"/>
              </w:rPr>
            </w:pPr>
          </w:p>
        </w:tc>
        <w:tc>
          <w:tcPr>
            <w:tcW w:w="2220" w:type="dxa"/>
            <w:vAlign w:val="bottom"/>
            <w:shd w:val="clear" w:color="auto" w:fill="ECEDEF"/>
          </w:tcPr>
          <w:p>
            <w:pPr>
              <w:ind w:left="80"/>
              <w:spacing w:after="0"/>
              <w:rPr>
                <w:sz w:val="20"/>
                <w:szCs w:val="20"/>
                <w:color w:val="auto"/>
              </w:rPr>
            </w:pPr>
            <w:r>
              <w:rPr>
                <w:rFonts w:ascii="Arial" w:cs="Arial" w:eastAsia="Arial" w:hAnsi="Arial"/>
                <w:sz w:val="14"/>
                <w:szCs w:val="14"/>
                <w:b w:val="1"/>
                <w:bCs w:val="1"/>
                <w:color w:val="215AA8"/>
              </w:rPr>
              <w:t>Appointment of</w:t>
            </w:r>
          </w:p>
        </w:tc>
        <w:tc>
          <w:tcPr>
            <w:tcW w:w="2920" w:type="dxa"/>
            <w:vAlign w:val="bottom"/>
            <w:shd w:val="clear" w:color="auto" w:fill="ECEDEF"/>
          </w:tcPr>
          <w:p>
            <w:pPr>
              <w:spacing w:after="0"/>
              <w:rPr>
                <w:sz w:val="14"/>
                <w:szCs w:val="14"/>
                <w:color w:val="auto"/>
              </w:rPr>
            </w:pPr>
          </w:p>
        </w:tc>
        <w:tc>
          <w:tcPr>
            <w:tcW w:w="1680" w:type="dxa"/>
            <w:vAlign w:val="bottom"/>
            <w:shd w:val="clear" w:color="auto" w:fill="ECEDEF"/>
          </w:tcPr>
          <w:p>
            <w:pPr>
              <w:ind w:left="220"/>
              <w:spacing w:after="0"/>
              <w:rPr>
                <w:sz w:val="20"/>
                <w:szCs w:val="20"/>
                <w:color w:val="auto"/>
              </w:rPr>
            </w:pPr>
            <w:r>
              <w:rPr>
                <w:rFonts w:ascii="Arial" w:cs="Arial" w:eastAsia="Arial" w:hAnsi="Arial"/>
                <w:sz w:val="14"/>
                <w:szCs w:val="14"/>
                <w:color w:val="auto"/>
              </w:rPr>
              <w:t>not considered</w:t>
            </w:r>
          </w:p>
        </w:tc>
        <w:tc>
          <w:tcPr>
            <w:tcW w:w="2940" w:type="dxa"/>
            <w:vAlign w:val="bottom"/>
            <w:shd w:val="clear" w:color="auto" w:fill="ECEDEF"/>
          </w:tcPr>
          <w:p>
            <w:pPr>
              <w:ind w:left="260"/>
              <w:spacing w:after="0"/>
              <w:rPr>
                <w:sz w:val="20"/>
                <w:szCs w:val="20"/>
                <w:color w:val="auto"/>
              </w:rPr>
            </w:pPr>
            <w:r>
              <w:rPr>
                <w:rFonts w:ascii="Arial" w:cs="Arial" w:eastAsia="Arial" w:hAnsi="Arial"/>
                <w:sz w:val="14"/>
                <w:szCs w:val="14"/>
                <w:color w:val="auto"/>
              </w:rPr>
              <w:t>brokers without voting instructions will</w:t>
            </w:r>
          </w:p>
        </w:tc>
        <w:tc>
          <w:tcPr>
            <w:tcW w:w="0" w:type="dxa"/>
            <w:vAlign w:val="bottom"/>
          </w:tcPr>
          <w:p>
            <w:pPr>
              <w:spacing w:after="0"/>
              <w:rPr>
                <w:sz w:val="1"/>
                <w:szCs w:val="1"/>
                <w:color w:val="auto"/>
              </w:rPr>
            </w:pPr>
          </w:p>
        </w:tc>
      </w:tr>
      <w:tr>
        <w:trPr>
          <w:trHeight w:val="162"/>
        </w:trPr>
        <w:tc>
          <w:tcPr>
            <w:tcW w:w="400" w:type="dxa"/>
            <w:vAlign w:val="bottom"/>
            <w:vMerge w:val="continue"/>
            <w:shd w:val="clear" w:color="auto" w:fill="ECEDEF"/>
          </w:tcPr>
          <w:p>
            <w:pPr>
              <w:spacing w:after="0"/>
              <w:rPr>
                <w:sz w:val="14"/>
                <w:szCs w:val="14"/>
                <w:color w:val="auto"/>
              </w:rPr>
            </w:pPr>
          </w:p>
        </w:tc>
        <w:tc>
          <w:tcPr>
            <w:tcW w:w="2220" w:type="dxa"/>
            <w:vAlign w:val="bottom"/>
            <w:shd w:val="clear" w:color="auto" w:fill="ECEDEF"/>
          </w:tcPr>
          <w:p>
            <w:pPr>
              <w:ind w:left="80"/>
              <w:spacing w:after="0"/>
              <w:rPr>
                <w:sz w:val="20"/>
                <w:szCs w:val="20"/>
                <w:color w:val="auto"/>
              </w:rPr>
            </w:pPr>
            <w:r>
              <w:rPr>
                <w:rFonts w:ascii="Arial" w:cs="Arial" w:eastAsia="Arial" w:hAnsi="Arial"/>
                <w:sz w:val="14"/>
                <w:szCs w:val="14"/>
                <w:b w:val="1"/>
                <w:bCs w:val="1"/>
                <w:color w:val="215AA8"/>
              </w:rPr>
              <w:t>PricewaterhouseCoopers</w:t>
            </w:r>
          </w:p>
        </w:tc>
        <w:tc>
          <w:tcPr>
            <w:tcW w:w="2920" w:type="dxa"/>
            <w:vAlign w:val="bottom"/>
            <w:shd w:val="clear" w:color="auto" w:fill="ECEDEF"/>
          </w:tcPr>
          <w:p>
            <w:pPr>
              <w:spacing w:after="0"/>
              <w:rPr>
                <w:sz w:val="14"/>
                <w:szCs w:val="14"/>
                <w:color w:val="auto"/>
              </w:rPr>
            </w:pPr>
          </w:p>
        </w:tc>
        <w:tc>
          <w:tcPr>
            <w:tcW w:w="1680" w:type="dxa"/>
            <w:vAlign w:val="bottom"/>
            <w:shd w:val="clear" w:color="auto" w:fill="ECEDEF"/>
          </w:tcPr>
          <w:p>
            <w:pPr>
              <w:ind w:left="220"/>
              <w:spacing w:after="0"/>
              <w:rPr>
                <w:sz w:val="20"/>
                <w:szCs w:val="20"/>
                <w:color w:val="auto"/>
              </w:rPr>
            </w:pPr>
            <w:r>
              <w:rPr>
                <w:rFonts w:ascii="Arial" w:cs="Arial" w:eastAsia="Arial" w:hAnsi="Arial"/>
                <w:sz w:val="14"/>
                <w:szCs w:val="14"/>
                <w:color w:val="auto"/>
              </w:rPr>
              <w:t>votes cast on this</w:t>
            </w:r>
          </w:p>
        </w:tc>
        <w:tc>
          <w:tcPr>
            <w:tcW w:w="2940" w:type="dxa"/>
            <w:vAlign w:val="bottom"/>
            <w:shd w:val="clear" w:color="auto" w:fill="ECEDEF"/>
          </w:tcPr>
          <w:p>
            <w:pPr>
              <w:ind w:left="260"/>
              <w:spacing w:after="0"/>
              <w:rPr>
                <w:sz w:val="20"/>
                <w:szCs w:val="20"/>
                <w:color w:val="auto"/>
              </w:rPr>
            </w:pPr>
            <w:r>
              <w:rPr>
                <w:rFonts w:ascii="Arial" w:cs="Arial" w:eastAsia="Arial" w:hAnsi="Arial"/>
                <w:sz w:val="14"/>
                <w:szCs w:val="14"/>
                <w:color w:val="auto"/>
              </w:rPr>
              <w:t>have discretionary authority to vote</w:t>
            </w:r>
          </w:p>
        </w:tc>
        <w:tc>
          <w:tcPr>
            <w:tcW w:w="0" w:type="dxa"/>
            <w:vAlign w:val="bottom"/>
          </w:tcPr>
          <w:p>
            <w:pPr>
              <w:spacing w:after="0"/>
              <w:rPr>
                <w:sz w:val="1"/>
                <w:szCs w:val="1"/>
                <w:color w:val="auto"/>
              </w:rPr>
            </w:pPr>
          </w:p>
        </w:tc>
      </w:tr>
      <w:tr>
        <w:trPr>
          <w:trHeight w:val="234"/>
        </w:trPr>
        <w:tc>
          <w:tcPr>
            <w:tcW w:w="400" w:type="dxa"/>
            <w:vAlign w:val="bottom"/>
            <w:tcBorders>
              <w:bottom w:val="single" w:sz="8" w:color="ECEDEF"/>
            </w:tcBorders>
            <w:shd w:val="clear" w:color="auto" w:fill="ECEDEF"/>
          </w:tcPr>
          <w:p>
            <w:pPr>
              <w:spacing w:after="0"/>
              <w:rPr>
                <w:sz w:val="19"/>
                <w:szCs w:val="19"/>
                <w:color w:val="auto"/>
              </w:rPr>
            </w:pPr>
          </w:p>
        </w:tc>
        <w:tc>
          <w:tcPr>
            <w:tcW w:w="2220" w:type="dxa"/>
            <w:vAlign w:val="bottom"/>
            <w:tcBorders>
              <w:bottom w:val="single" w:sz="8" w:color="ECEDEF"/>
            </w:tcBorders>
            <w:shd w:val="clear" w:color="auto" w:fill="ECEDEF"/>
          </w:tcPr>
          <w:p>
            <w:pPr>
              <w:ind w:left="80"/>
              <w:spacing w:after="0"/>
              <w:rPr>
                <w:sz w:val="20"/>
                <w:szCs w:val="20"/>
                <w:color w:val="auto"/>
              </w:rPr>
            </w:pPr>
            <w:r>
              <w:rPr>
                <w:rFonts w:ascii="Arial" w:cs="Arial" w:eastAsia="Arial" w:hAnsi="Arial"/>
                <w:sz w:val="14"/>
                <w:szCs w:val="14"/>
                <w:b w:val="1"/>
                <w:bCs w:val="1"/>
                <w:color w:val="215AA8"/>
              </w:rPr>
              <w:t>LLP</w:t>
            </w:r>
          </w:p>
        </w:tc>
        <w:tc>
          <w:tcPr>
            <w:tcW w:w="2920" w:type="dxa"/>
            <w:vAlign w:val="bottom"/>
            <w:tcBorders>
              <w:bottom w:val="single" w:sz="8" w:color="ECEDEF"/>
            </w:tcBorders>
            <w:shd w:val="clear" w:color="auto" w:fill="ECEDEF"/>
          </w:tcPr>
          <w:p>
            <w:pPr>
              <w:spacing w:after="0"/>
              <w:rPr>
                <w:sz w:val="19"/>
                <w:szCs w:val="19"/>
                <w:color w:val="auto"/>
              </w:rPr>
            </w:pPr>
          </w:p>
        </w:tc>
        <w:tc>
          <w:tcPr>
            <w:tcW w:w="1680" w:type="dxa"/>
            <w:vAlign w:val="bottom"/>
            <w:tcBorders>
              <w:bottom w:val="single" w:sz="8" w:color="ECEDEF"/>
            </w:tcBorders>
            <w:shd w:val="clear" w:color="auto" w:fill="ECEDEF"/>
          </w:tcPr>
          <w:p>
            <w:pPr>
              <w:ind w:left="220"/>
              <w:spacing w:after="0"/>
              <w:rPr>
                <w:sz w:val="20"/>
                <w:szCs w:val="20"/>
                <w:color w:val="auto"/>
              </w:rPr>
            </w:pPr>
            <w:r>
              <w:rPr>
                <w:rFonts w:ascii="Arial" w:cs="Arial" w:eastAsia="Arial" w:hAnsi="Arial"/>
                <w:sz w:val="14"/>
                <w:szCs w:val="14"/>
                <w:color w:val="auto"/>
              </w:rPr>
              <w:t>proposal</w:t>
            </w:r>
          </w:p>
        </w:tc>
        <w:tc>
          <w:tcPr>
            <w:tcW w:w="2940" w:type="dxa"/>
            <w:vAlign w:val="bottom"/>
            <w:tcBorders>
              <w:bottom w:val="single" w:sz="8" w:color="ECEDEF"/>
            </w:tcBorders>
            <w:shd w:val="clear" w:color="auto" w:fill="ECEDE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tcBorders>
              <w:top w:val="single" w:sz="8" w:color="auto"/>
            </w:tcBorders>
            <w:vMerge w:val="restart"/>
          </w:tcPr>
          <w:p>
            <w:pPr>
              <w:ind w:left="60"/>
              <w:spacing w:after="0" w:line="539" w:lineRule="exact"/>
              <w:rPr>
                <w:sz w:val="20"/>
                <w:szCs w:val="20"/>
                <w:color w:val="auto"/>
              </w:rPr>
            </w:pPr>
            <w:r>
              <w:rPr>
                <w:rFonts w:ascii="Arial" w:cs="Arial" w:eastAsia="Arial" w:hAnsi="Arial"/>
                <w:sz w:val="47"/>
                <w:szCs w:val="47"/>
                <w:b w:val="1"/>
                <w:bCs w:val="1"/>
                <w:color w:val="D60058"/>
              </w:rPr>
              <w:t>3</w:t>
            </w:r>
          </w:p>
        </w:tc>
        <w:tc>
          <w:tcPr>
            <w:tcW w:w="222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215AA8"/>
              </w:rPr>
              <w:t>Say-on-Pay</w:t>
            </w:r>
          </w:p>
        </w:tc>
        <w:tc>
          <w:tcPr>
            <w:tcW w:w="292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Non-binding, advisory proposal. We</w:t>
            </w:r>
          </w:p>
        </w:tc>
        <w:tc>
          <w:tcPr>
            <w:tcW w:w="1680" w:type="dxa"/>
            <w:vAlign w:val="bottom"/>
            <w:tcBorders>
              <w:top w:val="single" w:sz="8" w:color="auto"/>
            </w:tcBorders>
          </w:tcPr>
          <w:p>
            <w:pPr>
              <w:ind w:left="220"/>
              <w:spacing w:after="0"/>
              <w:rPr>
                <w:sz w:val="20"/>
                <w:szCs w:val="20"/>
                <w:color w:val="auto"/>
              </w:rPr>
            </w:pPr>
            <w:r>
              <w:rPr>
                <w:rFonts w:ascii="Arial" w:cs="Arial" w:eastAsia="Arial" w:hAnsi="Arial"/>
                <w:sz w:val="14"/>
                <w:szCs w:val="14"/>
                <w:color w:val="auto"/>
              </w:rPr>
              <w:t>No effect –</w:t>
            </w:r>
          </w:p>
        </w:tc>
        <w:tc>
          <w:tcPr>
            <w:tcW w:w="29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No –</w:t>
            </w: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will consider the matter approved if</w:t>
            </w:r>
          </w:p>
        </w:tc>
        <w:tc>
          <w:tcPr>
            <w:tcW w:w="1680" w:type="dxa"/>
            <w:vAlign w:val="bottom"/>
          </w:tcPr>
          <w:p>
            <w:pPr>
              <w:ind w:left="220"/>
              <w:spacing w:after="0"/>
              <w:rPr>
                <w:sz w:val="20"/>
                <w:szCs w:val="20"/>
                <w:color w:val="auto"/>
              </w:rPr>
            </w:pPr>
            <w:r>
              <w:rPr>
                <w:rFonts w:ascii="Arial" w:cs="Arial" w:eastAsia="Arial" w:hAnsi="Arial"/>
                <w:sz w:val="14"/>
                <w:szCs w:val="14"/>
                <w:color w:val="auto"/>
              </w:rPr>
              <w:t>not considered</w:t>
            </w:r>
          </w:p>
        </w:tc>
        <w:tc>
          <w:tcPr>
            <w:tcW w:w="2940" w:type="dxa"/>
            <w:vAlign w:val="bottom"/>
          </w:tcPr>
          <w:p>
            <w:pPr>
              <w:ind w:left="260"/>
              <w:spacing w:after="0"/>
              <w:rPr>
                <w:sz w:val="20"/>
                <w:szCs w:val="20"/>
                <w:color w:val="auto"/>
              </w:rPr>
            </w:pPr>
            <w:r>
              <w:rPr>
                <w:rFonts w:ascii="Arial" w:cs="Arial" w:eastAsia="Arial" w:hAnsi="Arial"/>
                <w:sz w:val="14"/>
                <w:szCs w:val="14"/>
                <w:color w:val="auto"/>
              </w:rPr>
              <w:t>brokers without voting instructions will</w:t>
            </w:r>
          </w:p>
        </w:tc>
        <w:tc>
          <w:tcPr>
            <w:tcW w:w="0" w:type="dxa"/>
            <w:vAlign w:val="bottom"/>
          </w:tcPr>
          <w:p>
            <w:pPr>
              <w:spacing w:after="0"/>
              <w:rPr>
                <w:sz w:val="1"/>
                <w:szCs w:val="1"/>
                <w:color w:val="auto"/>
              </w:rPr>
            </w:pPr>
          </w:p>
        </w:tc>
      </w:tr>
      <w:tr>
        <w:trPr>
          <w:trHeight w:val="162"/>
        </w:trPr>
        <w:tc>
          <w:tcPr>
            <w:tcW w:w="400" w:type="dxa"/>
            <w:vAlign w:val="bottom"/>
            <w:vMerge w:val="continue"/>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it receives the affirmative vote of a</w:t>
            </w:r>
          </w:p>
        </w:tc>
        <w:tc>
          <w:tcPr>
            <w:tcW w:w="1680" w:type="dxa"/>
            <w:vAlign w:val="bottom"/>
          </w:tcPr>
          <w:p>
            <w:pPr>
              <w:ind w:left="220"/>
              <w:spacing w:after="0"/>
              <w:rPr>
                <w:sz w:val="20"/>
                <w:szCs w:val="20"/>
                <w:color w:val="auto"/>
              </w:rPr>
            </w:pPr>
            <w:r>
              <w:rPr>
                <w:rFonts w:ascii="Arial" w:cs="Arial" w:eastAsia="Arial" w:hAnsi="Arial"/>
                <w:sz w:val="14"/>
                <w:szCs w:val="14"/>
                <w:color w:val="auto"/>
              </w:rPr>
              <w:t>votes cast on this</w:t>
            </w:r>
          </w:p>
        </w:tc>
        <w:tc>
          <w:tcPr>
            <w:tcW w:w="2940" w:type="dxa"/>
            <w:vAlign w:val="bottom"/>
          </w:tcPr>
          <w:p>
            <w:pPr>
              <w:ind w:left="260"/>
              <w:spacing w:after="0"/>
              <w:rPr>
                <w:sz w:val="20"/>
                <w:szCs w:val="20"/>
                <w:color w:val="auto"/>
              </w:rPr>
            </w:pPr>
            <w:r>
              <w:rPr>
                <w:rFonts w:ascii="Arial" w:cs="Arial" w:eastAsia="Arial" w:hAnsi="Arial"/>
                <w:sz w:val="14"/>
                <w:szCs w:val="14"/>
                <w:color w:val="auto"/>
              </w:rPr>
              <w:t>not be able to vote on this proposal</w:t>
            </w:r>
          </w:p>
        </w:tc>
        <w:tc>
          <w:tcPr>
            <w:tcW w:w="0" w:type="dxa"/>
            <w:vAlign w:val="bottom"/>
          </w:tcPr>
          <w:p>
            <w:pPr>
              <w:spacing w:after="0"/>
              <w:rPr>
                <w:sz w:val="1"/>
                <w:szCs w:val="1"/>
                <w:color w:val="auto"/>
              </w:rPr>
            </w:pPr>
          </w:p>
        </w:tc>
      </w:tr>
      <w:tr>
        <w:trPr>
          <w:trHeight w:val="172"/>
        </w:trPr>
        <w:tc>
          <w:tcPr>
            <w:tcW w:w="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20" w:type="dxa"/>
            <w:vAlign w:val="bottom"/>
          </w:tcPr>
          <w:p>
            <w:pPr>
              <w:ind w:left="420"/>
              <w:spacing w:after="0"/>
              <w:rPr>
                <w:sz w:val="20"/>
                <w:szCs w:val="20"/>
                <w:color w:val="auto"/>
              </w:rPr>
            </w:pPr>
            <w:r>
              <w:rPr>
                <w:rFonts w:ascii="Arial" w:cs="Arial" w:eastAsia="Arial" w:hAnsi="Arial"/>
                <w:sz w:val="14"/>
                <w:szCs w:val="14"/>
                <w:color w:val="auto"/>
              </w:rPr>
              <w:t>majority of the votes cast</w:t>
            </w:r>
          </w:p>
        </w:tc>
        <w:tc>
          <w:tcPr>
            <w:tcW w:w="1680" w:type="dxa"/>
            <w:vAlign w:val="bottom"/>
          </w:tcPr>
          <w:p>
            <w:pPr>
              <w:ind w:left="220"/>
              <w:spacing w:after="0"/>
              <w:rPr>
                <w:sz w:val="20"/>
                <w:szCs w:val="20"/>
                <w:color w:val="auto"/>
              </w:rPr>
            </w:pPr>
            <w:r>
              <w:rPr>
                <w:rFonts w:ascii="Arial" w:cs="Arial" w:eastAsia="Arial" w:hAnsi="Arial"/>
                <w:sz w:val="14"/>
                <w:szCs w:val="14"/>
                <w:color w:val="auto"/>
              </w:rPr>
              <w:t>proposal</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80"/>
        <w:spacing w:after="0"/>
        <w:tabs>
          <w:tab w:leader="none" w:pos="740" w:val="left"/>
        </w:tabs>
        <w:rPr>
          <w:sz w:val="20"/>
          <w:szCs w:val="20"/>
          <w:color w:val="auto"/>
        </w:rPr>
      </w:pPr>
      <w:r>
        <w:rPr>
          <w:rFonts w:ascii="Arial" w:cs="Arial" w:eastAsia="Arial" w:hAnsi="Arial"/>
          <w:sz w:val="14"/>
          <w:szCs w:val="14"/>
          <w:color w:val="1A1A1A"/>
        </w:rPr>
        <w:t>*</w:t>
        <w:tab/>
        <w:t>As noted above, abstentions will be counted as present for purposes of establishing a quorum at the Annual Meeting.</w:t>
      </w:r>
    </w:p>
    <w:p>
      <w:pPr>
        <w:spacing w:after="0" w:line="82" w:lineRule="exact"/>
        <w:rPr>
          <w:sz w:val="20"/>
          <w:szCs w:val="20"/>
          <w:color w:val="auto"/>
        </w:rPr>
      </w:pPr>
    </w:p>
    <w:p>
      <w:pPr>
        <w:ind w:left="760" w:right="680" w:hanging="172"/>
        <w:spacing w:after="0" w:line="258" w:lineRule="auto"/>
        <w:tabs>
          <w:tab w:leader="none" w:pos="760" w:val="left"/>
        </w:tabs>
        <w:numPr>
          <w:ilvl w:val="0"/>
          <w:numId w:val="196"/>
        </w:numPr>
        <w:rPr>
          <w:rFonts w:ascii="Arial" w:cs="Arial" w:eastAsia="Arial" w:hAnsi="Arial"/>
          <w:sz w:val="14"/>
          <w:szCs w:val="14"/>
          <w:color w:val="1A1A1A"/>
        </w:rPr>
      </w:pPr>
      <w:r>
        <w:rPr>
          <w:rFonts w:ascii="Arial" w:cs="Arial" w:eastAsia="Arial" w:hAnsi="Arial"/>
          <w:sz w:val="14"/>
          <w:szCs w:val="14"/>
          <w:color w:val="1A1A1A"/>
        </w:rPr>
        <w:t>Only relevant if you are the beneficial owner of shares held in “street name.” If you are a shareholder of record and you do not cast your vote, no votes will be cast on your behalf on any of the items of business at the Annual Meeting.</w:t>
      </w:r>
    </w:p>
    <w:p>
      <w:pPr>
        <w:spacing w:after="0" w:line="155" w:lineRule="exact"/>
        <w:rPr>
          <w:sz w:val="20"/>
          <w:szCs w:val="20"/>
          <w:color w:val="auto"/>
        </w:rPr>
      </w:pPr>
    </w:p>
    <w:p>
      <w:pPr>
        <w:ind w:left="540" w:right="760"/>
        <w:spacing w:after="0" w:line="236" w:lineRule="auto"/>
        <w:rPr>
          <w:sz w:val="20"/>
          <w:szCs w:val="20"/>
          <w:color w:val="auto"/>
        </w:rPr>
      </w:pPr>
      <w:r>
        <w:rPr>
          <w:rFonts w:ascii="Arial" w:cs="Arial" w:eastAsia="Arial" w:hAnsi="Arial"/>
          <w:sz w:val="16"/>
          <w:szCs w:val="16"/>
          <w:color w:val="auto"/>
        </w:rPr>
        <w:t>If any other matter is properly brought before the Annual Meeting, such matter also will be determined by the affirmative vote of a majority of the votes cast at the Annual Meeting.</w:t>
      </w:r>
    </w:p>
    <w:p>
      <w:pPr>
        <w:sectPr>
          <w:pgSz w:w="11900" w:h="16838" w:orient="portrait"/>
          <w:cols w:equalWidth="0" w:num="1">
            <w:col w:w="11240"/>
          </w:cols>
          <w:pgMar w:left="320" w:top="410" w:right="339" w:bottom="1440" w:gutter="0" w:footer="0" w:header="0"/>
        </w:sectPr>
      </w:pPr>
    </w:p>
    <w:p>
      <w:pPr>
        <w:spacing w:after="0" w:line="122" w:lineRule="exact"/>
        <w:rPr>
          <w:sz w:val="20"/>
          <w:szCs w:val="20"/>
          <w:color w:val="auto"/>
        </w:rPr>
      </w:pPr>
    </w:p>
    <w:p>
      <w:pPr>
        <w:ind w:left="540" w:right="640"/>
        <w:spacing w:after="0" w:line="271" w:lineRule="auto"/>
        <w:rPr>
          <w:sz w:val="20"/>
          <w:szCs w:val="20"/>
          <w:color w:val="auto"/>
        </w:rPr>
      </w:pPr>
      <w:r>
        <w:rPr>
          <w:rFonts w:ascii="Arial" w:cs="Arial" w:eastAsia="Arial" w:hAnsi="Arial"/>
          <w:sz w:val="18"/>
          <w:szCs w:val="18"/>
          <w:b w:val="1"/>
          <w:bCs w:val="1"/>
          <w:color w:val="215BA8"/>
        </w:rPr>
        <w:t>When are shareholder proposals due for the 2023 Annual Meeting of Shareholders?</w:t>
      </w:r>
    </w:p>
    <w:p>
      <w:pPr>
        <w:spacing w:after="0" w:line="143" w:lineRule="exact"/>
        <w:rPr>
          <w:sz w:val="20"/>
          <w:szCs w:val="20"/>
          <w:color w:val="auto"/>
        </w:rPr>
      </w:pPr>
    </w:p>
    <w:p>
      <w:pPr>
        <w:ind w:left="540" w:right="40"/>
        <w:spacing w:after="0" w:line="230" w:lineRule="auto"/>
        <w:rPr>
          <w:sz w:val="20"/>
          <w:szCs w:val="20"/>
          <w:color w:val="auto"/>
        </w:rPr>
      </w:pPr>
      <w:r>
        <w:rPr>
          <w:rFonts w:ascii="Arial" w:cs="Arial" w:eastAsia="Arial" w:hAnsi="Arial"/>
          <w:sz w:val="16"/>
          <w:szCs w:val="16"/>
          <w:color w:val="auto"/>
        </w:rPr>
        <w:t>A shareholder wishing to present a proposal at the 2023 Annual Meeting of Shareholders must submit the proposal in writing and it must be received by the Company at its principal executive offices at 777 Old Saw Mill River Road, Tarrytown, New York 10591-6707 by December 22, 2022, and must satisfy the other conditions established by the SEC, in order for such proposal to be considered for inclusion in the Company’s proxy statement and form of proxy relating to that meeting.</w:t>
      </w:r>
    </w:p>
    <w:p>
      <w:pPr>
        <w:spacing w:after="0" w:line="155" w:lineRule="exact"/>
        <w:rPr>
          <w:sz w:val="20"/>
          <w:szCs w:val="20"/>
          <w:color w:val="auto"/>
        </w:rPr>
      </w:pPr>
    </w:p>
    <w:p>
      <w:pPr>
        <w:ind w:left="540"/>
        <w:spacing w:after="0" w:line="231" w:lineRule="auto"/>
        <w:rPr>
          <w:sz w:val="20"/>
          <w:szCs w:val="20"/>
          <w:color w:val="auto"/>
        </w:rPr>
      </w:pPr>
      <w:r>
        <w:rPr>
          <w:rFonts w:ascii="Arial" w:cs="Arial" w:eastAsia="Arial" w:hAnsi="Arial"/>
          <w:sz w:val="16"/>
          <w:szCs w:val="16"/>
          <w:color w:val="auto"/>
        </w:rPr>
        <w:t>Under our Amended and Restated By-Laws, proposals of shareholders intended to be submitted for a formal vote (other than proposals to be included in our proxy statement) at the 2023 Annual Meeting may be made only by a shareholder of record who has given notice of the proposal to the Secretary of the Company at our principal executive offices no earlier than 90 days and no later than 60 days prior to the meeting; provided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560"/>
        <w:spacing w:after="0" w:line="245" w:lineRule="auto"/>
        <w:rPr>
          <w:sz w:val="20"/>
          <w:szCs w:val="20"/>
          <w:color w:val="auto"/>
        </w:rPr>
      </w:pPr>
      <w:r>
        <w:rPr>
          <w:rFonts w:ascii="Arial" w:cs="Arial" w:eastAsia="Arial" w:hAnsi="Arial"/>
          <w:sz w:val="15"/>
          <w:szCs w:val="15"/>
          <w:color w:val="auto"/>
        </w:rPr>
        <w:t>that if less than 70 days’ notice or public disclosure of the date of the 2023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Amended and Restated By-Laws. Assuming our 2023 Annual Meeting is held on June 9, 2023 in accordance with the Company’s past practice, and at least 70 days’ notice or prior public disclosure of the date of the 2023 Annual Meeting is given or made to shareholders, notice of such proposals would need to be given no earlier than March 11, 2023 and no later than April 10, 2023. Any proposal received outside of such dates will not be considered “timely” under the federal proxy rules for purposes of determining whether we may use discretionary authority to vote on such proposal.</w:t>
      </w:r>
    </w:p>
    <w:p>
      <w:pPr>
        <w:spacing w:after="0" w:line="915" w:lineRule="exact"/>
        <w:rPr>
          <w:sz w:val="20"/>
          <w:szCs w:val="20"/>
          <w:color w:val="auto"/>
        </w:rPr>
      </w:pPr>
    </w:p>
    <w:p>
      <w:pPr>
        <w:sectPr>
          <w:pgSz w:w="11900" w:h="16838" w:orient="portrait"/>
          <w:cols w:equalWidth="0" w:num="2">
            <w:col w:w="5420" w:space="400"/>
            <w:col w:w="5420"/>
          </w:cols>
          <w:pgMar w:left="320" w:top="410" w:right="339" w:bottom="1440" w:gutter="0" w:footer="0" w:header="0"/>
          <w:type w:val="continuous"/>
        </w:sect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104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19" w:name="page120"/>
    <w:bookmarkEnd w:id="119"/>
    <w:p>
      <w:pPr>
        <w:ind w:left="7380"/>
        <w:spacing w:after="0"/>
        <w:rPr>
          <w:sz w:val="20"/>
          <w:szCs w:val="20"/>
          <w:color w:val="auto"/>
        </w:rPr>
      </w:pPr>
      <w:r>
        <w:rPr>
          <w:rFonts w:ascii="Arial" w:cs="Arial" w:eastAsia="Arial" w:hAnsi="Arial"/>
          <w:sz w:val="14"/>
          <w:szCs w:val="14"/>
          <w:b w:val="1"/>
          <w:bCs w:val="1"/>
          <w:color w:val="215BA8"/>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540" w:right="800"/>
        <w:spacing w:after="0" w:line="271" w:lineRule="auto"/>
        <w:rPr>
          <w:sz w:val="20"/>
          <w:szCs w:val="20"/>
          <w:color w:val="auto"/>
        </w:rPr>
      </w:pPr>
      <w:r>
        <w:rPr>
          <w:rFonts w:ascii="Arial" w:cs="Arial" w:eastAsia="Arial" w:hAnsi="Arial"/>
          <w:sz w:val="18"/>
          <w:szCs w:val="18"/>
          <w:b w:val="1"/>
          <w:bCs w:val="1"/>
          <w:color w:val="215BA8"/>
        </w:rPr>
        <w:t>What happens if multiple shareholders share an address?</w:t>
      </w:r>
    </w:p>
    <w:p>
      <w:pPr>
        <w:spacing w:after="0" w:line="143" w:lineRule="exact"/>
        <w:rPr>
          <w:sz w:val="20"/>
          <w:szCs w:val="20"/>
          <w:color w:val="auto"/>
        </w:rPr>
      </w:pPr>
    </w:p>
    <w:p>
      <w:pPr>
        <w:ind w:left="540" w:right="40"/>
        <w:spacing w:after="0" w:line="229" w:lineRule="auto"/>
        <w:rPr>
          <w:sz w:val="20"/>
          <w:szCs w:val="20"/>
          <w:color w:val="auto"/>
        </w:rPr>
      </w:pPr>
      <w:r>
        <w:rPr>
          <w:rFonts w:ascii="Arial" w:cs="Arial" w:eastAsia="Arial" w:hAnsi="Arial"/>
          <w:sz w:val="16"/>
          <w:szCs w:val="16"/>
          <w:color w:val="auto"/>
        </w:rPr>
        <w:t>Applicable rules permit brokerage firms and the Company to send one Notice of Internet Availability of Proxy Materials (or one annual report, proxy statement, and Notice of Internet Availability of Proxy Materials in the case of shareholders who have elected to receive paper copies of our proxy materials) to multiple shareholders who share the same address under certain circumstances. This practice is known as “householding.” We believe that householding will provide greater convenience for our shareholders, as well as cost savings for us, by reducing the number of duplicate documents that are sent to your home. Consequently, we have implemented the practice of householding for shares held in “street name” and intend to deliver only one copy of the applicable proxy materials to multiple shareholders sharing the same address. If you wish to receive separate copies of the proxy statement for the 2022 Annual Meeting, the 2021 Annual Report, or the Notice of Internet Availability of Proxy Materials, you may find these materials at our internet website (</w:t>
      </w:r>
      <w:r>
        <w:rPr>
          <w:rFonts w:ascii="Arial" w:cs="Arial" w:eastAsia="Arial" w:hAnsi="Arial"/>
          <w:sz w:val="16"/>
          <w:szCs w:val="16"/>
          <w:b w:val="1"/>
          <w:bCs w:val="1"/>
          <w:color w:val="auto"/>
        </w:rPr>
        <w:t>www.regeneron.com</w:t>
      </w:r>
      <w:r>
        <w:rPr>
          <w:rFonts w:ascii="Arial" w:cs="Arial" w:eastAsia="Arial" w:hAnsi="Arial"/>
          <w:sz w:val="16"/>
          <w:szCs w:val="16"/>
          <w:color w:val="auto"/>
        </w:rPr>
        <w:t>) or you may stop householding for your account and receive separate printed copies of these materials by contacting our Investor Relations Department, at Regeneron Pharmaceuticals, Inc., 777 Old Saw Mill River Road, Tarrytown, New York 10591-6707, or by calling us at 914-847-7000, and these materials will be promptly delivered to you. If you hold shares registered in your name (sometimes called a shareholder of record), you can elect householding for your account by contacting us in the same manner described above. Any shareholder may stop householding for your account by contacting our Investor Relations Department at the address and/or phone number included above. If you revoke your consent, you will be removed from the householding program within 30 days of receipt of your revocation and each shareholder at your address will receive individual copies of our disclosure documents.</w:t>
      </w:r>
    </w:p>
    <w:p>
      <w:pPr>
        <w:spacing w:after="0" w:line="131" w:lineRule="exact"/>
        <w:rPr>
          <w:sz w:val="20"/>
          <w:szCs w:val="20"/>
          <w:color w:val="auto"/>
        </w:rPr>
      </w:pPr>
    </w:p>
    <w:p>
      <w:pPr>
        <w:ind w:left="540" w:right="580"/>
        <w:spacing w:after="0" w:line="271" w:lineRule="auto"/>
        <w:rPr>
          <w:sz w:val="20"/>
          <w:szCs w:val="20"/>
          <w:color w:val="auto"/>
        </w:rPr>
      </w:pPr>
      <w:r>
        <w:rPr>
          <w:rFonts w:ascii="Arial" w:cs="Arial" w:eastAsia="Arial" w:hAnsi="Arial"/>
          <w:sz w:val="18"/>
          <w:szCs w:val="18"/>
          <w:b w:val="1"/>
          <w:bCs w:val="1"/>
          <w:color w:val="215BA8"/>
        </w:rPr>
        <w:t>Are there any other matters to be addressed at the Annual Meeting?</w:t>
      </w:r>
    </w:p>
    <w:p>
      <w:pPr>
        <w:spacing w:after="0" w:line="143" w:lineRule="exact"/>
        <w:rPr>
          <w:sz w:val="20"/>
          <w:szCs w:val="20"/>
          <w:color w:val="auto"/>
        </w:rPr>
      </w:pPr>
    </w:p>
    <w:p>
      <w:pPr>
        <w:ind w:left="540" w:right="80"/>
        <w:spacing w:after="0" w:line="230" w:lineRule="auto"/>
        <w:rPr>
          <w:sz w:val="20"/>
          <w:szCs w:val="20"/>
          <w:color w:val="auto"/>
        </w:rPr>
      </w:pPr>
      <w:r>
        <w:rPr>
          <w:rFonts w:ascii="Arial" w:cs="Arial" w:eastAsia="Arial" w:hAnsi="Arial"/>
          <w:sz w:val="16"/>
          <w:szCs w:val="16"/>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215BA8"/>
        </w:rPr>
        <w:t>How can you receive a printed copy of the Company’s 2021 Annual Report?</w:t>
      </w:r>
    </w:p>
    <w:p>
      <w:pPr>
        <w:spacing w:after="0" w:line="123" w:lineRule="exact"/>
        <w:rPr>
          <w:sz w:val="20"/>
          <w:szCs w:val="20"/>
          <w:color w:val="auto"/>
        </w:rPr>
      </w:pPr>
    </w:p>
    <w:p>
      <w:pPr>
        <w:ind w:right="580"/>
        <w:spacing w:after="0" w:line="234" w:lineRule="auto"/>
        <w:rPr>
          <w:sz w:val="20"/>
          <w:szCs w:val="20"/>
          <w:color w:val="auto"/>
        </w:rPr>
      </w:pPr>
      <w:r>
        <w:rPr>
          <w:rFonts w:ascii="Arial" w:cs="Arial" w:eastAsia="Arial" w:hAnsi="Arial"/>
          <w:sz w:val="16"/>
          <w:szCs w:val="16"/>
          <w:b w:val="1"/>
          <w:bCs w:val="1"/>
          <w:color w:val="auto"/>
        </w:rPr>
        <w:t>Interested shareholders may obtain without charge a copy of our 2021 Annual Report (without exhibits), which includes our audited financial statements for the fiscal year ended December 31, 2021, required to be filed with the SEC, by making a written request to Regeneron Pharmaceuticals, Inc., 777 Old Saw Mill River Road, Tarrytown, New York 10591-6707, Attention: Investor Relations, or by calling our Investor Relations Department at (914) 847-7000.</w:t>
      </w:r>
    </w:p>
    <w:p>
      <w:pPr>
        <w:spacing w:after="0" w:line="121" w:lineRule="exact"/>
        <w:rPr>
          <w:sz w:val="20"/>
          <w:szCs w:val="20"/>
          <w:color w:val="auto"/>
        </w:rPr>
      </w:pPr>
    </w:p>
    <w:p>
      <w:pPr>
        <w:ind w:right="1100"/>
        <w:spacing w:after="0" w:line="271" w:lineRule="auto"/>
        <w:rPr>
          <w:sz w:val="20"/>
          <w:szCs w:val="20"/>
          <w:color w:val="auto"/>
        </w:rPr>
      </w:pPr>
      <w:r>
        <w:rPr>
          <w:rFonts w:ascii="Arial" w:cs="Arial" w:eastAsia="Arial" w:hAnsi="Arial"/>
          <w:sz w:val="18"/>
          <w:szCs w:val="18"/>
          <w:b w:val="1"/>
          <w:bCs w:val="1"/>
          <w:color w:val="215BA8"/>
        </w:rPr>
        <w:t>How do you elect to receive future proxy materials electronically?</w:t>
      </w:r>
    </w:p>
    <w:p>
      <w:pPr>
        <w:spacing w:after="0" w:line="143" w:lineRule="exact"/>
        <w:rPr>
          <w:sz w:val="20"/>
          <w:szCs w:val="20"/>
          <w:color w:val="auto"/>
        </w:rPr>
      </w:pPr>
    </w:p>
    <w:p>
      <w:pPr>
        <w:ind w:right="600"/>
        <w:spacing w:after="0" w:line="230" w:lineRule="auto"/>
        <w:rPr>
          <w:sz w:val="20"/>
          <w:szCs w:val="20"/>
          <w:color w:val="auto"/>
        </w:rPr>
      </w:pPr>
      <w:r>
        <w:rPr>
          <w:rFonts w:ascii="Arial" w:cs="Arial" w:eastAsia="Arial" w:hAnsi="Arial"/>
          <w:sz w:val="16"/>
          <w:szCs w:val="16"/>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66" w:lineRule="exact"/>
        <w:rPr>
          <w:sz w:val="20"/>
          <w:szCs w:val="20"/>
          <w:color w:val="auto"/>
        </w:rPr>
      </w:pPr>
    </w:p>
    <w:p>
      <w:pPr>
        <w:ind w:right="540"/>
        <w:spacing w:after="0" w:line="230" w:lineRule="auto"/>
        <w:rPr>
          <w:sz w:val="20"/>
          <w:szCs w:val="20"/>
          <w:color w:val="auto"/>
        </w:rPr>
      </w:pPr>
      <w:r>
        <w:rPr>
          <w:rFonts w:ascii="Arial" w:cs="Arial" w:eastAsia="Arial" w:hAnsi="Arial"/>
          <w:sz w:val="16"/>
          <w:szCs w:val="16"/>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6"/>
          <w:szCs w:val="16"/>
          <w:b w:val="1"/>
          <w:bCs w:val="1"/>
          <w:color w:val="auto"/>
        </w:rPr>
        <w:t>www.proxyvote.com</w:t>
      </w:r>
      <w:r>
        <w:rPr>
          <w:rFonts w:ascii="Arial" w:cs="Arial" w:eastAsia="Arial" w:hAnsi="Arial"/>
          <w:sz w:val="16"/>
          <w:szCs w:val="16"/>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105</w:t>
      </w:r>
    </w:p>
    <w:p>
      <w:pPr>
        <w:sectPr>
          <w:pgSz w:w="11900" w:h="16838" w:orient="portrait"/>
          <w:cols w:equalWidth="0" w:num="2">
            <w:col w:w="5440" w:space="380"/>
            <w:col w:w="5420"/>
          </w:cols>
          <w:pgMar w:left="320" w:top="410" w:right="339" w:bottom="1440" w:gutter="0" w:footer="0" w:header="0"/>
          <w:type w:val="continuous"/>
        </w:sectPr>
      </w:pPr>
    </w:p>
    <w:bookmarkStart w:id="120" w:name="page121"/>
    <w:bookmarkEnd w:id="120"/>
    <w:p>
      <w:pPr>
        <w:ind w:left="1400"/>
        <w:spacing w:after="0"/>
        <w:rPr>
          <w:sz w:val="20"/>
          <w:szCs w:val="20"/>
          <w:color w:val="auto"/>
        </w:rPr>
      </w:pPr>
      <w:r>
        <w:rPr>
          <w:rFonts w:ascii="Arial" w:cs="Arial" w:eastAsia="Arial" w:hAnsi="Arial"/>
          <w:sz w:val="47"/>
          <w:szCs w:val="47"/>
          <w:b w:val="1"/>
          <w:bCs w:val="1"/>
          <w:color w:val="215AA8"/>
        </w:rPr>
        <w:drawing>
          <wp:anchor simplePos="0" relativeHeight="251657728" behindDoc="1" locked="0" layoutInCell="0" allowOverlap="1">
            <wp:simplePos x="0" y="0"/>
            <wp:positionH relativeFrom="page">
              <wp:posOffset>345440</wp:posOffset>
            </wp:positionH>
            <wp:positionV relativeFrom="page">
              <wp:posOffset>268605</wp:posOffset>
            </wp:positionV>
            <wp:extent cx="6858000" cy="11918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1191895"/>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Note Regarding Forward-Looking Statements and Non-GAAP Financial Measures</w:t>
      </w:r>
    </w:p>
    <w:p>
      <w:pPr>
        <w:spacing w:after="0" w:line="201" w:lineRule="exact"/>
        <w:rPr>
          <w:sz w:val="20"/>
          <w:szCs w:val="20"/>
          <w:color w:val="auto"/>
        </w:rPr>
      </w:pPr>
    </w:p>
    <w:p>
      <w:pPr>
        <w:ind w:left="540" w:right="540"/>
        <w:spacing w:after="0" w:line="243" w:lineRule="auto"/>
        <w:rPr>
          <w:sz w:val="20"/>
          <w:szCs w:val="20"/>
          <w:color w:val="auto"/>
        </w:rPr>
      </w:pPr>
      <w:r>
        <w:rPr>
          <w:rFonts w:ascii="Arial" w:cs="Arial" w:eastAsia="Arial" w:hAnsi="Arial"/>
          <w:sz w:val="15"/>
          <w:szCs w:val="15"/>
          <w:color w:val="auto"/>
        </w:rPr>
        <w:t>This proxy statement includes forward-looking statements that involve risks and uncertainties relating to future events and the future performance of Regeneron Pharmaceuticals, Inc. (where applicable, together with its subsidiaries,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impact of SARS-CoV-2 (the virus that has caused the COVID-19 pandemic) on Regeneron’s business and its employees, collaborators, and suppliers and other third parties on which Regeneron relies, Regeneron’s and its collaborators’ ability to continue to conduct research and clinical programs, Regeneron’s ability to manage its supply chain, net product sales of products marketed or otherwise commercialized by Regeneron and/or its collaborators or licensees (collectively, “Regeneron’s Products”), and the global economy; the nature, timing, and possible success and therapeutic applications of Regeneron’s Products and product candidates being developed by Regeneron and/or its collaborators or licensees (collectively,</w:t>
      </w:r>
    </w:p>
    <w:p>
      <w:pPr>
        <w:spacing w:after="0" w:line="5" w:lineRule="exact"/>
        <w:rPr>
          <w:sz w:val="20"/>
          <w:szCs w:val="20"/>
          <w:color w:val="auto"/>
        </w:rPr>
      </w:pPr>
    </w:p>
    <w:p>
      <w:pPr>
        <w:ind w:left="540" w:right="860"/>
        <w:spacing w:after="0" w:line="180" w:lineRule="auto"/>
        <w:rPr>
          <w:sz w:val="20"/>
          <w:szCs w:val="20"/>
          <w:color w:val="auto"/>
        </w:rPr>
      </w:pPr>
      <w:r>
        <w:rPr>
          <w:rFonts w:ascii="Arial" w:cs="Arial" w:eastAsia="Arial" w:hAnsi="Arial"/>
          <w:sz w:val="15"/>
          <w:szCs w:val="15"/>
          <w:color w:val="auto"/>
        </w:rPr>
        <w:t>“Regeneron’s Product Candidates”) and research and clinical programs now underway or planned, including without limitation EYLEA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(aflibercept) Injection, Dupixent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(dupilumab), Libtayo</w:t>
      </w:r>
      <w:r>
        <w:rPr>
          <w:rFonts w:ascii="Arial" w:cs="Arial" w:eastAsia="Arial" w:hAnsi="Arial"/>
          <w:sz w:val="25"/>
          <w:szCs w:val="25"/>
          <w:color w:val="auto"/>
          <w:vertAlign w:val="superscript"/>
        </w:rPr>
        <w:t>®</w:t>
      </w:r>
      <w:r>
        <w:rPr>
          <w:rFonts w:ascii="Arial" w:cs="Arial" w:eastAsia="Arial" w:hAnsi="Arial"/>
          <w:sz w:val="15"/>
          <w:szCs w:val="15"/>
          <w:color w:val="auto"/>
        </w:rPr>
        <w:t xml:space="preserve"> (cemiplimab), Praluent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(alirocumab), Kevzara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(sarilumab), Evkeeza</w:t>
      </w:r>
      <w:r>
        <w:rPr>
          <w:rFonts w:ascii="Arial" w:cs="Arial" w:eastAsia="Arial" w:hAnsi="Arial"/>
          <w:sz w:val="25"/>
          <w:szCs w:val="25"/>
          <w:color w:val="auto"/>
          <w:vertAlign w:val="superscript"/>
        </w:rPr>
        <w:t>®</w:t>
      </w:r>
      <w:r>
        <w:rPr>
          <w:rFonts w:ascii="Arial" w:cs="Arial" w:eastAsia="Arial" w:hAnsi="Arial"/>
          <w:sz w:val="15"/>
          <w:szCs w:val="15"/>
          <w:color w:val="auto"/>
        </w:rPr>
        <w:t xml:space="preserve"> (evinacumab),</w:t>
      </w:r>
    </w:p>
    <w:p>
      <w:pPr>
        <w:spacing w:after="0" w:line="1" w:lineRule="exact"/>
        <w:rPr>
          <w:sz w:val="20"/>
          <w:szCs w:val="20"/>
          <w:color w:val="auto"/>
        </w:rPr>
      </w:pPr>
    </w:p>
    <w:p>
      <w:pPr>
        <w:ind w:left="540" w:right="560"/>
        <w:spacing w:after="0" w:line="226" w:lineRule="auto"/>
        <w:rPr>
          <w:sz w:val="20"/>
          <w:szCs w:val="20"/>
          <w:color w:val="auto"/>
        </w:rPr>
      </w:pPr>
      <w:r>
        <w:rPr>
          <w:rFonts w:ascii="Arial" w:cs="Arial" w:eastAsia="Arial" w:hAnsi="Arial"/>
          <w:sz w:val="16"/>
          <w:szCs w:val="16"/>
          <w:color w:val="auto"/>
        </w:rPr>
        <w:t>Inmazeb</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(atoltivimab, maftivimab, and odesivimab-ebgn), REGEN-COV</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(casirivimab and imdevimab), aflibercept 8 mg, fasinumab, pozelimab, odronextamab, itepekimab, REGN5458, REGN5713-5714-5715, REGN1908-1909, Regeneron’s other oncology programs (including its costimulatory bispecific portfolio), Regeneron’s and its collaborators’ earlier-stage programs, and the use of human genetics in Regeneron’s research programs; the likelihood and timing of achieving any of Regeneron’s anticipated development and production milestones; safety issues resulting from the administration of Regeneron’s Products and Regeneron’s Product Candidates in patients, including serious complications or side effects in connection with the use of Regeneron’s Products and Regeneron’s Product Candidates in clinical trials; the likelihood, timing, and scope of possible regulatory approval and commercial launch of Regeneron’s Product Candidates and new indications for Regeneron’s Products, including without limitation those listed above; the extent to which the results from the research and development programs conducted by Regeneron and/or its collaborators may be replicated in other studies and/ 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effective than, Regeneron’s Products and Regeneron’s Product Candidates; uncertainty of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licensees,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payors, including private payor healthcare and insurance programs, health maintenance organizations, pharmacy benefit management companies, and government programs such as Medicare and Medicaid; coverage and reimbursement determinations by such payors and new policies and procedures adopted by such payors; unanticipated expenses; the costs of developing, producing, and selling products; the ability of Regeneron to meet any of its financial projections or guidance, and changes to the assumptions underlying those projections or guidance; the potential for any license or collaboration agreement, including Regeneron’s agreements with Sanofi, Bayer, and Teva Pharmaceutical Industries Ltd. (or their respective affiliated companies, as applicable), as well as Regeneron’s agreement with Roche relating to the casirivimab and imdevimab antibody cocktail (known as REGEN-COV in the United States and Ronapreve™ in other countries), to</w:t>
      </w:r>
    </w:p>
    <w:p>
      <w:pPr>
        <w:spacing w:after="0" w:line="179"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106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21" w:name="page122"/>
    <w:bookmarkEnd w:id="121"/>
    <w:p>
      <w:pPr>
        <w:ind w:left="9820"/>
        <w:spacing w:after="0"/>
        <w:rPr>
          <w:sz w:val="20"/>
          <w:szCs w:val="20"/>
          <w:color w:val="auto"/>
        </w:rPr>
      </w:pPr>
      <w:r>
        <w:rPr>
          <w:rFonts w:ascii="Arial" w:cs="Arial" w:eastAsia="Arial" w:hAnsi="Arial"/>
          <w:sz w:val="14"/>
          <w:szCs w:val="14"/>
          <w:b w:val="1"/>
          <w:bCs w:val="1"/>
          <w:color w:val="215BA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540" w:right="540"/>
        <w:spacing w:after="0" w:line="230" w:lineRule="auto"/>
        <w:rPr>
          <w:sz w:val="20"/>
          <w:szCs w:val="20"/>
          <w:color w:val="auto"/>
        </w:rPr>
      </w:pPr>
      <w:r>
        <w:rPr>
          <w:rFonts w:ascii="Arial" w:cs="Arial" w:eastAsia="Arial" w:hAnsi="Arial"/>
          <w:sz w:val="16"/>
          <w:szCs w:val="16"/>
          <w:color w:val="auto"/>
        </w:rPr>
        <w:t>be cancelled or terminated; and risks associated with intellectual property of other parties and pending or future litigation relating thereto (including without limitation the patent litigation and other related proceedings relating to EYLEA, Dupixent, Praluent, and REGEN-COV), other litigation and other proceedings and government investigations relating to the Company and/or its operations,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2021, including in the section thereof captioned “Item 1A. Risk Factors.”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whether as a result of new information, future events, or otherwise.</w:t>
      </w:r>
    </w:p>
    <w:p>
      <w:pPr>
        <w:spacing w:after="0" w:line="155" w:lineRule="exact"/>
        <w:rPr>
          <w:sz w:val="20"/>
          <w:szCs w:val="20"/>
          <w:color w:val="auto"/>
        </w:rPr>
      </w:pPr>
    </w:p>
    <w:p>
      <w:pPr>
        <w:ind w:left="540" w:right="540"/>
        <w:spacing w:after="0" w:line="230" w:lineRule="auto"/>
        <w:rPr>
          <w:sz w:val="20"/>
          <w:szCs w:val="20"/>
          <w:color w:val="auto"/>
        </w:rPr>
      </w:pPr>
      <w:r>
        <w:rPr>
          <w:rFonts w:ascii="Arial" w:cs="Arial" w:eastAsia="Arial" w:hAnsi="Arial"/>
          <w:sz w:val="16"/>
          <w:szCs w:val="16"/>
          <w:color w:val="auto"/>
        </w:rPr>
        <w:t>This proxy statement uses non-GAAP net income, non-GAAP net income per share, and total revenues excluding REGEN-COV,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estimated income tax effect of reconciling items. 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items that are not associated with normal, recurring operations (such as changes in applicable laws and regulations).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20"/>
                <w:szCs w:val="20"/>
                <w:color w:val="auto"/>
              </w:rPr>
            </w:pPr>
            <w:r>
              <w:rPr>
                <w:rFonts w:ascii="Arial" w:cs="Arial" w:eastAsia="Arial" w:hAnsi="Arial"/>
                <w:sz w:val="14"/>
                <w:szCs w:val="14"/>
                <w:b w:val="1"/>
                <w:bCs w:val="1"/>
                <w:color w:val="215BA8"/>
              </w:rPr>
              <w:t>2022 PROXY STATEMENT AND NOTICE OF ANNUAL SHAREHOLDER MEETING</w:t>
            </w:r>
          </w:p>
        </w:tc>
        <w:tc>
          <w:tcPr>
            <w:tcW w:w="3080" w:type="dxa"/>
            <w:vAlign w:val="bottom"/>
          </w:tcPr>
          <w:p>
            <w:pPr>
              <w:jc w:val="right"/>
              <w:spacing w:after="0"/>
              <w:rPr>
                <w:sz w:val="20"/>
                <w:szCs w:val="20"/>
                <w:color w:val="auto"/>
              </w:rPr>
            </w:pPr>
            <w:r>
              <w:rPr>
                <w:rFonts w:ascii="Arial" w:cs="Arial" w:eastAsia="Arial" w:hAnsi="Arial"/>
                <w:sz w:val="14"/>
                <w:szCs w:val="14"/>
                <w:b w:val="1"/>
                <w:bCs w:val="1"/>
                <w:color w:val="00ADEE"/>
              </w:rPr>
              <w:t xml:space="preserve">/ </w:t>
            </w:r>
            <w:r>
              <w:rPr>
                <w:rFonts w:ascii="Arial" w:cs="Arial" w:eastAsia="Arial" w:hAnsi="Arial"/>
                <w:sz w:val="14"/>
                <w:szCs w:val="14"/>
                <w:b w:val="1"/>
                <w:bCs w:val="1"/>
                <w:color w:val="000000"/>
              </w:rPr>
              <w:t>107</w:t>
            </w:r>
          </w:p>
        </w:tc>
      </w:tr>
      <w:tr>
        <w:trPr>
          <w:trHeight w:val="235"/>
        </w:trPr>
        <w:tc>
          <w:tcPr>
            <w:tcW w:w="8160" w:type="dxa"/>
            <w:vAlign w:val="bottom"/>
            <w:tcBorders>
              <w:bottom w:val="single" w:sz="8" w:color="C0C0C0"/>
            </w:tcBorders>
          </w:tcPr>
          <w:p>
            <w:pPr>
              <w:spacing w:after="0"/>
              <w:rPr>
                <w:sz w:val="20"/>
                <w:szCs w:val="20"/>
                <w:color w:val="auto"/>
              </w:rPr>
            </w:pPr>
          </w:p>
        </w:tc>
        <w:tc>
          <w:tcPr>
            <w:tcW w:w="30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10" w:right="339" w:bottom="1440" w:gutter="0" w:footer="0" w:header="0"/>
          <w:type w:val="continuous"/>
        </w:sectPr>
      </w:pPr>
    </w:p>
    <w:bookmarkStart w:id="122" w:name="page123"/>
    <w:bookmarkEnd w:id="122"/>
    <w:p>
      <w:pPr>
        <w:ind w:left="540"/>
        <w:spacing w:after="0"/>
        <w:rPr>
          <w:sz w:val="20"/>
          <w:szCs w:val="20"/>
          <w:color w:val="auto"/>
        </w:rPr>
      </w:pPr>
      <w:r>
        <w:rPr>
          <w:rFonts w:ascii="Arial" w:cs="Arial" w:eastAsia="Arial" w:hAnsi="Arial"/>
          <w:sz w:val="14"/>
          <w:szCs w:val="14"/>
          <w:b w:val="1"/>
          <w:bCs w:val="1"/>
          <w:color w:val="215BA8"/>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215BA8"/>
        </w:rPr>
        <w:t>Reconciliation of GAAP to Non-GAAP Financial Information (Unaudited) (In millions, except per share data)</w:t>
      </w:r>
    </w:p>
    <w:p>
      <w:pPr>
        <w:spacing w:after="0" w:line="191" w:lineRule="exact"/>
        <w:rPr>
          <w:sz w:val="20"/>
          <w:szCs w:val="20"/>
          <w:color w:val="auto"/>
        </w:rPr>
      </w:pPr>
    </w:p>
    <w:tbl>
      <w:tblPr>
        <w:tblLayout w:type="fixed"/>
        <w:tblInd w:w="540" w:type="dxa"/>
        <w:tblCellMar>
          <w:top w:w="0" w:type="dxa"/>
          <w:left w:w="0" w:type="dxa"/>
          <w:bottom w:w="0" w:type="dxa"/>
          <w:right w:w="0" w:type="dxa"/>
        </w:tblCellMar>
      </w:tblPr>
      <w:tr>
        <w:trPr>
          <w:trHeight w:val="138"/>
        </w:trPr>
        <w:tc>
          <w:tcPr>
            <w:tcW w:w="7360" w:type="dxa"/>
            <w:vAlign w:val="bottom"/>
          </w:tcPr>
          <w:p>
            <w:pPr>
              <w:spacing w:after="0"/>
              <w:rPr>
                <w:sz w:val="12"/>
                <w:szCs w:val="12"/>
                <w:color w:val="auto"/>
              </w:rPr>
            </w:pPr>
          </w:p>
        </w:tc>
        <w:tc>
          <w:tcPr>
            <w:tcW w:w="420" w:type="dxa"/>
            <w:vAlign w:val="bottom"/>
            <w:tcBorders>
              <w:bottom w:val="single" w:sz="8" w:color="215AA8"/>
            </w:tcBorders>
          </w:tcPr>
          <w:p>
            <w:pPr>
              <w:spacing w:after="0"/>
              <w:rPr>
                <w:sz w:val="12"/>
                <w:szCs w:val="12"/>
                <w:color w:val="auto"/>
              </w:rPr>
            </w:pPr>
          </w:p>
        </w:tc>
        <w:tc>
          <w:tcPr>
            <w:tcW w:w="2380" w:type="dxa"/>
            <w:vAlign w:val="bottom"/>
            <w:tcBorders>
              <w:bottom w:val="single" w:sz="8" w:color="215AA8"/>
            </w:tcBorders>
            <w:gridSpan w:val="3"/>
          </w:tcPr>
          <w:p>
            <w:pPr>
              <w:jc w:val="right"/>
              <w:ind w:right="655"/>
              <w:spacing w:after="0"/>
              <w:rPr>
                <w:sz w:val="20"/>
                <w:szCs w:val="20"/>
                <w:color w:val="auto"/>
              </w:rPr>
            </w:pPr>
            <w:r>
              <w:rPr>
                <w:rFonts w:ascii="Arial" w:cs="Arial" w:eastAsia="Arial" w:hAnsi="Arial"/>
                <w:sz w:val="12"/>
                <w:szCs w:val="12"/>
                <w:color w:val="215BA8"/>
              </w:rPr>
              <w:t>Year Ended December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215AA8"/>
            </w:tcBorders>
          </w:tcPr>
          <w:p>
            <w:pPr>
              <w:spacing w:after="0"/>
              <w:rPr>
                <w:sz w:val="12"/>
                <w:szCs w:val="12"/>
                <w:color w:val="auto"/>
              </w:rPr>
            </w:pPr>
          </w:p>
        </w:tc>
        <w:tc>
          <w:tcPr>
            <w:tcW w:w="420" w:type="dxa"/>
            <w:vAlign w:val="bottom"/>
            <w:tcBorders>
              <w:bottom w:val="single" w:sz="8" w:color="215AA8"/>
            </w:tcBorders>
          </w:tcPr>
          <w:p>
            <w:pPr>
              <w:spacing w:after="0"/>
              <w:rPr>
                <w:sz w:val="12"/>
                <w:szCs w:val="12"/>
                <w:color w:val="auto"/>
              </w:rPr>
            </w:pPr>
          </w:p>
        </w:tc>
        <w:tc>
          <w:tcPr>
            <w:tcW w:w="980" w:type="dxa"/>
            <w:vAlign w:val="bottom"/>
            <w:tcBorders>
              <w:bottom w:val="single" w:sz="8" w:color="215AA8"/>
            </w:tcBorders>
          </w:tcPr>
          <w:p>
            <w:pPr>
              <w:jc w:val="right"/>
              <w:ind w:right="555"/>
              <w:spacing w:after="0"/>
              <w:rPr>
                <w:sz w:val="20"/>
                <w:szCs w:val="20"/>
                <w:color w:val="auto"/>
              </w:rPr>
            </w:pPr>
            <w:r>
              <w:rPr>
                <w:rFonts w:ascii="Arial" w:cs="Arial" w:eastAsia="Arial" w:hAnsi="Arial"/>
                <w:sz w:val="12"/>
                <w:szCs w:val="12"/>
                <w:color w:val="215BA8"/>
              </w:rPr>
              <w:t>2021</w:t>
            </w:r>
          </w:p>
        </w:tc>
        <w:tc>
          <w:tcPr>
            <w:tcW w:w="560" w:type="dxa"/>
            <w:vAlign w:val="bottom"/>
            <w:tcBorders>
              <w:bottom w:val="single" w:sz="8" w:color="215AA8"/>
            </w:tcBorders>
          </w:tcPr>
          <w:p>
            <w:pPr>
              <w:spacing w:after="0"/>
              <w:rPr>
                <w:sz w:val="12"/>
                <w:szCs w:val="12"/>
                <w:color w:val="auto"/>
              </w:rPr>
            </w:pPr>
          </w:p>
        </w:tc>
        <w:tc>
          <w:tcPr>
            <w:tcW w:w="840" w:type="dxa"/>
            <w:vAlign w:val="bottom"/>
            <w:tcBorders>
              <w:bottom w:val="single" w:sz="8" w:color="215AA8"/>
            </w:tcBorders>
          </w:tcPr>
          <w:p>
            <w:pPr>
              <w:jc w:val="right"/>
              <w:ind w:right="415"/>
              <w:spacing w:after="0"/>
              <w:rPr>
                <w:sz w:val="20"/>
                <w:szCs w:val="20"/>
                <w:color w:val="auto"/>
              </w:rPr>
            </w:pPr>
            <w:r>
              <w:rPr>
                <w:rFonts w:ascii="Arial" w:cs="Arial" w:eastAsia="Arial" w:hAnsi="Arial"/>
                <w:sz w:val="12"/>
                <w:szCs w:val="12"/>
                <w:color w:val="215BA8"/>
              </w:rPr>
              <w:t>2020</w:t>
            </w:r>
          </w:p>
        </w:tc>
        <w:tc>
          <w:tcPr>
            <w:tcW w:w="0" w:type="dxa"/>
            <w:vAlign w:val="bottom"/>
          </w:tcPr>
          <w:p>
            <w:pPr>
              <w:spacing w:after="0"/>
              <w:rPr>
                <w:sz w:val="1"/>
                <w:szCs w:val="1"/>
                <w:color w:val="auto"/>
              </w:rPr>
            </w:pPr>
          </w:p>
        </w:tc>
      </w:tr>
      <w:tr>
        <w:trPr>
          <w:trHeight w:val="142"/>
        </w:trPr>
        <w:tc>
          <w:tcPr>
            <w:tcW w:w="7360" w:type="dxa"/>
            <w:vAlign w:val="bottom"/>
          </w:tcPr>
          <w:p>
            <w:pPr>
              <w:ind w:left="60"/>
              <w:spacing w:after="0" w:line="142" w:lineRule="exact"/>
              <w:rPr>
                <w:sz w:val="20"/>
                <w:szCs w:val="20"/>
                <w:color w:val="auto"/>
              </w:rPr>
            </w:pPr>
            <w:r>
              <w:rPr>
                <w:rFonts w:ascii="Arial" w:cs="Arial" w:eastAsia="Arial" w:hAnsi="Arial"/>
                <w:sz w:val="13"/>
                <w:szCs w:val="13"/>
                <w:color w:val="auto"/>
              </w:rPr>
              <w:t>GAAP R&amp;D</w:t>
            </w: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435"/>
              <w:spacing w:after="0" w:line="142" w:lineRule="exact"/>
              <w:rPr>
                <w:sz w:val="20"/>
                <w:szCs w:val="20"/>
                <w:color w:val="auto"/>
              </w:rPr>
            </w:pPr>
            <w:r>
              <w:rPr>
                <w:rFonts w:ascii="Arial" w:cs="Arial" w:eastAsia="Arial" w:hAnsi="Arial"/>
                <w:sz w:val="13"/>
                <w:szCs w:val="13"/>
                <w:color w:val="auto"/>
              </w:rPr>
              <w:t>2,908.1</w:t>
            </w: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35"/>
              <w:spacing w:after="0" w:line="142" w:lineRule="exact"/>
              <w:rPr>
                <w:sz w:val="20"/>
                <w:szCs w:val="20"/>
                <w:color w:val="auto"/>
              </w:rPr>
            </w:pPr>
            <w:r>
              <w:rPr>
                <w:rFonts w:ascii="Arial" w:cs="Arial" w:eastAsia="Arial" w:hAnsi="Arial"/>
                <w:sz w:val="13"/>
                <w:szCs w:val="13"/>
                <w:color w:val="auto"/>
                <w:w w:val="96"/>
              </w:rPr>
              <w:t>2,735.0</w:t>
            </w:r>
          </w:p>
        </w:tc>
        <w:tc>
          <w:tcPr>
            <w:tcW w:w="0" w:type="dxa"/>
            <w:vAlign w:val="bottom"/>
          </w:tcPr>
          <w:p>
            <w:pPr>
              <w:spacing w:after="0"/>
              <w:rPr>
                <w:sz w:val="1"/>
                <w:szCs w:val="1"/>
                <w:color w:val="auto"/>
              </w:rPr>
            </w:pPr>
          </w:p>
        </w:tc>
      </w:tr>
      <w:tr>
        <w:trPr>
          <w:trHeight w:val="149"/>
        </w:trPr>
        <w:tc>
          <w:tcPr>
            <w:tcW w:w="7360" w:type="dxa"/>
            <w:vAlign w:val="bottom"/>
            <w:shd w:val="clear" w:color="auto" w:fill="EEEEEF"/>
          </w:tcPr>
          <w:p>
            <w:pPr>
              <w:ind w:left="180"/>
              <w:spacing w:after="0"/>
              <w:rPr>
                <w:sz w:val="20"/>
                <w:szCs w:val="20"/>
                <w:color w:val="auto"/>
              </w:rPr>
            </w:pPr>
            <w:r>
              <w:rPr>
                <w:rFonts w:ascii="Arial" w:cs="Arial" w:eastAsia="Arial" w:hAnsi="Arial"/>
                <w:sz w:val="13"/>
                <w:szCs w:val="13"/>
                <w:color w:val="auto"/>
              </w:rPr>
              <w:t>R&amp;D: Non-cash share-based compensation expense</w:t>
            </w:r>
          </w:p>
        </w:tc>
        <w:tc>
          <w:tcPr>
            <w:tcW w:w="420" w:type="dxa"/>
            <w:vAlign w:val="bottom"/>
            <w:shd w:val="clear" w:color="auto" w:fill="EEEEEF"/>
          </w:tcPr>
          <w:p>
            <w:pPr>
              <w:spacing w:after="0"/>
              <w:rPr>
                <w:sz w:val="12"/>
                <w:szCs w:val="12"/>
                <w:color w:val="auto"/>
              </w:rPr>
            </w:pPr>
          </w:p>
        </w:tc>
        <w:tc>
          <w:tcPr>
            <w:tcW w:w="980" w:type="dxa"/>
            <w:vAlign w:val="bottom"/>
            <w:shd w:val="clear" w:color="auto" w:fill="EEEEEF"/>
          </w:tcPr>
          <w:p>
            <w:pPr>
              <w:jc w:val="right"/>
              <w:ind w:right="435"/>
              <w:spacing w:after="0"/>
              <w:rPr>
                <w:sz w:val="20"/>
                <w:szCs w:val="20"/>
                <w:color w:val="auto"/>
              </w:rPr>
            </w:pPr>
            <w:r>
              <w:rPr>
                <w:rFonts w:ascii="Arial" w:cs="Arial" w:eastAsia="Arial" w:hAnsi="Arial"/>
                <w:sz w:val="13"/>
                <w:szCs w:val="13"/>
                <w:color w:val="auto"/>
              </w:rPr>
              <w:t>316.6</w:t>
            </w:r>
          </w:p>
        </w:tc>
        <w:tc>
          <w:tcPr>
            <w:tcW w:w="560" w:type="dxa"/>
            <w:vAlign w:val="bottom"/>
            <w:shd w:val="clear" w:color="auto" w:fill="EEEEEF"/>
          </w:tcPr>
          <w:p>
            <w:pPr>
              <w:spacing w:after="0"/>
              <w:rPr>
                <w:sz w:val="12"/>
                <w:szCs w:val="12"/>
                <w:color w:val="auto"/>
              </w:rPr>
            </w:pPr>
          </w:p>
        </w:tc>
        <w:tc>
          <w:tcPr>
            <w:tcW w:w="840" w:type="dxa"/>
            <w:vAlign w:val="bottom"/>
            <w:shd w:val="clear" w:color="auto" w:fill="EEEEEF"/>
          </w:tcPr>
          <w:p>
            <w:pPr>
              <w:jc w:val="right"/>
              <w:ind w:right="335"/>
              <w:spacing w:after="0"/>
              <w:rPr>
                <w:sz w:val="20"/>
                <w:szCs w:val="20"/>
                <w:color w:val="auto"/>
              </w:rPr>
            </w:pPr>
            <w:r>
              <w:rPr>
                <w:rFonts w:ascii="Arial" w:cs="Arial" w:eastAsia="Arial" w:hAnsi="Arial"/>
                <w:sz w:val="13"/>
                <w:szCs w:val="13"/>
                <w:color w:val="auto"/>
              </w:rPr>
              <w:t>238.6</w:t>
            </w:r>
          </w:p>
        </w:tc>
        <w:tc>
          <w:tcPr>
            <w:tcW w:w="0" w:type="dxa"/>
            <w:vAlign w:val="bottom"/>
          </w:tcPr>
          <w:p>
            <w:pPr>
              <w:spacing w:after="0"/>
              <w:rPr>
                <w:sz w:val="1"/>
                <w:szCs w:val="1"/>
                <w:color w:val="auto"/>
              </w:rPr>
            </w:pPr>
          </w:p>
        </w:tc>
      </w:tr>
      <w:tr>
        <w:trPr>
          <w:trHeight w:val="162"/>
        </w:trPr>
        <w:tc>
          <w:tcPr>
            <w:tcW w:w="7360" w:type="dxa"/>
            <w:vAlign w:val="bottom"/>
            <w:tcBorders>
              <w:bottom w:val="single" w:sz="8" w:color="EEEEEF"/>
            </w:tcBorders>
          </w:tcPr>
          <w:p>
            <w:pPr>
              <w:ind w:left="180"/>
              <w:spacing w:after="0"/>
              <w:rPr>
                <w:sz w:val="20"/>
                <w:szCs w:val="20"/>
                <w:color w:val="auto"/>
              </w:rPr>
            </w:pPr>
            <w:r>
              <w:rPr>
                <w:rFonts w:ascii="Arial" w:cs="Arial" w:eastAsia="Arial" w:hAnsi="Arial"/>
                <w:sz w:val="13"/>
                <w:szCs w:val="13"/>
                <w:color w:val="auto"/>
              </w:rPr>
              <w:t>R&amp;D: Up-front payments related to license and collaboration agreements</w:t>
            </w:r>
          </w:p>
        </w:tc>
        <w:tc>
          <w:tcPr>
            <w:tcW w:w="420" w:type="dxa"/>
            <w:vAlign w:val="bottom"/>
            <w:tcBorders>
              <w:bottom w:val="single" w:sz="8" w:color="595A5B"/>
            </w:tcBorders>
          </w:tcPr>
          <w:p>
            <w:pPr>
              <w:spacing w:after="0"/>
              <w:rPr>
                <w:sz w:val="14"/>
                <w:szCs w:val="14"/>
                <w:color w:val="auto"/>
              </w:rPr>
            </w:pPr>
          </w:p>
        </w:tc>
        <w:tc>
          <w:tcPr>
            <w:tcW w:w="98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44.0</w:t>
            </w:r>
          </w:p>
        </w:tc>
        <w:tc>
          <w:tcPr>
            <w:tcW w:w="560" w:type="dxa"/>
            <w:vAlign w:val="bottom"/>
            <w:tcBorders>
              <w:bottom w:val="single" w:sz="8" w:color="595A5B"/>
            </w:tcBorders>
          </w:tcPr>
          <w:p>
            <w:pPr>
              <w:spacing w:after="0"/>
              <w:rPr>
                <w:sz w:val="14"/>
                <w:szCs w:val="14"/>
                <w:color w:val="auto"/>
              </w:rPr>
            </w:pP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EEEEEF"/>
            </w:tcBorders>
            <w:shd w:val="clear" w:color="auto" w:fill="EEEEEF"/>
          </w:tcPr>
          <w:p>
            <w:pPr>
              <w:ind w:left="60"/>
              <w:spacing w:after="0"/>
              <w:rPr>
                <w:sz w:val="20"/>
                <w:szCs w:val="20"/>
                <w:color w:val="auto"/>
              </w:rPr>
            </w:pPr>
            <w:r>
              <w:rPr>
                <w:rFonts w:ascii="Arial" w:cs="Arial" w:eastAsia="Arial" w:hAnsi="Arial"/>
                <w:sz w:val="13"/>
                <w:szCs w:val="13"/>
                <w:color w:val="auto"/>
              </w:rPr>
              <w:t>Non-GAAP R&amp;D</w:t>
            </w:r>
          </w:p>
        </w:tc>
        <w:tc>
          <w:tcPr>
            <w:tcW w:w="420" w:type="dxa"/>
            <w:vAlign w:val="bottom"/>
            <w:tcBorders>
              <w:bottom w:val="single" w:sz="8" w:color="595A5B"/>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95A5B"/>
            </w:tcBorders>
            <w:shd w:val="clear" w:color="auto" w:fill="EEEEEF"/>
          </w:tcPr>
          <w:p>
            <w:pPr>
              <w:jc w:val="right"/>
              <w:ind w:right="435"/>
              <w:spacing w:after="0"/>
              <w:rPr>
                <w:sz w:val="20"/>
                <w:szCs w:val="20"/>
                <w:color w:val="auto"/>
              </w:rPr>
            </w:pPr>
            <w:r>
              <w:rPr>
                <w:rFonts w:ascii="Arial" w:cs="Arial" w:eastAsia="Arial" w:hAnsi="Arial"/>
                <w:sz w:val="13"/>
                <w:szCs w:val="13"/>
                <w:color w:val="auto"/>
              </w:rPr>
              <w:t>2,547.5</w:t>
            </w:r>
          </w:p>
        </w:tc>
        <w:tc>
          <w:tcPr>
            <w:tcW w:w="560" w:type="dxa"/>
            <w:vAlign w:val="bottom"/>
            <w:tcBorders>
              <w:bottom w:val="single" w:sz="8" w:color="595A5B"/>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95A5B"/>
            </w:tcBorders>
            <w:shd w:val="clear" w:color="auto" w:fill="EEEEEF"/>
          </w:tcPr>
          <w:p>
            <w:pPr>
              <w:jc w:val="right"/>
              <w:ind w:right="335"/>
              <w:spacing w:after="0"/>
              <w:rPr>
                <w:sz w:val="20"/>
                <w:szCs w:val="20"/>
                <w:color w:val="auto"/>
              </w:rPr>
            </w:pPr>
            <w:r>
              <w:rPr>
                <w:rFonts w:ascii="Arial" w:cs="Arial" w:eastAsia="Arial" w:hAnsi="Arial"/>
                <w:sz w:val="13"/>
                <w:szCs w:val="13"/>
                <w:color w:val="auto"/>
                <w:w w:val="96"/>
              </w:rPr>
              <w:t>2,411.4</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0"/>
              <w:spacing w:after="0"/>
              <w:rPr>
                <w:sz w:val="20"/>
                <w:szCs w:val="20"/>
                <w:color w:val="auto"/>
              </w:rPr>
            </w:pPr>
            <w:r>
              <w:rPr>
                <w:rFonts w:ascii="Arial" w:cs="Arial" w:eastAsia="Arial" w:hAnsi="Arial"/>
                <w:sz w:val="13"/>
                <w:szCs w:val="13"/>
                <w:color w:val="auto"/>
              </w:rPr>
              <w:t>GAAP SG&amp;A</w:t>
            </w:r>
          </w:p>
        </w:tc>
        <w:tc>
          <w:tcPr>
            <w:tcW w:w="420" w:type="dxa"/>
            <w:vAlign w:val="bottom"/>
            <w:tcBorders>
              <w:bottom w:val="single" w:sz="8" w:color="595A5B"/>
            </w:tcBorders>
          </w:tcPr>
          <w:p>
            <w:pPr>
              <w:spacing w:after="0" w:line="20" w:lineRule="exact"/>
              <w:rPr>
                <w:sz w:val="1"/>
                <w:szCs w:val="1"/>
                <w:color w:val="auto"/>
              </w:rPr>
            </w:pPr>
          </w:p>
        </w:tc>
        <w:tc>
          <w:tcPr>
            <w:tcW w:w="980" w:type="dxa"/>
            <w:vAlign w:val="bottom"/>
            <w:tcBorders>
              <w:bottom w:val="single" w:sz="8" w:color="595A5B"/>
            </w:tcBorders>
          </w:tcPr>
          <w:p>
            <w:pPr>
              <w:spacing w:after="0" w:line="20" w:lineRule="exact"/>
              <w:rPr>
                <w:sz w:val="1"/>
                <w:szCs w:val="1"/>
                <w:color w:val="auto"/>
              </w:rPr>
            </w:pPr>
          </w:p>
        </w:tc>
        <w:tc>
          <w:tcPr>
            <w:tcW w:w="560" w:type="dxa"/>
            <w:vAlign w:val="bottom"/>
            <w:tcBorders>
              <w:bottom w:val="single" w:sz="8" w:color="595A5B"/>
            </w:tcBorders>
          </w:tcPr>
          <w:p>
            <w:pPr>
              <w:spacing w:after="0" w:line="20" w:lineRule="exact"/>
              <w:rPr>
                <w:sz w:val="1"/>
                <w:szCs w:val="1"/>
                <w:color w:val="auto"/>
              </w:rPr>
            </w:pPr>
          </w:p>
        </w:tc>
        <w:tc>
          <w:tcPr>
            <w:tcW w:w="840" w:type="dxa"/>
            <w:vAlign w:val="bottom"/>
            <w:tcBorders>
              <w:bottom w:val="single" w:sz="8" w:color="595A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60" w:type="dxa"/>
            <w:vAlign w:val="bottom"/>
            <w:vMerge w:val="continue"/>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435"/>
              <w:spacing w:after="0" w:line="129" w:lineRule="exact"/>
              <w:rPr>
                <w:sz w:val="20"/>
                <w:szCs w:val="20"/>
                <w:color w:val="auto"/>
              </w:rPr>
            </w:pPr>
            <w:r>
              <w:rPr>
                <w:rFonts w:ascii="Arial" w:cs="Arial" w:eastAsia="Arial" w:hAnsi="Arial"/>
                <w:sz w:val="13"/>
                <w:szCs w:val="13"/>
                <w:color w:val="auto"/>
              </w:rPr>
              <w:t>1,824.9</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35"/>
              <w:spacing w:after="0" w:line="129" w:lineRule="exact"/>
              <w:rPr>
                <w:sz w:val="20"/>
                <w:szCs w:val="20"/>
                <w:color w:val="auto"/>
              </w:rPr>
            </w:pPr>
            <w:r>
              <w:rPr>
                <w:rFonts w:ascii="Arial" w:cs="Arial" w:eastAsia="Arial" w:hAnsi="Arial"/>
                <w:sz w:val="13"/>
                <w:szCs w:val="13"/>
                <w:color w:val="auto"/>
                <w:w w:val="96"/>
              </w:rPr>
              <w:t>1,346.0</w:t>
            </w:r>
          </w:p>
        </w:tc>
        <w:tc>
          <w:tcPr>
            <w:tcW w:w="0" w:type="dxa"/>
            <w:vAlign w:val="bottom"/>
          </w:tcPr>
          <w:p>
            <w:pPr>
              <w:spacing w:after="0"/>
              <w:rPr>
                <w:sz w:val="1"/>
                <w:szCs w:val="1"/>
                <w:color w:val="auto"/>
              </w:rPr>
            </w:pPr>
          </w:p>
        </w:tc>
      </w:tr>
      <w:tr>
        <w:trPr>
          <w:trHeight w:val="148"/>
        </w:trPr>
        <w:tc>
          <w:tcPr>
            <w:tcW w:w="7360" w:type="dxa"/>
            <w:vAlign w:val="bottom"/>
            <w:shd w:val="clear" w:color="auto" w:fill="EEEEEF"/>
          </w:tcPr>
          <w:p>
            <w:pPr>
              <w:ind w:left="180"/>
              <w:spacing w:after="0"/>
              <w:rPr>
                <w:sz w:val="20"/>
                <w:szCs w:val="20"/>
                <w:color w:val="auto"/>
              </w:rPr>
            </w:pPr>
            <w:r>
              <w:rPr>
                <w:rFonts w:ascii="Arial" w:cs="Arial" w:eastAsia="Arial" w:hAnsi="Arial"/>
                <w:sz w:val="13"/>
                <w:szCs w:val="13"/>
                <w:color w:val="auto"/>
              </w:rPr>
              <w:t>SG&amp;A: Non-cash share-based compensation expense</w:t>
            </w:r>
          </w:p>
        </w:tc>
        <w:tc>
          <w:tcPr>
            <w:tcW w:w="420" w:type="dxa"/>
            <w:vAlign w:val="bottom"/>
            <w:shd w:val="clear" w:color="auto" w:fill="EEEEEF"/>
          </w:tcPr>
          <w:p>
            <w:pPr>
              <w:spacing w:after="0"/>
              <w:rPr>
                <w:sz w:val="12"/>
                <w:szCs w:val="12"/>
                <w:color w:val="auto"/>
              </w:rPr>
            </w:pPr>
          </w:p>
        </w:tc>
        <w:tc>
          <w:tcPr>
            <w:tcW w:w="980" w:type="dxa"/>
            <w:vAlign w:val="bottom"/>
            <w:shd w:val="clear" w:color="auto" w:fill="EEEEEF"/>
          </w:tcPr>
          <w:p>
            <w:pPr>
              <w:jc w:val="right"/>
              <w:ind w:right="435"/>
              <w:spacing w:after="0"/>
              <w:rPr>
                <w:sz w:val="20"/>
                <w:szCs w:val="20"/>
                <w:color w:val="auto"/>
              </w:rPr>
            </w:pPr>
            <w:r>
              <w:rPr>
                <w:rFonts w:ascii="Arial" w:cs="Arial" w:eastAsia="Arial" w:hAnsi="Arial"/>
                <w:sz w:val="13"/>
                <w:szCs w:val="13"/>
                <w:color w:val="auto"/>
              </w:rPr>
              <w:t>213.3</w:t>
            </w:r>
          </w:p>
        </w:tc>
        <w:tc>
          <w:tcPr>
            <w:tcW w:w="560" w:type="dxa"/>
            <w:vAlign w:val="bottom"/>
            <w:shd w:val="clear" w:color="auto" w:fill="EEEEEF"/>
          </w:tcPr>
          <w:p>
            <w:pPr>
              <w:spacing w:after="0"/>
              <w:rPr>
                <w:sz w:val="12"/>
                <w:szCs w:val="12"/>
                <w:color w:val="auto"/>
              </w:rPr>
            </w:pPr>
          </w:p>
        </w:tc>
        <w:tc>
          <w:tcPr>
            <w:tcW w:w="840" w:type="dxa"/>
            <w:vAlign w:val="bottom"/>
            <w:shd w:val="clear" w:color="auto" w:fill="EEEEEF"/>
          </w:tcPr>
          <w:p>
            <w:pPr>
              <w:jc w:val="right"/>
              <w:ind w:right="335"/>
              <w:spacing w:after="0"/>
              <w:rPr>
                <w:sz w:val="20"/>
                <w:szCs w:val="20"/>
                <w:color w:val="auto"/>
              </w:rPr>
            </w:pPr>
            <w:r>
              <w:rPr>
                <w:rFonts w:ascii="Arial" w:cs="Arial" w:eastAsia="Arial" w:hAnsi="Arial"/>
                <w:sz w:val="13"/>
                <w:szCs w:val="13"/>
                <w:color w:val="auto"/>
              </w:rPr>
              <w:t>153.0</w:t>
            </w:r>
          </w:p>
        </w:tc>
        <w:tc>
          <w:tcPr>
            <w:tcW w:w="0" w:type="dxa"/>
            <w:vAlign w:val="bottom"/>
          </w:tcPr>
          <w:p>
            <w:pPr>
              <w:spacing w:after="0"/>
              <w:rPr>
                <w:sz w:val="1"/>
                <w:szCs w:val="1"/>
                <w:color w:val="auto"/>
              </w:rPr>
            </w:pPr>
          </w:p>
        </w:tc>
      </w:tr>
      <w:tr>
        <w:trPr>
          <w:trHeight w:val="162"/>
        </w:trPr>
        <w:tc>
          <w:tcPr>
            <w:tcW w:w="7360" w:type="dxa"/>
            <w:vAlign w:val="bottom"/>
            <w:tcBorders>
              <w:bottom w:val="single" w:sz="8" w:color="EEEEEF"/>
            </w:tcBorders>
          </w:tcPr>
          <w:p>
            <w:pPr>
              <w:ind w:left="180"/>
              <w:spacing w:after="0"/>
              <w:rPr>
                <w:sz w:val="20"/>
                <w:szCs w:val="20"/>
                <w:color w:val="auto"/>
              </w:rPr>
            </w:pPr>
            <w:r>
              <w:rPr>
                <w:rFonts w:ascii="Arial" w:cs="Arial" w:eastAsia="Arial" w:hAnsi="Arial"/>
                <w:sz w:val="13"/>
                <w:szCs w:val="13"/>
                <w:color w:val="auto"/>
              </w:rPr>
              <w:t>SG&amp;A: Litigation contingencies and other</w:t>
            </w:r>
          </w:p>
        </w:tc>
        <w:tc>
          <w:tcPr>
            <w:tcW w:w="420" w:type="dxa"/>
            <w:vAlign w:val="bottom"/>
            <w:tcBorders>
              <w:bottom w:val="single" w:sz="8" w:color="595A5B"/>
            </w:tcBorders>
          </w:tcPr>
          <w:p>
            <w:pPr>
              <w:spacing w:after="0"/>
              <w:rPr>
                <w:sz w:val="14"/>
                <w:szCs w:val="14"/>
                <w:color w:val="auto"/>
              </w:rPr>
            </w:pPr>
          </w:p>
        </w:tc>
        <w:tc>
          <w:tcPr>
            <w:tcW w:w="98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5.6</w:t>
            </w:r>
          </w:p>
        </w:tc>
        <w:tc>
          <w:tcPr>
            <w:tcW w:w="560" w:type="dxa"/>
            <w:vAlign w:val="bottom"/>
            <w:tcBorders>
              <w:bottom w:val="single" w:sz="8" w:color="595A5B"/>
            </w:tcBorders>
          </w:tcPr>
          <w:p>
            <w:pPr>
              <w:spacing w:after="0"/>
              <w:rPr>
                <w:sz w:val="14"/>
                <w:szCs w:val="14"/>
                <w:color w:val="auto"/>
              </w:rPr>
            </w:pP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rPr>
              <w:t>(86.9)</w:t>
            </w:r>
          </w:p>
        </w:tc>
        <w:tc>
          <w:tcPr>
            <w:tcW w:w="0" w:type="dxa"/>
            <w:vAlign w:val="bottom"/>
          </w:tcPr>
          <w:p>
            <w:pPr>
              <w:spacing w:after="0"/>
              <w:rPr>
                <w:sz w:val="1"/>
                <w:szCs w:val="1"/>
                <w:color w:val="auto"/>
              </w:rPr>
            </w:pPr>
          </w:p>
        </w:tc>
      </w:tr>
      <w:tr>
        <w:trPr>
          <w:trHeight w:val="183"/>
        </w:trPr>
        <w:tc>
          <w:tcPr>
            <w:tcW w:w="7360" w:type="dxa"/>
            <w:vAlign w:val="bottom"/>
            <w:tcBorders>
              <w:bottom w:val="single" w:sz="8" w:color="EEEEEF"/>
            </w:tcBorders>
            <w:shd w:val="clear" w:color="auto" w:fill="EEEEEF"/>
          </w:tcPr>
          <w:p>
            <w:pPr>
              <w:ind w:left="60"/>
              <w:spacing w:after="0"/>
              <w:rPr>
                <w:sz w:val="20"/>
                <w:szCs w:val="20"/>
                <w:color w:val="auto"/>
              </w:rPr>
            </w:pPr>
            <w:r>
              <w:rPr>
                <w:rFonts w:ascii="Arial" w:cs="Arial" w:eastAsia="Arial" w:hAnsi="Arial"/>
                <w:sz w:val="13"/>
                <w:szCs w:val="13"/>
                <w:color w:val="auto"/>
              </w:rPr>
              <w:t>Non-GAAP SG&amp;A</w:t>
            </w:r>
          </w:p>
        </w:tc>
        <w:tc>
          <w:tcPr>
            <w:tcW w:w="420" w:type="dxa"/>
            <w:vAlign w:val="bottom"/>
            <w:tcBorders>
              <w:bottom w:val="single" w:sz="8" w:color="595A5B"/>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95A5B"/>
            </w:tcBorders>
            <w:shd w:val="clear" w:color="auto" w:fill="EEEEEF"/>
          </w:tcPr>
          <w:p>
            <w:pPr>
              <w:jc w:val="right"/>
              <w:ind w:right="435"/>
              <w:spacing w:after="0"/>
              <w:rPr>
                <w:sz w:val="20"/>
                <w:szCs w:val="20"/>
                <w:color w:val="auto"/>
              </w:rPr>
            </w:pPr>
            <w:r>
              <w:rPr>
                <w:rFonts w:ascii="Arial" w:cs="Arial" w:eastAsia="Arial" w:hAnsi="Arial"/>
                <w:sz w:val="13"/>
                <w:szCs w:val="13"/>
                <w:color w:val="auto"/>
              </w:rPr>
              <w:t>1,606.0</w:t>
            </w:r>
          </w:p>
        </w:tc>
        <w:tc>
          <w:tcPr>
            <w:tcW w:w="560" w:type="dxa"/>
            <w:vAlign w:val="bottom"/>
            <w:tcBorders>
              <w:bottom w:val="single" w:sz="8" w:color="595A5B"/>
            </w:tcBorders>
            <w:shd w:val="clear" w:color="auto" w:fill="EEEEE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95A5B"/>
            </w:tcBorders>
            <w:shd w:val="clear" w:color="auto" w:fill="EEEEEF"/>
          </w:tcPr>
          <w:p>
            <w:pPr>
              <w:jc w:val="right"/>
              <w:ind w:right="335"/>
              <w:spacing w:after="0"/>
              <w:rPr>
                <w:sz w:val="20"/>
                <w:szCs w:val="20"/>
                <w:color w:val="auto"/>
              </w:rPr>
            </w:pPr>
            <w:r>
              <w:rPr>
                <w:rFonts w:ascii="Arial" w:cs="Arial" w:eastAsia="Arial" w:hAnsi="Arial"/>
                <w:sz w:val="13"/>
                <w:szCs w:val="13"/>
                <w:color w:val="auto"/>
                <w:w w:val="96"/>
              </w:rPr>
              <w:t>1,279.9</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0"/>
              <w:spacing w:after="0"/>
              <w:rPr>
                <w:sz w:val="20"/>
                <w:szCs w:val="20"/>
                <w:color w:val="auto"/>
              </w:rPr>
            </w:pPr>
            <w:r>
              <w:rPr>
                <w:rFonts w:ascii="Arial" w:cs="Arial" w:eastAsia="Arial" w:hAnsi="Arial"/>
                <w:sz w:val="13"/>
                <w:szCs w:val="13"/>
                <w:color w:val="auto"/>
              </w:rPr>
              <w:t>GAAP COGS</w:t>
            </w:r>
          </w:p>
        </w:tc>
        <w:tc>
          <w:tcPr>
            <w:tcW w:w="420" w:type="dxa"/>
            <w:vAlign w:val="bottom"/>
            <w:tcBorders>
              <w:bottom w:val="single" w:sz="8" w:color="595A5B"/>
            </w:tcBorders>
          </w:tcPr>
          <w:p>
            <w:pPr>
              <w:spacing w:after="0" w:line="20" w:lineRule="exact"/>
              <w:rPr>
                <w:sz w:val="1"/>
                <w:szCs w:val="1"/>
                <w:color w:val="auto"/>
              </w:rPr>
            </w:pPr>
          </w:p>
        </w:tc>
        <w:tc>
          <w:tcPr>
            <w:tcW w:w="980" w:type="dxa"/>
            <w:vAlign w:val="bottom"/>
            <w:tcBorders>
              <w:bottom w:val="single" w:sz="8" w:color="595A5B"/>
            </w:tcBorders>
          </w:tcPr>
          <w:p>
            <w:pPr>
              <w:spacing w:after="0" w:line="20" w:lineRule="exact"/>
              <w:rPr>
                <w:sz w:val="1"/>
                <w:szCs w:val="1"/>
                <w:color w:val="auto"/>
              </w:rPr>
            </w:pPr>
          </w:p>
        </w:tc>
        <w:tc>
          <w:tcPr>
            <w:tcW w:w="560" w:type="dxa"/>
            <w:vAlign w:val="bottom"/>
            <w:tcBorders>
              <w:bottom w:val="single" w:sz="8" w:color="595A5B"/>
            </w:tcBorders>
          </w:tcPr>
          <w:p>
            <w:pPr>
              <w:spacing w:after="0" w:line="20" w:lineRule="exact"/>
              <w:rPr>
                <w:sz w:val="1"/>
                <w:szCs w:val="1"/>
                <w:color w:val="auto"/>
              </w:rPr>
            </w:pPr>
          </w:p>
        </w:tc>
        <w:tc>
          <w:tcPr>
            <w:tcW w:w="840" w:type="dxa"/>
            <w:vAlign w:val="bottom"/>
            <w:tcBorders>
              <w:bottom w:val="single" w:sz="8" w:color="595A5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360" w:type="dxa"/>
            <w:vAlign w:val="bottom"/>
            <w:vMerge w:val="continue"/>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435"/>
              <w:spacing w:after="0" w:line="129" w:lineRule="exact"/>
              <w:rPr>
                <w:sz w:val="20"/>
                <w:szCs w:val="20"/>
                <w:color w:val="auto"/>
              </w:rPr>
            </w:pPr>
            <w:r>
              <w:rPr>
                <w:rFonts w:ascii="Arial" w:cs="Arial" w:eastAsia="Arial" w:hAnsi="Arial"/>
                <w:sz w:val="13"/>
                <w:szCs w:val="13"/>
                <w:color w:val="auto"/>
              </w:rPr>
              <w:t>1,773.1</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35"/>
              <w:spacing w:after="0" w:line="129" w:lineRule="exact"/>
              <w:rPr>
                <w:sz w:val="20"/>
                <w:szCs w:val="20"/>
                <w:color w:val="auto"/>
              </w:rPr>
            </w:pPr>
            <w:r>
              <w:rPr>
                <w:rFonts w:ascii="Arial" w:cs="Arial" w:eastAsia="Arial" w:hAnsi="Arial"/>
                <w:sz w:val="13"/>
                <w:szCs w:val="13"/>
                <w:color w:val="auto"/>
              </w:rPr>
              <w:t>491.9</w:t>
            </w:r>
          </w:p>
        </w:tc>
        <w:tc>
          <w:tcPr>
            <w:tcW w:w="0" w:type="dxa"/>
            <w:vAlign w:val="bottom"/>
          </w:tcPr>
          <w:p>
            <w:pPr>
              <w:spacing w:after="0"/>
              <w:rPr>
                <w:sz w:val="1"/>
                <w:szCs w:val="1"/>
                <w:color w:val="auto"/>
              </w:rPr>
            </w:pPr>
          </w:p>
        </w:tc>
      </w:tr>
      <w:tr>
        <w:trPr>
          <w:trHeight w:val="148"/>
        </w:trPr>
        <w:tc>
          <w:tcPr>
            <w:tcW w:w="7360" w:type="dxa"/>
            <w:vAlign w:val="bottom"/>
            <w:shd w:val="clear" w:color="auto" w:fill="EEEEEF"/>
          </w:tcPr>
          <w:p>
            <w:pPr>
              <w:ind w:left="180"/>
              <w:spacing w:after="0"/>
              <w:rPr>
                <w:sz w:val="20"/>
                <w:szCs w:val="20"/>
                <w:color w:val="auto"/>
              </w:rPr>
            </w:pPr>
            <w:r>
              <w:rPr>
                <w:rFonts w:ascii="Arial" w:cs="Arial" w:eastAsia="Arial" w:hAnsi="Arial"/>
                <w:sz w:val="13"/>
                <w:szCs w:val="13"/>
                <w:color w:val="auto"/>
              </w:rPr>
              <w:t>COGS: Non-cash share-based compensation expense</w:t>
            </w:r>
          </w:p>
        </w:tc>
        <w:tc>
          <w:tcPr>
            <w:tcW w:w="420" w:type="dxa"/>
            <w:vAlign w:val="bottom"/>
            <w:shd w:val="clear" w:color="auto" w:fill="EEEEEF"/>
          </w:tcPr>
          <w:p>
            <w:pPr>
              <w:spacing w:after="0"/>
              <w:rPr>
                <w:sz w:val="12"/>
                <w:szCs w:val="12"/>
                <w:color w:val="auto"/>
              </w:rPr>
            </w:pPr>
          </w:p>
        </w:tc>
        <w:tc>
          <w:tcPr>
            <w:tcW w:w="980" w:type="dxa"/>
            <w:vAlign w:val="bottom"/>
            <w:shd w:val="clear" w:color="auto" w:fill="EEEEEF"/>
          </w:tcPr>
          <w:p>
            <w:pPr>
              <w:jc w:val="right"/>
              <w:ind w:right="435"/>
              <w:spacing w:after="0"/>
              <w:rPr>
                <w:sz w:val="20"/>
                <w:szCs w:val="20"/>
                <w:color w:val="auto"/>
              </w:rPr>
            </w:pPr>
            <w:r>
              <w:rPr>
                <w:rFonts w:ascii="Arial" w:cs="Arial" w:eastAsia="Arial" w:hAnsi="Arial"/>
                <w:sz w:val="13"/>
                <w:szCs w:val="13"/>
                <w:color w:val="auto"/>
              </w:rPr>
              <w:t>71.8</w:t>
            </w:r>
          </w:p>
        </w:tc>
        <w:tc>
          <w:tcPr>
            <w:tcW w:w="560" w:type="dxa"/>
            <w:vAlign w:val="bottom"/>
            <w:shd w:val="clear" w:color="auto" w:fill="EEEEEF"/>
          </w:tcPr>
          <w:p>
            <w:pPr>
              <w:spacing w:after="0"/>
              <w:rPr>
                <w:sz w:val="12"/>
                <w:szCs w:val="12"/>
                <w:color w:val="auto"/>
              </w:rPr>
            </w:pPr>
          </w:p>
        </w:tc>
        <w:tc>
          <w:tcPr>
            <w:tcW w:w="840" w:type="dxa"/>
            <w:vAlign w:val="bottom"/>
            <w:shd w:val="clear" w:color="auto" w:fill="EEEEEF"/>
          </w:tcPr>
          <w:p>
            <w:pPr>
              <w:jc w:val="right"/>
              <w:ind w:right="335"/>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48"/>
        </w:trPr>
        <w:tc>
          <w:tcPr>
            <w:tcW w:w="7360" w:type="dxa"/>
            <w:vAlign w:val="bottom"/>
          </w:tcPr>
          <w:p>
            <w:pPr>
              <w:ind w:left="180"/>
              <w:spacing w:after="0"/>
              <w:rPr>
                <w:sz w:val="20"/>
                <w:szCs w:val="20"/>
                <w:color w:val="auto"/>
              </w:rPr>
            </w:pPr>
            <w:r>
              <w:rPr>
                <w:rFonts w:ascii="Arial" w:cs="Arial" w:eastAsia="Arial" w:hAnsi="Arial"/>
                <w:sz w:val="13"/>
                <w:szCs w:val="13"/>
                <w:color w:val="auto"/>
              </w:rPr>
              <w:t>COGS: REGEN-COV inventory reserve</w:t>
            </w:r>
          </w:p>
        </w:tc>
        <w:tc>
          <w:tcPr>
            <w:tcW w:w="420" w:type="dxa"/>
            <w:vAlign w:val="bottom"/>
          </w:tcPr>
          <w:p>
            <w:pPr>
              <w:spacing w:after="0"/>
              <w:rPr>
                <w:sz w:val="12"/>
                <w:szCs w:val="12"/>
                <w:color w:val="auto"/>
              </w:rPr>
            </w:pPr>
          </w:p>
        </w:tc>
        <w:tc>
          <w:tcPr>
            <w:tcW w:w="980" w:type="dxa"/>
            <w:vAlign w:val="bottom"/>
          </w:tcPr>
          <w:p>
            <w:pPr>
              <w:jc w:val="right"/>
              <w:ind w:right="435"/>
              <w:spacing w:after="0"/>
              <w:rPr>
                <w:sz w:val="20"/>
                <w:szCs w:val="20"/>
                <w:color w:val="auto"/>
              </w:rPr>
            </w:pPr>
            <w:r>
              <w:rPr>
                <w:rFonts w:ascii="Arial" w:cs="Arial" w:eastAsia="Arial" w:hAnsi="Arial"/>
                <w:sz w:val="13"/>
                <w:szCs w:val="13"/>
                <w:color w:val="auto"/>
              </w:rPr>
              <w:t>231.7</w:t>
            </w:r>
          </w:p>
        </w:tc>
        <w:tc>
          <w:tcPr>
            <w:tcW w:w="560" w:type="dxa"/>
            <w:vAlign w:val="bottom"/>
          </w:tcPr>
          <w:p>
            <w:pPr>
              <w:spacing w:after="0"/>
              <w:rPr>
                <w:sz w:val="12"/>
                <w:szCs w:val="12"/>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360" w:type="dxa"/>
            <w:vAlign w:val="bottom"/>
            <w:shd w:val="clear" w:color="auto" w:fill="EEEEEF"/>
          </w:tcPr>
          <w:p>
            <w:pPr>
              <w:ind w:left="180"/>
              <w:spacing w:after="0"/>
              <w:rPr>
                <w:sz w:val="20"/>
                <w:szCs w:val="20"/>
                <w:color w:val="auto"/>
              </w:rPr>
            </w:pPr>
            <w:r>
              <w:rPr>
                <w:rFonts w:ascii="Arial" w:cs="Arial" w:eastAsia="Arial" w:hAnsi="Arial"/>
                <w:sz w:val="13"/>
                <w:szCs w:val="13"/>
                <w:color w:val="auto"/>
              </w:rPr>
              <w:t>COGS: Other</w:t>
            </w:r>
          </w:p>
        </w:tc>
        <w:tc>
          <w:tcPr>
            <w:tcW w:w="420" w:type="dxa"/>
            <w:vAlign w:val="bottom"/>
            <w:tcBorders>
              <w:bottom w:val="single" w:sz="8" w:color="595A5B"/>
            </w:tcBorders>
            <w:shd w:val="clear" w:color="auto" w:fill="EEEEEF"/>
          </w:tcPr>
          <w:p>
            <w:pPr>
              <w:spacing w:after="0"/>
              <w:rPr>
                <w:sz w:val="14"/>
                <w:szCs w:val="14"/>
                <w:color w:val="auto"/>
              </w:rPr>
            </w:pPr>
          </w:p>
        </w:tc>
        <w:tc>
          <w:tcPr>
            <w:tcW w:w="980" w:type="dxa"/>
            <w:vAlign w:val="bottom"/>
            <w:tcBorders>
              <w:bottom w:val="single" w:sz="8" w:color="595A5B"/>
            </w:tcBorders>
            <w:shd w:val="clear" w:color="auto" w:fill="EEEEEF"/>
          </w:tcPr>
          <w:p>
            <w:pPr>
              <w:jc w:val="right"/>
              <w:ind w:right="43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595A5B"/>
            </w:tcBorders>
            <w:shd w:val="clear" w:color="auto" w:fill="EEEEEF"/>
          </w:tcPr>
          <w:p>
            <w:pPr>
              <w:spacing w:after="0"/>
              <w:rPr>
                <w:sz w:val="14"/>
                <w:szCs w:val="14"/>
                <w:color w:val="auto"/>
              </w:rPr>
            </w:pPr>
          </w:p>
        </w:tc>
        <w:tc>
          <w:tcPr>
            <w:tcW w:w="840" w:type="dxa"/>
            <w:vAlign w:val="bottom"/>
            <w:tcBorders>
              <w:bottom w:val="single" w:sz="8" w:color="595A5B"/>
            </w:tcBorders>
            <w:shd w:val="clear" w:color="auto" w:fill="EEEEEF"/>
          </w:tcPr>
          <w:p>
            <w:pPr>
              <w:jc w:val="right"/>
              <w:ind w:right="335"/>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EEEEEF"/>
            </w:tcBorders>
          </w:tcPr>
          <w:p>
            <w:pPr>
              <w:ind w:left="60"/>
              <w:spacing w:after="0"/>
              <w:rPr>
                <w:sz w:val="20"/>
                <w:szCs w:val="20"/>
                <w:color w:val="auto"/>
              </w:rPr>
            </w:pPr>
            <w:r>
              <w:rPr>
                <w:rFonts w:ascii="Arial" w:cs="Arial" w:eastAsia="Arial" w:hAnsi="Arial"/>
                <w:sz w:val="13"/>
                <w:szCs w:val="13"/>
                <w:color w:val="auto"/>
              </w:rPr>
              <w:t>Non-GAAP COGS</w:t>
            </w:r>
          </w:p>
        </w:tc>
        <w:tc>
          <w:tcPr>
            <w:tcW w:w="42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1,469.6</w:t>
            </w:r>
          </w:p>
        </w:tc>
        <w:tc>
          <w:tcPr>
            <w:tcW w:w="56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rPr>
              <w:t>450.6</w:t>
            </w:r>
          </w:p>
        </w:tc>
        <w:tc>
          <w:tcPr>
            <w:tcW w:w="0" w:type="dxa"/>
            <w:vAlign w:val="bottom"/>
          </w:tcPr>
          <w:p>
            <w:pPr>
              <w:spacing w:after="0"/>
              <w:rPr>
                <w:sz w:val="1"/>
                <w:szCs w:val="1"/>
                <w:color w:val="auto"/>
              </w:rPr>
            </w:pPr>
          </w:p>
        </w:tc>
      </w:tr>
      <w:tr>
        <w:trPr>
          <w:trHeight w:val="129"/>
        </w:trPr>
        <w:tc>
          <w:tcPr>
            <w:tcW w:w="7360" w:type="dxa"/>
            <w:vAlign w:val="bottom"/>
            <w:shd w:val="clear" w:color="auto" w:fill="EEEEEF"/>
          </w:tcPr>
          <w:p>
            <w:pPr>
              <w:ind w:left="60"/>
              <w:spacing w:after="0" w:line="129" w:lineRule="exact"/>
              <w:rPr>
                <w:sz w:val="20"/>
                <w:szCs w:val="20"/>
                <w:color w:val="auto"/>
              </w:rPr>
            </w:pPr>
            <w:r>
              <w:rPr>
                <w:rFonts w:ascii="Arial" w:cs="Arial" w:eastAsia="Arial" w:hAnsi="Arial"/>
                <w:sz w:val="13"/>
                <w:szCs w:val="13"/>
                <w:color w:val="auto"/>
              </w:rPr>
              <w:t>GAAP other income (expense), net</w:t>
            </w:r>
          </w:p>
        </w:tc>
        <w:tc>
          <w:tcPr>
            <w:tcW w:w="420" w:type="dxa"/>
            <w:vAlign w:val="bottom"/>
            <w:shd w:val="clear" w:color="auto" w:fill="EEEEEF"/>
          </w:tcPr>
          <w:p>
            <w:pPr>
              <w:jc w:val="right"/>
              <w:spacing w:after="0" w:line="129" w:lineRule="exact"/>
              <w:rPr>
                <w:sz w:val="20"/>
                <w:szCs w:val="20"/>
                <w:color w:val="auto"/>
              </w:rPr>
            </w:pPr>
            <w:r>
              <w:rPr>
                <w:rFonts w:ascii="Arial" w:cs="Arial" w:eastAsia="Arial" w:hAnsi="Arial"/>
                <w:sz w:val="13"/>
                <w:szCs w:val="13"/>
                <w:color w:val="auto"/>
              </w:rPr>
              <w:t>$</w:t>
            </w:r>
          </w:p>
        </w:tc>
        <w:tc>
          <w:tcPr>
            <w:tcW w:w="980" w:type="dxa"/>
            <w:vAlign w:val="bottom"/>
            <w:shd w:val="clear" w:color="auto" w:fill="EEEEEF"/>
          </w:tcPr>
          <w:p>
            <w:pPr>
              <w:jc w:val="right"/>
              <w:ind w:right="435"/>
              <w:spacing w:after="0" w:line="129" w:lineRule="exact"/>
              <w:rPr>
                <w:sz w:val="20"/>
                <w:szCs w:val="20"/>
                <w:color w:val="auto"/>
              </w:rPr>
            </w:pPr>
            <w:r>
              <w:rPr>
                <w:rFonts w:ascii="Arial" w:cs="Arial" w:eastAsia="Arial" w:hAnsi="Arial"/>
                <w:sz w:val="13"/>
                <w:szCs w:val="13"/>
                <w:color w:val="auto"/>
              </w:rPr>
              <w:t>379.0</w:t>
            </w:r>
          </w:p>
        </w:tc>
        <w:tc>
          <w:tcPr>
            <w:tcW w:w="560" w:type="dxa"/>
            <w:vAlign w:val="bottom"/>
            <w:shd w:val="clear" w:color="auto" w:fill="EEEEEF"/>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EEEEEF"/>
          </w:tcPr>
          <w:p>
            <w:pPr>
              <w:jc w:val="right"/>
              <w:ind w:right="335"/>
              <w:spacing w:after="0" w:line="129" w:lineRule="exact"/>
              <w:rPr>
                <w:sz w:val="20"/>
                <w:szCs w:val="20"/>
                <w:color w:val="auto"/>
              </w:rPr>
            </w:pPr>
            <w:r>
              <w:rPr>
                <w:rFonts w:ascii="Arial" w:cs="Arial" w:eastAsia="Arial" w:hAnsi="Arial"/>
                <w:sz w:val="13"/>
                <w:szCs w:val="13"/>
                <w:color w:val="auto"/>
              </w:rPr>
              <w:t>233.8</w:t>
            </w:r>
          </w:p>
        </w:tc>
        <w:tc>
          <w:tcPr>
            <w:tcW w:w="0" w:type="dxa"/>
            <w:vAlign w:val="bottom"/>
          </w:tcPr>
          <w:p>
            <w:pPr>
              <w:spacing w:after="0"/>
              <w:rPr>
                <w:sz w:val="1"/>
                <w:szCs w:val="1"/>
                <w:color w:val="auto"/>
              </w:rPr>
            </w:pPr>
          </w:p>
        </w:tc>
      </w:tr>
      <w:tr>
        <w:trPr>
          <w:trHeight w:val="148"/>
        </w:trPr>
        <w:tc>
          <w:tcPr>
            <w:tcW w:w="7360" w:type="dxa"/>
            <w:vAlign w:val="bottom"/>
          </w:tcPr>
          <w:p>
            <w:pPr>
              <w:ind w:left="180"/>
              <w:spacing w:after="0"/>
              <w:rPr>
                <w:sz w:val="20"/>
                <w:szCs w:val="20"/>
                <w:color w:val="auto"/>
              </w:rPr>
            </w:pPr>
            <w:r>
              <w:rPr>
                <w:rFonts w:ascii="Arial" w:cs="Arial" w:eastAsia="Arial" w:hAnsi="Arial"/>
                <w:sz w:val="13"/>
                <w:szCs w:val="13"/>
                <w:color w:val="auto"/>
              </w:rPr>
              <w:t>Other income/expense: Losses (gains) on investments</w:t>
            </w:r>
          </w:p>
        </w:tc>
        <w:tc>
          <w:tcPr>
            <w:tcW w:w="420" w:type="dxa"/>
            <w:vAlign w:val="bottom"/>
          </w:tcPr>
          <w:p>
            <w:pPr>
              <w:spacing w:after="0"/>
              <w:rPr>
                <w:sz w:val="12"/>
                <w:szCs w:val="12"/>
                <w:color w:val="auto"/>
              </w:rPr>
            </w:pPr>
          </w:p>
        </w:tc>
        <w:tc>
          <w:tcPr>
            <w:tcW w:w="980" w:type="dxa"/>
            <w:vAlign w:val="bottom"/>
          </w:tcPr>
          <w:p>
            <w:pPr>
              <w:jc w:val="right"/>
              <w:ind w:right="435"/>
              <w:spacing w:after="0"/>
              <w:rPr>
                <w:sz w:val="20"/>
                <w:szCs w:val="20"/>
                <w:color w:val="auto"/>
              </w:rPr>
            </w:pPr>
            <w:r>
              <w:rPr>
                <w:rFonts w:ascii="Arial" w:cs="Arial" w:eastAsia="Arial" w:hAnsi="Arial"/>
                <w:sz w:val="13"/>
                <w:szCs w:val="13"/>
                <w:color w:val="auto"/>
              </w:rPr>
              <w:t>(387.0)</w:t>
            </w:r>
          </w:p>
        </w:tc>
        <w:tc>
          <w:tcPr>
            <w:tcW w:w="560" w:type="dxa"/>
            <w:vAlign w:val="bottom"/>
          </w:tcPr>
          <w:p>
            <w:pPr>
              <w:spacing w:after="0"/>
              <w:rPr>
                <w:sz w:val="12"/>
                <w:szCs w:val="12"/>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(221.6)</w:t>
            </w:r>
          </w:p>
        </w:tc>
        <w:tc>
          <w:tcPr>
            <w:tcW w:w="0" w:type="dxa"/>
            <w:vAlign w:val="bottom"/>
          </w:tcPr>
          <w:p>
            <w:pPr>
              <w:spacing w:after="0"/>
              <w:rPr>
                <w:sz w:val="1"/>
                <w:szCs w:val="1"/>
                <w:color w:val="auto"/>
              </w:rPr>
            </w:pPr>
          </w:p>
        </w:tc>
      </w:tr>
      <w:tr>
        <w:trPr>
          <w:trHeight w:val="162"/>
        </w:trPr>
        <w:tc>
          <w:tcPr>
            <w:tcW w:w="7360" w:type="dxa"/>
            <w:vAlign w:val="bottom"/>
            <w:shd w:val="clear" w:color="auto" w:fill="EEEEEF"/>
          </w:tcPr>
          <w:p>
            <w:pPr>
              <w:ind w:left="180"/>
              <w:spacing w:after="0"/>
              <w:rPr>
                <w:sz w:val="20"/>
                <w:szCs w:val="20"/>
                <w:color w:val="auto"/>
              </w:rPr>
            </w:pPr>
            <w:r>
              <w:rPr>
                <w:rFonts w:ascii="Arial" w:cs="Arial" w:eastAsia="Arial" w:hAnsi="Arial"/>
                <w:sz w:val="13"/>
                <w:szCs w:val="13"/>
                <w:color w:val="auto"/>
              </w:rPr>
              <w:t>Interest expense: Other</w:t>
            </w:r>
          </w:p>
        </w:tc>
        <w:tc>
          <w:tcPr>
            <w:tcW w:w="420" w:type="dxa"/>
            <w:vAlign w:val="bottom"/>
            <w:tcBorders>
              <w:bottom w:val="single" w:sz="8" w:color="595A5B"/>
            </w:tcBorders>
            <w:shd w:val="clear" w:color="auto" w:fill="EEEEEF"/>
          </w:tcPr>
          <w:p>
            <w:pPr>
              <w:spacing w:after="0"/>
              <w:rPr>
                <w:sz w:val="14"/>
                <w:szCs w:val="14"/>
                <w:color w:val="auto"/>
              </w:rPr>
            </w:pPr>
          </w:p>
        </w:tc>
        <w:tc>
          <w:tcPr>
            <w:tcW w:w="980" w:type="dxa"/>
            <w:vAlign w:val="bottom"/>
            <w:tcBorders>
              <w:bottom w:val="single" w:sz="8" w:color="595A5B"/>
            </w:tcBorders>
            <w:shd w:val="clear" w:color="auto" w:fill="EEEEEF"/>
          </w:tcPr>
          <w:p>
            <w:pPr>
              <w:jc w:val="right"/>
              <w:ind w:right="435"/>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595A5B"/>
            </w:tcBorders>
            <w:shd w:val="clear" w:color="auto" w:fill="EEEEEF"/>
          </w:tcPr>
          <w:p>
            <w:pPr>
              <w:spacing w:after="0"/>
              <w:rPr>
                <w:sz w:val="14"/>
                <w:szCs w:val="14"/>
                <w:color w:val="auto"/>
              </w:rPr>
            </w:pPr>
          </w:p>
        </w:tc>
        <w:tc>
          <w:tcPr>
            <w:tcW w:w="840" w:type="dxa"/>
            <w:vAlign w:val="bottom"/>
            <w:tcBorders>
              <w:bottom w:val="single" w:sz="8" w:color="595A5B"/>
            </w:tcBorders>
            <w:shd w:val="clear" w:color="auto" w:fill="EEEEEF"/>
          </w:tcPr>
          <w:p>
            <w:pPr>
              <w:jc w:val="right"/>
              <w:ind w:right="335"/>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EEEEEF"/>
            </w:tcBorders>
          </w:tcPr>
          <w:p>
            <w:pPr>
              <w:ind w:left="60"/>
              <w:spacing w:after="0"/>
              <w:rPr>
                <w:sz w:val="20"/>
                <w:szCs w:val="20"/>
                <w:color w:val="auto"/>
              </w:rPr>
            </w:pPr>
            <w:r>
              <w:rPr>
                <w:rFonts w:ascii="Arial" w:cs="Arial" w:eastAsia="Arial" w:hAnsi="Arial"/>
                <w:sz w:val="13"/>
                <w:szCs w:val="13"/>
                <w:color w:val="auto"/>
              </w:rPr>
              <w:t>Non-GAAP other income (expense), net</w:t>
            </w:r>
          </w:p>
        </w:tc>
        <w:tc>
          <w:tcPr>
            <w:tcW w:w="42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(8.0)</w:t>
            </w:r>
          </w:p>
        </w:tc>
        <w:tc>
          <w:tcPr>
            <w:tcW w:w="56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29"/>
        </w:trPr>
        <w:tc>
          <w:tcPr>
            <w:tcW w:w="7360" w:type="dxa"/>
            <w:vAlign w:val="bottom"/>
            <w:shd w:val="clear" w:color="auto" w:fill="EEEEEF"/>
          </w:tcPr>
          <w:p>
            <w:pPr>
              <w:ind w:left="60"/>
              <w:spacing w:after="0" w:line="129" w:lineRule="exact"/>
              <w:rPr>
                <w:sz w:val="20"/>
                <w:szCs w:val="20"/>
                <w:color w:val="auto"/>
              </w:rPr>
            </w:pPr>
            <w:r>
              <w:rPr>
                <w:rFonts w:ascii="Arial" w:cs="Arial" w:eastAsia="Arial" w:hAnsi="Arial"/>
                <w:sz w:val="13"/>
                <w:szCs w:val="13"/>
                <w:color w:val="auto"/>
              </w:rPr>
              <w:t>GAAP net income</w:t>
            </w:r>
          </w:p>
        </w:tc>
        <w:tc>
          <w:tcPr>
            <w:tcW w:w="420" w:type="dxa"/>
            <w:vAlign w:val="bottom"/>
            <w:shd w:val="clear" w:color="auto" w:fill="EEEEEF"/>
          </w:tcPr>
          <w:p>
            <w:pPr>
              <w:jc w:val="right"/>
              <w:spacing w:after="0" w:line="129" w:lineRule="exact"/>
              <w:rPr>
                <w:sz w:val="20"/>
                <w:szCs w:val="20"/>
                <w:color w:val="auto"/>
              </w:rPr>
            </w:pPr>
            <w:r>
              <w:rPr>
                <w:rFonts w:ascii="Arial" w:cs="Arial" w:eastAsia="Arial" w:hAnsi="Arial"/>
                <w:sz w:val="13"/>
                <w:szCs w:val="13"/>
                <w:color w:val="auto"/>
              </w:rPr>
              <w:t>$</w:t>
            </w:r>
          </w:p>
        </w:tc>
        <w:tc>
          <w:tcPr>
            <w:tcW w:w="980" w:type="dxa"/>
            <w:vAlign w:val="bottom"/>
            <w:shd w:val="clear" w:color="auto" w:fill="EEEEEF"/>
          </w:tcPr>
          <w:p>
            <w:pPr>
              <w:jc w:val="right"/>
              <w:ind w:right="435"/>
              <w:spacing w:after="0" w:line="129" w:lineRule="exact"/>
              <w:rPr>
                <w:sz w:val="20"/>
                <w:szCs w:val="20"/>
                <w:color w:val="auto"/>
              </w:rPr>
            </w:pPr>
            <w:r>
              <w:rPr>
                <w:rFonts w:ascii="Arial" w:cs="Arial" w:eastAsia="Arial" w:hAnsi="Arial"/>
                <w:sz w:val="13"/>
                <w:szCs w:val="13"/>
                <w:color w:val="auto"/>
              </w:rPr>
              <w:t>8,075.3</w:t>
            </w:r>
          </w:p>
        </w:tc>
        <w:tc>
          <w:tcPr>
            <w:tcW w:w="560" w:type="dxa"/>
            <w:vAlign w:val="bottom"/>
            <w:shd w:val="clear" w:color="auto" w:fill="EEEEEF"/>
          </w:tcPr>
          <w:p>
            <w:pPr>
              <w:jc w:val="right"/>
              <w:spacing w:after="0" w:line="129" w:lineRule="exact"/>
              <w:rPr>
                <w:sz w:val="20"/>
                <w:szCs w:val="20"/>
                <w:color w:val="auto"/>
              </w:rPr>
            </w:pPr>
            <w:r>
              <w:rPr>
                <w:rFonts w:ascii="Arial" w:cs="Arial" w:eastAsia="Arial" w:hAnsi="Arial"/>
                <w:sz w:val="13"/>
                <w:szCs w:val="13"/>
                <w:color w:val="auto"/>
              </w:rPr>
              <w:t>$</w:t>
            </w:r>
          </w:p>
        </w:tc>
        <w:tc>
          <w:tcPr>
            <w:tcW w:w="840" w:type="dxa"/>
            <w:vAlign w:val="bottom"/>
            <w:shd w:val="clear" w:color="auto" w:fill="EEEEEF"/>
          </w:tcPr>
          <w:p>
            <w:pPr>
              <w:jc w:val="right"/>
              <w:ind w:right="335"/>
              <w:spacing w:after="0" w:line="129" w:lineRule="exact"/>
              <w:rPr>
                <w:sz w:val="20"/>
                <w:szCs w:val="20"/>
                <w:color w:val="auto"/>
              </w:rPr>
            </w:pPr>
            <w:r>
              <w:rPr>
                <w:rFonts w:ascii="Arial" w:cs="Arial" w:eastAsia="Arial" w:hAnsi="Arial"/>
                <w:sz w:val="13"/>
                <w:szCs w:val="13"/>
                <w:color w:val="auto"/>
                <w:w w:val="96"/>
              </w:rPr>
              <w:t>3,513.2</w:t>
            </w: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240"/>
          </w:cols>
          <w:pgMar w:left="320" w:top="410" w:right="339" w:bottom="1440" w:gutter="0" w:footer="0" w:header="0"/>
        </w:sectPr>
      </w:pPr>
    </w:p>
    <w:p>
      <w:pPr>
        <w:ind w:left="720"/>
        <w:spacing w:after="0"/>
        <w:rPr>
          <w:sz w:val="20"/>
          <w:szCs w:val="20"/>
          <w:color w:val="auto"/>
        </w:rPr>
      </w:pPr>
      <w:r>
        <w:rPr>
          <w:rFonts w:ascii="Arial" w:cs="Arial" w:eastAsia="Arial" w:hAnsi="Arial"/>
          <w:sz w:val="13"/>
          <w:szCs w:val="13"/>
          <w:color w:val="auto"/>
        </w:rPr>
        <w:t>Total of GAAP to non-GAAP reconciling items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wp:posOffset>
            </wp:positionV>
            <wp:extent cx="6446520" cy="939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446520" cy="9398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3"/>
          <w:szCs w:val="13"/>
          <w:color w:val="auto"/>
        </w:rPr>
        <w:t>Income tax effect of GAAP to non-GAAP reconciling items</w:t>
      </w:r>
    </w:p>
    <w:p>
      <w:pPr>
        <w:ind w:left="720"/>
        <w:spacing w:after="0"/>
        <w:rPr>
          <w:sz w:val="20"/>
          <w:szCs w:val="20"/>
          <w:color w:val="auto"/>
        </w:rPr>
      </w:pPr>
      <w:r>
        <w:rPr>
          <w:rFonts w:ascii="Arial" w:cs="Arial" w:eastAsia="Arial" w:hAnsi="Arial"/>
          <w:sz w:val="13"/>
          <w:szCs w:val="13"/>
          <w:color w:val="auto"/>
        </w:rPr>
        <w:t>Income tax expense: Impact of sale of assets between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5715</wp:posOffset>
            </wp:positionV>
            <wp:extent cx="6446520" cy="1371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446520" cy="137160"/>
                    </a:xfrm>
                    <a:prstGeom prst="rect">
                      <a:avLst/>
                    </a:prstGeom>
                    <a:noFill/>
                  </pic:spPr>
                </pic:pic>
              </a:graphicData>
            </a:graphic>
          </wp:anchor>
        </w:drawing>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Non-GAAP net income</w:t>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3"/>
          <w:szCs w:val="13"/>
          <w:color w:val="auto"/>
        </w:rPr>
        <w:t>Non-GAAP net income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wp:posOffset>
            </wp:positionV>
            <wp:extent cx="6446520" cy="946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446520" cy="9461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Non-GAAP net income per share - diluted</w:t>
      </w:r>
    </w:p>
    <w:p>
      <w:pPr>
        <w:ind w:left="600"/>
        <w:spacing w:after="0"/>
        <w:rPr>
          <w:sz w:val="20"/>
          <w:szCs w:val="20"/>
          <w:color w:val="auto"/>
        </w:rPr>
      </w:pPr>
      <w:r>
        <w:rPr>
          <w:rFonts w:ascii="Arial" w:cs="Arial" w:eastAsia="Arial" w:hAnsi="Arial"/>
          <w:sz w:val="13"/>
          <w:szCs w:val="13"/>
          <w:i w:val="1"/>
          <w:iCs w:val="1"/>
          <w:color w:val="auto"/>
        </w:rPr>
        <w:t>Shares used in calculating: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-1905</wp:posOffset>
            </wp:positionV>
            <wp:extent cx="6446520" cy="9398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446520" cy="9398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GAAP net income per share - basic</w:t>
      </w:r>
    </w:p>
    <w:p>
      <w:pPr>
        <w:ind w:left="600"/>
        <w:spacing w:after="0"/>
        <w:rPr>
          <w:sz w:val="20"/>
          <w:szCs w:val="20"/>
          <w:color w:val="auto"/>
        </w:rPr>
      </w:pPr>
      <w:r>
        <w:rPr>
          <w:rFonts w:ascii="Arial" w:cs="Arial" w:eastAsia="Arial" w:hAnsi="Arial"/>
          <w:sz w:val="13"/>
          <w:szCs w:val="13"/>
          <w:color w:val="auto"/>
        </w:rPr>
        <w:t>GAAP net income per share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-1905</wp:posOffset>
            </wp:positionV>
            <wp:extent cx="6446520" cy="9398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446520" cy="9398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Non-GAAP net income per share - basic</w:t>
      </w:r>
    </w:p>
    <w:p>
      <w:pPr>
        <w:ind w:left="600"/>
        <w:spacing w:after="0"/>
        <w:rPr>
          <w:sz w:val="20"/>
          <w:szCs w:val="20"/>
          <w:color w:val="auto"/>
        </w:rPr>
      </w:pPr>
      <w:r>
        <w:rPr>
          <w:rFonts w:ascii="Arial" w:cs="Arial" w:eastAsia="Arial" w:hAnsi="Arial"/>
          <w:sz w:val="13"/>
          <w:szCs w:val="13"/>
          <w:color w:val="auto"/>
        </w:rPr>
        <w:t>Non-GAAP net income per share - diluted</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3"/>
          <w:szCs w:val="13"/>
          <w:i w:val="1"/>
          <w:iCs w:val="1"/>
          <w:color w:val="auto"/>
        </w:rPr>
        <w:t>Revenue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-87630</wp:posOffset>
            </wp:positionV>
            <wp:extent cx="6446520" cy="939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46520" cy="9398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-1270</wp:posOffset>
            </wp:positionV>
            <wp:extent cx="6446520" cy="946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446520" cy="9461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REGEN-COV net product sales in the United States</w:t>
      </w:r>
    </w:p>
    <w:p>
      <w:pPr>
        <w:ind w:left="600"/>
        <w:spacing w:after="0"/>
        <w:rPr>
          <w:sz w:val="20"/>
          <w:szCs w:val="20"/>
          <w:color w:val="auto"/>
        </w:rPr>
      </w:pPr>
      <w:r>
        <w:rPr>
          <w:rFonts w:ascii="Arial" w:cs="Arial" w:eastAsia="Arial" w:hAnsi="Arial"/>
          <w:sz w:val="13"/>
          <w:szCs w:val="13"/>
          <w:color w:val="auto"/>
        </w:rPr>
        <w:t>Global gross profit true-up payment from Roche in connection with sales of casirivimab and imdevimab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5715</wp:posOffset>
            </wp:positionV>
            <wp:extent cx="644652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446520" cy="137160"/>
                    </a:xfrm>
                    <a:prstGeom prst="rect">
                      <a:avLst/>
                    </a:prstGeom>
                    <a:noFill/>
                  </pic:spPr>
                </pic:pic>
              </a:graphicData>
            </a:graphic>
          </wp:anchor>
        </w:drawing>
      </w:r>
    </w:p>
    <w:p>
      <w:pPr>
        <w:spacing w:after="0" w:line="20"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revenues excluding REGEN-COV (casirivimab and imdevimab)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60" w:type="dxa"/>
        <w:tblCellMar>
          <w:top w:w="0" w:type="dxa"/>
          <w:left w:w="0" w:type="dxa"/>
          <w:bottom w:w="0" w:type="dxa"/>
          <w:right w:w="0" w:type="dxa"/>
        </w:tblCellMar>
      </w:tblPr>
      <w:tr>
        <w:trPr>
          <w:trHeight w:val="149"/>
        </w:trPr>
        <w:tc>
          <w:tcPr>
            <w:tcW w:w="920" w:type="dxa"/>
            <w:vAlign w:val="bottom"/>
          </w:tcPr>
          <w:p>
            <w:pPr>
              <w:jc w:val="right"/>
              <w:ind w:right="515"/>
              <w:spacing w:after="0"/>
              <w:rPr>
                <w:sz w:val="20"/>
                <w:szCs w:val="20"/>
                <w:color w:val="auto"/>
              </w:rPr>
            </w:pPr>
            <w:r>
              <w:rPr>
                <w:rFonts w:ascii="Arial" w:cs="Arial" w:eastAsia="Arial" w:hAnsi="Arial"/>
                <w:sz w:val="13"/>
                <w:szCs w:val="13"/>
                <w:color w:val="auto"/>
                <w:w w:val="98"/>
              </w:rPr>
              <w:t>496.0</w:t>
            </w:r>
          </w:p>
        </w:tc>
        <w:tc>
          <w:tcPr>
            <w:tcW w:w="920" w:type="dxa"/>
            <w:vAlign w:val="bottom"/>
          </w:tcPr>
          <w:p>
            <w:pPr>
              <w:jc w:val="right"/>
              <w:spacing w:after="0"/>
              <w:rPr>
                <w:sz w:val="20"/>
                <w:szCs w:val="20"/>
                <w:color w:val="auto"/>
              </w:rPr>
            </w:pPr>
            <w:r>
              <w:rPr>
                <w:rFonts w:ascii="Arial" w:cs="Arial" w:eastAsia="Arial" w:hAnsi="Arial"/>
                <w:sz w:val="13"/>
                <w:szCs w:val="13"/>
                <w:color w:val="auto"/>
              </w:rPr>
              <w:t>222.1</w:t>
            </w:r>
          </w:p>
        </w:tc>
      </w:tr>
      <w:tr>
        <w:trPr>
          <w:trHeight w:val="156"/>
        </w:trPr>
        <w:tc>
          <w:tcPr>
            <w:tcW w:w="920" w:type="dxa"/>
            <w:vAlign w:val="bottom"/>
          </w:tcPr>
          <w:p>
            <w:pPr>
              <w:jc w:val="right"/>
              <w:ind w:right="515"/>
              <w:spacing w:after="0"/>
              <w:rPr>
                <w:sz w:val="20"/>
                <w:szCs w:val="20"/>
                <w:color w:val="auto"/>
              </w:rPr>
            </w:pPr>
            <w:r>
              <w:rPr>
                <w:rFonts w:ascii="Arial" w:cs="Arial" w:eastAsia="Arial" w:hAnsi="Arial"/>
                <w:sz w:val="13"/>
                <w:szCs w:val="13"/>
                <w:color w:val="auto"/>
                <w:w w:val="94"/>
              </w:rPr>
              <w:t>(82.9)</w:t>
            </w:r>
          </w:p>
        </w:tc>
        <w:tc>
          <w:tcPr>
            <w:tcW w:w="920" w:type="dxa"/>
            <w:vAlign w:val="bottom"/>
          </w:tcPr>
          <w:p>
            <w:pPr>
              <w:jc w:val="right"/>
              <w:spacing w:after="0"/>
              <w:rPr>
                <w:sz w:val="20"/>
                <w:szCs w:val="20"/>
                <w:color w:val="auto"/>
              </w:rPr>
            </w:pPr>
            <w:r>
              <w:rPr>
                <w:rFonts w:ascii="Arial" w:cs="Arial" w:eastAsia="Arial" w:hAnsi="Arial"/>
                <w:sz w:val="13"/>
                <w:szCs w:val="13"/>
                <w:color w:val="auto"/>
              </w:rPr>
              <w:t>(38.9)</w:t>
            </w:r>
          </w:p>
        </w:tc>
      </w:tr>
    </w:tbl>
    <w:p>
      <w:pPr>
        <w:spacing w:after="0" w:line="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–(30.0)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8,488.4</w:t>
            </w:r>
          </w:p>
        </w:tc>
        <w:tc>
          <w:tcPr>
            <w:tcW w:w="56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w w:val="96"/>
              </w:rPr>
              <w:t>3,666.4</w:t>
            </w:r>
          </w:p>
        </w:tc>
      </w:tr>
      <w:tr>
        <w:trPr>
          <w:trHeight w:val="20"/>
        </w:trPr>
        <w:tc>
          <w:tcPr>
            <w:tcW w:w="380" w:type="dxa"/>
            <w:vAlign w:val="bottom"/>
            <w:tcBorders>
              <w:bottom w:val="single" w:sz="8" w:color="595A5B"/>
            </w:tcBorders>
          </w:tcPr>
          <w:p>
            <w:pPr>
              <w:spacing w:after="0" w:line="20" w:lineRule="exact"/>
              <w:rPr>
                <w:sz w:val="1"/>
                <w:szCs w:val="1"/>
                <w:color w:val="auto"/>
              </w:rPr>
            </w:pPr>
          </w:p>
        </w:tc>
        <w:tc>
          <w:tcPr>
            <w:tcW w:w="1020" w:type="dxa"/>
            <w:vAlign w:val="bottom"/>
            <w:tcBorders>
              <w:bottom w:val="single" w:sz="8" w:color="595A5B"/>
            </w:tcBorders>
          </w:tcPr>
          <w:p>
            <w:pPr>
              <w:spacing w:after="0" w:line="20" w:lineRule="exact"/>
              <w:rPr>
                <w:sz w:val="1"/>
                <w:szCs w:val="1"/>
                <w:color w:val="auto"/>
              </w:rPr>
            </w:pPr>
          </w:p>
        </w:tc>
        <w:tc>
          <w:tcPr>
            <w:tcW w:w="560" w:type="dxa"/>
            <w:vAlign w:val="bottom"/>
            <w:tcBorders>
              <w:bottom w:val="single" w:sz="8" w:color="595A5B"/>
            </w:tcBorders>
          </w:tcPr>
          <w:p>
            <w:pPr>
              <w:spacing w:after="0" w:line="20" w:lineRule="exact"/>
              <w:rPr>
                <w:sz w:val="1"/>
                <w:szCs w:val="1"/>
                <w:color w:val="auto"/>
              </w:rPr>
            </w:pPr>
          </w:p>
        </w:tc>
        <w:tc>
          <w:tcPr>
            <w:tcW w:w="840" w:type="dxa"/>
            <w:vAlign w:val="bottom"/>
            <w:tcBorders>
              <w:bottom w:val="single" w:sz="8" w:color="595A5B"/>
            </w:tcBorders>
          </w:tcPr>
          <w:p>
            <w:pPr>
              <w:spacing w:after="0" w:line="20" w:lineRule="exact"/>
              <w:rPr>
                <w:sz w:val="1"/>
                <w:szCs w:val="1"/>
                <w:color w:val="auto"/>
              </w:rPr>
            </w:pPr>
          </w:p>
        </w:tc>
      </w:tr>
      <w:tr>
        <w:trPr>
          <w:trHeight w:val="132"/>
        </w:trPr>
        <w:tc>
          <w:tcPr>
            <w:tcW w:w="3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435"/>
              <w:spacing w:after="0" w:line="133" w:lineRule="exact"/>
              <w:rPr>
                <w:sz w:val="20"/>
                <w:szCs w:val="20"/>
                <w:color w:val="auto"/>
              </w:rPr>
            </w:pPr>
            <w:r>
              <w:rPr>
                <w:rFonts w:ascii="Arial" w:cs="Arial" w:eastAsia="Arial" w:hAnsi="Arial"/>
                <w:sz w:val="13"/>
                <w:szCs w:val="13"/>
                <w:color w:val="auto"/>
              </w:rPr>
              <w:t>80.31</w:t>
            </w:r>
          </w:p>
        </w:tc>
        <w:tc>
          <w:tcPr>
            <w:tcW w:w="56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335"/>
              <w:spacing w:after="0" w:line="133" w:lineRule="exact"/>
              <w:rPr>
                <w:sz w:val="20"/>
                <w:szCs w:val="20"/>
                <w:color w:val="auto"/>
              </w:rPr>
            </w:pPr>
            <w:r>
              <w:rPr>
                <w:rFonts w:ascii="Arial" w:cs="Arial" w:eastAsia="Arial" w:hAnsi="Arial"/>
                <w:sz w:val="13"/>
                <w:szCs w:val="13"/>
                <w:color w:val="auto"/>
              </w:rPr>
              <w:t>34.07</w:t>
            </w:r>
          </w:p>
        </w:tc>
      </w:tr>
      <w:tr>
        <w:trPr>
          <w:trHeight w:val="156"/>
        </w:trPr>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74.66</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31.47</w:t>
            </w:r>
          </w:p>
        </w:tc>
      </w:tr>
      <w:tr>
        <w:trPr>
          <w:trHeight w:val="289"/>
        </w:trPr>
        <w:tc>
          <w:tcPr>
            <w:tcW w:w="380" w:type="dxa"/>
            <w:vAlign w:val="bottom"/>
          </w:tcPr>
          <w:p>
            <w:pPr>
              <w:spacing w:after="0"/>
              <w:rPr>
                <w:sz w:val="24"/>
                <w:szCs w:val="24"/>
                <w:color w:val="auto"/>
              </w:rPr>
            </w:pP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105.7</w:t>
            </w:r>
          </w:p>
        </w:tc>
        <w:tc>
          <w:tcPr>
            <w:tcW w:w="560" w:type="dxa"/>
            <w:vAlign w:val="bottom"/>
          </w:tcPr>
          <w:p>
            <w:pPr>
              <w:spacing w:after="0"/>
              <w:rPr>
                <w:sz w:val="24"/>
                <w:szCs w:val="24"/>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107.6</w:t>
            </w:r>
          </w:p>
        </w:tc>
      </w:tr>
      <w:tr>
        <w:trPr>
          <w:trHeight w:val="148"/>
        </w:trPr>
        <w:tc>
          <w:tcPr>
            <w:tcW w:w="380" w:type="dxa"/>
            <w:vAlign w:val="bottom"/>
          </w:tcPr>
          <w:p>
            <w:pPr>
              <w:spacing w:after="0"/>
              <w:rPr>
                <w:sz w:val="12"/>
                <w:szCs w:val="12"/>
                <w:color w:val="auto"/>
              </w:rPr>
            </w:pP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112.2</w:t>
            </w:r>
          </w:p>
        </w:tc>
        <w:tc>
          <w:tcPr>
            <w:tcW w:w="560" w:type="dxa"/>
            <w:vAlign w:val="bottom"/>
          </w:tcPr>
          <w:p>
            <w:pPr>
              <w:spacing w:after="0"/>
              <w:rPr>
                <w:sz w:val="12"/>
                <w:szCs w:val="12"/>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115.1</w:t>
            </w:r>
          </w:p>
        </w:tc>
      </w:tr>
      <w:tr>
        <w:trPr>
          <w:trHeight w:val="148"/>
        </w:trPr>
        <w:tc>
          <w:tcPr>
            <w:tcW w:w="380" w:type="dxa"/>
            <w:vAlign w:val="bottom"/>
          </w:tcPr>
          <w:p>
            <w:pPr>
              <w:spacing w:after="0"/>
              <w:rPr>
                <w:sz w:val="12"/>
                <w:szCs w:val="12"/>
                <w:color w:val="auto"/>
              </w:rPr>
            </w:pP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105.7</w:t>
            </w:r>
          </w:p>
        </w:tc>
        <w:tc>
          <w:tcPr>
            <w:tcW w:w="560" w:type="dxa"/>
            <w:vAlign w:val="bottom"/>
          </w:tcPr>
          <w:p>
            <w:pPr>
              <w:spacing w:after="0"/>
              <w:rPr>
                <w:sz w:val="12"/>
                <w:szCs w:val="12"/>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107.6</w:t>
            </w:r>
          </w:p>
        </w:tc>
      </w:tr>
      <w:tr>
        <w:trPr>
          <w:trHeight w:val="156"/>
        </w:trPr>
        <w:tc>
          <w:tcPr>
            <w:tcW w:w="380" w:type="dxa"/>
            <w:vAlign w:val="bottom"/>
          </w:tcPr>
          <w:p>
            <w:pPr>
              <w:spacing w:after="0"/>
              <w:rPr>
                <w:sz w:val="13"/>
                <w:szCs w:val="13"/>
                <w:color w:val="auto"/>
              </w:rPr>
            </w:pP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113.7</w:t>
            </w:r>
          </w:p>
        </w:tc>
        <w:tc>
          <w:tcPr>
            <w:tcW w:w="560" w:type="dxa"/>
            <w:vAlign w:val="bottom"/>
          </w:tcPr>
          <w:p>
            <w:pPr>
              <w:spacing w:after="0"/>
              <w:rPr>
                <w:sz w:val="13"/>
                <w:szCs w:val="13"/>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116.5</w:t>
            </w:r>
          </w:p>
        </w:tc>
      </w:tr>
      <w:tr>
        <w:trPr>
          <w:trHeight w:val="438"/>
        </w:trPr>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435"/>
              <w:spacing w:after="0"/>
              <w:rPr>
                <w:sz w:val="20"/>
                <w:szCs w:val="20"/>
                <w:color w:val="auto"/>
              </w:rPr>
            </w:pPr>
            <w:r>
              <w:rPr>
                <w:rFonts w:ascii="Arial" w:cs="Arial" w:eastAsia="Arial" w:hAnsi="Arial"/>
                <w:sz w:val="13"/>
                <w:szCs w:val="13"/>
                <w:color w:val="auto"/>
                <w:w w:val="98"/>
              </w:rPr>
              <w:t>16,071.7</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35"/>
              <w:spacing w:after="0"/>
              <w:rPr>
                <w:sz w:val="20"/>
                <w:szCs w:val="20"/>
                <w:color w:val="auto"/>
              </w:rPr>
            </w:pPr>
            <w:r>
              <w:rPr>
                <w:rFonts w:ascii="Arial" w:cs="Arial" w:eastAsia="Arial" w:hAnsi="Arial"/>
                <w:sz w:val="13"/>
                <w:szCs w:val="13"/>
                <w:color w:val="auto"/>
                <w:w w:val="96"/>
              </w:rPr>
              <w:t>8,497.1</w:t>
            </w:r>
          </w:p>
        </w:tc>
      </w:tr>
      <w:tr>
        <w:trPr>
          <w:trHeight w:val="156"/>
        </w:trPr>
        <w:tc>
          <w:tcPr>
            <w:tcW w:w="380" w:type="dxa"/>
            <w:vAlign w:val="bottom"/>
          </w:tcPr>
          <w:p>
            <w:pPr>
              <w:spacing w:after="0"/>
              <w:rPr>
                <w:sz w:val="13"/>
                <w:szCs w:val="13"/>
                <w:color w:val="auto"/>
              </w:rPr>
            </w:pPr>
          </w:p>
        </w:tc>
        <w:tc>
          <w:tcPr>
            <w:tcW w:w="1020" w:type="dxa"/>
            <w:vAlign w:val="bottom"/>
          </w:tcPr>
          <w:p>
            <w:pPr>
              <w:jc w:val="right"/>
              <w:ind w:right="435"/>
              <w:spacing w:after="0"/>
              <w:rPr>
                <w:sz w:val="20"/>
                <w:szCs w:val="20"/>
                <w:color w:val="auto"/>
              </w:rPr>
            </w:pPr>
            <w:r>
              <w:rPr>
                <w:rFonts w:ascii="Arial" w:cs="Arial" w:eastAsia="Arial" w:hAnsi="Arial"/>
                <w:sz w:val="13"/>
                <w:szCs w:val="13"/>
                <w:color w:val="auto"/>
              </w:rPr>
              <w:t>5,828.0</w:t>
            </w:r>
          </w:p>
        </w:tc>
        <w:tc>
          <w:tcPr>
            <w:tcW w:w="560" w:type="dxa"/>
            <w:vAlign w:val="bottom"/>
          </w:tcPr>
          <w:p>
            <w:pPr>
              <w:spacing w:after="0"/>
              <w:rPr>
                <w:sz w:val="13"/>
                <w:szCs w:val="13"/>
                <w:color w:val="auto"/>
              </w:rPr>
            </w:pPr>
          </w:p>
        </w:tc>
        <w:tc>
          <w:tcPr>
            <w:tcW w:w="840" w:type="dxa"/>
            <w:vAlign w:val="bottom"/>
          </w:tcPr>
          <w:p>
            <w:pPr>
              <w:jc w:val="right"/>
              <w:ind w:right="335"/>
              <w:spacing w:after="0"/>
              <w:rPr>
                <w:sz w:val="20"/>
                <w:szCs w:val="20"/>
                <w:color w:val="auto"/>
              </w:rPr>
            </w:pPr>
            <w:r>
              <w:rPr>
                <w:rFonts w:ascii="Arial" w:cs="Arial" w:eastAsia="Arial" w:hAnsi="Arial"/>
                <w:sz w:val="13"/>
                <w:szCs w:val="13"/>
                <w:color w:val="auto"/>
              </w:rPr>
              <w:t>185.7</w:t>
            </w:r>
          </w:p>
        </w:tc>
      </w:tr>
      <w:tr>
        <w:trPr>
          <w:trHeight w:val="151"/>
        </w:trPr>
        <w:tc>
          <w:tcPr>
            <w:tcW w:w="380" w:type="dxa"/>
            <w:vAlign w:val="bottom"/>
            <w:tcBorders>
              <w:bottom w:val="single" w:sz="8" w:color="595A5B"/>
            </w:tcBorders>
          </w:tcPr>
          <w:p>
            <w:pPr>
              <w:spacing w:after="0"/>
              <w:rPr>
                <w:sz w:val="13"/>
                <w:szCs w:val="13"/>
                <w:color w:val="auto"/>
              </w:rPr>
            </w:pPr>
          </w:p>
        </w:tc>
        <w:tc>
          <w:tcPr>
            <w:tcW w:w="102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361.8</w:t>
            </w:r>
          </w:p>
        </w:tc>
        <w:tc>
          <w:tcPr>
            <w:tcW w:w="560" w:type="dxa"/>
            <w:vAlign w:val="bottom"/>
            <w:tcBorders>
              <w:bottom w:val="single" w:sz="8" w:color="595A5B"/>
            </w:tcBorders>
          </w:tcPr>
          <w:p>
            <w:pPr>
              <w:spacing w:after="0"/>
              <w:rPr>
                <w:sz w:val="13"/>
                <w:szCs w:val="13"/>
                <w:color w:val="auto"/>
              </w:rPr>
            </w:pP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rPr>
              <w:t>–</w:t>
            </w:r>
          </w:p>
        </w:tc>
      </w:tr>
      <w:tr>
        <w:trPr>
          <w:trHeight w:val="183"/>
        </w:trPr>
        <w:tc>
          <w:tcPr>
            <w:tcW w:w="38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595A5B"/>
            </w:tcBorders>
          </w:tcPr>
          <w:p>
            <w:pPr>
              <w:jc w:val="right"/>
              <w:ind w:right="435"/>
              <w:spacing w:after="0"/>
              <w:rPr>
                <w:sz w:val="20"/>
                <w:szCs w:val="20"/>
                <w:color w:val="auto"/>
              </w:rPr>
            </w:pPr>
            <w:r>
              <w:rPr>
                <w:rFonts w:ascii="Arial" w:cs="Arial" w:eastAsia="Arial" w:hAnsi="Arial"/>
                <w:sz w:val="13"/>
                <w:szCs w:val="13"/>
                <w:color w:val="auto"/>
              </w:rPr>
              <w:t>9,881.9</w:t>
            </w:r>
          </w:p>
        </w:tc>
        <w:tc>
          <w:tcPr>
            <w:tcW w:w="560" w:type="dxa"/>
            <w:vAlign w:val="bottom"/>
            <w:tcBorders>
              <w:bottom w:val="single" w:sz="8" w:color="595A5B"/>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595A5B"/>
            </w:tcBorders>
          </w:tcPr>
          <w:p>
            <w:pPr>
              <w:jc w:val="right"/>
              <w:ind w:right="335"/>
              <w:spacing w:after="0"/>
              <w:rPr>
                <w:sz w:val="20"/>
                <w:szCs w:val="20"/>
                <w:color w:val="auto"/>
              </w:rPr>
            </w:pPr>
            <w:r>
              <w:rPr>
                <w:rFonts w:ascii="Arial" w:cs="Arial" w:eastAsia="Arial" w:hAnsi="Arial"/>
                <w:sz w:val="13"/>
                <w:szCs w:val="13"/>
                <w:color w:val="auto"/>
                <w:w w:val="96"/>
              </w:rPr>
              <w:t>8,311.4</w:t>
            </w:r>
          </w:p>
        </w:tc>
      </w:tr>
      <w:tr>
        <w:trPr>
          <w:trHeight w:val="20"/>
        </w:trPr>
        <w:tc>
          <w:tcPr>
            <w:tcW w:w="380" w:type="dxa"/>
            <w:vAlign w:val="bottom"/>
            <w:tcBorders>
              <w:bottom w:val="single" w:sz="8" w:color="595A5B"/>
            </w:tcBorders>
          </w:tcPr>
          <w:p>
            <w:pPr>
              <w:spacing w:after="0" w:line="20" w:lineRule="exact"/>
              <w:rPr>
                <w:sz w:val="1"/>
                <w:szCs w:val="1"/>
                <w:color w:val="auto"/>
              </w:rPr>
            </w:pPr>
          </w:p>
        </w:tc>
        <w:tc>
          <w:tcPr>
            <w:tcW w:w="1020" w:type="dxa"/>
            <w:vAlign w:val="bottom"/>
            <w:tcBorders>
              <w:bottom w:val="single" w:sz="8" w:color="595A5B"/>
            </w:tcBorders>
          </w:tcPr>
          <w:p>
            <w:pPr>
              <w:spacing w:after="0" w:line="20" w:lineRule="exact"/>
              <w:rPr>
                <w:sz w:val="1"/>
                <w:szCs w:val="1"/>
                <w:color w:val="auto"/>
              </w:rPr>
            </w:pPr>
          </w:p>
        </w:tc>
        <w:tc>
          <w:tcPr>
            <w:tcW w:w="560" w:type="dxa"/>
            <w:vAlign w:val="bottom"/>
            <w:tcBorders>
              <w:bottom w:val="single" w:sz="8" w:color="595A5B"/>
            </w:tcBorders>
          </w:tcPr>
          <w:p>
            <w:pPr>
              <w:spacing w:after="0" w:line="20" w:lineRule="exact"/>
              <w:rPr>
                <w:sz w:val="1"/>
                <w:szCs w:val="1"/>
                <w:color w:val="auto"/>
              </w:rPr>
            </w:pPr>
          </w:p>
        </w:tc>
        <w:tc>
          <w:tcPr>
            <w:tcW w:w="840" w:type="dxa"/>
            <w:vAlign w:val="bottom"/>
            <w:tcBorders>
              <w:bottom w:val="single" w:sz="8" w:color="595A5B"/>
            </w:tcBorders>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2">
            <w:col w:w="7180" w:space="720"/>
            <w:col w:w="3340"/>
          </w:cols>
          <w:pgMar w:left="320" w:top="410" w:right="339" w:bottom="1440" w:gutter="0" w:footer="0" w:header="0"/>
          <w:type w:val="continuous"/>
        </w:sectPr>
      </w:pPr>
    </w:p>
    <w:p>
      <w:pPr>
        <w:spacing w:after="0"/>
        <w:tabs>
          <w:tab w:leader="none" w:pos="5800" w:val="left"/>
        </w:tabs>
        <w:rPr>
          <w:sz w:val="20"/>
          <w:szCs w:val="20"/>
          <w:color w:val="auto"/>
        </w:rPr>
      </w:pPr>
      <w:r>
        <w:rPr>
          <w:rFonts w:ascii="Arial" w:cs="Arial" w:eastAsia="Arial" w:hAnsi="Arial"/>
          <w:sz w:val="14"/>
          <w:szCs w:val="14"/>
          <w:b w:val="1"/>
          <w:bCs w:val="1"/>
          <w:color w:val="auto"/>
        </w:rPr>
        <w:t xml:space="preserve">108 </w:t>
      </w:r>
      <w:r>
        <w:rPr>
          <w:rFonts w:ascii="Arial" w:cs="Arial" w:eastAsia="Arial" w:hAnsi="Arial"/>
          <w:sz w:val="14"/>
          <w:szCs w:val="14"/>
          <w:b w:val="1"/>
          <w:bCs w:val="1"/>
          <w:color w:val="00ADEE"/>
        </w:rPr>
        <w:t>/</w:t>
      </w:r>
      <w:r>
        <w:rPr>
          <w:sz w:val="20"/>
          <w:szCs w:val="20"/>
          <w:color w:val="auto"/>
        </w:rPr>
        <w:tab/>
      </w:r>
      <w:r>
        <w:rPr>
          <w:rFonts w:ascii="Arial" w:cs="Arial" w:eastAsia="Arial" w:hAnsi="Arial"/>
          <w:sz w:val="14"/>
          <w:szCs w:val="14"/>
          <w:b w:val="1"/>
          <w:bCs w:val="1"/>
          <w:color w:val="215BA8"/>
        </w:rPr>
        <w:t>2022 PROXY STATEMENT AND NOTICE OF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268605</wp:posOffset>
            </wp:positionV>
            <wp:extent cx="6515100" cy="85553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6515100" cy="855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777 Old Saw Mill River Road</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5391785</wp:posOffset>
            </wp:positionV>
            <wp:extent cx="713232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4" w:name="page125"/>
    <w:bookmarkEnd w:id="124"/>
    <w:p>
      <w:pPr>
        <w:ind w:left="360"/>
        <w:spacing w:after="0"/>
        <w:rPr>
          <w:sz w:val="20"/>
          <w:szCs w:val="20"/>
          <w:color w:val="auto"/>
        </w:rPr>
      </w:pPr>
      <w:r>
        <w:rPr>
          <w:rFonts w:ascii="Arial" w:cs="Arial" w:eastAsia="Arial" w:hAnsi="Arial"/>
          <w:sz w:val="9"/>
          <w:szCs w:val="9"/>
          <w:i w:val="1"/>
          <w:iCs w:val="1"/>
          <w:color w:val="auto"/>
        </w:rPr>
        <w:t>REGENERON PHARMACEUTICALS, INC.</w:t>
      </w:r>
    </w:p>
    <w:p>
      <w:pPr>
        <w:ind w:left="360"/>
        <w:spacing w:after="0" w:line="219" w:lineRule="auto"/>
        <w:rPr>
          <w:sz w:val="20"/>
          <w:szCs w:val="20"/>
          <w:color w:val="auto"/>
        </w:rPr>
      </w:pPr>
      <w:r>
        <w:rPr>
          <w:rFonts w:ascii="Arial" w:cs="Arial" w:eastAsia="Arial" w:hAnsi="Arial"/>
          <w:sz w:val="9"/>
          <w:szCs w:val="9"/>
          <w:i w:val="1"/>
          <w:iCs w:val="1"/>
          <w:color w:val="auto"/>
        </w:rPr>
        <w:t>777 OLD SAW MILL RIVER ROAD</w:t>
      </w:r>
    </w:p>
    <w:p>
      <w:pPr>
        <w:ind w:left="360"/>
        <w:spacing w:after="0" w:line="219" w:lineRule="auto"/>
        <w:rPr>
          <w:sz w:val="20"/>
          <w:szCs w:val="20"/>
          <w:color w:val="auto"/>
        </w:rPr>
      </w:pPr>
      <w:r>
        <w:rPr>
          <w:rFonts w:ascii="Arial" w:cs="Arial" w:eastAsia="Arial" w:hAnsi="Arial"/>
          <w:sz w:val="9"/>
          <w:szCs w:val="9"/>
          <w:i w:val="1"/>
          <w:iCs w:val="1"/>
          <w:color w:val="auto"/>
        </w:rPr>
        <w:t>TARRYTOWN, NY 10591-6707</w:t>
      </w:r>
    </w:p>
    <w:p>
      <w:pPr>
        <w:ind w:left="360"/>
        <w:spacing w:after="0"/>
        <w:rPr>
          <w:sz w:val="20"/>
          <w:szCs w:val="20"/>
          <w:color w:val="auto"/>
        </w:rPr>
      </w:pPr>
      <w:r>
        <w:rPr>
          <w:rFonts w:ascii="Arial" w:cs="Arial" w:eastAsia="Arial" w:hAnsi="Arial"/>
          <w:sz w:val="9"/>
          <w:szCs w:val="9"/>
          <w:i w:val="1"/>
          <w:iCs w:val="1"/>
          <w:color w:val="auto"/>
        </w:rPr>
        <w:t>ATTN: CORPORATE SECRETARY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-747395</wp:posOffset>
            </wp:positionV>
            <wp:extent cx="2537460" cy="5918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37460" cy="59182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117" w:lineRule="exact"/>
        <w:rPr>
          <w:sz w:val="20"/>
          <w:szCs w:val="20"/>
          <w:color w:val="auto"/>
        </w:rPr>
      </w:pPr>
    </w:p>
    <w:p>
      <w:pPr>
        <w:jc w:val="both"/>
        <w:ind w:right="360"/>
        <w:spacing w:after="0" w:line="234" w:lineRule="auto"/>
        <w:rPr>
          <w:sz w:val="20"/>
          <w:szCs w:val="20"/>
          <w:color w:val="auto"/>
        </w:rPr>
      </w:pPr>
      <w:r>
        <w:rPr>
          <w:rFonts w:ascii="Arial" w:cs="Arial" w:eastAsia="Arial" w:hAnsi="Arial"/>
          <w:sz w:val="11"/>
          <w:szCs w:val="11"/>
          <w:color w:val="auto"/>
        </w:rPr>
        <w:t>Use the Internet to transmit your voting instructions and for electronic delivery of information. Vote by 11:59 p.m. Eastern Time on June 9, 2022 for shares held directly and by 11:59 p.m. Eastern Time on June 7, 2022 for shares held in a Plan. Have your proxy card in hand when you access the web site and follow the instructions to obtain your records and to create an electronic voting instruction form.</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www.virtualshareholdermeeting.com/REGN2022</w:t>
      </w:r>
    </w:p>
    <w:p>
      <w:pPr>
        <w:spacing w:after="0" w:line="7" w:lineRule="exact"/>
        <w:rPr>
          <w:sz w:val="20"/>
          <w:szCs w:val="20"/>
          <w:color w:val="auto"/>
        </w:rPr>
      </w:pPr>
    </w:p>
    <w:p>
      <w:pPr>
        <w:jc w:val="both"/>
        <w:ind w:right="360"/>
        <w:spacing w:after="0" w:line="238"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7" w:lineRule="exact"/>
        <w:rPr>
          <w:sz w:val="20"/>
          <w:szCs w:val="20"/>
          <w:color w:val="auto"/>
        </w:rPr>
      </w:pPr>
    </w:p>
    <w:p>
      <w:pPr>
        <w:jc w:val="both"/>
        <w:ind w:right="360"/>
        <w:spacing w:after="0" w:line="235" w:lineRule="auto"/>
        <w:rPr>
          <w:sz w:val="20"/>
          <w:szCs w:val="20"/>
          <w:color w:val="auto"/>
        </w:rPr>
      </w:pPr>
      <w:r>
        <w:rPr>
          <w:rFonts w:ascii="Arial" w:cs="Arial" w:eastAsia="Arial" w:hAnsi="Arial"/>
          <w:sz w:val="11"/>
          <w:szCs w:val="11"/>
          <w:color w:val="auto"/>
        </w:rPr>
        <w:t>Use any touch-tone telephone to transmit your voting instructions. Vote by 11:59 p.m. Eastern Time on June 9, 2022 for shares held directly and by 11:59 p.m. Eastern Time on June 7, 2022 for shares held in a Plan. Have your proxy card in hand when you call and then follow the instructions.</w:t>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7" w:lineRule="exact"/>
        <w:rPr>
          <w:sz w:val="20"/>
          <w:szCs w:val="20"/>
          <w:color w:val="auto"/>
        </w:rPr>
      </w:pPr>
    </w:p>
    <w:p>
      <w:pPr>
        <w:jc w:val="both"/>
        <w:ind w:right="380"/>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400"/>
          </w:cols>
          <w:pgMar w:left="320" w:top="1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4740" w:type="dxa"/>
            <w:vAlign w:val="bottom"/>
            <w:gridSpan w:val="6"/>
          </w:tcPr>
          <w:p>
            <w:pPr>
              <w:spacing w:after="0"/>
              <w:rPr>
                <w:sz w:val="20"/>
                <w:szCs w:val="20"/>
                <w:color w:val="auto"/>
              </w:rPr>
            </w:pPr>
            <w:r>
              <w:rPr>
                <w:rFonts w:ascii="Arial" w:cs="Arial" w:eastAsia="Arial" w:hAnsi="Arial"/>
                <w:sz w:val="13"/>
                <w:szCs w:val="13"/>
                <w:color w:val="231F20"/>
              </w:rPr>
              <w:t>TO VOTE, MARK BLOCKS BELOW IN BLUE OR BLACK INK AS FOLLOWS:</w:t>
            </w: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920" w:type="dxa"/>
            <w:vAlign w:val="bottom"/>
            <w:gridSpan w:val="2"/>
          </w:tcPr>
          <w:p>
            <w:pPr>
              <w:ind w:left="300"/>
              <w:spacing w:after="0"/>
              <w:rPr>
                <w:sz w:val="20"/>
                <w:szCs w:val="20"/>
                <w:color w:val="auto"/>
              </w:rPr>
            </w:pPr>
            <w:r>
              <w:rPr>
                <w:rFonts w:ascii="Arial" w:cs="Arial" w:eastAsia="Arial" w:hAnsi="Arial"/>
                <w:sz w:val="13"/>
                <w:szCs w:val="13"/>
                <w:color w:val="231F20"/>
              </w:rPr>
              <w:t>D71098-P64569-Z81504</w:t>
            </w:r>
          </w:p>
        </w:tc>
        <w:tc>
          <w:tcPr>
            <w:tcW w:w="3040" w:type="dxa"/>
            <w:vAlign w:val="bottom"/>
            <w:gridSpan w:val="7"/>
          </w:tcPr>
          <w:p>
            <w:pPr>
              <w:jc w:val="right"/>
              <w:spacing w:after="0"/>
              <w:rPr>
                <w:sz w:val="20"/>
                <w:szCs w:val="20"/>
                <w:color w:val="auto"/>
              </w:rPr>
            </w:pPr>
            <w:r>
              <w:rPr>
                <w:rFonts w:ascii="Arial" w:cs="Arial" w:eastAsia="Arial" w:hAnsi="Arial"/>
                <w:sz w:val="13"/>
                <w:szCs w:val="13"/>
                <w:color w:val="231F20"/>
              </w:rPr>
              <w:t>KEEP THIS PORTION FOR YOUR RECORDS</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231F20"/>
              </w:rPr>
              <w:t>THIS PROXY CARD IS VALID ONLY WHEN SIGNED AND DATED.</w:t>
            </w:r>
          </w:p>
        </w:tc>
        <w:tc>
          <w:tcPr>
            <w:tcW w:w="3040" w:type="dxa"/>
            <w:vAlign w:val="bottom"/>
            <w:gridSpan w:val="7"/>
          </w:tcPr>
          <w:p>
            <w:pPr>
              <w:jc w:val="right"/>
              <w:spacing w:after="0"/>
              <w:rPr>
                <w:sz w:val="20"/>
                <w:szCs w:val="20"/>
                <w:color w:val="auto"/>
              </w:rPr>
            </w:pPr>
            <w:r>
              <w:rPr>
                <w:rFonts w:ascii="Arial" w:cs="Arial" w:eastAsia="Arial" w:hAnsi="Arial"/>
                <w:sz w:val="13"/>
                <w:szCs w:val="13"/>
                <w:color w:val="231F20"/>
              </w:rPr>
              <w:t>DETACH AND RETURN THIS PORTION ONLY</w:t>
            </w: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0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220" w:type="dxa"/>
            <w:vAlign w:val="bottom"/>
            <w:tcBorders>
              <w:left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REGENERON PHARMACEUTICALS, INC.</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360" w:type="dxa"/>
            <w:vAlign w:val="bottom"/>
            <w:tcBorders>
              <w:left w:val="single" w:sz="8" w:color="auto"/>
            </w:tcBorders>
            <w:vMerge w:val="restart"/>
          </w:tcPr>
          <w:p>
            <w:pPr>
              <w:spacing w:after="0"/>
              <w:rPr>
                <w:sz w:val="6"/>
                <w:szCs w:val="6"/>
                <w:color w:val="auto"/>
              </w:rPr>
            </w:pPr>
          </w:p>
        </w:tc>
        <w:tc>
          <w:tcPr>
            <w:tcW w:w="438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The  Board  of  Directors  recommends  you  vote  FOR  the</w:t>
            </w: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360" w:type="dxa"/>
            <w:vAlign w:val="bottom"/>
            <w:tcBorders>
              <w:left w:val="single" w:sz="8" w:color="auto"/>
            </w:tcBorders>
            <w:vMerge w:val="continue"/>
          </w:tcPr>
          <w:p>
            <w:pPr>
              <w:spacing w:after="0"/>
              <w:rPr>
                <w:sz w:val="7"/>
                <w:szCs w:val="7"/>
                <w:color w:val="auto"/>
              </w:rPr>
            </w:pPr>
          </w:p>
        </w:tc>
        <w:tc>
          <w:tcPr>
            <w:tcW w:w="4380" w:type="dxa"/>
            <w:vAlign w:val="bottom"/>
            <w:gridSpan w:val="5"/>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60" w:type="dxa"/>
            <w:vAlign w:val="bottom"/>
            <w:tcBorders>
              <w:left w:val="single" w:sz="8" w:color="auto"/>
            </w:tcBorders>
          </w:tcPr>
          <w:p>
            <w:pPr>
              <w:spacing w:after="0"/>
              <w:rPr>
                <w:sz w:val="14"/>
                <w:szCs w:val="14"/>
                <w:color w:val="auto"/>
              </w:rPr>
            </w:pPr>
          </w:p>
        </w:tc>
        <w:tc>
          <w:tcPr>
            <w:tcW w:w="2860" w:type="dxa"/>
            <w:vAlign w:val="bottom"/>
            <w:gridSpan w:val="2"/>
          </w:tcPr>
          <w:p>
            <w:pPr>
              <w:ind w:left="40"/>
              <w:spacing w:after="0"/>
              <w:rPr>
                <w:sz w:val="20"/>
                <w:szCs w:val="20"/>
                <w:color w:val="auto"/>
              </w:rPr>
            </w:pPr>
            <w:r>
              <w:rPr>
                <w:rFonts w:ascii="Arial" w:cs="Arial" w:eastAsia="Arial" w:hAnsi="Arial"/>
                <w:sz w:val="13"/>
                <w:szCs w:val="13"/>
                <w:b w:val="1"/>
                <w:bCs w:val="1"/>
                <w:color w:val="auto"/>
              </w:rPr>
              <w:t>following proposals: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0" w:type="dxa"/>
            <w:vAlign w:val="bottom"/>
            <w:tcBorders>
              <w:left w:val="single" w:sz="8" w:color="auto"/>
            </w:tcBorders>
            <w:gridSpan w:val="2"/>
          </w:tcPr>
          <w:p>
            <w:pPr>
              <w:ind w:left="400"/>
              <w:spacing w:after="0"/>
              <w:rPr>
                <w:sz w:val="20"/>
                <w:szCs w:val="20"/>
                <w:color w:val="auto"/>
              </w:rPr>
            </w:pPr>
            <w:r>
              <w:rPr>
                <w:rFonts w:ascii="Arial" w:cs="Arial" w:eastAsia="Arial" w:hAnsi="Arial"/>
                <w:sz w:val="13"/>
                <w:szCs w:val="13"/>
                <w:color w:val="auto"/>
              </w:rPr>
              <w:t>1.</w:t>
            </w:r>
          </w:p>
        </w:tc>
        <w:tc>
          <w:tcPr>
            <w:tcW w:w="2560" w:type="dxa"/>
            <w:vAlign w:val="bottom"/>
          </w:tcPr>
          <w:p>
            <w:pPr>
              <w:ind w:left="140"/>
              <w:spacing w:after="0"/>
              <w:rPr>
                <w:sz w:val="20"/>
                <w:szCs w:val="20"/>
                <w:color w:val="auto"/>
              </w:rPr>
            </w:pPr>
            <w:r>
              <w:rPr>
                <w:rFonts w:ascii="Arial" w:cs="Arial" w:eastAsia="Arial" w:hAnsi="Arial"/>
                <w:sz w:val="13"/>
                <w:szCs w:val="13"/>
                <w:color w:val="auto"/>
              </w:rPr>
              <w:t>Election of Directors</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36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Arial" w:cs="Arial" w:eastAsia="Arial" w:hAnsi="Arial"/>
                <w:sz w:val="13"/>
                <w:szCs w:val="13"/>
                <w:b w:val="1"/>
                <w:bCs w:val="1"/>
                <w:color w:val="auto"/>
              </w:rPr>
              <w:t>Nominees: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jc w:val="center"/>
              <w:ind w:left="257"/>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2920" w:type="dxa"/>
            <w:vAlign w:val="bottom"/>
            <w:gridSpan w:val="2"/>
          </w:tcPr>
          <w:p>
            <w:pPr>
              <w:jc w:val="center"/>
              <w:ind w:right="2317"/>
              <w:spacing w:after="0"/>
              <w:rPr>
                <w:sz w:val="20"/>
                <w:szCs w:val="20"/>
                <w:color w:val="auto"/>
              </w:rPr>
            </w:pPr>
            <w:r>
              <w:rPr>
                <w:rFonts w:ascii="Arial" w:cs="Arial" w:eastAsia="Arial" w:hAnsi="Arial"/>
                <w:sz w:val="13"/>
                <w:szCs w:val="13"/>
                <w:b w:val="1"/>
                <w:bCs w:val="1"/>
                <w:color w:val="auto"/>
                <w:w w:val="96"/>
              </w:rPr>
              <w:t>Abstain</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ind w:left="140"/>
              <w:spacing w:after="0"/>
              <w:rPr>
                <w:sz w:val="20"/>
                <w:szCs w:val="20"/>
                <w:color w:val="auto"/>
              </w:rPr>
            </w:pPr>
            <w:r>
              <w:rPr>
                <w:rFonts w:ascii="Arial" w:cs="Arial" w:eastAsia="Arial" w:hAnsi="Arial"/>
                <w:sz w:val="13"/>
                <w:szCs w:val="13"/>
                <w:color w:val="auto"/>
              </w:rPr>
              <w:t>1a.  Bonnie L. Bassler, Ph.D.</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560" w:type="dxa"/>
            <w:vAlign w:val="bottom"/>
          </w:tcPr>
          <w:p>
            <w:pPr>
              <w:ind w:left="140"/>
              <w:spacing w:after="0"/>
              <w:rPr>
                <w:sz w:val="20"/>
                <w:szCs w:val="20"/>
                <w:color w:val="auto"/>
              </w:rPr>
            </w:pPr>
            <w:r>
              <w:rPr>
                <w:rFonts w:ascii="Arial" w:cs="Arial" w:eastAsia="Arial" w:hAnsi="Arial"/>
                <w:sz w:val="13"/>
                <w:szCs w:val="13"/>
                <w:color w:val="auto"/>
              </w:rPr>
              <w:t>1b.  Michael S. Brown, M.D.</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560" w:type="dxa"/>
            <w:vAlign w:val="bottom"/>
          </w:tcPr>
          <w:p>
            <w:pPr>
              <w:ind w:left="140"/>
              <w:spacing w:after="0"/>
              <w:rPr>
                <w:sz w:val="20"/>
                <w:szCs w:val="20"/>
                <w:color w:val="auto"/>
              </w:rPr>
            </w:pPr>
            <w:r>
              <w:rPr>
                <w:rFonts w:ascii="Arial" w:cs="Arial" w:eastAsia="Arial" w:hAnsi="Arial"/>
                <w:sz w:val="13"/>
                <w:szCs w:val="13"/>
                <w:color w:val="auto"/>
              </w:rPr>
              <w:t>1c.  Leonard S. Schleifer, M.D., Ph.D.</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560" w:type="dxa"/>
            <w:vAlign w:val="bottom"/>
          </w:tcPr>
          <w:p>
            <w:pPr>
              <w:ind w:left="140"/>
              <w:spacing w:after="0"/>
              <w:rPr>
                <w:sz w:val="20"/>
                <w:szCs w:val="20"/>
                <w:color w:val="auto"/>
              </w:rPr>
            </w:pPr>
            <w:r>
              <w:rPr>
                <w:rFonts w:ascii="Arial" w:cs="Arial" w:eastAsia="Arial" w:hAnsi="Arial"/>
                <w:sz w:val="13"/>
                <w:szCs w:val="13"/>
                <w:color w:val="auto"/>
              </w:rPr>
              <w:t>1d.  George D. Yancopoulos, M.D., Ph.D.</w:t>
            </w: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jc w:val="center"/>
              <w:ind w:left="277"/>
              <w:spacing w:after="0"/>
              <w:rPr>
                <w:sz w:val="20"/>
                <w:szCs w:val="20"/>
                <w:color w:val="auto"/>
              </w:rPr>
            </w:pPr>
            <w:r>
              <w:rPr>
                <w:rFonts w:ascii="Arial" w:cs="Arial" w:eastAsia="Arial" w:hAnsi="Arial"/>
                <w:sz w:val="13"/>
                <w:szCs w:val="13"/>
                <w:color w:val="auto"/>
                <w:w w:val="82"/>
              </w:rPr>
              <w:t>o</w:t>
            </w:r>
          </w:p>
        </w:tc>
        <w:tc>
          <w:tcPr>
            <w:tcW w:w="54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2920" w:type="dxa"/>
            <w:vAlign w:val="bottom"/>
            <w:gridSpan w:val="2"/>
          </w:tcPr>
          <w:p>
            <w:pPr>
              <w:jc w:val="center"/>
              <w:ind w:right="2297"/>
              <w:spacing w:after="0"/>
              <w:rPr>
                <w:sz w:val="20"/>
                <w:szCs w:val="20"/>
                <w:color w:val="auto"/>
              </w:rPr>
            </w:pPr>
            <w:r>
              <w:rPr>
                <w:rFonts w:ascii="Arial" w:cs="Arial" w:eastAsia="Arial" w:hAnsi="Arial"/>
                <w:sz w:val="13"/>
                <w:szCs w:val="13"/>
                <w:color w:val="auto"/>
              </w:rPr>
              <w:t>o</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5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7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53"/>
        </w:trPr>
        <w:tc>
          <w:tcPr>
            <w:tcW w:w="660" w:type="dxa"/>
            <w:vAlign w:val="bottom"/>
            <w:tcBorders>
              <w:left w:val="single" w:sz="8" w:color="auto"/>
            </w:tcBorders>
            <w:gridSpan w:val="2"/>
          </w:tcPr>
          <w:p>
            <w:pPr>
              <w:ind w:left="400"/>
              <w:spacing w:after="0"/>
              <w:rPr>
                <w:sz w:val="20"/>
                <w:szCs w:val="20"/>
                <w:color w:val="auto"/>
              </w:rPr>
            </w:pPr>
            <w:r>
              <w:rPr>
                <w:rFonts w:ascii="Arial" w:cs="Arial" w:eastAsia="Arial" w:hAnsi="Arial"/>
                <w:sz w:val="13"/>
                <w:szCs w:val="13"/>
                <w:color w:val="auto"/>
              </w:rPr>
              <w:t>2.</w:t>
            </w:r>
          </w:p>
        </w:tc>
        <w:tc>
          <w:tcPr>
            <w:tcW w:w="9040" w:type="dxa"/>
            <w:vAlign w:val="bottom"/>
            <w:gridSpan w:val="9"/>
          </w:tcPr>
          <w:p>
            <w:pPr>
              <w:ind w:left="140"/>
              <w:spacing w:after="0"/>
              <w:rPr>
                <w:sz w:val="20"/>
                <w:szCs w:val="20"/>
                <w:color w:val="auto"/>
              </w:rPr>
            </w:pPr>
            <w:r>
              <w:rPr>
                <w:rFonts w:ascii="Arial" w:cs="Arial" w:eastAsia="Arial" w:hAnsi="Arial"/>
                <w:sz w:val="13"/>
                <w:szCs w:val="13"/>
                <w:color w:val="auto"/>
              </w:rPr>
              <w:t>Ratification of the appointment of PricewaterhouseCoopers LLP as the Company’s independent registered public accounting firm for the fiscal year ending</w:t>
            </w:r>
          </w:p>
        </w:tc>
        <w:tc>
          <w:tcPr>
            <w:tcW w:w="2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gridSpan w:val="2"/>
          </w:tcPr>
          <w:p>
            <w:pPr>
              <w:jc w:val="center"/>
              <w:spacing w:after="0"/>
              <w:rPr>
                <w:sz w:val="20"/>
                <w:szCs w:val="20"/>
                <w:color w:val="auto"/>
              </w:rPr>
            </w:pPr>
            <w:r>
              <w:rPr>
                <w:rFonts w:ascii="Arial" w:cs="Arial" w:eastAsia="Arial" w:hAnsi="Arial"/>
                <w:sz w:val="13"/>
                <w:szCs w:val="13"/>
                <w:color w:val="auto"/>
              </w:rPr>
              <w:t>o</w:t>
            </w:r>
          </w:p>
        </w:tc>
        <w:tc>
          <w:tcPr>
            <w:tcW w:w="7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tcPr>
          <w:p>
            <w:pPr>
              <w:ind w:left="140"/>
              <w:spacing w:after="0"/>
              <w:rPr>
                <w:sz w:val="20"/>
                <w:szCs w:val="20"/>
                <w:color w:val="auto"/>
              </w:rPr>
            </w:pPr>
            <w:r>
              <w:rPr>
                <w:rFonts w:ascii="Arial" w:cs="Arial" w:eastAsia="Arial" w:hAnsi="Arial"/>
                <w:sz w:val="13"/>
                <w:szCs w:val="13"/>
                <w:color w:val="auto"/>
              </w:rPr>
              <w:t>December 31, 2022.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60" w:type="dxa"/>
            <w:vAlign w:val="bottom"/>
            <w:tcBorders>
              <w:left w:val="single" w:sz="8" w:color="auto"/>
            </w:tcBorders>
            <w:gridSpan w:val="2"/>
          </w:tcPr>
          <w:p>
            <w:pPr>
              <w:ind w:left="400"/>
              <w:spacing w:after="0"/>
              <w:rPr>
                <w:sz w:val="20"/>
                <w:szCs w:val="20"/>
                <w:color w:val="auto"/>
              </w:rPr>
            </w:pPr>
            <w:r>
              <w:rPr>
                <w:rFonts w:ascii="Arial" w:cs="Arial" w:eastAsia="Arial" w:hAnsi="Arial"/>
                <w:sz w:val="13"/>
                <w:szCs w:val="13"/>
                <w:color w:val="auto"/>
              </w:rPr>
              <w:t>3.</w:t>
            </w:r>
          </w:p>
        </w:tc>
        <w:tc>
          <w:tcPr>
            <w:tcW w:w="4080" w:type="dxa"/>
            <w:vAlign w:val="bottom"/>
            <w:gridSpan w:val="4"/>
          </w:tcPr>
          <w:p>
            <w:pPr>
              <w:ind w:left="140"/>
              <w:spacing w:after="0"/>
              <w:rPr>
                <w:sz w:val="20"/>
                <w:szCs w:val="20"/>
                <w:color w:val="auto"/>
              </w:rPr>
            </w:pPr>
            <w:r>
              <w:rPr>
                <w:rFonts w:ascii="Arial" w:cs="Arial" w:eastAsia="Arial" w:hAnsi="Arial"/>
                <w:sz w:val="13"/>
                <w:szCs w:val="13"/>
                <w:color w:val="auto"/>
                <w:w w:val="99"/>
              </w:rPr>
              <w:t>Proposal to approve, on an advisory basis, executive compensation.</w:t>
            </w: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w w:val="82"/>
              </w:rPr>
              <w:t>o</w:t>
            </w:r>
          </w:p>
        </w:tc>
        <w:tc>
          <w:tcPr>
            <w:tcW w:w="540" w:type="dxa"/>
            <w:vAlign w:val="bottom"/>
            <w:gridSpan w:val="2"/>
          </w:tcPr>
          <w:p>
            <w:pPr>
              <w:jc w:val="center"/>
              <w:spacing w:after="0"/>
              <w:rPr>
                <w:sz w:val="20"/>
                <w:szCs w:val="20"/>
                <w:color w:val="auto"/>
              </w:rPr>
            </w:pPr>
            <w:r>
              <w:rPr>
                <w:rFonts w:ascii="Arial" w:cs="Arial" w:eastAsia="Arial" w:hAnsi="Arial"/>
                <w:sz w:val="13"/>
                <w:szCs w:val="13"/>
                <w:color w:val="auto"/>
              </w:rPr>
              <w:t>o</w:t>
            </w:r>
          </w:p>
        </w:tc>
        <w:tc>
          <w:tcPr>
            <w:tcW w:w="7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color w:val="auto"/>
                <w:w w:val="82"/>
              </w:rPr>
              <w:t>o</w:t>
            </w:r>
          </w:p>
        </w:tc>
        <w:tc>
          <w:tcPr>
            <w:tcW w:w="0" w:type="dxa"/>
            <w:vAlign w:val="bottom"/>
          </w:tcPr>
          <w:p>
            <w:pPr>
              <w:spacing w:after="0"/>
              <w:rPr>
                <w:sz w:val="1"/>
                <w:szCs w:val="1"/>
                <w:color w:val="auto"/>
              </w:rPr>
            </w:pPr>
          </w:p>
        </w:tc>
      </w:tr>
      <w:tr>
        <w:trPr>
          <w:trHeight w:val="270"/>
        </w:trPr>
        <w:tc>
          <w:tcPr>
            <w:tcW w:w="360" w:type="dxa"/>
            <w:vAlign w:val="bottom"/>
            <w:tcBorders>
              <w:left w:val="single" w:sz="8" w:color="auto"/>
            </w:tcBorders>
          </w:tcPr>
          <w:p>
            <w:pPr>
              <w:spacing w:after="0"/>
              <w:rPr>
                <w:sz w:val="23"/>
                <w:szCs w:val="23"/>
                <w:color w:val="auto"/>
              </w:rPr>
            </w:pPr>
          </w:p>
        </w:tc>
        <w:tc>
          <w:tcPr>
            <w:tcW w:w="7840" w:type="dxa"/>
            <w:vAlign w:val="bottom"/>
            <w:gridSpan w:val="8"/>
          </w:tcPr>
          <w:p>
            <w:pPr>
              <w:ind w:left="4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Such other business as may properly come before the meeting or any adjournment thereof.</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6"/>
        </w:trPr>
        <w:tc>
          <w:tcPr>
            <w:tcW w:w="360" w:type="dxa"/>
            <w:vAlign w:val="bottom"/>
            <w:tcBorders>
              <w:left w:val="single" w:sz="8" w:color="auto"/>
            </w:tcBorders>
          </w:tcPr>
          <w:p>
            <w:pPr>
              <w:spacing w:after="0"/>
              <w:rPr>
                <w:sz w:val="24"/>
                <w:szCs w:val="24"/>
                <w:color w:val="auto"/>
              </w:rPr>
            </w:pPr>
          </w:p>
        </w:tc>
        <w:tc>
          <w:tcPr>
            <w:tcW w:w="7840" w:type="dxa"/>
            <w:vAlign w:val="bottom"/>
            <w:gridSpan w:val="8"/>
          </w:tcPr>
          <w:p>
            <w:pPr>
              <w:ind w:left="40"/>
              <w:spacing w:after="0"/>
              <w:rPr>
                <w:sz w:val="20"/>
                <w:szCs w:val="20"/>
                <w:color w:val="auto"/>
              </w:rPr>
            </w:pPr>
            <w:r>
              <w:rPr>
                <w:rFonts w:ascii="Arial" w:cs="Arial" w:eastAsia="Arial" w:hAnsi="Arial"/>
                <w:sz w:val="13"/>
                <w:szCs w:val="13"/>
                <w:color w:val="auto"/>
              </w:rPr>
              <w:t>Please sign exactly as your name(s) appear(s) hereon. When signing as attorney, executor,</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7840" w:type="dxa"/>
            <w:vAlign w:val="bottom"/>
            <w:gridSpan w:val="8"/>
          </w:tcPr>
          <w:p>
            <w:pPr>
              <w:ind w:left="40"/>
              <w:spacing w:after="0" w:line="135" w:lineRule="exact"/>
              <w:rPr>
                <w:sz w:val="20"/>
                <w:szCs w:val="20"/>
                <w:color w:val="auto"/>
              </w:rPr>
            </w:pPr>
            <w:r>
              <w:rPr>
                <w:rFonts w:ascii="Arial" w:cs="Arial" w:eastAsia="Arial" w:hAnsi="Arial"/>
                <w:sz w:val="13"/>
                <w:szCs w:val="13"/>
                <w:color w:val="auto"/>
              </w:rPr>
              <w:t>administrator, or other fiduciary, please give full title as such. Joint owners should each sign</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Borders>
              <w:left w:val="single" w:sz="8" w:color="auto"/>
            </w:tcBorders>
          </w:tcPr>
          <w:p>
            <w:pPr>
              <w:spacing w:after="0"/>
              <w:rPr>
                <w:sz w:val="11"/>
                <w:szCs w:val="11"/>
                <w:color w:val="auto"/>
              </w:rPr>
            </w:pPr>
          </w:p>
        </w:tc>
        <w:tc>
          <w:tcPr>
            <w:tcW w:w="7840" w:type="dxa"/>
            <w:vAlign w:val="bottom"/>
            <w:gridSpan w:val="8"/>
          </w:tcPr>
          <w:p>
            <w:pPr>
              <w:ind w:left="40"/>
              <w:spacing w:after="0" w:line="135" w:lineRule="exact"/>
              <w:rPr>
                <w:sz w:val="20"/>
                <w:szCs w:val="20"/>
                <w:color w:val="auto"/>
              </w:rPr>
            </w:pPr>
            <w:r>
              <w:rPr>
                <w:rFonts w:ascii="Arial" w:cs="Arial" w:eastAsia="Arial" w:hAnsi="Arial"/>
                <w:sz w:val="13"/>
                <w:szCs w:val="13"/>
                <w:color w:val="auto"/>
              </w:rPr>
              <w:t>personally. All holders must sign. If a corporation or partnership, please sign in full corporate or</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2860" w:type="dxa"/>
            <w:vAlign w:val="bottom"/>
            <w:gridSpan w:val="2"/>
          </w:tcPr>
          <w:p>
            <w:pPr>
              <w:ind w:left="40"/>
              <w:spacing w:after="0"/>
              <w:rPr>
                <w:sz w:val="20"/>
                <w:szCs w:val="20"/>
                <w:color w:val="auto"/>
              </w:rPr>
            </w:pPr>
            <w:r>
              <w:rPr>
                <w:rFonts w:ascii="Arial" w:cs="Arial" w:eastAsia="Arial" w:hAnsi="Arial"/>
                <w:sz w:val="13"/>
                <w:szCs w:val="13"/>
                <w:color w:val="auto"/>
              </w:rPr>
              <w:t>partnership name by authorized officer.</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0" w:type="dxa"/>
            <w:vAlign w:val="bottom"/>
            <w:tcBorders>
              <w:left w:val="single" w:sz="8" w:color="auto"/>
            </w:tcBorders>
          </w:tcPr>
          <w:p>
            <w:pPr>
              <w:spacing w:after="0"/>
              <w:rPr>
                <w:sz w:val="14"/>
                <w:szCs w:val="14"/>
                <w:color w:val="auto"/>
              </w:rPr>
            </w:pPr>
          </w:p>
        </w:tc>
        <w:tc>
          <w:tcPr>
            <w:tcW w:w="28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right w:val="single" w:sz="8" w:color="auto"/>
            </w:tcBorders>
          </w:tcPr>
          <w:p>
            <w:pPr>
              <w:spacing w:after="0"/>
              <w:rPr>
                <w:sz w:val="23"/>
                <w:szCs w:val="23"/>
                <w:color w:val="auto"/>
              </w:rPr>
            </w:pPr>
          </w:p>
        </w:tc>
        <w:tc>
          <w:tcPr>
            <w:tcW w:w="2860" w:type="dxa"/>
            <w:vAlign w:val="bottom"/>
            <w:tcBorders>
              <w:top w:val="single" w:sz="8" w:color="auto"/>
              <w:bottom w:val="single" w:sz="8" w:color="auto"/>
            </w:tcBorders>
            <w:gridSpan w:val="2"/>
          </w:tcPr>
          <w:p>
            <w:pPr>
              <w:spacing w:after="0"/>
              <w:rPr>
                <w:sz w:val="23"/>
                <w:szCs w:val="23"/>
                <w:color w:val="auto"/>
              </w:rPr>
            </w:pPr>
          </w:p>
        </w:tc>
        <w:tc>
          <w:tcPr>
            <w:tcW w:w="80" w:type="dxa"/>
            <w:vAlign w:val="bottom"/>
            <w:tcBorders>
              <w:top w:val="single" w:sz="8" w:color="auto"/>
              <w:bottom w:val="single" w:sz="8" w:color="auto"/>
              <w:right w:val="single" w:sz="8" w:color="auto"/>
            </w:tcBorders>
          </w:tcPr>
          <w:p>
            <w:pPr>
              <w:spacing w:after="0"/>
              <w:rPr>
                <w:sz w:val="23"/>
                <w:szCs w:val="23"/>
                <w:color w:val="auto"/>
              </w:rPr>
            </w:pP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2200" w:type="dxa"/>
            <w:vAlign w:val="bottom"/>
            <w:tcBorders>
              <w:top w:val="single" w:sz="8" w:color="auto"/>
              <w:bottom w:val="single" w:sz="8" w:color="auto"/>
            </w:tcBorders>
          </w:tcPr>
          <w:p>
            <w:pPr>
              <w:spacing w:after="0"/>
              <w:rPr>
                <w:sz w:val="23"/>
                <w:szCs w:val="23"/>
                <w:color w:val="auto"/>
              </w:rPr>
            </w:pPr>
          </w:p>
        </w:tc>
        <w:tc>
          <w:tcPr>
            <w:tcW w:w="720" w:type="dxa"/>
            <w:vAlign w:val="bottom"/>
            <w:tcBorders>
              <w:top w:val="single" w:sz="8" w:color="auto"/>
              <w:bottom w:val="single" w:sz="8" w:color="auto"/>
              <w:right w:val="single" w:sz="8" w:color="auto"/>
            </w:tcBorders>
          </w:tcPr>
          <w:p>
            <w:pPr>
              <w:spacing w:after="0"/>
              <w:rPr>
                <w:sz w:val="23"/>
                <w:szCs w:val="23"/>
                <w:color w:val="auto"/>
              </w:rPr>
            </w:pPr>
          </w:p>
        </w:tc>
        <w:tc>
          <w:tcPr>
            <w:tcW w:w="780" w:type="dxa"/>
            <w:vAlign w:val="bottom"/>
            <w:tcBorders>
              <w:top w:val="single" w:sz="8" w:color="auto"/>
              <w:bottom w:val="single" w:sz="8" w:color="auto"/>
              <w:right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360" w:type="dxa"/>
            <w:vAlign w:val="bottom"/>
            <w:tcBorders>
              <w:left w:val="single" w:sz="8" w:color="auto"/>
            </w:tcBorders>
          </w:tcPr>
          <w:p>
            <w:pPr>
              <w:spacing w:after="0"/>
              <w:rPr>
                <w:sz w:val="13"/>
                <w:szCs w:val="13"/>
                <w:color w:val="auto"/>
              </w:rPr>
            </w:pPr>
          </w:p>
        </w:tc>
        <w:tc>
          <w:tcPr>
            <w:tcW w:w="2860" w:type="dxa"/>
            <w:vAlign w:val="bottom"/>
            <w:gridSpan w:val="2"/>
          </w:tcPr>
          <w:p>
            <w:pPr>
              <w:spacing w:after="0"/>
              <w:rPr>
                <w:sz w:val="20"/>
                <w:szCs w:val="20"/>
                <w:color w:val="auto"/>
              </w:rPr>
            </w:pPr>
            <w:r>
              <w:rPr>
                <w:rFonts w:ascii="Arial" w:cs="Arial" w:eastAsia="Arial" w:hAnsi="Arial"/>
                <w:sz w:val="13"/>
                <w:szCs w:val="13"/>
                <w:color w:val="auto"/>
              </w:rPr>
              <w:t>Signature [PLEASE SIGN WITHIN BOX]</w:t>
            </w: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0" w:type="dxa"/>
            <w:vAlign w:val="bottom"/>
          </w:tcPr>
          <w:p>
            <w:pPr>
              <w:spacing w:after="0"/>
              <w:rPr>
                <w:sz w:val="20"/>
                <w:szCs w:val="20"/>
                <w:color w:val="auto"/>
              </w:rPr>
            </w:pPr>
            <w:r>
              <w:rPr>
                <w:rFonts w:ascii="Arial" w:cs="Arial" w:eastAsia="Arial" w:hAnsi="Arial"/>
                <w:sz w:val="13"/>
                <w:szCs w:val="13"/>
                <w:color w:val="auto"/>
              </w:rPr>
              <w:t>Signature (Joint Owners)</w:t>
            </w:r>
          </w:p>
        </w:tc>
        <w:tc>
          <w:tcPr>
            <w:tcW w:w="1500" w:type="dxa"/>
            <w:vAlign w:val="bottom"/>
            <w:gridSpan w:val="2"/>
          </w:tcPr>
          <w:p>
            <w:pPr>
              <w:ind w:left="7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60" w:type="dxa"/>
            <w:vAlign w:val="bottom"/>
            <w:tcBorders>
              <w:left w:val="single" w:sz="8" w:color="auto"/>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60" w:type="dxa"/>
            <w:vAlign w:val="bottom"/>
            <w:tcBorders>
              <w:bottom w:val="single" w:sz="8" w:color="C0C0C0"/>
            </w:tcBorders>
          </w:tcPr>
          <w:p>
            <w:pPr>
              <w:spacing w:after="0"/>
              <w:rPr>
                <w:sz w:val="24"/>
                <w:szCs w:val="24"/>
                <w:color w:val="auto"/>
              </w:rPr>
            </w:pPr>
          </w:p>
        </w:tc>
        <w:tc>
          <w:tcPr>
            <w:tcW w:w="300" w:type="dxa"/>
            <w:vAlign w:val="bottom"/>
            <w:tcBorders>
              <w:bottom w:val="single" w:sz="8" w:color="C0C0C0"/>
            </w:tcBorders>
          </w:tcPr>
          <w:p>
            <w:pPr>
              <w:spacing w:after="0"/>
              <w:rPr>
                <w:sz w:val="24"/>
                <w:szCs w:val="24"/>
                <w:color w:val="auto"/>
              </w:rPr>
            </w:pPr>
          </w:p>
        </w:tc>
        <w:tc>
          <w:tcPr>
            <w:tcW w:w="256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800" w:type="dxa"/>
            <w:vAlign w:val="bottom"/>
            <w:tcBorders>
              <w:bottom w:val="single" w:sz="8" w:color="C0C0C0"/>
            </w:tcBorders>
          </w:tcPr>
          <w:p>
            <w:pPr>
              <w:spacing w:after="0"/>
              <w:rPr>
                <w:sz w:val="24"/>
                <w:szCs w:val="24"/>
                <w:color w:val="auto"/>
              </w:rPr>
            </w:pPr>
          </w:p>
        </w:tc>
        <w:tc>
          <w:tcPr>
            <w:tcW w:w="640" w:type="dxa"/>
            <w:vAlign w:val="bottom"/>
            <w:tcBorders>
              <w:bottom w:val="single" w:sz="8" w:color="C0C0C0"/>
            </w:tcBorders>
          </w:tcPr>
          <w:p>
            <w:pPr>
              <w:spacing w:after="0"/>
              <w:rPr>
                <w:sz w:val="24"/>
                <w:szCs w:val="24"/>
                <w:color w:val="auto"/>
              </w:rPr>
            </w:pPr>
          </w:p>
        </w:tc>
        <w:tc>
          <w:tcPr>
            <w:tcW w:w="54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2200" w:type="dxa"/>
            <w:vAlign w:val="bottom"/>
            <w:tcBorders>
              <w:bottom w:val="single" w:sz="8" w:color="C0C0C0"/>
            </w:tcBorders>
          </w:tcPr>
          <w:p>
            <w:pPr>
              <w:spacing w:after="0"/>
              <w:rPr>
                <w:sz w:val="24"/>
                <w:szCs w:val="24"/>
                <w:color w:val="auto"/>
              </w:rPr>
            </w:pPr>
          </w:p>
        </w:tc>
        <w:tc>
          <w:tcPr>
            <w:tcW w:w="720" w:type="dxa"/>
            <w:vAlign w:val="bottom"/>
            <w:tcBorders>
              <w:bottom w:val="single" w:sz="8" w:color="C0C0C0"/>
            </w:tcBorders>
          </w:tcPr>
          <w:p>
            <w:pPr>
              <w:spacing w:after="0"/>
              <w:rPr>
                <w:sz w:val="24"/>
                <w:szCs w:val="24"/>
                <w:color w:val="auto"/>
              </w:rPr>
            </w:pPr>
          </w:p>
        </w:tc>
        <w:tc>
          <w:tcPr>
            <w:tcW w:w="7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280" w:type="dxa"/>
            <w:vAlign w:val="bottom"/>
            <w:tcBorders>
              <w:bottom w:val="single" w:sz="8" w:color="C0C0C0"/>
            </w:tcBorders>
          </w:tcPr>
          <w:p>
            <w:pPr>
              <w:spacing w:after="0"/>
              <w:rPr>
                <w:sz w:val="24"/>
                <w:szCs w:val="24"/>
                <w:color w:val="auto"/>
              </w:rPr>
            </w:pPr>
          </w:p>
        </w:tc>
        <w:tc>
          <w:tcPr>
            <w:tcW w:w="260" w:type="dxa"/>
            <w:vAlign w:val="bottom"/>
            <w:tcBorders>
              <w:bottom w:val="single" w:sz="8" w:color="C0C0C0"/>
            </w:tcBorders>
          </w:tcPr>
          <w:p>
            <w:pPr>
              <w:spacing w:after="0"/>
              <w:rPr>
                <w:sz w:val="24"/>
                <w:szCs w:val="24"/>
                <w:color w:val="auto"/>
              </w:rPr>
            </w:pPr>
          </w:p>
        </w:tc>
        <w:tc>
          <w:tcPr>
            <w:tcW w:w="360" w:type="dxa"/>
            <w:vAlign w:val="bottom"/>
            <w:tcBorders>
              <w:bottom w:val="single" w:sz="8" w:color="C0C0C0"/>
            </w:tcBorders>
          </w:tcPr>
          <w:p>
            <w:pPr>
              <w:spacing w:after="0"/>
              <w:rPr>
                <w:sz w:val="24"/>
                <w:szCs w:val="24"/>
                <w:color w:val="auto"/>
              </w:rPr>
            </w:pPr>
          </w:p>
        </w:tc>
        <w:tc>
          <w:tcPr>
            <w:tcW w:w="380" w:type="dxa"/>
            <w:vAlign w:val="bottom"/>
            <w:tcBorders>
              <w:bottom w:val="single" w:sz="8" w:color="C0C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-4474210</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2132330</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D71099-P64569-Z81504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39370</wp:posOffset>
            </wp:positionV>
            <wp:extent cx="7162165" cy="38874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62165" cy="388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REGENERON PHARMACEUTICALS, INC.</w:t>
      </w:r>
    </w:p>
    <w:p>
      <w:pPr>
        <w:spacing w:after="0" w:line="6"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Annual Meeting of Shareholders</w:t>
      </w:r>
    </w:p>
    <w:p>
      <w:pPr>
        <w:jc w:val="center"/>
        <w:ind w:right="80"/>
        <w:spacing w:after="0" w:line="230" w:lineRule="auto"/>
        <w:rPr>
          <w:sz w:val="20"/>
          <w:szCs w:val="20"/>
          <w:color w:val="auto"/>
        </w:rPr>
      </w:pPr>
      <w:r>
        <w:rPr>
          <w:rFonts w:ascii="Arial" w:cs="Arial" w:eastAsia="Arial" w:hAnsi="Arial"/>
          <w:sz w:val="22"/>
          <w:szCs w:val="22"/>
          <w:b w:val="1"/>
          <w:bCs w:val="1"/>
          <w:color w:val="auto"/>
        </w:rPr>
        <w:t>June 10, 2022 10:30 AM</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198"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The undersigned hereby appoint(s) Leonard S. Schleifer, M.D., Ph.D. and Joseph J. LaRosa, and each of them individually, as lawful proxies, each with full power of substitution, to represent the undersigned, with all powers that the undersigned would possess if personally present, and to vote, as indicated on the reverse side of this card, all of the shares of Common Stock and Class A Stock of REGENERON PHARMACEUTICALS, INC. that the undersigned would be entitled to vote if personally present at the Annual Meeting of Shareholders of the Company to be held on June 10, 2022 live via webcast at www.virtualshareholdermeeting.com/REGN2022 or at any adjourned or postponed session thereof. This proxy revokes all prior proxies given by the undersigned.</w:t>
      </w:r>
    </w:p>
    <w:p>
      <w:pPr>
        <w:spacing w:after="0" w:line="169" w:lineRule="exact"/>
        <w:rPr>
          <w:sz w:val="20"/>
          <w:szCs w:val="20"/>
          <w:color w:val="auto"/>
        </w:rPr>
      </w:pPr>
    </w:p>
    <w:p>
      <w:pPr>
        <w:jc w:val="both"/>
        <w:ind w:right="80"/>
        <w:spacing w:after="0"/>
        <w:rPr>
          <w:sz w:val="20"/>
          <w:szCs w:val="20"/>
          <w:color w:val="auto"/>
        </w:rPr>
      </w:pPr>
      <w:r>
        <w:rPr>
          <w:rFonts w:ascii="Arial" w:cs="Arial" w:eastAsia="Arial" w:hAnsi="Arial"/>
          <w:sz w:val="18"/>
          <w:szCs w:val="18"/>
          <w:b w:val="1"/>
          <w:bCs w:val="1"/>
          <w:color w:val="auto"/>
        </w:rPr>
        <w:t>SHARES REPRESENTED BY THIS PROXY WILL BE VOTED AT THE MEETING AND AT ANY ADJOURNMENTS OR POSTPONEMENTS THEREOF IN ACCORDANCE WITH THE SHAREHOLDER’S SPECIFICATIONS ON THE REVERSE. IF YOU SIGN AND RETURN YOUR PROXY CARD IN A TIMELY MANNER, BUT DO NOT INDICATE HOW THESE SHARES ARE TO BE VOTED, THIS PROXY WILL BE VOTED FOR THE ELECTION OF THE NOMINEES NAMED ON THE REVERSE AS DIRECTORS AND FOR PROPOSALS 2 AND 3. THIS PROXY ALSO CONFERS DISCRETIONARY AUTHORITY WITH RESPECT TO MATTERS NOT KNOWN OR DETERMINED AT THE TIME OF THE MAILING OF THE NOTICE OF THE ANNUAL MEETING OF SHAREHOLDERS TO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311785</wp:posOffset>
            </wp:positionV>
            <wp:extent cx="7132320" cy="342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40"/>
      </w:cols>
      <w:pgMar w:left="54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72BD23"/>
    <w:multiLevelType w:val="hybridMultilevel"/>
    <w:lvl w:ilvl="0">
      <w:lvlJc w:val="left"/>
      <w:lvlText w:val="o"/>
      <w:numFmt w:val="bullet"/>
      <w:start w:val="1"/>
    </w:lvl>
  </w:abstractNum>
  <w:abstractNum w:abstractNumId="1">
    <w:nsid w:val="6FC75AF8"/>
    <w:multiLevelType w:val="hybridMultilevel"/>
    <w:lvl w:ilvl="0">
      <w:lvlJc w:val="left"/>
      <w:lvlText w:val="x"/>
      <w:numFmt w:val="bullet"/>
      <w:start w:val="1"/>
    </w:lvl>
  </w:abstractNum>
  <w:abstractNum w:abstractNumId="2">
    <w:nsid w:val="6A5F7029"/>
    <w:multiLevelType w:val="hybridMultilevel"/>
    <w:lvl w:ilvl="0">
      <w:lvlJc w:val="left"/>
      <w:lvlText w:val="o"/>
      <w:numFmt w:val="bullet"/>
      <w:start w:val="1"/>
    </w:lvl>
  </w:abstractNum>
  <w:abstractNum w:abstractNumId="3">
    <w:nsid w:val="7D5E18F8"/>
    <w:multiLevelType w:val="hybridMultilevel"/>
    <w:lvl w:ilvl="0">
      <w:lvlJc w:val="left"/>
      <w:lvlText w:val="x"/>
      <w:numFmt w:val="bullet"/>
      <w:start w:val="1"/>
    </w:lvl>
  </w:abstractNum>
  <w:abstractNum w:abstractNumId="4">
    <w:nsid w:val="5F3534A4"/>
    <w:multiLevelType w:val="hybridMultilevel"/>
    <w:lvl w:ilvl="0">
      <w:lvlJc w:val="left"/>
      <w:lvlText w:val="o"/>
      <w:numFmt w:val="bullet"/>
      <w:start w:val="1"/>
    </w:lvl>
  </w:abstractNum>
  <w:abstractNum w:abstractNumId="5">
    <w:nsid w:val="73A1821B"/>
    <w:multiLevelType w:val="hybridMultilevel"/>
    <w:lvl w:ilvl="0">
      <w:lvlJc w:val="left"/>
      <w:lvlText w:val="1"/>
      <w:numFmt w:val="bullet"/>
      <w:start w:val="1"/>
    </w:lvl>
  </w:abstractNum>
  <w:abstractNum w:abstractNumId="6">
    <w:nsid w:val="7DE67713"/>
    <w:multiLevelType w:val="hybridMultilevel"/>
    <w:lvl w:ilvl="0">
      <w:lvlJc w:val="left"/>
      <w:lvlText w:val="2"/>
      <w:numFmt w:val="bullet"/>
      <w:start w:val="1"/>
    </w:lvl>
  </w:abstractNum>
  <w:abstractNum w:abstractNumId="7">
    <w:nsid w:val="555C55B5"/>
    <w:multiLevelType w:val="hybridMultilevel"/>
    <w:lvl w:ilvl="0">
      <w:lvlJc w:val="left"/>
      <w:lvlText w:val="3"/>
      <w:numFmt w:val="bullet"/>
      <w:start w:val="1"/>
    </w:lvl>
  </w:abstractNum>
  <w:abstractNum w:abstractNumId="8">
    <w:nsid w:val="3FA62ACA"/>
    <w:multiLevelType w:val="hybridMultilevel"/>
    <w:lvl w:ilvl="0">
      <w:lvlJc w:val="left"/>
      <w:lvlText w:val="1"/>
      <w:numFmt w:val="bullet"/>
      <w:start w:val="1"/>
    </w:lvl>
  </w:abstractNum>
  <w:abstractNum w:abstractNumId="9">
    <w:nsid w:val="14FCE74E"/>
    <w:multiLevelType w:val="hybridMultilevel"/>
    <w:lvl w:ilvl="0">
      <w:lvlJc w:val="left"/>
      <w:lvlText w:val="2"/>
      <w:numFmt w:val="bullet"/>
      <w:start w:val="1"/>
    </w:lvl>
  </w:abstractNum>
  <w:abstractNum w:abstractNumId="10">
    <w:nsid w:val="6A3DD3E8"/>
    <w:multiLevelType w:val="hybridMultilevel"/>
    <w:lvl w:ilvl="0">
      <w:lvlJc w:val="left"/>
      <w:lvlText w:val="3"/>
      <w:numFmt w:val="bullet"/>
      <w:start w:val="1"/>
    </w:lvl>
  </w:abstractNum>
  <w:abstractNum w:abstractNumId="11">
    <w:nsid w:val="71C91298"/>
    <w:multiLevelType w:val="hybridMultilevel"/>
    <w:lvl w:ilvl="0">
      <w:lvlJc w:val="left"/>
      <w:lvlText w:val="4"/>
      <w:numFmt w:val="bullet"/>
      <w:start w:val="1"/>
    </w:lvl>
  </w:abstractNum>
  <w:abstractNum w:abstractNumId="12">
    <w:nsid w:val="9DAF632"/>
    <w:multiLevelType w:val="hybridMultilevel"/>
    <w:lvl w:ilvl="0">
      <w:lvlJc w:val="left"/>
      <w:lvlText w:val="%1"/>
      <w:numFmt w:val="decimal"/>
      <w:start w:val="79"/>
    </w:lvl>
  </w:abstractNum>
  <w:abstractNum w:abstractNumId="13">
    <w:nsid w:val="53299938"/>
    <w:multiLevelType w:val="hybridMultilevel"/>
    <w:lvl w:ilvl="0">
      <w:lvlJc w:val="left"/>
      <w:lvlText w:val="•"/>
      <w:numFmt w:val="bullet"/>
      <w:start w:val="1"/>
    </w:lvl>
  </w:abstractNum>
  <w:abstractNum w:abstractNumId="14">
    <w:nsid w:val="1FBFE8E0"/>
    <w:multiLevelType w:val="hybridMultilevel"/>
    <w:lvl w:ilvl="0">
      <w:lvlJc w:val="left"/>
      <w:lvlText w:val="•"/>
      <w:numFmt w:val="bullet"/>
      <w:start w:val="1"/>
    </w:lvl>
  </w:abstractNum>
  <w:abstractNum w:abstractNumId="15">
    <w:nsid w:val="5092CA79"/>
    <w:multiLevelType w:val="hybridMultilevel"/>
    <w:lvl w:ilvl="0">
      <w:lvlJc w:val="left"/>
      <w:lvlText w:val="•"/>
      <w:numFmt w:val="bullet"/>
      <w:start w:val="1"/>
    </w:lvl>
  </w:abstractNum>
  <w:abstractNum w:abstractNumId="16">
    <w:nsid w:val="1D545C4D"/>
    <w:multiLevelType w:val="hybridMultilevel"/>
    <w:lvl w:ilvl="0">
      <w:lvlJc w:val="left"/>
      <w:lvlText w:val="1"/>
      <w:numFmt w:val="bullet"/>
      <w:start w:val="1"/>
    </w:lvl>
  </w:abstractNum>
  <w:abstractNum w:abstractNumId="17">
    <w:nsid w:val="59ADEA3D"/>
    <w:multiLevelType w:val="hybridMultilevel"/>
    <w:lvl w:ilvl="0">
      <w:lvlJc w:val="left"/>
      <w:lvlText w:val="•"/>
      <w:numFmt w:val="bullet"/>
      <w:start w:val="1"/>
    </w:lvl>
  </w:abstractNum>
  <w:abstractNum w:abstractNumId="18">
    <w:nsid w:val="288F1A34"/>
    <w:multiLevelType w:val="hybridMultilevel"/>
    <w:lvl w:ilvl="0">
      <w:lvlJc w:val="left"/>
      <w:lvlText w:val="•"/>
      <w:numFmt w:val="bullet"/>
      <w:start w:val="1"/>
    </w:lvl>
  </w:abstractNum>
  <w:abstractNum w:abstractNumId="19">
    <w:nsid w:val="2A155DBC"/>
    <w:multiLevelType w:val="hybridMultilevel"/>
    <w:lvl w:ilvl="0">
      <w:lvlJc w:val="left"/>
      <w:lvlText w:val="•"/>
      <w:numFmt w:val="bullet"/>
      <w:start w:val="1"/>
    </w:lvl>
  </w:abstractNum>
  <w:abstractNum w:abstractNumId="20">
    <w:nsid w:val="1D9F6E5F"/>
    <w:multiLevelType w:val="hybridMultilevel"/>
    <w:lvl w:ilvl="0">
      <w:lvlJc w:val="left"/>
      <w:lvlText w:val="•"/>
      <w:numFmt w:val="bullet"/>
      <w:start w:val="1"/>
    </w:lvl>
  </w:abstractNum>
  <w:abstractNum w:abstractNumId="21">
    <w:nsid w:val="97E1B4E"/>
    <w:multiLevelType w:val="hybridMultilevel"/>
    <w:lvl w:ilvl="0">
      <w:lvlJc w:val="left"/>
      <w:lvlText w:val="•"/>
      <w:numFmt w:val="bullet"/>
      <w:start w:val="1"/>
    </w:lvl>
  </w:abstractNum>
  <w:abstractNum w:abstractNumId="22">
    <w:nsid w:val="51088277"/>
    <w:multiLevelType w:val="hybridMultilevel"/>
    <w:lvl w:ilvl="0">
      <w:lvlJc w:val="left"/>
      <w:lvlText w:val="%1"/>
      <w:numFmt w:val="decimal"/>
      <w:start w:val="12"/>
    </w:lvl>
  </w:abstractNum>
  <w:abstractNum w:abstractNumId="23">
    <w:nsid w:val="1CA0C5FA"/>
    <w:multiLevelType w:val="hybridMultilevel"/>
    <w:lvl w:ilvl="0">
      <w:lvlJc w:val="left"/>
      <w:lvlText w:val="•"/>
      <w:numFmt w:val="bullet"/>
      <w:start w:val="1"/>
    </w:lvl>
  </w:abstractNum>
  <w:abstractNum w:abstractNumId="24">
    <w:nsid w:val="53584BCB"/>
    <w:multiLevelType w:val="hybridMultilevel"/>
    <w:lvl w:ilvl="0">
      <w:lvlJc w:val="left"/>
      <w:lvlText w:val="•"/>
      <w:numFmt w:val="bullet"/>
      <w:start w:val="1"/>
    </w:lvl>
  </w:abstractNum>
  <w:abstractNum w:abstractNumId="25">
    <w:nsid w:val="415E286C"/>
    <w:multiLevelType w:val="hybridMultilevel"/>
    <w:lvl w:ilvl="0">
      <w:lvlJc w:val="left"/>
      <w:lvlText w:val="•"/>
      <w:numFmt w:val="bullet"/>
      <w:start w:val="1"/>
    </w:lvl>
  </w:abstractNum>
  <w:abstractNum w:abstractNumId="26">
    <w:nsid w:val="7C58FD05"/>
    <w:multiLevelType w:val="hybridMultilevel"/>
    <w:lvl w:ilvl="0">
      <w:lvlJc w:val="left"/>
      <w:lvlText w:val="•"/>
      <w:numFmt w:val="bullet"/>
      <w:start w:val="1"/>
    </w:lvl>
  </w:abstractNum>
  <w:abstractNum w:abstractNumId="27">
    <w:nsid w:val="23D86AAC"/>
    <w:multiLevelType w:val="hybridMultilevel"/>
    <w:lvl w:ilvl="0">
      <w:lvlJc w:val="left"/>
      <w:lvlText w:val="•"/>
      <w:numFmt w:val="bullet"/>
      <w:start w:val="1"/>
    </w:lvl>
  </w:abstractNum>
  <w:abstractNum w:abstractNumId="28">
    <w:nsid w:val="45E6D486"/>
    <w:multiLevelType w:val="hybridMultilevel"/>
    <w:lvl w:ilvl="0">
      <w:lvlJc w:val="left"/>
      <w:lvlText w:val="•"/>
      <w:numFmt w:val="bullet"/>
      <w:start w:val="1"/>
    </w:lvl>
  </w:abstractNum>
  <w:abstractNum w:abstractNumId="29">
    <w:nsid w:val="5C10FE21"/>
    <w:multiLevelType w:val="hybridMultilevel"/>
    <w:lvl w:ilvl="0">
      <w:lvlJc w:val="left"/>
      <w:lvlText w:val="•"/>
      <w:numFmt w:val="bullet"/>
      <w:start w:val="1"/>
    </w:lvl>
  </w:abstractNum>
  <w:abstractNum w:abstractNumId="30">
    <w:nsid w:val="E7FFA2B"/>
    <w:multiLevelType w:val="hybridMultilevel"/>
    <w:lvl w:ilvl="0">
      <w:lvlJc w:val="left"/>
      <w:lvlText w:val="•"/>
      <w:numFmt w:val="bullet"/>
      <w:start w:val="1"/>
    </w:lvl>
  </w:abstractNum>
  <w:abstractNum w:abstractNumId="31">
    <w:nsid w:val="3C5991AA"/>
    <w:multiLevelType w:val="hybridMultilevel"/>
    <w:lvl w:ilvl="0">
      <w:lvlJc w:val="left"/>
      <w:lvlText w:val="•"/>
      <w:numFmt w:val="bullet"/>
      <w:start w:val="1"/>
    </w:lvl>
  </w:abstractNum>
  <w:abstractNum w:abstractNumId="32">
    <w:nsid w:val="4BD8591A"/>
    <w:multiLevelType w:val="hybridMultilevel"/>
    <w:lvl w:ilvl="0">
      <w:lvlJc w:val="left"/>
      <w:lvlText w:val="•"/>
      <w:numFmt w:val="bullet"/>
      <w:start w:val="1"/>
    </w:lvl>
  </w:abstractNum>
  <w:abstractNum w:abstractNumId="33">
    <w:nsid w:val="78DF6A55"/>
    <w:multiLevelType w:val="hybridMultilevel"/>
    <w:lvl w:ilvl="0">
      <w:lvlJc w:val="left"/>
      <w:lvlText w:val="•"/>
      <w:numFmt w:val="bullet"/>
      <w:start w:val="1"/>
    </w:lvl>
  </w:abstractNum>
  <w:abstractNum w:abstractNumId="34">
    <w:nsid w:val="39B7AAA2"/>
    <w:multiLevelType w:val="hybridMultilevel"/>
    <w:lvl w:ilvl="0">
      <w:lvlJc w:val="left"/>
      <w:lvlText w:val="•"/>
      <w:numFmt w:val="bullet"/>
      <w:start w:val="1"/>
    </w:lvl>
  </w:abstractNum>
  <w:abstractNum w:abstractNumId="35">
    <w:nsid w:val="2B0D8DBE"/>
    <w:multiLevelType w:val="hybridMultilevel"/>
    <w:lvl w:ilvl="0">
      <w:lvlJc w:val="left"/>
      <w:lvlText w:val="•"/>
      <w:numFmt w:val="bullet"/>
      <w:start w:val="1"/>
    </w:lvl>
  </w:abstractNum>
  <w:abstractNum w:abstractNumId="36">
    <w:nsid w:val="6C80EC70"/>
    <w:multiLevelType w:val="hybridMultilevel"/>
    <w:lvl w:ilvl="0">
      <w:lvlJc w:val="left"/>
      <w:lvlText w:val="•"/>
      <w:numFmt w:val="bullet"/>
      <w:start w:val="1"/>
    </w:lvl>
  </w:abstractNum>
  <w:abstractNum w:abstractNumId="37">
    <w:nsid w:val="379E21B5"/>
    <w:multiLevelType w:val="hybridMultilevel"/>
    <w:lvl w:ilvl="0">
      <w:lvlJc w:val="left"/>
      <w:lvlText w:val="•"/>
      <w:numFmt w:val="bullet"/>
      <w:start w:val="1"/>
    </w:lvl>
  </w:abstractNum>
  <w:abstractNum w:abstractNumId="38">
    <w:nsid w:val="69E373"/>
    <w:multiLevelType w:val="hybridMultilevel"/>
    <w:lvl w:ilvl="0">
      <w:lvlJc w:val="left"/>
      <w:lvlText w:val="•"/>
      <w:numFmt w:val="bullet"/>
      <w:start w:val="1"/>
    </w:lvl>
  </w:abstractNum>
  <w:abstractNum w:abstractNumId="39">
    <w:nsid w:val="2C27173B"/>
    <w:multiLevelType w:val="hybridMultilevel"/>
    <w:lvl w:ilvl="0">
      <w:lvlJc w:val="left"/>
      <w:lvlText w:val="•"/>
      <w:numFmt w:val="bullet"/>
      <w:start w:val="1"/>
    </w:lvl>
  </w:abstractNum>
  <w:abstractNum w:abstractNumId="40">
    <w:nsid w:val="4C9B0904"/>
    <w:multiLevelType w:val="hybridMultilevel"/>
    <w:lvl w:ilvl="0">
      <w:lvlJc w:val="left"/>
      <w:lvlText w:val="•"/>
      <w:numFmt w:val="bullet"/>
      <w:start w:val="1"/>
    </w:lvl>
  </w:abstractNum>
  <w:abstractNum w:abstractNumId="41">
    <w:nsid w:val="6AA7B75C"/>
    <w:multiLevelType w:val="hybridMultilevel"/>
    <w:lvl w:ilvl="0">
      <w:lvlJc w:val="left"/>
      <w:lvlText w:val="•"/>
      <w:numFmt w:val="bullet"/>
      <w:start w:val="1"/>
    </w:lvl>
  </w:abstractNum>
  <w:abstractNum w:abstractNumId="42">
    <w:nsid w:val="1DF029D3"/>
    <w:multiLevelType w:val="hybridMultilevel"/>
    <w:lvl w:ilvl="0">
      <w:lvlJc w:val="left"/>
      <w:lvlText w:val="*"/>
      <w:numFmt w:val="bullet"/>
      <w:start w:val="1"/>
    </w:lvl>
  </w:abstractNum>
  <w:abstractNum w:abstractNumId="43">
    <w:nsid w:val="5675FF36"/>
    <w:multiLevelType w:val="hybridMultilevel"/>
    <w:lvl w:ilvl="0">
      <w:lvlJc w:val="left"/>
      <w:lvlText w:val="**"/>
      <w:numFmt w:val="bullet"/>
      <w:start w:val="1"/>
    </w:lvl>
  </w:abstractNum>
  <w:abstractNum w:abstractNumId="44">
    <w:nsid w:val="3DD15094"/>
    <w:multiLevelType w:val="hybridMultilevel"/>
    <w:lvl w:ilvl="0">
      <w:lvlJc w:val="left"/>
      <w:lvlText w:val="•"/>
      <w:numFmt w:val="bullet"/>
      <w:start w:val="1"/>
    </w:lvl>
  </w:abstractNum>
  <w:abstractNum w:abstractNumId="45">
    <w:nsid w:val="3DB012B3"/>
    <w:multiLevelType w:val="hybridMultilevel"/>
    <w:lvl w:ilvl="0">
      <w:lvlJc w:val="left"/>
      <w:lvlText w:val="•"/>
      <w:numFmt w:val="bullet"/>
      <w:start w:val="1"/>
    </w:lvl>
  </w:abstractNum>
  <w:abstractNum w:abstractNumId="46">
    <w:nsid w:val="2708C9AF"/>
    <w:multiLevelType w:val="hybridMultilevel"/>
    <w:lvl w:ilvl="0">
      <w:lvlJc w:val="left"/>
      <w:lvlText w:val="•"/>
      <w:numFmt w:val="bullet"/>
      <w:start w:val="1"/>
    </w:lvl>
  </w:abstractNum>
  <w:abstractNum w:abstractNumId="47">
    <w:nsid w:val="5B25ACE2"/>
    <w:multiLevelType w:val="hybridMultilevel"/>
    <w:lvl w:ilvl="0">
      <w:lvlJc w:val="left"/>
      <w:lvlText w:val="•"/>
      <w:numFmt w:val="bullet"/>
      <w:start w:val="1"/>
    </w:lvl>
    <w:lvl w:ilvl="1">
      <w:lvlJc w:val="left"/>
      <w:lvlText w:val="•"/>
      <w:numFmt w:val="bullet"/>
      <w:start w:val="1"/>
    </w:lvl>
  </w:abstractNum>
  <w:abstractNum w:abstractNumId="48">
    <w:nsid w:val="175DFCF0"/>
    <w:multiLevelType w:val="hybridMultilevel"/>
    <w:lvl w:ilvl="0">
      <w:lvlJc w:val="left"/>
      <w:lvlText w:val="2"/>
      <w:numFmt w:val="bullet"/>
      <w:start w:val="1"/>
    </w:lvl>
  </w:abstractNum>
  <w:abstractNum w:abstractNumId="49">
    <w:nsid w:val="4F97E3E4"/>
    <w:multiLevelType w:val="hybridMultilevel"/>
    <w:lvl w:ilvl="0">
      <w:lvlJc w:val="left"/>
      <w:lvlText w:val="3"/>
      <w:numFmt w:val="bullet"/>
      <w:start w:val="1"/>
    </w:lvl>
  </w:abstractNum>
  <w:abstractNum w:abstractNumId="50">
    <w:nsid w:val="53B0A9E"/>
    <w:multiLevelType w:val="hybridMultilevel"/>
    <w:lvl w:ilvl="0">
      <w:lvlJc w:val="left"/>
      <w:lvlText w:val="4"/>
      <w:numFmt w:val="bullet"/>
      <w:start w:val="1"/>
    </w:lvl>
  </w:abstractNum>
  <w:abstractNum w:abstractNumId="51">
    <w:nsid w:val="34FD6B4F"/>
    <w:multiLevelType w:val="hybridMultilevel"/>
    <w:lvl w:ilvl="0">
      <w:lvlJc w:val="left"/>
      <w:lvlText w:val="(%1)"/>
      <w:numFmt w:val="lowerRoman"/>
      <w:start w:val="3"/>
    </w:lvl>
  </w:abstractNum>
  <w:abstractNum w:abstractNumId="52">
    <w:nsid w:val="5915FF32"/>
    <w:multiLevelType w:val="hybridMultilevel"/>
    <w:lvl w:ilvl="0">
      <w:lvlJc w:val="left"/>
      <w:lvlText w:val="1"/>
      <w:numFmt w:val="bullet"/>
      <w:start w:val="1"/>
    </w:lvl>
  </w:abstractNum>
  <w:abstractNum w:abstractNumId="53">
    <w:nsid w:val="56438D15"/>
    <w:multiLevelType w:val="hybridMultilevel"/>
    <w:lvl w:ilvl="0">
      <w:lvlJc w:val="left"/>
      <w:lvlText w:val="2"/>
      <w:numFmt w:val="bullet"/>
      <w:start w:val="1"/>
    </w:lvl>
  </w:abstractNum>
  <w:abstractNum w:abstractNumId="54">
    <w:nsid w:val="519E3149"/>
    <w:multiLevelType w:val="hybridMultilevel"/>
    <w:lvl w:ilvl="0">
      <w:lvlJc w:val="left"/>
      <w:lvlText w:val="3"/>
      <w:numFmt w:val="bullet"/>
      <w:start w:val="1"/>
    </w:lvl>
  </w:abstractNum>
  <w:abstractNum w:abstractNumId="55">
    <w:nsid w:val="2C6E4AFD"/>
    <w:multiLevelType w:val="hybridMultilevel"/>
    <w:lvl w:ilvl="0">
      <w:lvlJc w:val="left"/>
      <w:lvlText w:val="4"/>
      <w:numFmt w:val="bullet"/>
      <w:start w:val="1"/>
    </w:lvl>
  </w:abstractNum>
  <w:abstractNum w:abstractNumId="56">
    <w:nsid w:val="17A1B582"/>
    <w:multiLevelType w:val="hybridMultilevel"/>
    <w:lvl w:ilvl="0">
      <w:lvlJc w:val="left"/>
      <w:lvlText w:val="5"/>
      <w:numFmt w:val="bullet"/>
      <w:start w:val="1"/>
    </w:lvl>
  </w:abstractNum>
  <w:abstractNum w:abstractNumId="57">
    <w:nsid w:val="4DF72E4E"/>
    <w:multiLevelType w:val="hybridMultilevel"/>
    <w:lvl w:ilvl="0">
      <w:lvlJc w:val="left"/>
      <w:lvlText w:val="•"/>
      <w:numFmt w:val="bullet"/>
      <w:start w:val="1"/>
    </w:lvl>
  </w:abstractNum>
  <w:abstractNum w:abstractNumId="58">
    <w:nsid w:val="5046B5A9"/>
    <w:multiLevelType w:val="hybridMultilevel"/>
    <w:lvl w:ilvl="0">
      <w:lvlJc w:val="left"/>
      <w:lvlText w:val="1"/>
      <w:numFmt w:val="bullet"/>
      <w:start w:val="1"/>
    </w:lvl>
  </w:abstractNum>
  <w:abstractNum w:abstractNumId="59">
    <w:nsid w:val="5D888A08"/>
    <w:multiLevelType w:val="hybridMultilevel"/>
    <w:lvl w:ilvl="0">
      <w:lvlJc w:val="left"/>
      <w:lvlText w:val="2"/>
      <w:numFmt w:val="bullet"/>
      <w:start w:val="1"/>
    </w:lvl>
  </w:abstractNum>
  <w:abstractNum w:abstractNumId="60">
    <w:nsid w:val="2A082C70"/>
    <w:multiLevelType w:val="hybridMultilevel"/>
    <w:lvl w:ilvl="0">
      <w:lvlJc w:val="left"/>
      <w:lvlText w:val="3"/>
      <w:numFmt w:val="bullet"/>
      <w:start w:val="1"/>
    </w:lvl>
  </w:abstractNum>
  <w:abstractNum w:abstractNumId="61">
    <w:nsid w:val="5EC6AFD4"/>
    <w:multiLevelType w:val="hybridMultilevel"/>
    <w:lvl w:ilvl="0">
      <w:lvlJc w:val="left"/>
      <w:lvlText w:val="4"/>
      <w:numFmt w:val="bullet"/>
      <w:start w:val="1"/>
    </w:lvl>
  </w:abstractNum>
  <w:abstractNum w:abstractNumId="62">
    <w:nsid w:val="19E21BB2"/>
    <w:multiLevelType w:val="hybridMultilevel"/>
    <w:lvl w:ilvl="0">
      <w:lvlJc w:val="left"/>
      <w:lvlText w:val="5"/>
      <w:numFmt w:val="bullet"/>
      <w:start w:val="1"/>
    </w:lvl>
  </w:abstractNum>
  <w:abstractNum w:abstractNumId="63">
    <w:nsid w:val="75E0858A"/>
    <w:multiLevelType w:val="hybridMultilevel"/>
    <w:lvl w:ilvl="0">
      <w:lvlJc w:val="left"/>
      <w:lvlText w:val="6"/>
      <w:numFmt w:val="bullet"/>
      <w:start w:val="1"/>
    </w:lvl>
  </w:abstractNum>
  <w:abstractNum w:abstractNumId="64">
    <w:nsid w:val="57A61A29"/>
    <w:multiLevelType w:val="hybridMultilevel"/>
    <w:lvl w:ilvl="0">
      <w:lvlJc w:val="left"/>
      <w:lvlText w:val="7"/>
      <w:numFmt w:val="bullet"/>
      <w:start w:val="1"/>
    </w:lvl>
  </w:abstractNum>
  <w:abstractNum w:abstractNumId="65">
    <w:nsid w:val="5399C654"/>
    <w:multiLevelType w:val="hybridMultilevel"/>
    <w:lvl w:ilvl="0">
      <w:lvlJc w:val="left"/>
      <w:lvlText w:val="8"/>
      <w:numFmt w:val="bullet"/>
      <w:start w:val="1"/>
    </w:lvl>
  </w:abstractNum>
  <w:abstractNum w:abstractNumId="66">
    <w:nsid w:val="20EE1348"/>
    <w:multiLevelType w:val="hybridMultilevel"/>
    <w:lvl w:ilvl="0">
      <w:lvlJc w:val="left"/>
      <w:lvlText w:val="9"/>
      <w:numFmt w:val="bullet"/>
      <w:start w:val="1"/>
    </w:lvl>
  </w:abstractNum>
  <w:abstractNum w:abstractNumId="67">
    <w:nsid w:val="4427069A"/>
    <w:multiLevelType w:val="hybridMultilevel"/>
    <w:lvl w:ilvl="0">
      <w:lvlJc w:val="left"/>
      <w:lvlText w:val="%1"/>
      <w:numFmt w:val="decimal"/>
      <w:start w:val="10"/>
    </w:lvl>
  </w:abstractNum>
  <w:abstractNum w:abstractNumId="68">
    <w:nsid w:val="B37E80A"/>
    <w:multiLevelType w:val="hybridMultilevel"/>
    <w:lvl w:ilvl="0">
      <w:lvlJc w:val="left"/>
      <w:lvlText w:val="%1"/>
      <w:numFmt w:val="decimal"/>
      <w:start w:val="22"/>
    </w:lvl>
  </w:abstractNum>
  <w:abstractNum w:abstractNumId="69">
    <w:nsid w:val="2157F6BC"/>
    <w:multiLevelType w:val="hybridMultilevel"/>
    <w:lvl w:ilvl="0">
      <w:lvlJc w:val="left"/>
      <w:lvlText w:val="1"/>
      <w:numFmt w:val="bullet"/>
      <w:start w:val="1"/>
    </w:lvl>
  </w:abstractNum>
  <w:abstractNum w:abstractNumId="70">
    <w:nsid w:val="704E1DD5"/>
    <w:multiLevelType w:val="hybridMultilevel"/>
    <w:lvl w:ilvl="0">
      <w:lvlJc w:val="left"/>
      <w:lvlText w:val="2"/>
      <w:numFmt w:val="bullet"/>
      <w:start w:val="1"/>
    </w:lvl>
  </w:abstractNum>
  <w:abstractNum w:abstractNumId="71">
    <w:nsid w:val="57D2F10E"/>
    <w:multiLevelType w:val="hybridMultilevel"/>
    <w:lvl w:ilvl="0">
      <w:lvlJc w:val="left"/>
      <w:lvlText w:val="3"/>
      <w:numFmt w:val="bullet"/>
      <w:start w:val="1"/>
    </w:lvl>
  </w:abstractNum>
  <w:abstractNum w:abstractNumId="72">
    <w:nsid w:val="BFFAE18"/>
    <w:multiLevelType w:val="hybridMultilevel"/>
    <w:lvl w:ilvl="0">
      <w:lvlJc w:val="left"/>
      <w:lvlText w:val="1"/>
      <w:numFmt w:val="bullet"/>
      <w:start w:val="1"/>
    </w:lvl>
    <w:lvl w:ilvl="1">
      <w:lvlJc w:val="left"/>
      <w:lvlText w:val="•"/>
      <w:numFmt w:val="bullet"/>
      <w:start w:val="1"/>
    </w:lvl>
  </w:abstractNum>
  <w:abstractNum w:abstractNumId="73">
    <w:nsid w:val="E3E47A8"/>
    <w:multiLevelType w:val="hybridMultilevel"/>
    <w:lvl w:ilvl="0">
      <w:lvlJc w:val="left"/>
      <w:lvlText w:val="4"/>
      <w:numFmt w:val="bullet"/>
      <w:start w:val="1"/>
    </w:lvl>
  </w:abstractNum>
  <w:abstractNum w:abstractNumId="74">
    <w:nsid w:val="2E48F044"/>
    <w:multiLevelType w:val="hybridMultilevel"/>
    <w:lvl w:ilvl="0">
      <w:lvlJc w:val="left"/>
      <w:lvlText w:val="5"/>
      <w:numFmt w:val="bullet"/>
      <w:start w:val="1"/>
    </w:lvl>
  </w:abstractNum>
  <w:abstractNum w:abstractNumId="75">
    <w:nsid w:val="49D0FEAC"/>
    <w:multiLevelType w:val="hybridMultilevel"/>
    <w:lvl w:ilvl="0">
      <w:lvlJc w:val="left"/>
      <w:lvlText w:val="2"/>
      <w:numFmt w:val="bullet"/>
      <w:start w:val="1"/>
    </w:lvl>
    <w:lvl w:ilvl="1">
      <w:lvlJc w:val="left"/>
      <w:lvlText w:val="•"/>
      <w:numFmt w:val="bullet"/>
      <w:start w:val="1"/>
    </w:lvl>
  </w:abstractNum>
  <w:abstractNum w:abstractNumId="76">
    <w:nsid w:val="4BEE5A5B"/>
    <w:multiLevelType w:val="hybridMultilevel"/>
    <w:lvl w:ilvl="0">
      <w:lvlJc w:val="left"/>
      <w:lvlText w:val="3"/>
      <w:numFmt w:val="bullet"/>
      <w:start w:val="1"/>
    </w:lvl>
    <w:lvl w:ilvl="1">
      <w:lvlJc w:val="left"/>
      <w:lvlText w:val="•"/>
      <w:numFmt w:val="bullet"/>
      <w:start w:val="1"/>
    </w:lvl>
  </w:abstractNum>
  <w:abstractNum w:abstractNumId="77">
    <w:nsid w:val="5551B9F3"/>
    <w:multiLevelType w:val="hybridMultilevel"/>
    <w:lvl w:ilvl="0">
      <w:lvlJc w:val="left"/>
      <w:lvlText w:val="6"/>
      <w:numFmt w:val="bullet"/>
      <w:start w:val="1"/>
    </w:lvl>
  </w:abstractNum>
  <w:abstractNum w:abstractNumId="78">
    <w:nsid w:val="24F6AB8E"/>
    <w:multiLevelType w:val="hybridMultilevel"/>
    <w:lvl w:ilvl="0">
      <w:lvlJc w:val="left"/>
      <w:lvlText w:val="•"/>
      <w:numFmt w:val="bullet"/>
      <w:start w:val="1"/>
    </w:lvl>
    <w:lvl w:ilvl="1">
      <w:lvlJc w:val="left"/>
      <w:lvlText w:val="•"/>
      <w:numFmt w:val="bullet"/>
      <w:start w:val="1"/>
    </w:lvl>
  </w:abstractNum>
  <w:abstractNum w:abstractNumId="79">
    <w:nsid w:val="634C574C"/>
    <w:multiLevelType w:val="hybridMultilevel"/>
    <w:lvl w:ilvl="0">
      <w:lvlJc w:val="left"/>
      <w:lvlText w:val="•"/>
      <w:numFmt w:val="bullet"/>
      <w:start w:val="1"/>
    </w:lvl>
  </w:abstractNum>
  <w:abstractNum w:abstractNumId="80">
    <w:nsid w:val="24E99DD7"/>
    <w:multiLevelType w:val="hybridMultilevel"/>
    <w:lvl w:ilvl="0">
      <w:lvlJc w:val="left"/>
      <w:lvlText w:val="•"/>
      <w:numFmt w:val="bullet"/>
      <w:start w:val="1"/>
    </w:lvl>
  </w:abstractNum>
  <w:abstractNum w:abstractNumId="81">
    <w:nsid w:val="2A31B62D"/>
    <w:multiLevelType w:val="hybridMultilevel"/>
    <w:lvl w:ilvl="0">
      <w:lvlJc w:val="left"/>
      <w:lvlText w:val="•"/>
      <w:numFmt w:val="bullet"/>
      <w:start w:val="1"/>
    </w:lvl>
  </w:abstractNum>
  <w:abstractNum w:abstractNumId="82">
    <w:nsid w:val="1849C29B"/>
    <w:multiLevelType w:val="hybridMultilevel"/>
    <w:lvl w:ilvl="0">
      <w:lvlJc w:val="left"/>
      <w:lvlText w:val="1"/>
      <w:numFmt w:val="bullet"/>
      <w:start w:val="1"/>
    </w:lvl>
  </w:abstractNum>
  <w:abstractNum w:abstractNumId="83">
    <w:nsid w:val="7DFF9D09"/>
    <w:multiLevelType w:val="hybridMultilevel"/>
    <w:lvl w:ilvl="0">
      <w:lvlJc w:val="left"/>
      <w:lvlText w:val="2"/>
      <w:numFmt w:val="bullet"/>
      <w:start w:val="1"/>
    </w:lvl>
  </w:abstractNum>
  <w:abstractNum w:abstractNumId="84">
    <w:nsid w:val="754342"/>
    <w:multiLevelType w:val="hybridMultilevel"/>
    <w:lvl w:ilvl="0">
      <w:lvlJc w:val="left"/>
      <w:lvlText w:val="3"/>
      <w:numFmt w:val="bullet"/>
      <w:start w:val="1"/>
    </w:lvl>
  </w:abstractNum>
  <w:abstractNum w:abstractNumId="85">
    <w:nsid w:val="69E7F3E5"/>
    <w:multiLevelType w:val="hybridMultilevel"/>
    <w:lvl w:ilvl="0">
      <w:lvlJc w:val="left"/>
      <w:lvlText w:val="4"/>
      <w:numFmt w:val="bullet"/>
      <w:start w:val="1"/>
    </w:lvl>
  </w:abstractNum>
  <w:abstractNum w:abstractNumId="86">
    <w:nsid w:val="2A6DE806"/>
    <w:multiLevelType w:val="hybridMultilevel"/>
    <w:lvl w:ilvl="0">
      <w:lvlJc w:val="left"/>
      <w:lvlText w:val="5"/>
      <w:numFmt w:val="bullet"/>
      <w:start w:val="1"/>
    </w:lvl>
  </w:abstractNum>
  <w:abstractNum w:abstractNumId="87">
    <w:nsid w:val="1816F8C4"/>
    <w:multiLevelType w:val="hybridMultilevel"/>
    <w:lvl w:ilvl="0">
      <w:lvlJc w:val="left"/>
      <w:lvlText w:val="6"/>
      <w:numFmt w:val="bullet"/>
      <w:start w:val="1"/>
    </w:lvl>
  </w:abstractNum>
  <w:abstractNum w:abstractNumId="88">
    <w:nsid w:val="37DF2233"/>
    <w:multiLevelType w:val="hybridMultilevel"/>
    <w:lvl w:ilvl="0">
      <w:lvlJc w:val="left"/>
      <w:lvlText w:val="%1."/>
      <w:numFmt w:val="decimal"/>
      <w:start w:val="1"/>
    </w:lvl>
  </w:abstractNum>
  <w:abstractNum w:abstractNumId="89">
    <w:nsid w:val="7AB49DAF"/>
    <w:multiLevelType w:val="hybridMultilevel"/>
    <w:lvl w:ilvl="0">
      <w:lvlJc w:val="left"/>
      <w:lvlText w:val="%1."/>
      <w:numFmt w:val="decimal"/>
      <w:start w:val="3"/>
    </w:lvl>
  </w:abstractNum>
  <w:abstractNum w:abstractNumId="90">
    <w:nsid w:val="759F82CD"/>
    <w:multiLevelType w:val="hybridMultilevel"/>
    <w:lvl w:ilvl="0">
      <w:lvlJc w:val="left"/>
      <w:lvlText w:val="*"/>
      <w:numFmt w:val="bullet"/>
      <w:start w:val="1"/>
    </w:lvl>
  </w:abstractNum>
  <w:abstractNum w:abstractNumId="91">
    <w:nsid w:val="61E74EA3"/>
    <w:multiLevelType w:val="hybridMultilevel"/>
    <w:lvl w:ilvl="0">
      <w:lvlJc w:val="left"/>
      <w:lvlText w:val="%1."/>
      <w:numFmt w:val="decimal"/>
      <w:start w:val="4"/>
    </w:lvl>
  </w:abstractNum>
  <w:abstractNum w:abstractNumId="92">
    <w:nsid w:val="597B4D84"/>
    <w:multiLevelType w:val="hybridMultilevel"/>
    <w:lvl w:ilvl="0">
      <w:lvlJc w:val="left"/>
      <w:lvlText w:val="*"/>
      <w:numFmt w:val="bullet"/>
      <w:start w:val="1"/>
    </w:lvl>
  </w:abstractNum>
  <w:abstractNum w:abstractNumId="93">
    <w:nsid w:val="F819E7F"/>
    <w:multiLevelType w:val="hybridMultilevel"/>
    <w:lvl w:ilvl="0">
      <w:lvlJc w:val="left"/>
      <w:lvlText w:val="•"/>
      <w:numFmt w:val="bullet"/>
      <w:start w:val="1"/>
    </w:lvl>
  </w:abstractNum>
  <w:abstractNum w:abstractNumId="94">
    <w:nsid w:val="57C7D42D"/>
    <w:multiLevelType w:val="hybridMultilevel"/>
    <w:lvl w:ilvl="0">
      <w:lvlJc w:val="left"/>
      <w:lvlText w:val="•"/>
      <w:numFmt w:val="bullet"/>
      <w:start w:val="1"/>
    </w:lvl>
  </w:abstractNum>
  <w:abstractNum w:abstractNumId="95">
    <w:nsid w:val="312167AD"/>
    <w:multiLevelType w:val="hybridMultilevel"/>
    <w:lvl w:ilvl="0">
      <w:lvlJc w:val="left"/>
      <w:lvlText w:val="•"/>
      <w:numFmt w:val="bullet"/>
      <w:start w:val="1"/>
    </w:lvl>
  </w:abstractNum>
  <w:abstractNum w:abstractNumId="96">
    <w:nsid w:val="631B64D4"/>
    <w:multiLevelType w:val="hybridMultilevel"/>
    <w:lvl w:ilvl="0">
      <w:lvlJc w:val="left"/>
      <w:lvlText w:val="•"/>
      <w:numFmt w:val="bullet"/>
      <w:start w:val="1"/>
    </w:lvl>
  </w:abstractNum>
  <w:abstractNum w:abstractNumId="97">
    <w:nsid w:val="78B5E776"/>
    <w:multiLevelType w:val="hybridMultilevel"/>
    <w:lvl w:ilvl="0">
      <w:lvlJc w:val="left"/>
      <w:lvlText w:val="•"/>
      <w:numFmt w:val="bullet"/>
      <w:start w:val="1"/>
    </w:lvl>
  </w:abstractNum>
  <w:abstractNum w:abstractNumId="98">
    <w:nsid w:val="75486E47"/>
    <w:multiLevelType w:val="hybridMultilevel"/>
    <w:lvl w:ilvl="0">
      <w:lvlJc w:val="left"/>
      <w:lvlText w:val="•"/>
      <w:numFmt w:val="bullet"/>
      <w:start w:val="1"/>
    </w:lvl>
  </w:abstractNum>
  <w:abstractNum w:abstractNumId="99">
    <w:nsid w:val="6E534CDE"/>
    <w:multiLevelType w:val="hybridMultilevel"/>
    <w:lvl w:ilvl="0">
      <w:lvlJc w:val="left"/>
      <w:lvlText w:val="•"/>
      <w:numFmt w:val="bullet"/>
      <w:start w:val="1"/>
    </w:lvl>
  </w:abstractNum>
  <w:abstractNum w:abstractNumId="100">
    <w:nsid w:val="1A0DDE32"/>
    <w:multiLevelType w:val="hybridMultilevel"/>
    <w:lvl w:ilvl="0">
      <w:lvlJc w:val="left"/>
      <w:lvlText w:val="•"/>
      <w:numFmt w:val="bullet"/>
      <w:start w:val="1"/>
    </w:lvl>
  </w:abstractNum>
  <w:abstractNum w:abstractNumId="101">
    <w:nsid w:val="65968C1C"/>
    <w:multiLevelType w:val="hybridMultilevel"/>
    <w:lvl w:ilvl="0">
      <w:lvlJc w:val="left"/>
      <w:lvlText w:val="*"/>
      <w:numFmt w:val="bullet"/>
      <w:start w:val="1"/>
    </w:lvl>
  </w:abstractNum>
  <w:abstractNum w:abstractNumId="102">
    <w:nsid w:val="46263DEC"/>
    <w:multiLevelType w:val="hybridMultilevel"/>
    <w:lvl w:ilvl="0">
      <w:lvlJc w:val="left"/>
      <w:lvlText w:val="7"/>
      <w:numFmt w:val="bullet"/>
      <w:start w:val="1"/>
    </w:lvl>
  </w:abstractNum>
  <w:abstractNum w:abstractNumId="103">
    <w:nsid w:val="260D8C4A"/>
    <w:multiLevelType w:val="hybridMultilevel"/>
    <w:lvl w:ilvl="0">
      <w:lvlJc w:val="left"/>
      <w:lvlText w:val="1"/>
      <w:numFmt w:val="bullet"/>
      <w:start w:val="1"/>
    </w:lvl>
  </w:abstractNum>
  <w:abstractNum w:abstractNumId="104">
    <w:nsid w:val="73D4D3C4"/>
    <w:multiLevelType w:val="hybridMultilevel"/>
    <w:lvl w:ilvl="0">
      <w:lvlJc w:val="left"/>
      <w:lvlText w:val="2"/>
      <w:numFmt w:val="bullet"/>
      <w:start w:val="1"/>
    </w:lvl>
  </w:abstractNum>
  <w:abstractNum w:abstractNumId="105">
    <w:nsid w:val="746F2E30"/>
    <w:multiLevelType w:val="hybridMultilevel"/>
    <w:lvl w:ilvl="0">
      <w:lvlJc w:val="left"/>
      <w:lvlText w:val="3"/>
      <w:numFmt w:val="bullet"/>
      <w:start w:val="1"/>
    </w:lvl>
  </w:abstractNum>
  <w:abstractNum w:abstractNumId="106">
    <w:nsid w:val="6FDE8AF6"/>
    <w:multiLevelType w:val="hybridMultilevel"/>
    <w:lvl w:ilvl="0">
      <w:lvlJc w:val="left"/>
      <w:lvlText w:val="*"/>
      <w:numFmt w:val="bullet"/>
      <w:start w:val="1"/>
    </w:lvl>
  </w:abstractNum>
  <w:abstractNum w:abstractNumId="107">
    <w:nsid w:val="3FC32E20"/>
    <w:multiLevelType w:val="hybridMultilevel"/>
    <w:lvl w:ilvl="0">
      <w:lvlJc w:val="left"/>
      <w:lvlText w:val="1"/>
      <w:numFmt w:val="bullet"/>
      <w:start w:val="1"/>
    </w:lvl>
  </w:abstractNum>
  <w:abstractNum w:abstractNumId="108">
    <w:nsid w:val="49C0E823"/>
    <w:multiLevelType w:val="hybridMultilevel"/>
    <w:lvl w:ilvl="0">
      <w:lvlJc w:val="left"/>
      <w:lvlText w:val="•"/>
      <w:numFmt w:val="bullet"/>
      <w:start w:val="1"/>
    </w:lvl>
  </w:abstractNum>
  <w:abstractNum w:abstractNumId="109">
    <w:nsid w:val="14D53685"/>
    <w:multiLevelType w:val="hybridMultilevel"/>
    <w:lvl w:ilvl="0">
      <w:lvlJc w:val="left"/>
      <w:lvlText w:val="•"/>
      <w:numFmt w:val="bullet"/>
      <w:start w:val="1"/>
    </w:lvl>
  </w:abstractNum>
  <w:abstractNum w:abstractNumId="110">
    <w:nsid w:val="230F856C"/>
    <w:multiLevelType w:val="hybridMultilevel"/>
    <w:lvl w:ilvl="0">
      <w:lvlJc w:val="left"/>
      <w:lvlText w:val="•"/>
      <w:numFmt w:val="bullet"/>
      <w:start w:val="1"/>
    </w:lvl>
  </w:abstractNum>
  <w:abstractNum w:abstractNumId="111">
    <w:nsid w:val="6EAA85FB"/>
    <w:multiLevelType w:val="hybridMultilevel"/>
    <w:lvl w:ilvl="0">
      <w:lvlJc w:val="left"/>
      <w:lvlText w:val="•"/>
      <w:numFmt w:val="bullet"/>
      <w:start w:val="1"/>
    </w:lvl>
  </w:abstractNum>
  <w:abstractNum w:abstractNumId="112">
    <w:nsid w:val="3F06ECB2"/>
    <w:multiLevelType w:val="hybridMultilevel"/>
    <w:lvl w:ilvl="0">
      <w:lvlJc w:val="left"/>
      <w:lvlText w:val="•"/>
      <w:numFmt w:val="bullet"/>
      <w:start w:val="1"/>
    </w:lvl>
  </w:abstractNum>
  <w:abstractNum w:abstractNumId="113">
    <w:nsid w:val="3B594807"/>
    <w:multiLevelType w:val="hybridMultilevel"/>
    <w:lvl w:ilvl="0">
      <w:lvlJc w:val="left"/>
      <w:lvlText w:val="•"/>
      <w:numFmt w:val="bullet"/>
      <w:start w:val="1"/>
    </w:lvl>
  </w:abstractNum>
  <w:abstractNum w:abstractNumId="114">
    <w:nsid w:val="6CAA2304"/>
    <w:multiLevelType w:val="hybridMultilevel"/>
    <w:lvl w:ilvl="0">
      <w:lvlJc w:val="left"/>
      <w:lvlText w:val="•"/>
      <w:numFmt w:val="bullet"/>
      <w:start w:val="1"/>
    </w:lvl>
  </w:abstractNum>
  <w:abstractNum w:abstractNumId="115">
    <w:nsid w:val="3F7C2FF4"/>
    <w:multiLevelType w:val="hybridMultilevel"/>
    <w:lvl w:ilvl="0">
      <w:lvlJc w:val="left"/>
      <w:lvlText w:val="•"/>
      <w:numFmt w:val="bullet"/>
      <w:start w:val="1"/>
    </w:lvl>
  </w:abstractNum>
  <w:abstractNum w:abstractNumId="116">
    <w:nsid w:val="25413BEC"/>
    <w:multiLevelType w:val="hybridMultilevel"/>
    <w:lvl w:ilvl="0">
      <w:lvlJc w:val="left"/>
      <w:lvlText w:val="•"/>
      <w:numFmt w:val="bullet"/>
      <w:start w:val="1"/>
    </w:lvl>
  </w:abstractNum>
  <w:abstractNum w:abstractNumId="117">
    <w:nsid w:val="17180B0B"/>
    <w:multiLevelType w:val="hybridMultilevel"/>
    <w:lvl w:ilvl="0">
      <w:lvlJc w:val="left"/>
      <w:lvlText w:val="•"/>
      <w:numFmt w:val="bullet"/>
      <w:start w:val="1"/>
    </w:lvl>
  </w:abstractNum>
  <w:abstractNum w:abstractNumId="118">
    <w:nsid w:val="579328B9"/>
    <w:multiLevelType w:val="hybridMultilevel"/>
    <w:lvl w:ilvl="0">
      <w:lvlJc w:val="left"/>
      <w:lvlText w:val="•"/>
      <w:numFmt w:val="bullet"/>
      <w:start w:val="1"/>
    </w:lvl>
  </w:abstractNum>
  <w:abstractNum w:abstractNumId="119">
    <w:nsid w:val="5D205E20"/>
    <w:multiLevelType w:val="hybridMultilevel"/>
    <w:lvl w:ilvl="0">
      <w:lvlJc w:val="left"/>
      <w:lvlText w:val="•"/>
      <w:numFmt w:val="bullet"/>
      <w:start w:val="1"/>
    </w:lvl>
  </w:abstractNum>
  <w:abstractNum w:abstractNumId="120">
    <w:nsid w:val="11CCA8BA"/>
    <w:multiLevelType w:val="hybridMultilevel"/>
    <w:lvl w:ilvl="0">
      <w:lvlJc w:val="left"/>
      <w:lvlText w:val="*"/>
      <w:numFmt w:val="bullet"/>
      <w:start w:val="1"/>
    </w:lvl>
  </w:abstractNum>
  <w:abstractNum w:abstractNumId="121">
    <w:nsid w:val="4D32AB86"/>
    <w:multiLevelType w:val="hybridMultilevel"/>
    <w:lvl w:ilvl="0">
      <w:lvlJc w:val="left"/>
      <w:lvlText w:val="**"/>
      <w:numFmt w:val="bullet"/>
      <w:start w:val="1"/>
    </w:lvl>
  </w:abstractNum>
  <w:abstractNum w:abstractNumId="122">
    <w:nsid w:val="3F07ACC3"/>
    <w:multiLevelType w:val="hybridMultilevel"/>
    <w:lvl w:ilvl="0">
      <w:lvlJc w:val="left"/>
      <w:lvlText w:val="•"/>
      <w:numFmt w:val="bullet"/>
      <w:start w:val="1"/>
    </w:lvl>
  </w:abstractNum>
  <w:abstractNum w:abstractNumId="123">
    <w:nsid w:val="6B47F63E"/>
    <w:multiLevelType w:val="hybridMultilevel"/>
    <w:lvl w:ilvl="0">
      <w:lvlJc w:val="left"/>
      <w:lvlText w:val="•"/>
      <w:numFmt w:val="bullet"/>
      <w:start w:val="1"/>
    </w:lvl>
  </w:abstractNum>
  <w:abstractNum w:abstractNumId="124">
    <w:nsid w:val="5CB44A05"/>
    <w:multiLevelType w:val="hybridMultilevel"/>
    <w:lvl w:ilvl="0">
      <w:lvlJc w:val="left"/>
      <w:lvlText w:val="•"/>
      <w:numFmt w:val="bullet"/>
      <w:start w:val="1"/>
    </w:lvl>
  </w:abstractNum>
  <w:abstractNum w:abstractNumId="125">
    <w:nsid w:val="16CF80F1"/>
    <w:multiLevelType w:val="hybridMultilevel"/>
    <w:lvl w:ilvl="0">
      <w:lvlJc w:val="left"/>
      <w:lvlText w:val="•"/>
      <w:numFmt w:val="bullet"/>
      <w:start w:val="1"/>
    </w:lvl>
  </w:abstractNum>
  <w:abstractNum w:abstractNumId="126">
    <w:nsid w:val="1C695DEC"/>
    <w:multiLevelType w:val="hybridMultilevel"/>
    <w:lvl w:ilvl="0">
      <w:lvlJc w:val="left"/>
      <w:lvlText w:val="•"/>
      <w:numFmt w:val="bullet"/>
      <w:start w:val="1"/>
    </w:lvl>
  </w:abstractNum>
  <w:abstractNum w:abstractNumId="127">
    <w:nsid w:val="3FCFAED9"/>
    <w:multiLevelType w:val="hybridMultilevel"/>
    <w:lvl w:ilvl="0">
      <w:lvlJc w:val="left"/>
      <w:lvlText w:val="*"/>
      <w:numFmt w:val="bullet"/>
      <w:start w:val="1"/>
    </w:lvl>
  </w:abstractNum>
  <w:abstractNum w:abstractNumId="128">
    <w:nsid w:val="F856867"/>
    <w:multiLevelType w:val="hybridMultilevel"/>
    <w:lvl w:ilvl="0">
      <w:lvlJc w:val="left"/>
      <w:lvlText w:val="•"/>
      <w:numFmt w:val="bullet"/>
      <w:start w:val="1"/>
    </w:lvl>
    <w:lvl w:ilvl="1">
      <w:lvlJc w:val="left"/>
      <w:lvlText w:val="•"/>
      <w:numFmt w:val="bullet"/>
      <w:start w:val="1"/>
    </w:lvl>
  </w:abstractNum>
  <w:abstractNum w:abstractNumId="129">
    <w:nsid w:val="11B1CC33"/>
    <w:multiLevelType w:val="hybridMultilevel"/>
    <w:lvl w:ilvl="0">
      <w:lvlJc w:val="left"/>
      <w:lvlText w:val="•"/>
      <w:numFmt w:val="bullet"/>
      <w:start w:val="1"/>
    </w:lvl>
    <w:lvl w:ilvl="1">
      <w:lvlJc w:val="left"/>
      <w:lvlText w:val="•"/>
      <w:numFmt w:val="bullet"/>
      <w:start w:val="1"/>
    </w:lvl>
  </w:abstractNum>
  <w:abstractNum w:abstractNumId="130">
    <w:nsid w:val="2E22FBB7"/>
    <w:multiLevelType w:val="hybridMultilevel"/>
    <w:lvl w:ilvl="0">
      <w:lvlJc w:val="left"/>
      <w:lvlText w:val="•"/>
      <w:numFmt w:val="bullet"/>
      <w:start w:val="1"/>
    </w:lvl>
    <w:lvl w:ilvl="1">
      <w:lvlJc w:val="left"/>
      <w:lvlText w:val="•"/>
      <w:numFmt w:val="bullet"/>
      <w:start w:val="1"/>
    </w:lvl>
  </w:abstractNum>
  <w:abstractNum w:abstractNumId="131">
    <w:nsid w:val="29934699"/>
    <w:multiLevelType w:val="hybridMultilevel"/>
    <w:lvl w:ilvl="0">
      <w:lvlJc w:val="left"/>
      <w:lvlText w:val="*"/>
      <w:numFmt w:val="bullet"/>
      <w:start w:val="1"/>
    </w:lvl>
    <w:lvl w:ilvl="1">
      <w:lvlJc w:val="left"/>
      <w:lvlText w:val="•"/>
      <w:numFmt w:val="bullet"/>
      <w:start w:val="1"/>
    </w:lvl>
  </w:abstractNum>
  <w:abstractNum w:abstractNumId="132">
    <w:nsid w:val="77485850"/>
    <w:multiLevelType w:val="hybridMultilevel"/>
    <w:lvl w:ilvl="0">
      <w:lvlJc w:val="left"/>
      <w:lvlText w:val="**"/>
      <w:numFmt w:val="bullet"/>
      <w:start w:val="1"/>
    </w:lvl>
    <w:lvl w:ilvl="1">
      <w:lvlJc w:val="left"/>
      <w:lvlText w:val="•"/>
      <w:numFmt w:val="bullet"/>
      <w:start w:val="1"/>
    </w:lvl>
  </w:abstractNum>
  <w:abstractNum w:abstractNumId="133">
    <w:nsid w:val="744939A3"/>
    <w:multiLevelType w:val="hybridMultilevel"/>
    <w:lvl w:ilvl="0">
      <w:lvlJc w:val="left"/>
      <w:lvlText w:val="*"/>
      <w:numFmt w:val="bullet"/>
      <w:start w:val="1"/>
    </w:lvl>
  </w:abstractNum>
  <w:abstractNum w:abstractNumId="134">
    <w:nsid w:val="4FA0D2E3"/>
    <w:multiLevelType w:val="hybridMultilevel"/>
    <w:lvl w:ilvl="0">
      <w:lvlJc w:val="left"/>
      <w:lvlText w:val="**"/>
      <w:numFmt w:val="bullet"/>
      <w:start w:val="1"/>
    </w:lvl>
  </w:abstractNum>
  <w:abstractNum w:abstractNumId="135">
    <w:nsid w:val="6B1D2C14"/>
    <w:multiLevelType w:val="hybridMultilevel"/>
    <w:lvl w:ilvl="0">
      <w:lvlJc w:val="left"/>
      <w:lvlText w:val="•"/>
      <w:numFmt w:val="bullet"/>
      <w:start w:val="1"/>
    </w:lvl>
  </w:abstractNum>
  <w:abstractNum w:abstractNumId="136">
    <w:nsid w:val="68B867D3"/>
    <w:multiLevelType w:val="hybridMultilevel"/>
    <w:lvl w:ilvl="0">
      <w:lvlJc w:val="left"/>
      <w:lvlText w:val="•"/>
      <w:numFmt w:val="bullet"/>
      <w:start w:val="1"/>
    </w:lvl>
  </w:abstractNum>
  <w:abstractNum w:abstractNumId="137">
    <w:nsid w:val="3F7F5DD9"/>
    <w:multiLevelType w:val="hybridMultilevel"/>
    <w:lvl w:ilvl="0">
      <w:lvlJc w:val="left"/>
      <w:lvlText w:val="•"/>
      <w:numFmt w:val="bullet"/>
      <w:start w:val="1"/>
    </w:lvl>
  </w:abstractNum>
  <w:abstractNum w:abstractNumId="138">
    <w:nsid w:val="2AE05A34"/>
    <w:multiLevelType w:val="hybridMultilevel"/>
    <w:lvl w:ilvl="0">
      <w:lvlJc w:val="left"/>
      <w:lvlText w:val="•"/>
      <w:numFmt w:val="bullet"/>
      <w:start w:val="1"/>
    </w:lvl>
  </w:abstractNum>
  <w:abstractNum w:abstractNumId="139">
    <w:nsid w:val="32794FF7"/>
    <w:multiLevelType w:val="hybridMultilevel"/>
    <w:lvl w:ilvl="0">
      <w:lvlJc w:val="left"/>
      <w:lvlText w:val="•"/>
      <w:numFmt w:val="bullet"/>
      <w:start w:val="1"/>
    </w:lvl>
  </w:abstractNum>
  <w:abstractNum w:abstractNumId="140">
    <w:nsid w:val="5454945E"/>
    <w:multiLevelType w:val="hybridMultilevel"/>
    <w:lvl w:ilvl="0">
      <w:lvlJc w:val="left"/>
      <w:lvlText w:val="•"/>
      <w:numFmt w:val="bullet"/>
      <w:start w:val="1"/>
    </w:lvl>
  </w:abstractNum>
  <w:abstractNum w:abstractNumId="141">
    <w:nsid w:val="4DEFDFA0"/>
    <w:multiLevelType w:val="hybridMultilevel"/>
    <w:lvl w:ilvl="0">
      <w:lvlJc w:val="left"/>
      <w:lvlText w:val="•"/>
      <w:numFmt w:val="bullet"/>
      <w:start w:val="1"/>
    </w:lvl>
  </w:abstractNum>
  <w:abstractNum w:abstractNumId="142">
    <w:nsid w:val="2123D5F2"/>
    <w:multiLevelType w:val="hybridMultilevel"/>
    <w:lvl w:ilvl="0">
      <w:lvlJc w:val="left"/>
      <w:lvlText w:val="•"/>
      <w:numFmt w:val="bullet"/>
      <w:start w:val="1"/>
    </w:lvl>
  </w:abstractNum>
  <w:abstractNum w:abstractNumId="143">
    <w:nsid w:val="135B8110"/>
    <w:multiLevelType w:val="hybridMultilevel"/>
    <w:lvl w:ilvl="0">
      <w:lvlJc w:val="left"/>
      <w:lvlText w:val="•"/>
      <w:numFmt w:val="bullet"/>
      <w:start w:val="1"/>
    </w:lvl>
  </w:abstractNum>
  <w:abstractNum w:abstractNumId="144">
    <w:nsid w:val="94927A8"/>
    <w:multiLevelType w:val="hybridMultilevel"/>
    <w:lvl w:ilvl="0">
      <w:lvlJc w:val="left"/>
      <w:lvlText w:val="+"/>
      <w:numFmt w:val="bullet"/>
      <w:start w:val="1"/>
    </w:lvl>
  </w:abstractNum>
  <w:abstractNum w:abstractNumId="145">
    <w:nsid w:val="DCDF8F6"/>
    <w:multiLevelType w:val="hybridMultilevel"/>
    <w:lvl w:ilvl="0">
      <w:lvlJc w:val="left"/>
      <w:lvlText w:val="1"/>
      <w:numFmt w:val="bullet"/>
      <w:start w:val="1"/>
    </w:lvl>
  </w:abstractNum>
  <w:abstractNum w:abstractNumId="146">
    <w:nsid w:val="52D7B105"/>
    <w:multiLevelType w:val="hybridMultilevel"/>
    <w:lvl w:ilvl="0">
      <w:lvlJc w:val="left"/>
      <w:lvlText w:val="2"/>
      <w:numFmt w:val="bullet"/>
      <w:start w:val="1"/>
    </w:lvl>
  </w:abstractNum>
  <w:abstractNum w:abstractNumId="147">
    <w:nsid w:val="2E8A6394"/>
    <w:multiLevelType w:val="hybridMultilevel"/>
    <w:lvl w:ilvl="0">
      <w:lvlJc w:val="left"/>
      <w:lvlText w:val="3"/>
      <w:numFmt w:val="bullet"/>
      <w:start w:val="1"/>
    </w:lvl>
  </w:abstractNum>
  <w:abstractNum w:abstractNumId="148">
    <w:nsid w:val="24E60401"/>
    <w:multiLevelType w:val="hybridMultilevel"/>
    <w:lvl w:ilvl="0">
      <w:lvlJc w:val="left"/>
      <w:lvlText w:val="4"/>
      <w:numFmt w:val="bullet"/>
      <w:start w:val="1"/>
    </w:lvl>
  </w:abstractNum>
  <w:abstractNum w:abstractNumId="149">
    <w:nsid w:val="2A6AD9BE"/>
    <w:multiLevelType w:val="hybridMultilevel"/>
    <w:lvl w:ilvl="0">
      <w:lvlJc w:val="left"/>
      <w:lvlText w:val="5"/>
      <w:numFmt w:val="bullet"/>
      <w:start w:val="1"/>
    </w:lvl>
  </w:abstractNum>
  <w:abstractNum w:abstractNumId="150">
    <w:nsid w:val="BAAC1B4"/>
    <w:multiLevelType w:val="hybridMultilevel"/>
    <w:lvl w:ilvl="0">
      <w:lvlJc w:val="left"/>
      <w:lvlText w:val="6"/>
      <w:numFmt w:val="bullet"/>
      <w:start w:val="1"/>
    </w:lvl>
  </w:abstractNum>
  <w:abstractNum w:abstractNumId="151">
    <w:nsid w:val="36B2ACBC"/>
    <w:multiLevelType w:val="hybridMultilevel"/>
    <w:lvl w:ilvl="0">
      <w:lvlJc w:val="left"/>
      <w:lvlText w:val="7"/>
      <w:numFmt w:val="bullet"/>
      <w:start w:val="1"/>
    </w:lvl>
  </w:abstractNum>
  <w:abstractNum w:abstractNumId="152">
    <w:nsid w:val="779D8544"/>
    <w:multiLevelType w:val="hybridMultilevel"/>
    <w:lvl w:ilvl="0">
      <w:lvlJc w:val="left"/>
      <w:lvlText w:val="8"/>
      <w:numFmt w:val="bullet"/>
      <w:start w:val="1"/>
    </w:lvl>
  </w:abstractNum>
  <w:abstractNum w:abstractNumId="153">
    <w:nsid w:val="4AB26E78"/>
    <w:multiLevelType w:val="hybridMultilevel"/>
    <w:lvl w:ilvl="0">
      <w:lvlJc w:val="left"/>
      <w:lvlText w:val="9"/>
      <w:numFmt w:val="bullet"/>
      <w:start w:val="1"/>
    </w:lvl>
  </w:abstractNum>
  <w:abstractNum w:abstractNumId="154">
    <w:nsid w:val="21FAA2FA"/>
    <w:multiLevelType w:val="hybridMultilevel"/>
    <w:lvl w:ilvl="0">
      <w:lvlJc w:val="left"/>
      <w:lvlText w:val="1"/>
      <w:numFmt w:val="bullet"/>
      <w:start w:val="1"/>
    </w:lvl>
  </w:abstractNum>
  <w:abstractNum w:abstractNumId="155">
    <w:nsid w:val="5451CF49"/>
    <w:multiLevelType w:val="hybridMultilevel"/>
    <w:lvl w:ilvl="0">
      <w:lvlJc w:val="left"/>
      <w:lvlText w:val="2"/>
      <w:numFmt w:val="bullet"/>
      <w:start w:val="1"/>
    </w:lvl>
  </w:abstractNum>
  <w:abstractNum w:abstractNumId="156">
    <w:nsid w:val="6181EF69"/>
    <w:multiLevelType w:val="hybridMultilevel"/>
    <w:lvl w:ilvl="0">
      <w:lvlJc w:val="left"/>
      <w:lvlText w:val="3"/>
      <w:numFmt w:val="bullet"/>
      <w:start w:val="1"/>
    </w:lvl>
  </w:abstractNum>
  <w:abstractNum w:abstractNumId="157">
    <w:nsid w:val="3E6400E6"/>
    <w:multiLevelType w:val="hybridMultilevel"/>
    <w:lvl w:ilvl="0">
      <w:lvlJc w:val="left"/>
      <w:lvlText w:val="4"/>
      <w:numFmt w:val="bullet"/>
      <w:start w:val="1"/>
    </w:lvl>
  </w:abstractNum>
  <w:abstractNum w:abstractNumId="158">
    <w:nsid w:val="14217E23"/>
    <w:multiLevelType w:val="hybridMultilevel"/>
    <w:lvl w:ilvl="0">
      <w:lvlJc w:val="left"/>
      <w:lvlText w:val="5"/>
      <w:numFmt w:val="bullet"/>
      <w:start w:val="1"/>
    </w:lvl>
  </w:abstractNum>
  <w:abstractNum w:abstractNumId="159">
    <w:nsid w:val="710757D0"/>
    <w:multiLevelType w:val="hybridMultilevel"/>
    <w:lvl w:ilvl="0">
      <w:lvlJc w:val="left"/>
      <w:lvlText w:val="1"/>
      <w:numFmt w:val="bullet"/>
      <w:start w:val="1"/>
    </w:lvl>
  </w:abstractNum>
  <w:abstractNum w:abstractNumId="160">
    <w:nsid w:val="5015CD1A"/>
    <w:multiLevelType w:val="hybridMultilevel"/>
    <w:lvl w:ilvl="0">
      <w:lvlJc w:val="left"/>
      <w:lvlText w:val="5"/>
      <w:numFmt w:val="bullet"/>
      <w:start w:val="1"/>
    </w:lvl>
  </w:abstractNum>
  <w:abstractNum w:abstractNumId="161">
    <w:nsid w:val="424479DA"/>
    <w:multiLevelType w:val="hybridMultilevel"/>
    <w:lvl w:ilvl="0">
      <w:lvlJc w:val="left"/>
      <w:lvlText w:val="6"/>
      <w:numFmt w:val="bullet"/>
      <w:start w:val="1"/>
    </w:lvl>
  </w:abstractNum>
  <w:abstractNum w:abstractNumId="162">
    <w:nsid w:val="1A9A9E69"/>
    <w:multiLevelType w:val="hybridMultilevel"/>
    <w:lvl w:ilvl="0">
      <w:lvlJc w:val="left"/>
      <w:lvlText w:val="7"/>
      <w:numFmt w:val="bullet"/>
      <w:start w:val="1"/>
    </w:lvl>
  </w:abstractNum>
  <w:abstractNum w:abstractNumId="163">
    <w:nsid w:val="475E256A"/>
    <w:multiLevelType w:val="hybridMultilevel"/>
    <w:lvl w:ilvl="0">
      <w:lvlJc w:val="left"/>
      <w:lvlText w:val="8"/>
      <w:numFmt w:val="bullet"/>
      <w:start w:val="1"/>
    </w:lvl>
  </w:abstractNum>
  <w:abstractNum w:abstractNumId="164">
    <w:nsid w:val="368DB37E"/>
    <w:multiLevelType w:val="hybridMultilevel"/>
    <w:lvl w:ilvl="0">
      <w:lvlJc w:val="left"/>
      <w:lvlText w:val="9"/>
      <w:numFmt w:val="bullet"/>
      <w:start w:val="1"/>
    </w:lvl>
  </w:abstractNum>
  <w:abstractNum w:abstractNumId="165">
    <w:nsid w:val="6A3B714C"/>
    <w:multiLevelType w:val="hybridMultilevel"/>
    <w:lvl w:ilvl="0">
      <w:lvlJc w:val="left"/>
      <w:lvlText w:val="1"/>
      <w:numFmt w:val="bullet"/>
      <w:start w:val="1"/>
    </w:lvl>
  </w:abstractNum>
  <w:abstractNum w:abstractNumId="166">
    <w:nsid w:val="327B517E"/>
    <w:multiLevelType w:val="hybridMultilevel"/>
    <w:lvl w:ilvl="0">
      <w:lvlJc w:val="left"/>
      <w:lvlText w:val="2"/>
      <w:numFmt w:val="bullet"/>
      <w:start w:val="1"/>
    </w:lvl>
  </w:abstractNum>
  <w:abstractNum w:abstractNumId="167">
    <w:nsid w:val="1F461B51"/>
    <w:multiLevelType w:val="hybridMultilevel"/>
    <w:lvl w:ilvl="0">
      <w:lvlJc w:val="left"/>
      <w:lvlText w:val="8"/>
      <w:numFmt w:val="bullet"/>
      <w:start w:val="1"/>
    </w:lvl>
  </w:abstractNum>
  <w:abstractNum w:abstractNumId="168">
    <w:nsid w:val="29BACF25"/>
    <w:multiLevelType w:val="hybridMultilevel"/>
    <w:lvl w:ilvl="0">
      <w:lvlJc w:val="left"/>
      <w:lvlText w:val="1"/>
      <w:numFmt w:val="bullet"/>
      <w:start w:val="1"/>
    </w:lvl>
  </w:abstractNum>
  <w:abstractNum w:abstractNumId="169">
    <w:nsid w:val="5D5BABB3"/>
    <w:multiLevelType w:val="hybridMultilevel"/>
    <w:lvl w:ilvl="0">
      <w:lvlJc w:val="left"/>
      <w:lvlText w:val="2"/>
      <w:numFmt w:val="bullet"/>
      <w:start w:val="1"/>
    </w:lvl>
  </w:abstractNum>
  <w:abstractNum w:abstractNumId="170">
    <w:nsid w:val="51BF6B48"/>
    <w:multiLevelType w:val="hybridMultilevel"/>
    <w:lvl w:ilvl="0">
      <w:lvlJc w:val="left"/>
      <w:lvlText w:val="3"/>
      <w:numFmt w:val="bullet"/>
      <w:start w:val="1"/>
    </w:lvl>
  </w:abstractNum>
  <w:abstractNum w:abstractNumId="171">
    <w:nsid w:val="7E0F6384"/>
    <w:multiLevelType w:val="hybridMultilevel"/>
    <w:lvl w:ilvl="0">
      <w:lvlJc w:val="left"/>
      <w:lvlText w:val="5"/>
      <w:numFmt w:val="bullet"/>
      <w:start w:val="1"/>
    </w:lvl>
  </w:abstractNum>
  <w:abstractNum w:abstractNumId="172">
    <w:nsid w:val="2B4B8B53"/>
    <w:multiLevelType w:val="hybridMultilevel"/>
    <w:lvl w:ilvl="0">
      <w:lvlJc w:val="left"/>
      <w:lvlText w:val="6"/>
      <w:numFmt w:val="bullet"/>
      <w:start w:val="1"/>
    </w:lvl>
  </w:abstractNum>
  <w:abstractNum w:abstractNumId="173">
    <w:nsid w:val="72E3413A"/>
    <w:multiLevelType w:val="hybridMultilevel"/>
    <w:lvl w:ilvl="0">
      <w:lvlJc w:val="left"/>
      <w:lvlText w:val="7"/>
      <w:numFmt w:val="bullet"/>
      <w:start w:val="1"/>
    </w:lvl>
  </w:abstractNum>
  <w:abstractNum w:abstractNumId="174">
    <w:nsid w:val="116AE494"/>
    <w:multiLevelType w:val="hybridMultilevel"/>
    <w:lvl w:ilvl="0">
      <w:lvlJc w:val="left"/>
      <w:lvlText w:val="8"/>
      <w:numFmt w:val="bullet"/>
      <w:start w:val="1"/>
    </w:lvl>
  </w:abstractNum>
  <w:abstractNum w:abstractNumId="175">
    <w:nsid w:val="3494B2FB"/>
    <w:multiLevelType w:val="hybridMultilevel"/>
    <w:lvl w:ilvl="0">
      <w:lvlJc w:val="left"/>
      <w:lvlText w:val="9"/>
      <w:numFmt w:val="bullet"/>
      <w:start w:val="1"/>
    </w:lvl>
  </w:abstractNum>
  <w:abstractNum w:abstractNumId="176">
    <w:nsid w:val="B13A31"/>
    <w:multiLevelType w:val="hybridMultilevel"/>
    <w:lvl w:ilvl="0">
      <w:lvlJc w:val="left"/>
      <w:lvlText w:val="1"/>
      <w:numFmt w:val="bullet"/>
      <w:start w:val="1"/>
    </w:lvl>
  </w:abstractNum>
  <w:abstractNum w:abstractNumId="177">
    <w:nsid w:val="64429599"/>
    <w:multiLevelType w:val="hybridMultilevel"/>
    <w:lvl w:ilvl="0">
      <w:lvlJc w:val="left"/>
      <w:lvlText w:val="2"/>
      <w:numFmt w:val="bullet"/>
      <w:start w:val="1"/>
    </w:lvl>
  </w:abstractNum>
  <w:abstractNum w:abstractNumId="178">
    <w:nsid w:val="631F1690"/>
    <w:multiLevelType w:val="hybridMultilevel"/>
    <w:lvl w:ilvl="0">
      <w:lvlJc w:val="left"/>
      <w:lvlText w:val="3"/>
      <w:numFmt w:val="bullet"/>
      <w:start w:val="1"/>
    </w:lvl>
  </w:abstractNum>
  <w:abstractNum w:abstractNumId="179">
    <w:nsid w:val="25973E32"/>
    <w:multiLevelType w:val="hybridMultilevel"/>
    <w:lvl w:ilvl="0">
      <w:lvlJc w:val="left"/>
      <w:lvlText w:val="4"/>
      <w:numFmt w:val="bullet"/>
      <w:start w:val="1"/>
    </w:lvl>
  </w:abstractNum>
  <w:abstractNum w:abstractNumId="180">
    <w:nsid w:val="EAD6F57"/>
    <w:multiLevelType w:val="hybridMultilevel"/>
    <w:lvl w:ilvl="0">
      <w:lvlJc w:val="left"/>
      <w:lvlText w:val="5"/>
      <w:numFmt w:val="bullet"/>
      <w:start w:val="1"/>
    </w:lvl>
  </w:abstractNum>
  <w:abstractNum w:abstractNumId="181">
    <w:nsid w:val="6EC9D844"/>
    <w:multiLevelType w:val="hybridMultilevel"/>
    <w:lvl w:ilvl="0">
      <w:lvlJc w:val="left"/>
      <w:lvlText w:val="9"/>
      <w:numFmt w:val="bullet"/>
      <w:start w:val="1"/>
    </w:lvl>
  </w:abstractNum>
  <w:abstractNum w:abstractNumId="182">
    <w:nsid w:val="5C49EAEE"/>
    <w:multiLevelType w:val="hybridMultilevel"/>
    <w:lvl w:ilvl="0">
      <w:lvlJc w:val="left"/>
      <w:lvlText w:val="%1"/>
      <w:numFmt w:val="decimal"/>
      <w:start w:val="10"/>
    </w:lvl>
  </w:abstractNum>
  <w:abstractNum w:abstractNumId="183">
    <w:nsid w:val="64AF49B"/>
    <w:multiLevelType w:val="hybridMultilevel"/>
    <w:lvl w:ilvl="0">
      <w:lvlJc w:val="left"/>
      <w:lvlText w:val="1"/>
      <w:numFmt w:val="bullet"/>
      <w:start w:val="1"/>
    </w:lvl>
  </w:abstractNum>
  <w:abstractNum w:abstractNumId="184">
    <w:nsid w:val="397C46BC"/>
    <w:multiLevelType w:val="hybridMultilevel"/>
    <w:lvl w:ilvl="0">
      <w:lvlJc w:val="left"/>
      <w:lvlText w:val="2"/>
      <w:numFmt w:val="bullet"/>
      <w:start w:val="1"/>
    </w:lvl>
  </w:abstractNum>
  <w:abstractNum w:abstractNumId="185">
    <w:nsid w:val="7E448DE9"/>
    <w:multiLevelType w:val="hybridMultilevel"/>
    <w:lvl w:ilvl="0">
      <w:lvlJc w:val="left"/>
      <w:lvlText w:val="3"/>
      <w:numFmt w:val="bullet"/>
      <w:start w:val="1"/>
    </w:lvl>
  </w:abstractNum>
  <w:abstractNum w:abstractNumId="186">
    <w:nsid w:val="5A9CC3E5"/>
    <w:multiLevelType w:val="hybridMultilevel"/>
    <w:lvl w:ilvl="0">
      <w:lvlJc w:val="left"/>
      <w:lvlText w:val="1"/>
      <w:numFmt w:val="bullet"/>
      <w:start w:val="1"/>
    </w:lvl>
  </w:abstractNum>
  <w:abstractNum w:abstractNumId="187">
    <w:nsid w:val="1AFE3625"/>
    <w:multiLevelType w:val="hybridMultilevel"/>
    <w:lvl w:ilvl="0">
      <w:lvlJc w:val="left"/>
      <w:lvlText w:val="2"/>
      <w:numFmt w:val="bullet"/>
      <w:start w:val="1"/>
    </w:lvl>
  </w:abstractNum>
  <w:abstractNum w:abstractNumId="188">
    <w:nsid w:val="3CA88ECF"/>
    <w:multiLevelType w:val="hybridMultilevel"/>
    <w:lvl w:ilvl="0">
      <w:lvlJc w:val="left"/>
      <w:lvlText w:val="3"/>
      <w:numFmt w:val="bullet"/>
      <w:start w:val="1"/>
    </w:lvl>
  </w:abstractNum>
  <w:abstractNum w:abstractNumId="189">
    <w:nsid w:val="6EBE4208"/>
    <w:multiLevelType w:val="hybridMultilevel"/>
    <w:lvl w:ilvl="0">
      <w:lvlJc w:val="left"/>
      <w:lvlText w:val="4"/>
      <w:numFmt w:val="bullet"/>
      <w:start w:val="1"/>
    </w:lvl>
  </w:abstractNum>
  <w:abstractNum w:abstractNumId="190">
    <w:nsid w:val="C058DF5"/>
    <w:multiLevelType w:val="hybridMultilevel"/>
    <w:lvl w:ilvl="0">
      <w:lvlJc w:val="left"/>
      <w:lvlText w:val="5"/>
      <w:numFmt w:val="bullet"/>
      <w:start w:val="1"/>
    </w:lvl>
  </w:abstractNum>
  <w:abstractNum w:abstractNumId="191">
    <w:nsid w:val="CBE5BE9"/>
    <w:multiLevelType w:val="hybridMultilevel"/>
    <w:lvl w:ilvl="0">
      <w:lvlJc w:val="left"/>
      <w:lvlText w:val="1"/>
      <w:numFmt w:val="bullet"/>
      <w:start w:val="1"/>
    </w:lvl>
  </w:abstractNum>
  <w:abstractNum w:abstractNumId="192">
    <w:nsid w:val="3102BBE2"/>
    <w:multiLevelType w:val="hybridMultilevel"/>
    <w:lvl w:ilvl="0">
      <w:lvlJc w:val="left"/>
      <w:lvlText w:val="2"/>
      <w:numFmt w:val="bullet"/>
      <w:start w:val="1"/>
    </w:lvl>
  </w:abstractNum>
  <w:abstractNum w:abstractNumId="193">
    <w:nsid w:val="26A02C5E"/>
    <w:multiLevelType w:val="hybridMultilevel"/>
    <w:lvl w:ilvl="0">
      <w:lvlJc w:val="left"/>
      <w:lvlText w:val="3"/>
      <w:numFmt w:val="bullet"/>
      <w:start w:val="1"/>
    </w:lvl>
  </w:abstractNum>
  <w:abstractNum w:abstractNumId="194">
    <w:nsid w:val="541C8153"/>
    <w:multiLevelType w:val="hybridMultilevel"/>
    <w:lvl w:ilvl="0">
      <w:lvlJc w:val="left"/>
      <w:lvlText w:val="%1"/>
      <w:numFmt w:val="decimal"/>
      <w:start w:val="102"/>
    </w:lvl>
  </w:abstractNum>
  <w:abstractNum w:abstractNumId="195">
    <w:nsid w:val="67906F60"/>
    <w:multiLevelType w:val="hybridMultilevel"/>
    <w:lvl w:ilvl="0">
      <w:lvlJc w:val="left"/>
      <w:lvlText w:val="+"/>
      <w:numFmt w:val="bullet"/>
      <w:start w:val="1"/>
    </w:lvl>
  </w:abstractNum>
  <w:abstractNum w:abstractNumId="196">
    <w:nsid w:val="10DB9DAA"/>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2022-04-21T15:15:39Z</dcterms:created>
  <dcterms:modified xsi:type="dcterms:W3CDTF">2022-04-21T15:15:39Z</dcterms:modified>
</cp:coreProperties>
</file>