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22, 2010 (November 16, 2010)</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620" w:type="dxa"/>
            <w:vAlign w:val="bottom"/>
            <w:tcBorders>
              <w:top w:val="single" w:sz="8" w:color="auto"/>
            </w:tcBorders>
            <w:gridSpan w:val="4"/>
          </w:tcPr>
          <w:p>
            <w:pPr>
              <w:jc w:val="center"/>
              <w:ind w:right="340"/>
              <w:spacing w:after="0"/>
              <w:rPr>
                <w:sz w:val="20"/>
                <w:szCs w:val="20"/>
                <w:color w:val="auto"/>
              </w:rPr>
            </w:pPr>
            <w:r>
              <w:rPr>
                <w:rFonts w:ascii="Arial" w:cs="Arial" w:eastAsia="Arial" w:hAnsi="Arial"/>
                <w:sz w:val="18"/>
                <w:szCs w:val="18"/>
                <w:color w:val="auto"/>
                <w:w w:val="91"/>
              </w:rPr>
              <w:t>(Exact Name of Registrant as Specified in Charter)</w:t>
            </w:r>
          </w:p>
        </w:tc>
        <w:tc>
          <w:tcPr>
            <w:tcW w:w="174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r>
      <w:tr>
        <w:trPr>
          <w:trHeight w:val="411"/>
        </w:trPr>
        <w:tc>
          <w:tcPr>
            <w:tcW w:w="324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5"/>
              </w:rPr>
              <w:t>New York</w:t>
            </w:r>
          </w:p>
        </w:tc>
        <w:tc>
          <w:tcPr>
            <w:tcW w:w="42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000-19034</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gridSpan w:val="2"/>
          </w:tcPr>
          <w:p>
            <w:pPr>
              <w:jc w:val="right"/>
              <w:ind w:right="1360"/>
              <w:spacing w:after="0"/>
              <w:rPr>
                <w:sz w:val="20"/>
                <w:szCs w:val="20"/>
                <w:color w:val="auto"/>
              </w:rPr>
            </w:pPr>
            <w:r>
              <w:rPr>
                <w:rFonts w:ascii="Arial" w:cs="Arial" w:eastAsia="Arial" w:hAnsi="Arial"/>
                <w:sz w:val="18"/>
                <w:szCs w:val="18"/>
                <w:b w:val="1"/>
                <w:bCs w:val="1"/>
                <w:color w:val="auto"/>
              </w:rPr>
              <w:t>13-3444607</w:t>
            </w:r>
          </w:p>
        </w:tc>
      </w:tr>
      <w:tr>
        <w:trPr>
          <w:trHeight w:val="209"/>
        </w:trPr>
        <w:tc>
          <w:tcPr>
            <w:tcW w:w="3240" w:type="dxa"/>
            <w:vAlign w:val="bottom"/>
            <w:tcBorders>
              <w:top w:val="single" w:sz="8" w:color="auto"/>
            </w:tcBorders>
            <w:gridSpan w:val="2"/>
          </w:tcPr>
          <w:p>
            <w:pPr>
              <w:jc w:val="center"/>
              <w:ind w:left="250"/>
              <w:spacing w:after="0"/>
              <w:rPr>
                <w:sz w:val="20"/>
                <w:szCs w:val="20"/>
                <w:color w:val="auto"/>
              </w:rPr>
            </w:pPr>
            <w:r>
              <w:rPr>
                <w:rFonts w:ascii="Arial" w:cs="Arial" w:eastAsia="Arial" w:hAnsi="Arial"/>
                <w:sz w:val="18"/>
                <w:szCs w:val="18"/>
                <w:color w:val="auto"/>
                <w:w w:val="93"/>
              </w:rPr>
              <w:t>(State or other jurisdiction of</w:t>
            </w:r>
          </w:p>
        </w:tc>
        <w:tc>
          <w:tcPr>
            <w:tcW w:w="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240" w:type="dxa"/>
            <w:vAlign w:val="bottom"/>
            <w:gridSpan w:val="2"/>
          </w:tcPr>
          <w:p>
            <w:pPr>
              <w:jc w:val="center"/>
              <w:ind w:left="270"/>
              <w:spacing w:after="0"/>
              <w:rPr>
                <w:sz w:val="20"/>
                <w:szCs w:val="20"/>
                <w:color w:val="auto"/>
              </w:rPr>
            </w:pPr>
            <w:r>
              <w:rPr>
                <w:rFonts w:ascii="Arial" w:cs="Arial" w:eastAsia="Arial" w:hAnsi="Arial"/>
                <w:sz w:val="18"/>
                <w:szCs w:val="18"/>
                <w:color w:val="auto"/>
                <w:w w:val="93"/>
              </w:rPr>
              <w:t>Incorporation)</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9"/>
        </w:trPr>
        <w:tc>
          <w:tcPr>
            <w:tcW w:w="1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9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4"/>
        </w:trPr>
        <w:tc>
          <w:tcPr>
            <w:tcW w:w="1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20" w:type="dxa"/>
            <w:vAlign w:val="bottom"/>
            <w:gridSpan w:val="4"/>
          </w:tcPr>
          <w:p>
            <w:pPr>
              <w:jc w:val="center"/>
              <w:ind w:right="34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1.02</w:t>
      </w:r>
      <w:r>
        <w:rPr>
          <w:rFonts w:ascii="Arial" w:cs="Arial" w:eastAsia="Arial" w:hAnsi="Arial"/>
          <w:sz w:val="18"/>
          <w:szCs w:val="18"/>
          <w:b w:val="1"/>
          <w:bCs w:val="1"/>
          <w:color w:val="auto"/>
        </w:rPr>
        <w:t xml:space="preserve"> Termination of a Material Definitive Agreement.</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 February 5, 2007, Regeneron Pharmaceuticals, Inc. entered into a six-year, non-exclusive license agreement with AstraZeneca UK Limited to allow AstraZeneca to utilize Regeneron’s VelocImmune</w:t>
      </w:r>
      <w:r>
        <w:rPr>
          <w:rFonts w:ascii="Arial" w:cs="Arial" w:eastAsia="Arial" w:hAnsi="Arial"/>
          <w:sz w:val="15"/>
          <w:szCs w:val="15"/>
          <w:color w:val="auto"/>
        </w:rPr>
        <w:t>®</w:t>
      </w:r>
      <w:r>
        <w:rPr>
          <w:rFonts w:ascii="Arial" w:cs="Arial" w:eastAsia="Arial" w:hAnsi="Arial"/>
          <w:sz w:val="18"/>
          <w:szCs w:val="18"/>
          <w:color w:val="auto"/>
        </w:rPr>
        <w:t xml:space="preserve"> technology in its internal research programs to discover human monoclonal antibodies. Under the terms of this agreement, AstraZeneca made $20 million annual, non-refundable payments to Regeneron in the first quarter of 2007, 2008, 2009, and 2010. AstraZeneca had the right to terminate the agreement prior to making the final two $20 million annual payments. On November 16, 2010, MedImmune Limited (as successor by novation from AstraZeneca UK Limited) gave written notice to voluntarily terminate the agreement, effective ninety days after such notice. Regeneron remains entitled to receive mid-single digit royalties on any future sales of antibody products discovered by MedImmune/AstraZeneca using the VelocImmune</w:t>
      </w:r>
      <w:r>
        <w:rPr>
          <w:rFonts w:ascii="Arial" w:cs="Arial" w:eastAsia="Arial" w:hAnsi="Arial"/>
          <w:sz w:val="15"/>
          <w:szCs w:val="15"/>
          <w:color w:val="auto"/>
        </w:rPr>
        <w:t>®</w:t>
      </w:r>
      <w:r>
        <w:rPr>
          <w:rFonts w:ascii="Arial" w:cs="Arial" w:eastAsia="Arial" w:hAnsi="Arial"/>
          <w:sz w:val="18"/>
          <w:szCs w:val="18"/>
          <w:color w:val="auto"/>
        </w:rPr>
        <w:t xml:space="preserve"> technology.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121" w:lineRule="exact"/>
        <w:rPr>
          <w:sz w:val="20"/>
          <w:szCs w:val="20"/>
          <w:color w:val="auto"/>
        </w:rPr>
      </w:pPr>
    </w:p>
    <w:p>
      <w:pPr>
        <w:ind w:right="20" w:firstLine="8"/>
        <w:spacing w:after="0" w:line="273" w:lineRule="auto"/>
        <w:tabs>
          <w:tab w:leader="none" w:pos="245"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November 22, 2010, Regeneron Pharmaceuticals, Inc. and Bayer HealthCare issued a press release announcing that in two parallel Phase 3 studies (VIEW 1 and VIEW 2) in patients with the neovascular form of age-related macular degeneration (wet AMD), all regimens of VEGF Trap-Eye (aflibercept ophthalmic solution), including VEGF Trap-Eye dosed every two months, successfully met the primary endpoint compared to the current standard of care, ranibizumab dosed every month. The primary endpoint of the studies was statistical non-inferiority in the proportion of patients who maintained (or improved) vision over 52 weeks compared to ranibizumab. Bayer and Regeneron plan to submit regulatory applications for marketing approval in Europe and the U.S. in the first-half of 2011 based on the positive results of the two Phase 3 studies.</w:t>
      </w:r>
    </w:p>
    <w:p>
      <w:pPr>
        <w:spacing w:after="0" w:line="70"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In the VIEW 1 study, patients receiving VEGF Trap-Eye 2mg monthly achieved a statistically significantly greater mean improvement in visual acuity at week 52 versus baseline (secondary endpoint), compared to ranibizumab 0.5 monthly. All other dose groups of VEGF Trap-Eye in the VIEW 1 and all dose groups in the VIEW 2 studies, including the 2mg every two months group, were not statistically significantly different from ranibizumab in mean improvement in visual acuity in this secondary endpoint.</w:t>
      </w:r>
    </w:p>
    <w:p>
      <w:pPr>
        <w:spacing w:after="0" w:line="79" w:lineRule="exact"/>
        <w:rPr>
          <w:sz w:val="20"/>
          <w:szCs w:val="20"/>
          <w:color w:val="auto"/>
        </w:rPr>
      </w:pPr>
    </w:p>
    <w:p>
      <w:pPr>
        <w:ind w:right="180" w:firstLine="215"/>
        <w:spacing w:after="0" w:line="342" w:lineRule="auto"/>
        <w:rPr>
          <w:sz w:val="20"/>
          <w:szCs w:val="20"/>
          <w:color w:val="auto"/>
        </w:rPr>
      </w:pPr>
      <w:r>
        <w:rPr>
          <w:rFonts w:ascii="Arial" w:cs="Arial" w:eastAsia="Arial" w:hAnsi="Arial"/>
          <w:sz w:val="16"/>
          <w:szCs w:val="16"/>
          <w:color w:val="auto"/>
        </w:rPr>
        <w:t>A generally favorable safety profile was observed for both VEGF Trap-Eye and ranibizumab. The incidence of ocular treatment emergent adverse events was balanced across all four treatment groups in both studies and there were no notable differences in serious non-ocular events among the study arms.</w:t>
      </w:r>
    </w:p>
    <w:p>
      <w:pPr>
        <w:spacing w:after="0" w:line="16" w:lineRule="exact"/>
        <w:rPr>
          <w:sz w:val="20"/>
          <w:szCs w:val="20"/>
          <w:color w:val="auto"/>
        </w:rPr>
      </w:pPr>
    </w:p>
    <w:p>
      <w:pPr>
        <w:ind w:right="440" w:firstLine="222"/>
        <w:spacing w:after="0" w:line="342" w:lineRule="auto"/>
        <w:rPr>
          <w:sz w:val="20"/>
          <w:szCs w:val="20"/>
          <w:color w:val="auto"/>
        </w:rPr>
      </w:pPr>
      <w:r>
        <w:rPr>
          <w:rFonts w:ascii="Arial" w:cs="Arial" w:eastAsia="Arial" w:hAnsi="Arial"/>
          <w:sz w:val="16"/>
          <w:szCs w:val="16"/>
          <w:color w:val="auto"/>
        </w:rPr>
        <w:t>The foregoing description of the press release and the results of the VIEW 1 and VIEW 2 studies is not intended to be complete and is qualified in its entirety by the complete press release attached as Exhibit 99.1 to this Current Report on Form 8-K, and incorporated by reference into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ind w:firstLine="8"/>
        <w:spacing w:after="0" w:line="264"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November 19, 2010, Regeneron filed a complaint against Genentech, Inc. in the United States District Court for the Southern District of New York seeking a declaratory judgment that activities relating to its VEGF Trap do not infringe any valid claim of U.S. Patent Nos. 5,952,199, 6,100,071, 6,383,486, 6,897,294, and 7,771,721.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440" w:right="340" w:hanging="431"/>
        <w:spacing w:after="0" w:line="277" w:lineRule="auto"/>
        <w:rPr>
          <w:sz w:val="20"/>
          <w:szCs w:val="20"/>
          <w:color w:val="auto"/>
        </w:rPr>
      </w:pPr>
      <w:r>
        <w:rPr>
          <w:rFonts w:ascii="Arial" w:cs="Arial" w:eastAsia="Arial" w:hAnsi="Arial"/>
          <w:sz w:val="18"/>
          <w:szCs w:val="18"/>
          <w:color w:val="auto"/>
        </w:rPr>
        <w:t>99.1 Press Release Reporting Positive Top-Line Results of Two Phase 3 Studies With VEGF Trap-Eye in Wet Age-related Macular Degeneration dated November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3" w:name="page4"/>
    <w:bookmarkEnd w:id="3"/>
    <w:p>
      <w:pPr>
        <w:ind w:left="5160"/>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080" w:val="left"/>
        </w:tabs>
        <w:rPr>
          <w:sz w:val="20"/>
          <w:szCs w:val="20"/>
          <w:color w:val="auto"/>
        </w:rPr>
      </w:pPr>
      <w:r>
        <w:rPr>
          <w:rFonts w:ascii="Arial" w:cs="Arial" w:eastAsia="Arial" w:hAnsi="Arial"/>
          <w:sz w:val="18"/>
          <w:szCs w:val="18"/>
          <w:color w:val="auto"/>
        </w:rPr>
        <w:t>Date: November 22, 2010</w:t>
      </w:r>
      <w:r>
        <w:rPr>
          <w:sz w:val="20"/>
          <w:szCs w:val="20"/>
          <w:color w:val="auto"/>
        </w:rPr>
        <w:tab/>
      </w:r>
      <w:r>
        <w:rPr>
          <w:rFonts w:ascii="Arial" w:cs="Arial" w:eastAsia="Arial" w:hAnsi="Arial"/>
          <w:sz w:val="17"/>
          <w:szCs w:val="17"/>
          <w:color w:val="auto"/>
        </w:rPr>
        <w:t>REGENERON PHARMACEUTICALS, INC.</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Stuart Kolinski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870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1260" w:right="1139" w:bottom="1440" w:gutter="0" w:footer="0" w:header="0"/>
        </w:sectPr>
      </w:pPr>
    </w:p>
    <w:bookmarkStart w:id="4" w:name="page5"/>
    <w:bookmarkEnd w:id="4"/>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4300"/>
              <w:spacing w:after="0"/>
              <w:rPr>
                <w:sz w:val="20"/>
                <w:szCs w:val="20"/>
                <w:color w:val="auto"/>
              </w:rPr>
            </w:pPr>
            <w:r>
              <w:rPr>
                <w:rFonts w:ascii="Arial" w:cs="Arial" w:eastAsia="Arial" w:hAnsi="Arial"/>
                <w:sz w:val="18"/>
                <w:szCs w:val="18"/>
                <w:color w:val="auto"/>
              </w:rPr>
              <w:t>Exhibit Index</w:t>
            </w:r>
          </w:p>
        </w:tc>
      </w:tr>
      <w:tr>
        <w:trPr>
          <w:trHeight w:val="365"/>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220" w:type="dxa"/>
            <w:vAlign w:val="bottom"/>
          </w:tcPr>
          <w:p>
            <w:pPr>
              <w:spacing w:after="0"/>
              <w:rPr>
                <w:sz w:val="24"/>
                <w:szCs w:val="24"/>
                <w:color w:val="auto"/>
              </w:rPr>
            </w:pPr>
          </w:p>
        </w:tc>
        <w:tc>
          <w:tcPr>
            <w:tcW w:w="10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6"/>
                <w:szCs w:val="16"/>
                <w:color w:val="auto"/>
              </w:rPr>
            </w:pPr>
          </w:p>
        </w:tc>
        <w:tc>
          <w:tcPr>
            <w:tcW w:w="10500" w:type="dxa"/>
            <w:vAlign w:val="bottom"/>
          </w:tcPr>
          <w:p>
            <w:pPr>
              <w:spacing w:after="0" w:line="195" w:lineRule="exact"/>
              <w:rPr>
                <w:sz w:val="20"/>
                <w:szCs w:val="20"/>
                <w:color w:val="auto"/>
              </w:rPr>
            </w:pPr>
            <w:r>
              <w:rPr>
                <w:rFonts w:ascii="Arial" w:cs="Arial" w:eastAsia="Arial" w:hAnsi="Arial"/>
                <w:sz w:val="18"/>
                <w:szCs w:val="18"/>
                <w:color w:val="auto"/>
                <w:w w:val="94"/>
              </w:rPr>
              <w:t>Press Release Reporting Positive Top-Line Results of Two Phase 3 Studies With VEGF Trap-Eye in Wet Age-related Macular Degeneration</w:t>
            </w: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dated November 22, 2010.</w:t>
            </w:r>
          </w:p>
        </w:tc>
      </w:tr>
    </w:tbl>
    <w:p>
      <w:pPr>
        <w:sectPr>
          <w:pgSz w:w="11900" w:h="16838" w:orient="portrait"/>
          <w:cols w:equalWidth="0" w:num="1">
            <w:col w:w="11420"/>
          </w:cols>
          <w:pgMar w:left="240" w:top="144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569085"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908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Bayer and Regeneron Report Positive Top-Line Results of Two Phase 3 Studies with VEGF Trap-Eye in Wet Age-related Macular Degeneration</w:t>
      </w:r>
    </w:p>
    <w:p>
      <w:pPr>
        <w:spacing w:after="0" w:line="14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In both studies, all regimens of VEGF Trap-Eye, including VEGF Trap-Eye dosed every two months, achieved primary endpoint compared to ranibizumab dosed every month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applications for marketing approval planned in first-half of 2011</w:t>
      </w:r>
    </w:p>
    <w:p>
      <w:pPr>
        <w:spacing w:after="0" w:line="113"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Tarrytown, NY, USA, and Berlin, Germany, November 22, 2010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and Bayer HealthCare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that in two parallel Phase 3 studies in patients with the neovascular form of age-related macular degeneration (wet AMD), all regimens of VEGF Trap-Eye (aflibercept ophthalmic solution), including VEGF Trap-Eye dosed every two months, successfully met the primary endpoint compared to the current standard of care, ranibizumab dosed every month. The primary endpoint was statistical non-inferiority in the proportion of patients who maintained (or improved) vision over 52 weeks compared to ranibizumab.</w:t>
      </w:r>
    </w:p>
    <w:p>
      <w:pPr>
        <w:spacing w:after="0" w:line="8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Further results will be presented at the Angiogenesis Conference in February 2011. Bayer HealthCare and Regeneron are planning to submit regulatory applications for marketing approval in Europe and the U.S. in the first-half of 2011 based on the positive results of the VIEW 1 and VIEW 2 trials.</w:t>
      </w:r>
    </w:p>
    <w:p>
      <w:pPr>
        <w:spacing w:after="0" w:line="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the North American VIEW 1 study, 96 percent of patients receiving VEGF Trap-Eye 0.5mg monthly, 95 percent of patients receiving VEGF Trap-Eye 2mg monthly, and 95 percent of patients receiving VEGF Trap-Eye 2mg every two months achieved maintenance of vision compared to 94 percent of patients receiving ranibizumab 0.5mg dosed every month. In the international VIEW 2 study, 96 percent of patients receiving VEGF Trap-Eye 0.5mg monthly,</w:t>
      </w:r>
    </w:p>
    <w:p>
      <w:pPr>
        <w:ind w:right="60"/>
        <w:spacing w:after="0" w:line="302" w:lineRule="auto"/>
        <w:rPr>
          <w:sz w:val="20"/>
          <w:szCs w:val="20"/>
          <w:color w:val="auto"/>
        </w:rPr>
      </w:pPr>
      <w:r>
        <w:rPr>
          <w:rFonts w:ascii="Arial" w:cs="Arial" w:eastAsia="Arial" w:hAnsi="Arial"/>
          <w:sz w:val="16"/>
          <w:szCs w:val="16"/>
          <w:color w:val="auto"/>
        </w:rPr>
        <w:t>96 percent of patients receiving VEGF Trap-Eye 2mg monthly, and 96 percent of patients receiving VEGF Trap-Eye 2mg every two months achieved maintenance of vision compared to 94 percent of patients receiving ranibizumab 0.5mg dosed every month. Visual acuity was measured as a score based on the total number of letters read correctly on the Early Treatment Diabetic Retinopathy Study (ETDRS) eye chart, a standard chart used in research to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354330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visual acuity, over 52 weeks. Maintenance of vision was defined as losing fewer than three lines (equivalent to 15 letters) on the ETDRS eye chart.</w:t>
      </w:r>
    </w:p>
    <w:p>
      <w:pPr>
        <w:spacing w:after="0" w:line="1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currently available anti-VEGF therapies have significantly advanced the treatment of wet AMD, actually improving vision in many patients. However, monthly injections are required to optimize and maintain vision gain over the long-term.” said Ursula Schmidt-Erfurth, M.D., Professor and Chair of the Department of Ophthalmology at the University Eye Hospital in Vienna, Austria and the VIEW 2 Principal Investigator. “The results of the VIEW studies indicate that VEGF Trap-Eye could establish a new treatment paradigm for the management of patients with wet AMD — predictable every-other-month dosing without the need for intervening monitoring or dosing visits.”</w:t>
      </w:r>
    </w:p>
    <w:p>
      <w:pPr>
        <w:spacing w:after="0" w:line="80"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“In an effort to avoid the inconvenience of monthly office visits and the burden of monthly injections into the eye for their wet AMD patients, retinal specialists have tried to extend the benefits of the existing anti-VEGF therapy with less frequent dosing. A growing body of data suggests that this practice may result in inconsistent visual acuity outcomes,” said Jeffrey Heier, M.D., a clinical ophthalmologist and retinal specialist at Ophthalmic Consultants of Boston, Assistant Professor of ophthalmology at Tufts School of Medicine, and Chair of the Steering Committee for the VIEW 1 trial. “A critical goal of these studies was to demonstrate that VEGF Trap-Eye could achieve robust improvements in vision and maintain them over time with a more convenient every-other-month dose. Achievement of this goal could be important for patients, care givers, and physicians.”</w:t>
      </w:r>
    </w:p>
    <w:p>
      <w:pPr>
        <w:spacing w:after="0" w:line="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the VIEW 1 study, patients receiving VEGF Trap-Eye 2mg monthly achieved a statistically significant greater mean improvement in visual acuity at week 52 versus baseline (secondary endpoint), compared to ranibizumab 0.5mg monthly; patients receiving VEGF Trap-Eye 2mg monthly on average gained 10.9 letters, compared to a mean 8.1 letter gain with ranibizumab 0.5mg dosed every month (p&lt;0.01). All other dose groups of VEGF Trap-Eye in the VIEW 1 study and all dose groups in the VIEW 2 study were not statistically different from ranibizumab in this secondary endpoint.</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generally favorable safety profile was observed for both VEGF Trap-Eye and ranibizumab. The incidence of ocular treatment emergent adverse events was balanced across all four treatment groups in both studies, with the most frequent events associated with the injection procedure, the underlying disease, and/or the aging process. The most frequent ocular adverse events were conjunctival hemorrhage, macular degeneration, eye pain, retinal hemorrhage, and vitreous floaters. The most frequent serious non-ocular adverse events were typical of those reported in this elderly population who receive intravitreal treatment for wet AMD; the most frequently reported events were falls, pneumonia, myocardial infarction, atrial fibrillation, breast cancer, and acute coronary syndrome. There were no notable differences among the study 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 w:name="page8"/>
    <w:bookmarkEnd w:id="7"/>
    <w:p>
      <w:pPr>
        <w:ind w:right="60"/>
        <w:spacing w:after="0" w:line="342" w:lineRule="auto"/>
        <w:rPr>
          <w:sz w:val="20"/>
          <w:szCs w:val="20"/>
          <w:color w:val="auto"/>
        </w:rPr>
      </w:pPr>
      <w:r>
        <w:rPr>
          <w:rFonts w:ascii="Arial" w:cs="Arial" w:eastAsia="Arial" w:hAnsi="Arial"/>
          <w:sz w:val="16"/>
          <w:szCs w:val="16"/>
          <w:color w:val="auto"/>
        </w:rPr>
        <w:t>In the second year of the studies, patients in VIEW 1 and VIEW 2 will continue to be treated with the same dose per injection as in the first year but administered only every three months, or more often for any worsening of AMD, based on protocol-defined criteria (called “quarterly capped PRN” dosing).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VIEW Program</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VIEW (VEGF Trap-Eye: Investigation of Efficacy and Safety in Wet AMD) program consists of two randomized, double-masked, Phase 3 clinical trials evaluating VEGF Trap-Eye in the treatment of the neovascular form of age-related macular degeneration (wet AMD). The VIEW 1 study, which randomized 1217 patients, is being conducted in the United States and Canada by Regeneron under a Special Protocol Assessment (SPA) with the U.S. Food and Drug Administration. The VIEW 2 study, which randomized 1240 patients, is being conducted in Europe, Asia Pacific, Japan, and Latin America by Bayer HealthCare. The study designs are essentially identical. The primary endpoint evaluation was conducted at 52 weeks.</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each of the studies, VEGF Trap-Eye was evaluated for its effect on maintaining and improving vision when dosed as an intravitreal injection on a schedule of 0.5mg monthly, 2mg monthly, or 2mg every two months (following three monthly loading doses), as compared with intravitreal ranibizumab administered 0.5mg every month during the first year of the studies. As-needed (PRN) dosing with both agents, with a dose administered at least every three months (but not more often than monthly), is being evaluated during the second year of each study. These studies are part of the global development program for VEGF Trap-Eye being conducted by Bayer HealthCare and Regeneron.</w:t>
      </w:r>
    </w:p>
    <w:p>
      <w:pPr>
        <w:spacing w:after="0" w:line="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primary endpoint of these non-inferiority studies is the proportion of patients treated with VEGF Trap-Eye who maintain visual acuity at the end of one year, compared to ranibizumab patients. Visual acuity is measured as a score based on the total number of letters read correctly on the Early Treatment Diabetic Retinopathy Study (ETDRS) eye chart, a standard chart used in research to measure visual acuity, over 52 weeks. Maintenance of vision is defined as losing fewer than three lines (equivalent to 15 letters) on the ETDRS chart.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VIEW 1 and VIEW 2 results for the primary and the first secondary endpoint pre-specified for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1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Ranibizumab</w:t>
            </w:r>
          </w:p>
        </w:tc>
        <w:tc>
          <w:tcPr>
            <w:tcW w:w="4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VEGF Trap-Eye</w:t>
            </w:r>
          </w:p>
        </w:tc>
        <w:tc>
          <w:tcPr>
            <w:tcW w:w="46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VEGF Trap-Eye</w:t>
            </w:r>
          </w:p>
        </w:tc>
        <w:tc>
          <w:tcPr>
            <w:tcW w:w="460" w:type="dxa"/>
            <w:vAlign w:val="bottom"/>
          </w:tcPr>
          <w:p>
            <w:pPr>
              <w:spacing w:after="0"/>
              <w:rPr>
                <w:sz w:val="14"/>
                <w:szCs w:val="14"/>
                <w:color w:val="auto"/>
              </w:rPr>
            </w:pPr>
          </w:p>
        </w:tc>
        <w:tc>
          <w:tcPr>
            <w:tcW w:w="1180" w:type="dxa"/>
            <w:vAlign w:val="bottom"/>
          </w:tcPr>
          <w:p>
            <w:pPr>
              <w:jc w:val="right"/>
              <w:ind w:right="1"/>
              <w:spacing w:after="0"/>
              <w:rPr>
                <w:sz w:val="20"/>
                <w:szCs w:val="20"/>
                <w:color w:val="auto"/>
              </w:rPr>
            </w:pPr>
            <w:r>
              <w:rPr>
                <w:rFonts w:ascii="Arial" w:cs="Arial" w:eastAsia="Arial" w:hAnsi="Arial"/>
                <w:sz w:val="14"/>
                <w:szCs w:val="14"/>
                <w:b w:val="1"/>
                <w:bCs w:val="1"/>
                <w:color w:val="auto"/>
              </w:rPr>
              <w:t>VEGF Trap-Eye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2mg every 2</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0.5mg monthly</w:t>
            </w:r>
          </w:p>
        </w:tc>
        <w:tc>
          <w:tcPr>
            <w:tcW w:w="4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0.5mg monthly</w:t>
            </w:r>
          </w:p>
        </w:tc>
        <w:tc>
          <w:tcPr>
            <w:tcW w:w="46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2mg monthly</w:t>
            </w:r>
          </w:p>
        </w:tc>
        <w:tc>
          <w:tcPr>
            <w:tcW w:w="460" w:type="dxa"/>
            <w:vAlign w:val="bottom"/>
          </w:tcPr>
          <w:p>
            <w:pPr>
              <w:spacing w:after="0"/>
              <w:rPr>
                <w:sz w:val="14"/>
                <w:szCs w:val="14"/>
                <w:color w:val="auto"/>
              </w:rPr>
            </w:pPr>
          </w:p>
        </w:tc>
        <w:tc>
          <w:tcPr>
            <w:tcW w:w="11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Maintenance of vision* (% patients losing &lt;15 letters) at week 52 versus baseline</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VIEW 1</w:t>
            </w: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94.4%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95.9%**</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95.1%**</w:t>
            </w:r>
          </w:p>
        </w:tc>
        <w:tc>
          <w:tcPr>
            <w:tcW w:w="1640" w:type="dxa"/>
            <w:vAlign w:val="bottom"/>
            <w:gridSpan w:val="2"/>
          </w:tcPr>
          <w:p>
            <w:pPr>
              <w:jc w:val="right"/>
              <w:ind w:right="21"/>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VIEW 2</w:t>
            </w:r>
          </w:p>
        </w:tc>
        <w:tc>
          <w:tcPr>
            <w:tcW w:w="11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94.4%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6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9780" w:type="dxa"/>
            <w:vAlign w:val="bottom"/>
            <w:gridSpan w:val="6"/>
          </w:tcPr>
          <w:p>
            <w:pPr>
              <w:spacing w:after="0"/>
              <w:rPr>
                <w:sz w:val="20"/>
                <w:szCs w:val="20"/>
                <w:color w:val="auto"/>
              </w:rPr>
            </w:pPr>
            <w:r>
              <w:rPr>
                <w:rFonts w:ascii="Arial" w:cs="Arial" w:eastAsia="Arial" w:hAnsi="Arial"/>
                <w:sz w:val="18"/>
                <w:szCs w:val="18"/>
                <w:b w:val="1"/>
                <w:bCs w:val="1"/>
                <w:color w:val="auto"/>
              </w:rPr>
              <w:t>Mean improvement in vision* (letters) at 52 weeks versus baseline (p-value versus ranibizumab 0.5mg monthly)***</w:t>
            </w: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VIEW 1</w:t>
            </w:r>
          </w:p>
        </w:tc>
        <w:tc>
          <w:tcPr>
            <w:tcW w:w="11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8.1</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6.9 (NS)</w:t>
            </w: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10.9 (p&lt;0.01)</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1"/>
              <w:spacing w:after="0"/>
              <w:rPr>
                <w:sz w:val="20"/>
                <w:szCs w:val="20"/>
                <w:color w:val="auto"/>
              </w:rPr>
            </w:pPr>
            <w:r>
              <w:rPr>
                <w:rFonts w:ascii="Arial" w:cs="Arial" w:eastAsia="Arial" w:hAnsi="Arial"/>
                <w:sz w:val="18"/>
                <w:szCs w:val="18"/>
                <w:color w:val="auto"/>
              </w:rPr>
              <w:t>7.9 (NS)</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VIEW 2</w:t>
            </w:r>
          </w:p>
        </w:tc>
        <w:tc>
          <w:tcPr>
            <w:tcW w:w="1120" w:type="dxa"/>
            <w:vAlign w:val="bottom"/>
          </w:tcPr>
          <w:p>
            <w:pPr>
              <w:jc w:val="right"/>
              <w:ind w:right="316"/>
              <w:spacing w:after="0"/>
              <w:rPr>
                <w:sz w:val="20"/>
                <w:szCs w:val="20"/>
                <w:color w:val="auto"/>
              </w:rPr>
            </w:pPr>
            <w:r>
              <w:rPr>
                <w:rFonts w:ascii="Arial" w:cs="Arial" w:eastAsia="Arial" w:hAnsi="Arial"/>
                <w:sz w:val="18"/>
                <w:szCs w:val="18"/>
                <w:color w:val="auto"/>
              </w:rPr>
              <w:t>9.4</w:t>
            </w:r>
          </w:p>
        </w:tc>
        <w:tc>
          <w:tcPr>
            <w:tcW w:w="440" w:type="dxa"/>
            <w:vAlign w:val="bottom"/>
          </w:tcPr>
          <w:p>
            <w:pPr>
              <w:spacing w:after="0"/>
              <w:rPr>
                <w:sz w:val="20"/>
                <w:szCs w:val="20"/>
                <w:color w:val="auto"/>
              </w:rPr>
            </w:pPr>
          </w:p>
        </w:tc>
        <w:tc>
          <w:tcPr>
            <w:tcW w:w="1100" w:type="dxa"/>
            <w:vAlign w:val="bottom"/>
          </w:tcPr>
          <w:p>
            <w:pPr>
              <w:jc w:val="right"/>
              <w:ind w:right="239"/>
              <w:spacing w:after="0"/>
              <w:rPr>
                <w:sz w:val="20"/>
                <w:szCs w:val="20"/>
                <w:color w:val="auto"/>
              </w:rPr>
            </w:pPr>
            <w:r>
              <w:rPr>
                <w:rFonts w:ascii="Arial" w:cs="Arial" w:eastAsia="Arial" w:hAnsi="Arial"/>
                <w:sz w:val="18"/>
                <w:szCs w:val="18"/>
                <w:color w:val="auto"/>
              </w:rPr>
              <w:t>9.7 (NS)</w:t>
            </w:r>
          </w:p>
        </w:tc>
        <w:tc>
          <w:tcPr>
            <w:tcW w:w="460" w:type="dxa"/>
            <w:vAlign w:val="bottom"/>
          </w:tcPr>
          <w:p>
            <w:pPr>
              <w:spacing w:after="0"/>
              <w:rPr>
                <w:sz w:val="20"/>
                <w:szCs w:val="20"/>
                <w:color w:val="auto"/>
              </w:rPr>
            </w:pPr>
          </w:p>
        </w:tc>
        <w:tc>
          <w:tcPr>
            <w:tcW w:w="1540" w:type="dxa"/>
            <w:vAlign w:val="bottom"/>
          </w:tcPr>
          <w:p>
            <w:pPr>
              <w:jc w:val="right"/>
              <w:ind w:right="199"/>
              <w:spacing w:after="0"/>
              <w:rPr>
                <w:sz w:val="20"/>
                <w:szCs w:val="20"/>
                <w:color w:val="auto"/>
              </w:rPr>
            </w:pPr>
            <w:r>
              <w:rPr>
                <w:rFonts w:ascii="Arial" w:cs="Arial" w:eastAsia="Arial" w:hAnsi="Arial"/>
                <w:sz w:val="18"/>
                <w:szCs w:val="18"/>
                <w:color w:val="auto"/>
              </w:rPr>
              <w:t>7.6 (NS)</w:t>
            </w:r>
          </w:p>
        </w:tc>
        <w:tc>
          <w:tcPr>
            <w:tcW w:w="460" w:type="dxa"/>
            <w:vAlign w:val="bottom"/>
          </w:tcPr>
          <w:p>
            <w:pPr>
              <w:spacing w:after="0"/>
              <w:rPr>
                <w:sz w:val="20"/>
                <w:szCs w:val="20"/>
                <w:color w:val="auto"/>
              </w:rPr>
            </w:pPr>
          </w:p>
        </w:tc>
        <w:tc>
          <w:tcPr>
            <w:tcW w:w="1180" w:type="dxa"/>
            <w:vAlign w:val="bottom"/>
          </w:tcPr>
          <w:p>
            <w:pPr>
              <w:jc w:val="right"/>
              <w:ind w:right="301"/>
              <w:spacing w:after="0"/>
              <w:rPr>
                <w:sz w:val="20"/>
                <w:szCs w:val="20"/>
                <w:color w:val="auto"/>
              </w:rPr>
            </w:pPr>
            <w:r>
              <w:rPr>
                <w:rFonts w:ascii="Arial" w:cs="Arial" w:eastAsia="Arial" w:hAnsi="Arial"/>
                <w:sz w:val="18"/>
                <w:szCs w:val="18"/>
                <w:color w:val="auto"/>
              </w:rPr>
              <w:t>8.9 (NS)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Visual acuity was measured as the total number of letters read correctly on the Early Treatment Diabetic Retinopathy Study (ETDRS) eye chart</w:t>
      </w:r>
    </w:p>
    <w:p>
      <w:pPr>
        <w:spacing w:after="0" w:line="88" w:lineRule="exact"/>
        <w:rPr>
          <w:sz w:val="20"/>
          <w:szCs w:val="20"/>
          <w:color w:val="auto"/>
        </w:rPr>
      </w:pPr>
    </w:p>
    <w:p>
      <w:pPr>
        <w:ind w:left="460" w:right="38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Statistically non-inferior based on a non-inferiority margin of 10%, using confidence interval approach (95.1% and 95% for VIEW 1 and VIEW 2, respectively)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Test for superiority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NS=non-significant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Wet AMD</w:t>
      </w:r>
    </w:p>
    <w:p>
      <w:pPr>
        <w:spacing w:after="0" w:line="12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Age-related Macular Degeneration (AMD) is a leading cause of acquired blindness. Macular degeneration is diagnosed as either dry (non-exudative) or wet (exudative). In wet AMD, new blood vessels grow beneath the retina and leak blood and fluid. This leakage causes disruption and dysfunction of the retina creating distortion and/or blind spots in central vision, and it can account for blindness in wet AMD patients. Wet AMD is the leading cause of blindness for people over the age of 65 in the U.S. and Europe.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VEGF Trap-Eye</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VEGF Trap-Eye is a fully human fusion protein, consisting of soluble VEGF receptors 1 and 2, that binds all forms of VEGF-A along with the related Placental Growth Factor (PlGF). VEGF Trap-Eye is a specific and highly potent blocker of these growth factors. VEGF Trap-Eye is specially purified and contains iso-osmotic buffer concentrations, allowing for injection into the eye.</w:t>
      </w:r>
    </w:p>
    <w:p>
      <w:pPr>
        <w:spacing w:after="0" w:line="7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VEGF Trap-Eye is also in Phase 3 development for the treatment of Central Retinal Vein Occlusion (CRVO), another major cause of blindness, in two identical studies. The COPERNICUS (COntrolled Phase 3 Evaluation of Repeated iNtravitreal administration of VEGF Trap-Eye In Central retinal vein occlusion: Utility and Safety) study is being led by Regeneron and the GALILEO (General Assessment Limiting InfiLtration of Exudates in central retinal vein Occlusion with VEGF Trap-Eye) study is being led by Bayer HealthCare. The primary endpoint of both studies is improvement in visual acuity versus baseline after six months of treatment. Initial data from the CRVO program are anticipated in early 2011.</w:t>
      </w:r>
    </w:p>
    <w:p>
      <w:pPr>
        <w:spacing w:after="0" w:line="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VEGF Trap-Eye is also in Phase 2 development for the treatment of Diabetic Macular Edema (DME). In February 2010, Regeneron and Bayer HealthCare announced that treatment with VEGF Trap-Eye in the Phase 2 DA VINCI (DME And VEGF Trap-Eye: INvestigation of Clinical Impact) study demonstrated a statistically significant improvement in visual acuity versus baseline after six months of treatment compared to focal laser therapy, the primary endpoint of the study. Initial one-year results from this trial will be available before the end of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13"/>
          <w:szCs w:val="13"/>
          <w:color w:val="auto"/>
        </w:rPr>
        <w:t>®</w:t>
      </w:r>
      <w:r>
        <w:rPr>
          <w:rFonts w:ascii="Arial" w:cs="Arial" w:eastAsia="Arial" w:hAnsi="Arial"/>
          <w:sz w:val="16"/>
          <w:szCs w:val="16"/>
          <w:color w:val="auto"/>
        </w:rPr>
        <w:t xml:space="preserve"> (rilonacept) Injection for Subcutaneous Use, its first commercialized product, Regeneron has therapeutic candidates in Phase 3 clinical trials for the potential treatment of gout, diseases of the eye (wet age-related macular degeneration and central retinal vein occlusion), and certain cancers.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Regeneron’s web site at </w:t>
      </w:r>
      <w:r>
        <w:rPr>
          <w:rFonts w:ascii="Arial" w:cs="Arial" w:eastAsia="Arial" w:hAnsi="Arial"/>
          <w:sz w:val="16"/>
          <w:szCs w:val="16"/>
          <w:u w:val="single" w:color="auto"/>
          <w:color w:val="auto"/>
        </w:rPr>
        <w:t>www.regeneron.com</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Bayer HealthCare</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Bayer Group is a global enterprise with core competencies in the fields of healthcare, nutrition and high-tech materials. Bayer HealthCare, a subsidiary of Bayer AG, is one of the world’s leading, innovative companies in the healthcare and medical products industry and is based in Leverkusen, Germany. The company combines the global activities of the Animal Health, Bayer Schering Pharma, Consumer Care and Medical Care divisions. Bayer HealthCare’s aim is to discover, manufacture and market products that will improve human and animal health worldwide. Find more information at www.bayerhealthcare.com.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Bayer HealthCare</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Bayer Group is a global enterprise with core competencies in the fields of health care, nutrition and high-tech materials. Bayer HealthCare, a subgroup of Bayer AG with annual sales of more than EUR 15.9 billion (2009), is one of the world’s leading, innovative companies in the healthcare and medical products industry and is based in Leverkusen, Germany. The company combines the global activities of the Animal Health, Consumer Care, Medical Care and Pharmaceuticals divisions. Bayer HealthCare’s aim is to discover and manufacture products that will improve human and animal health worldwide. Bayer HealthCare has a global workforce of 53.400 employees and is represented in more than 100 countries. Find more information at www.bayerhealthcare.com.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Your Contact at Bayer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Doreen Schroeder, Tel. +49 30 468-11399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doreen.schroeder@bayer.com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Your Investor Relations Contact at Regeneron</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Aberman, M.D. Tel. +1 (914) 345-7799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michael.aberman@regeneron.com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Your Media Contact at Regeneron</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Dworkin, Tel. +1 (914) 345-7640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peter.dworkin@regeneron.com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Forward Looking Statement</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news release includes forward-looking statements about Regeneron and its products, development programs, finances, and business, all of which involve a number of risks and uncertainties. These include, among others, risks and timing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license or collaboration agreement, including Regeneron’s agreements with Astellas, the sanofi-aventis Group and Bayer HealthCare, to be canceled or terminated without any product success, and risks associated with third party intellectual property. A more complete description of these and other material risks can be found in Regeneron’s filings with the United States Securities and Exchange Commission (SEC), including its Form 10-K for the year ended December 31, 2009 and Form 10-Q for the quarter ended September 30, 2010. Regeneron does not undertake any obligation to update publicly any forward-looking statement, whether as a result of new information, future events, or otherwise, unless required by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This release may contain forward-looking statements based on current assumptions and forecasts made by Bayer Group or subgroup management. Various known and unknown risks, uncertainties and other factors could lead to material differences between the actual future results, financial situation, development or performance of the company and the estimates given here. These factors include those discussed in Bayer’s public reports which are available on the Bayer website at </w:t>
      </w:r>
      <w:r>
        <w:rPr>
          <w:rFonts w:ascii="Arial" w:cs="Arial" w:eastAsia="Arial" w:hAnsi="Arial"/>
          <w:sz w:val="18"/>
          <w:szCs w:val="18"/>
          <w:u w:val="single" w:color="auto"/>
          <w:color w:val="auto"/>
        </w:rPr>
        <w:t>www.bayer.com</w:t>
      </w:r>
      <w:r>
        <w:rPr>
          <w:rFonts w:ascii="Arial" w:cs="Arial" w:eastAsia="Arial" w:hAnsi="Arial"/>
          <w:sz w:val="18"/>
          <w:szCs w:val="18"/>
          <w:color w:val="auto"/>
        </w:rPr>
        <w:t>. The company assumes no liability whatsoever to update these forward-looking statements or to conform them to future events or developments.</w:t>
      </w:r>
    </w:p>
    <w:sectPr>
      <w:pgSz w:w="11900" w:h="16838" w:orient="portrait"/>
      <w:cols w:equalWidth="0" w:num="1">
        <w:col w:w="11400"/>
      </w:cols>
      <w:pgMar w:left="24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2019-12-10T09:22:07Z</dcterms:created>
  <dcterms:modified xsi:type="dcterms:W3CDTF">2019-12-10T09:22:07Z</dcterms:modified>
</cp:coreProperties>
</file>