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177165</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QUARTERLY REPORT PURSUANT TO</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SECTION 13 OR 15(d) OF THE SECURITIES</w:t>
      </w:r>
    </w:p>
    <w:p>
      <w:pPr>
        <w:spacing w:after="0" w:line="9" w:lineRule="exact"/>
        <w:rPr>
          <w:sz w:val="24"/>
          <w:szCs w:val="24"/>
          <w:color w:val="auto"/>
        </w:rPr>
      </w:pPr>
    </w:p>
    <w:p>
      <w:pPr>
        <w:ind w:left="540" w:hanging="505"/>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EXCHANGE ACT OF 1934</w:t>
      </w:r>
    </w:p>
    <w:p>
      <w:pPr>
        <w:spacing w:after="0" w:line="31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September 30, 2013</w:t>
      </w:r>
    </w:p>
    <w:p>
      <w:pPr>
        <w:spacing w:after="0" w:line="337"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TRANSITION REPORT PURSUANT TO</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SECTION 13 OR 15(d) OF THE SECURITIES</w:t>
      </w:r>
    </w:p>
    <w:p>
      <w:pPr>
        <w:spacing w:after="0" w:line="9" w:lineRule="exact"/>
        <w:rPr>
          <w:sz w:val="24"/>
          <w:szCs w:val="24"/>
          <w:color w:val="auto"/>
        </w:rPr>
      </w:pPr>
    </w:p>
    <w:p>
      <w:pPr>
        <w:ind w:left="40"/>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EXCHANGE ACT OF 1934</w:t>
      </w:r>
    </w:p>
    <w:p>
      <w:pPr>
        <w:spacing w:after="0" w:line="31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For the transition period from __________ to</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__________</w:t>
      </w:r>
    </w:p>
    <w:p>
      <w:pPr>
        <w:spacing w:after="0" w:line="400" w:lineRule="exact"/>
        <w:rPr>
          <w:sz w:val="24"/>
          <w:szCs w:val="24"/>
          <w:color w:val="auto"/>
        </w:rPr>
      </w:pPr>
    </w:p>
    <w:tbl>
      <w:tblPr>
        <w:tblLayout w:type="fixed"/>
        <w:tblInd w:w="284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Commission File Number</w:t>
            </w:r>
          </w:p>
        </w:tc>
        <w:tc>
          <w:tcPr>
            <w:tcW w:w="940" w:type="dxa"/>
            <w:vAlign w:val="bottom"/>
          </w:tcPr>
          <w:p>
            <w:pPr>
              <w:jc w:val="right"/>
              <w:spacing w:after="0"/>
              <w:rPr>
                <w:sz w:val="20"/>
                <w:szCs w:val="20"/>
                <w:color w:val="auto"/>
              </w:rPr>
            </w:pPr>
            <w:r>
              <w:rPr>
                <w:rFonts w:ascii="Arial" w:cs="Arial" w:eastAsia="Arial" w:hAnsi="Arial"/>
                <w:sz w:val="18"/>
                <w:szCs w:val="18"/>
                <w:color w:val="auto"/>
              </w:rPr>
              <w:t>0-19034</w:t>
            </w:r>
          </w:p>
        </w:tc>
      </w:tr>
    </w:tbl>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-160020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3800" w:type="dxa"/>
            <w:vAlign w:val="bottom"/>
            <w:gridSpan w:val="3"/>
          </w:tcPr>
          <w:p>
            <w:pPr>
              <w:jc w:val="center"/>
              <w:ind w:right="3060"/>
              <w:spacing w:after="0"/>
              <w:rPr>
                <w:sz w:val="20"/>
                <w:szCs w:val="20"/>
                <w:color w:val="auto"/>
              </w:rPr>
            </w:pPr>
            <w:r>
              <w:rPr>
                <w:rFonts w:ascii="Arial" w:cs="Arial" w:eastAsia="Arial" w:hAnsi="Arial"/>
                <w:sz w:val="18"/>
                <w:szCs w:val="18"/>
                <w:color w:val="auto"/>
                <w:w w:val="94"/>
              </w:rPr>
              <w:t>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13-3444607</w:t>
            </w:r>
          </w:p>
        </w:tc>
      </w:tr>
      <w:tr>
        <w:trPr>
          <w:trHeight w:val="20"/>
        </w:trPr>
        <w:tc>
          <w:tcPr>
            <w:tcW w:w="1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40" w:type="dxa"/>
            <w:vAlign w:val="bottom"/>
            <w:gridSpan w:val="4"/>
          </w:tcPr>
          <w:p>
            <w:pPr>
              <w:jc w:val="center"/>
              <w:ind w:right="1520"/>
              <w:spacing w:after="0"/>
              <w:rPr>
                <w:sz w:val="20"/>
                <w:szCs w:val="20"/>
                <w:color w:val="auto"/>
              </w:rPr>
            </w:pPr>
            <w:r>
              <w:rPr>
                <w:rFonts w:ascii="Arial" w:cs="Arial" w:eastAsia="Arial" w:hAnsi="Arial"/>
                <w:sz w:val="18"/>
                <w:szCs w:val="18"/>
                <w:color w:val="auto"/>
                <w:w w:val="93"/>
              </w:rPr>
              <w:t>(State or other jurisdiction of</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40" w:type="dxa"/>
            <w:vAlign w:val="bottom"/>
            <w:gridSpan w:val="4"/>
          </w:tcPr>
          <w:p>
            <w:pPr>
              <w:jc w:val="center"/>
              <w:ind w:right="1500"/>
              <w:spacing w:after="0"/>
              <w:rPr>
                <w:sz w:val="20"/>
                <w:szCs w:val="20"/>
                <w:color w:val="auto"/>
              </w:rPr>
            </w:pPr>
            <w:r>
              <w:rPr>
                <w:rFonts w:ascii="Arial" w:cs="Arial" w:eastAsia="Arial" w:hAnsi="Arial"/>
                <w:sz w:val="18"/>
                <w:szCs w:val="18"/>
                <w:color w:val="auto"/>
                <w:w w:val="92"/>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5340" w:type="dxa"/>
            <w:vAlign w:val="bottom"/>
            <w:gridSpan w:val="4"/>
          </w:tcPr>
          <w:p>
            <w:pPr>
              <w:jc w:val="center"/>
              <w:ind w:right="1520"/>
              <w:spacing w:after="0"/>
              <w:rPr>
                <w:sz w:val="20"/>
                <w:szCs w:val="20"/>
                <w:color w:val="auto"/>
              </w:rPr>
            </w:pPr>
            <w:r>
              <w:rPr>
                <w:rFonts w:ascii="Arial" w:cs="Arial" w:eastAsia="Arial" w:hAnsi="Arial"/>
                <w:sz w:val="18"/>
                <w:szCs w:val="18"/>
                <w:color w:val="auto"/>
                <w:w w:val="93"/>
              </w:rPr>
              <w:t>777 Old Saw Mill River Road, Tarrytown, 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10591-6707</w:t>
            </w:r>
          </w:p>
        </w:tc>
      </w:tr>
      <w:tr>
        <w:trPr>
          <w:trHeight w:val="291"/>
        </w:trPr>
        <w:tc>
          <w:tcPr>
            <w:tcW w:w="3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880" w:type="dxa"/>
            <w:vAlign w:val="bottom"/>
          </w:tcPr>
          <w:p>
            <w:pPr>
              <w:spacing w:after="0"/>
              <w:rPr>
                <w:sz w:val="24"/>
                <w:szCs w:val="24"/>
                <w:color w:val="auto"/>
              </w:rPr>
            </w:pP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(914) 847-7000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40"/>
        <w:spacing w:after="0"/>
        <w:tabs>
          <w:tab w:leader="none" w:pos="4420" w:val="left"/>
          <w:tab w:leader="none" w:pos="8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31750</wp:posOffset>
            </wp:positionV>
            <wp:extent cx="420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31750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40"/>
        <w:spacing w:after="0"/>
        <w:tabs>
          <w:tab w:leader="none" w:pos="4420" w:val="left"/>
          <w:tab w:leader="none" w:pos="8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31750</wp:posOffset>
            </wp:positionV>
            <wp:extent cx="420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31750</wp:posOffset>
            </wp:positionV>
            <wp:extent cx="420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80" w:type="dxa"/>
            <w:vAlign w:val="bottom"/>
          </w:tcPr>
          <w:p>
            <w:pPr>
              <w:ind w:left="200"/>
              <w:spacing w:after="0"/>
              <w:rPr>
                <w:sz w:val="20"/>
                <w:szCs w:val="20"/>
                <w:color w:val="auto"/>
              </w:rPr>
            </w:pPr>
            <w:r>
              <w:rPr>
                <w:rFonts w:ascii="Arial" w:cs="Arial" w:eastAsia="Arial" w:hAnsi="Arial"/>
                <w:sz w:val="18"/>
                <w:szCs w:val="18"/>
                <w:color w:val="auto"/>
              </w:rPr>
              <w:t>X</w:t>
            </w:r>
          </w:p>
        </w:tc>
        <w:tc>
          <w:tcPr>
            <w:tcW w:w="3880" w:type="dxa"/>
            <w:vAlign w:val="bottom"/>
          </w:tcPr>
          <w:p>
            <w:pPr>
              <w:spacing w:after="0"/>
              <w:rPr>
                <w:sz w:val="20"/>
                <w:szCs w:val="20"/>
                <w:color w:val="auto"/>
              </w:rPr>
            </w:pPr>
          </w:p>
        </w:tc>
        <w:tc>
          <w:tcPr>
            <w:tcW w:w="246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80" w:type="dxa"/>
            <w:vAlign w:val="bottom"/>
            <w:tcBorders>
              <w:bottom w:val="single" w:sz="8" w:color="auto"/>
            </w:tcBorders>
          </w:tcPr>
          <w:p>
            <w:pPr>
              <w:spacing w:after="0"/>
              <w:rPr>
                <w:sz w:val="2"/>
                <w:szCs w:val="2"/>
                <w:color w:val="auto"/>
              </w:rPr>
            </w:pPr>
          </w:p>
        </w:tc>
        <w:tc>
          <w:tcPr>
            <w:tcW w:w="3880" w:type="dxa"/>
            <w:vAlign w:val="bottom"/>
            <w:vMerge w:val="restart"/>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460" w:type="dxa"/>
            <w:vAlign w:val="bottom"/>
            <w:vMerge w:val="restart"/>
          </w:tcPr>
          <w:p>
            <w:pPr>
              <w:ind w:left="480"/>
              <w:spacing w:after="0"/>
              <w:rPr>
                <w:sz w:val="20"/>
                <w:szCs w:val="20"/>
                <w:color w:val="auto"/>
              </w:rPr>
            </w:pPr>
            <w:r>
              <w:rPr>
                <w:rFonts w:ascii="Arial" w:cs="Arial" w:eastAsia="Arial" w:hAnsi="Arial"/>
                <w:sz w:val="18"/>
                <w:szCs w:val="18"/>
                <w:color w:val="auto"/>
                <w:w w:val="91"/>
              </w:rPr>
              <w:t>Smaller reporting company</w:t>
            </w: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6805930</wp:posOffset>
            </wp:positionH>
            <wp:positionV relativeFrom="paragraph">
              <wp:posOffset>-8255</wp:posOffset>
            </wp:positionV>
            <wp:extent cx="428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-187960</wp:posOffset>
            </wp:positionV>
            <wp:extent cx="428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40"/>
        <w:spacing w:after="0"/>
        <w:tabs>
          <w:tab w:leader="none" w:pos="850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31750</wp:posOffset>
            </wp:positionV>
            <wp:extent cx="420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31750</wp:posOffset>
            </wp:positionV>
            <wp:extent cx="420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October 28, 2013:</w:t>
      </w:r>
    </w:p>
    <w:p>
      <w:pPr>
        <w:spacing w:after="0" w:line="171" w:lineRule="exact"/>
        <w:rPr>
          <w:sz w:val="24"/>
          <w:szCs w:val="24"/>
          <w:color w:val="auto"/>
        </w:rPr>
      </w:pPr>
    </w:p>
    <w:tbl>
      <w:tblPr>
        <w:tblLayout w:type="fixed"/>
        <w:tblInd w:w="2280" w:type="dxa"/>
        <w:tblCellMar>
          <w:top w:w="0" w:type="dxa"/>
          <w:left w:w="0" w:type="dxa"/>
          <w:bottom w:w="0" w:type="dxa"/>
          <w:right w:w="0" w:type="dxa"/>
        </w:tblCellMar>
      </w:tblPr>
      <w:tr>
        <w:trPr>
          <w:trHeight w:val="230"/>
        </w:trPr>
        <w:tc>
          <w:tcPr>
            <w:tcW w:w="36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Class of Common Stock</w:t>
            </w:r>
          </w:p>
        </w:tc>
        <w:tc>
          <w:tcPr>
            <w:tcW w:w="3220" w:type="dxa"/>
            <w:vAlign w:val="bottom"/>
          </w:tcPr>
          <w:p>
            <w:pPr>
              <w:ind w:left="940"/>
              <w:spacing w:after="0"/>
              <w:rPr>
                <w:sz w:val="20"/>
                <w:szCs w:val="20"/>
                <w:color w:val="auto"/>
              </w:rPr>
            </w:pPr>
            <w:r>
              <w:rPr>
                <w:rFonts w:ascii="Arial" w:cs="Arial" w:eastAsia="Arial" w:hAnsi="Arial"/>
                <w:sz w:val="18"/>
                <w:szCs w:val="18"/>
                <w:color w:val="auto"/>
              </w:rPr>
              <w:t>Number of Shares</w:t>
            </w:r>
          </w:p>
        </w:tc>
      </w:tr>
      <w:tr>
        <w:trPr>
          <w:trHeight w:val="27"/>
        </w:trPr>
        <w:tc>
          <w:tcPr>
            <w:tcW w:w="33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Class A Stock, $.001 par value</w:t>
            </w:r>
          </w:p>
        </w:tc>
        <w:tc>
          <w:tcPr>
            <w:tcW w:w="3220" w:type="dxa"/>
            <w:vAlign w:val="bottom"/>
          </w:tcPr>
          <w:p>
            <w:pPr>
              <w:jc w:val="right"/>
              <w:ind w:right="1170"/>
              <w:spacing w:after="0"/>
              <w:rPr>
                <w:sz w:val="20"/>
                <w:szCs w:val="20"/>
                <w:color w:val="auto"/>
              </w:rPr>
            </w:pPr>
            <w:r>
              <w:rPr>
                <w:rFonts w:ascii="Arial" w:cs="Arial" w:eastAsia="Arial" w:hAnsi="Arial"/>
                <w:sz w:val="18"/>
                <w:szCs w:val="18"/>
                <w:color w:val="auto"/>
              </w:rPr>
              <w:t>2,028,871</w:t>
            </w:r>
          </w:p>
        </w:tc>
      </w:tr>
      <w:tr>
        <w:trPr>
          <w:trHeight w:val="270"/>
        </w:trPr>
        <w:tc>
          <w:tcPr>
            <w:tcW w:w="36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Common Stock, $.001 par value</w:t>
            </w:r>
          </w:p>
        </w:tc>
        <w:tc>
          <w:tcPr>
            <w:tcW w:w="3220" w:type="dxa"/>
            <w:vAlign w:val="bottom"/>
          </w:tcPr>
          <w:p>
            <w:pPr>
              <w:jc w:val="right"/>
              <w:ind w:right="1130"/>
              <w:spacing w:after="0"/>
              <w:rPr>
                <w:sz w:val="20"/>
                <w:szCs w:val="20"/>
                <w:color w:val="auto"/>
              </w:rPr>
            </w:pPr>
            <w:r>
              <w:rPr>
                <w:rFonts w:ascii="Arial" w:cs="Arial" w:eastAsia="Arial" w:hAnsi="Arial"/>
                <w:sz w:val="18"/>
                <w:szCs w:val="18"/>
                <w:color w:val="auto"/>
              </w:rPr>
              <w:t>97,389,765</w:t>
            </w:r>
          </w:p>
        </w:tc>
      </w:tr>
    </w:tbl>
    <w:p>
      <w:pPr>
        <w:sectPr>
          <w:pgSz w:w="11900" w:h="16838" w:orient="portrait"/>
          <w:cols w:equalWidth="0" w:num="1">
            <w:col w:w="11420"/>
          </w:cols>
          <w:pgMar w:left="240" w:top="908" w:right="239" w:bottom="0" w:gutter="0" w:footer="0" w:header="0"/>
        </w:sectPr>
      </w:pPr>
    </w:p>
    <w:bookmarkStart w:id="1" w:name="page2"/>
    <w:bookmarkEnd w:id="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 Numbers</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1300" w:type="dxa"/>
            <w:vAlign w:val="bottom"/>
            <w:gridSpan w:val="5"/>
            <w:shd w:val="clear" w:color="auto" w:fill="CCEEFF"/>
          </w:tcPr>
          <w:p>
            <w:pPr>
              <w:ind w:left="40"/>
              <w:spacing w:after="0" w:line="19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8880" w:type="dxa"/>
            <w:vAlign w:val="bottom"/>
            <w:gridSpan w:val="22"/>
            <w:shd w:val="clear" w:color="auto" w:fill="CCEEFF"/>
          </w:tcPr>
          <w:p>
            <w:pPr>
              <w:spacing w:after="0" w:line="19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r>
              <w:rPr>
                <w:rFonts w:ascii="Arial" w:cs="Arial" w:eastAsia="Arial" w:hAnsi="Arial"/>
                <w:sz w:val="18"/>
                <w:szCs w:val="18"/>
                <w:color w:val="000000"/>
              </w:rPr>
              <w:t>.</w:t>
            </w: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at September 30, 2013 and</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490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December 31, 2012</w:t>
              </w:r>
            </w:hyperlink>
          </w:p>
        </w:tc>
        <w:tc>
          <w:tcPr>
            <w:tcW w:w="3980" w:type="dxa"/>
            <w:vAlign w:val="bottom"/>
            <w:tcBorders>
              <w:top w:val="single" w:sz="8" w:color="CCEEFF"/>
            </w:tcBorders>
            <w:gridSpan w:val="6"/>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and Comprehensive</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54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14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Income for the Three and Nine Months Ended September 30, 2013 and</w:t>
              </w:r>
            </w:hyperlink>
          </w:p>
        </w:tc>
        <w:tc>
          <w:tcPr>
            <w:tcW w:w="3740" w:type="dxa"/>
            <w:vAlign w:val="bottom"/>
            <w:tcBorders>
              <w:top w:val="single" w:sz="8" w:color="CCEEFF"/>
            </w:tcBorders>
            <w:gridSpan w:val="4"/>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2012</w:t>
              </w:r>
            </w:hyperlink>
          </w:p>
        </w:tc>
        <w:tc>
          <w:tcPr>
            <w:tcW w:w="30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36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36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tcBorders>
            <w:shd w:val="clear" w:color="auto" w:fill="CCEEFF"/>
          </w:tcPr>
          <w:p>
            <w:pPr>
              <w:spacing w:after="0"/>
              <w:rPr>
                <w:sz w:val="21"/>
                <w:szCs w:val="21"/>
                <w:color w:val="auto"/>
              </w:rPr>
            </w:pPr>
          </w:p>
        </w:tc>
        <w:tc>
          <w:tcPr>
            <w:tcW w:w="360" w:type="dxa"/>
            <w:vAlign w:val="bottom"/>
            <w:tcBorders>
              <w:top w:val="single" w:sz="8" w:color="0000FF"/>
            </w:tcBorders>
            <w:shd w:val="clear" w:color="auto" w:fill="CCEEFF"/>
          </w:tcPr>
          <w:p>
            <w:pPr>
              <w:spacing w:after="0"/>
              <w:rPr>
                <w:sz w:val="21"/>
                <w:szCs w:val="21"/>
                <w:color w:val="auto"/>
              </w:rPr>
            </w:pPr>
          </w:p>
        </w:tc>
        <w:tc>
          <w:tcPr>
            <w:tcW w:w="2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600" w:type="dxa"/>
            <w:vAlign w:val="bottom"/>
            <w:tcBorders>
              <w:top w:val="single" w:sz="8" w:color="0000FF"/>
            </w:tcBorders>
            <w:shd w:val="clear" w:color="auto" w:fill="CCEEFF"/>
          </w:tcPr>
          <w:p>
            <w:pPr>
              <w:spacing w:after="0"/>
              <w:rPr>
                <w:sz w:val="21"/>
                <w:szCs w:val="21"/>
                <w:color w:val="auto"/>
              </w:rPr>
            </w:pPr>
          </w:p>
        </w:tc>
        <w:tc>
          <w:tcPr>
            <w:tcW w:w="740" w:type="dxa"/>
            <w:vAlign w:val="bottom"/>
            <w:tcBorders>
              <w:top w:val="single" w:sz="8" w:color="0000FF"/>
            </w:tcBorders>
            <w:shd w:val="clear" w:color="auto" w:fill="CCEEFF"/>
          </w:tcPr>
          <w:p>
            <w:pPr>
              <w:spacing w:after="0"/>
              <w:rPr>
                <w:sz w:val="21"/>
                <w:szCs w:val="21"/>
                <w:color w:val="auto"/>
              </w:rPr>
            </w:pPr>
          </w:p>
        </w:tc>
        <w:tc>
          <w:tcPr>
            <w:tcW w:w="360" w:type="dxa"/>
            <w:vAlign w:val="bottom"/>
            <w:tcBorders>
              <w:top w:val="single" w:sz="8" w:color="0000FF"/>
            </w:tcBorders>
            <w:shd w:val="clear" w:color="auto" w:fill="CCEEFF"/>
          </w:tcPr>
          <w:p>
            <w:pPr>
              <w:spacing w:after="0"/>
              <w:rPr>
                <w:sz w:val="21"/>
                <w:szCs w:val="21"/>
                <w:color w:val="auto"/>
              </w:rPr>
            </w:pPr>
          </w:p>
        </w:tc>
        <w:tc>
          <w:tcPr>
            <w:tcW w:w="540" w:type="dxa"/>
            <w:vAlign w:val="bottom"/>
            <w:tcBorders>
              <w:top w:val="single" w:sz="8" w:color="0000FF"/>
            </w:tcBorders>
            <w:shd w:val="clear" w:color="auto" w:fill="CCEEFF"/>
          </w:tcPr>
          <w:p>
            <w:pPr>
              <w:spacing w:after="0"/>
              <w:rPr>
                <w:sz w:val="21"/>
                <w:szCs w:val="21"/>
                <w:color w:val="auto"/>
              </w:rPr>
            </w:pPr>
          </w:p>
        </w:tc>
        <w:tc>
          <w:tcPr>
            <w:tcW w:w="220" w:type="dxa"/>
            <w:vAlign w:val="bottom"/>
            <w:tcBorders>
              <w:top w:val="single" w:sz="8" w:color="0000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4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Nine</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5280" w:type="dxa"/>
            <w:vAlign w:val="bottom"/>
            <w:tcBorders>
              <w:top w:val="single" w:sz="8" w:color="0000FF"/>
            </w:tcBorders>
            <w:gridSpan w:val="20"/>
            <w:shd w:val="clear" w:color="auto" w:fill="CCEEFF"/>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Months Ended September 30, 2013 and 2012</w:t>
              </w:r>
            </w:hyperlink>
          </w:p>
        </w:tc>
        <w:tc>
          <w:tcPr>
            <w:tcW w:w="3600" w:type="dxa"/>
            <w:vAlign w:val="bottom"/>
            <w:tcBorders>
              <w:top w:val="single" w:sz="8" w:color="CCEEFF"/>
            </w:tcBorders>
            <w:gridSpan w:val="2"/>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522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Ended September 30, 2013 and 2012</w:t>
              </w:r>
            </w:hyperlink>
          </w:p>
        </w:tc>
        <w:tc>
          <w:tcPr>
            <w:tcW w:w="3660" w:type="dxa"/>
            <w:vAlign w:val="bottom"/>
            <w:tcBorders>
              <w:top w:val="single" w:sz="8" w:color="CCEEFF"/>
            </w:tcBorders>
            <w:gridSpan w:val="3"/>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700" w:type="dxa"/>
            <w:vAlign w:val="bottom"/>
            <w:gridSpan w:val="4"/>
            <w:shd w:val="clear" w:color="auto" w:fill="CCEEFF"/>
          </w:tcPr>
          <w:p>
            <w:pPr>
              <w:jc w:val="center"/>
              <w:ind w:left="450"/>
              <w:spacing w:after="0" w:line="202"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Item 2</w:t>
              </w:r>
            </w:hyperlink>
            <w:r>
              <w:rPr>
                <w:rFonts w:ascii="Arial" w:cs="Arial" w:eastAsia="Arial" w:hAnsi="Arial"/>
                <w:sz w:val="18"/>
                <w:szCs w:val="18"/>
                <w:color w:val="000000"/>
              </w:rPr>
              <w:t>.</w:t>
            </w: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FF"/>
                <w:w w:val="89"/>
              </w:rPr>
            </w:pPr>
            <w:hyperlink w:anchor="page19">
              <w:r>
                <w:rPr>
                  <w:rFonts w:ascii="Arial" w:cs="Arial" w:eastAsia="Arial" w:hAnsi="Arial"/>
                  <w:sz w:val="18"/>
                  <w:szCs w:val="18"/>
                  <w:color w:val="0000FF"/>
                  <w:w w:val="89"/>
                </w:rPr>
                <w:t>19</w:t>
              </w:r>
            </w:hyperlink>
          </w:p>
        </w:tc>
        <w:tc>
          <w:tcPr>
            <w:tcW w:w="54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5420" w:type="dxa"/>
            <w:vAlign w:val="bottom"/>
            <w:tcBorders>
              <w:top w:val="single" w:sz="8" w:color="0000FF"/>
            </w:tcBorders>
            <w:gridSpan w:val="21"/>
            <w:shd w:val="clear" w:color="auto" w:fill="CCEEFF"/>
          </w:tcPr>
          <w:p>
            <w:pPr>
              <w:spacing w:after="0" w:line="196" w:lineRule="exact"/>
              <w:rPr>
                <w:rFonts w:ascii="Arial" w:cs="Arial" w:eastAsia="Arial" w:hAnsi="Arial"/>
                <w:sz w:val="18"/>
                <w:szCs w:val="18"/>
                <w:color w:val="0000FF"/>
              </w:rPr>
            </w:pPr>
            <w:hyperlink w:anchor="page19">
              <w:r>
                <w:rPr>
                  <w:rFonts w:ascii="Arial" w:cs="Arial" w:eastAsia="Arial" w:hAnsi="Arial"/>
                  <w:sz w:val="18"/>
                  <w:szCs w:val="18"/>
                  <w:color w:val="0000FF"/>
                </w:rPr>
                <w:t>of Operations</w:t>
              </w:r>
            </w:hyperlink>
          </w:p>
        </w:tc>
        <w:tc>
          <w:tcPr>
            <w:tcW w:w="34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3</w:t>
              </w:r>
            </w:hyperlink>
            <w:r>
              <w:rPr>
                <w:rFonts w:ascii="Arial" w:cs="Arial" w:eastAsia="Arial" w:hAnsi="Arial"/>
                <w:sz w:val="18"/>
                <w:szCs w:val="18"/>
                <w:color w:val="000000"/>
              </w:rPr>
              <w:t>.</w:t>
            </w: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Quantitative and Qualitative Disclosures About Market Risk</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4</w:t>
              </w:r>
            </w:hyperlink>
            <w:r>
              <w:rPr>
                <w:rFonts w:ascii="Arial" w:cs="Arial" w:eastAsia="Arial" w:hAnsi="Arial"/>
                <w:sz w:val="18"/>
                <w:szCs w:val="18"/>
                <w:color w:val="000000"/>
              </w:rPr>
              <w:t>.</w:t>
            </w: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Controls and Procedures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w:t>
              </w:r>
            </w:hyperlink>
          </w:p>
        </w:tc>
        <w:tc>
          <w:tcPr>
            <w:tcW w:w="8880" w:type="dxa"/>
            <w:vAlign w:val="bottom"/>
            <w:gridSpan w:val="22"/>
            <w:shd w:val="clear" w:color="auto" w:fill="CCEEFF"/>
          </w:tcPr>
          <w:p>
            <w:pPr>
              <w:spacing w:after="0" w:line="202"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OTHER INFORMATION</w:t>
              </w:r>
            </w:hyperlink>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Item 1</w:t>
              </w:r>
            </w:hyperlink>
            <w:r>
              <w:rPr>
                <w:rFonts w:ascii="Arial" w:cs="Arial" w:eastAsia="Arial" w:hAnsi="Arial"/>
                <w:sz w:val="18"/>
                <w:szCs w:val="18"/>
                <w:color w:val="000000"/>
              </w:rPr>
              <w:t>.</w:t>
            </w: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Legal Proceedings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Item 1A</w:t>
              </w:r>
            </w:hyperlink>
            <w:r>
              <w:rPr>
                <w:rFonts w:ascii="Arial" w:cs="Arial" w:eastAsia="Arial" w:hAnsi="Arial"/>
                <w:sz w:val="18"/>
                <w:szCs w:val="18"/>
                <w:color w:val="000000"/>
              </w:rPr>
              <w:t>.</w:t>
            </w: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Risk Factors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Item 6</w:t>
              </w:r>
            </w:hyperlink>
            <w:r>
              <w:rPr>
                <w:rFonts w:ascii="Arial" w:cs="Arial" w:eastAsia="Arial" w:hAnsi="Arial"/>
                <w:sz w:val="18"/>
                <w:szCs w:val="18"/>
                <w:color w:val="000000"/>
              </w:rPr>
              <w:t>.</w:t>
            </w:r>
          </w:p>
        </w:tc>
        <w:tc>
          <w:tcPr>
            <w:tcW w:w="8880" w:type="dxa"/>
            <w:vAlign w:val="bottom"/>
            <w:gridSpan w:val="22"/>
            <w:shd w:val="clear" w:color="auto" w:fill="CCEEFF"/>
          </w:tcPr>
          <w:p>
            <w:pPr>
              <w:spacing w:after="0" w:line="202" w:lineRule="exact"/>
              <w:rPr>
                <w:rFonts w:ascii="Arial" w:cs="Arial" w:eastAsia="Arial" w:hAnsi="Arial"/>
                <w:sz w:val="18"/>
                <w:szCs w:val="18"/>
                <w:color w:val="0000FF"/>
              </w:rPr>
            </w:pPr>
            <w:hyperlink w:anchor="page72">
              <w:r>
                <w:rPr>
                  <w:rFonts w:ascii="Arial" w:cs="Arial" w:eastAsia="Arial" w:hAnsi="Arial"/>
                  <w:sz w:val="18"/>
                  <w:szCs w:val="18"/>
                  <w:color w:val="0000FF"/>
                </w:rPr>
                <w:t>Exhibits</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71</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10180" w:type="dxa"/>
            <w:vAlign w:val="bottom"/>
            <w:gridSpan w:val="27"/>
            <w:shd w:val="clear" w:color="auto" w:fill="CCEEFF"/>
          </w:tcPr>
          <w:p>
            <w:pPr>
              <w:ind w:left="40"/>
              <w:spacing w:after="0" w:line="202" w:lineRule="exact"/>
              <w:rPr>
                <w:rFonts w:ascii="Arial" w:cs="Arial" w:eastAsia="Arial" w:hAnsi="Arial"/>
                <w:sz w:val="18"/>
                <w:szCs w:val="18"/>
                <w:b w:val="1"/>
                <w:bCs w:val="1"/>
                <w:color w:val="0000FF"/>
              </w:rPr>
            </w:pPr>
            <w:hyperlink w:anchor="page72">
              <w:r>
                <w:rPr>
                  <w:rFonts w:ascii="Arial" w:cs="Arial" w:eastAsia="Arial" w:hAnsi="Arial"/>
                  <w:sz w:val="18"/>
                  <w:szCs w:val="18"/>
                  <w:b w:val="1"/>
                  <w:bCs w:val="1"/>
                  <w:color w:val="0000FF"/>
                </w:rPr>
                <w:t>SIGNATURE PAGE</w:t>
              </w:r>
            </w:hyperlink>
          </w:p>
        </w:tc>
        <w:tc>
          <w:tcPr>
            <w:tcW w:w="700" w:type="dxa"/>
            <w:vAlign w:val="bottom"/>
            <w:gridSpan w:val="4"/>
            <w:shd w:val="clear" w:color="auto" w:fill="CCEEFF"/>
          </w:tcPr>
          <w:p>
            <w:pPr>
              <w:jc w:val="center"/>
              <w:ind w:left="430"/>
              <w:spacing w:after="0" w:line="202"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72</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jc w:val="both"/>
        <w:ind w:left="40" w:righ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“VelociGene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“VelociMab</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are trademarks of Regeneron Pharmaceuticals, Inc. Trademarks and trade names of other companies appearing in this report are, to the knowledge of Regeneron Pharmaceuticals, Inc.,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53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263,211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230,276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43"/>
        </w:trPr>
        <w:tc>
          <w:tcPr>
            <w:tcW w:w="8180" w:type="dxa"/>
            <w:vAlign w:val="bottom"/>
          </w:tcPr>
          <w:p>
            <w:pPr>
              <w:ind w:left="280"/>
              <w:spacing w:after="0"/>
              <w:rPr>
                <w:sz w:val="20"/>
                <w:szCs w:val="20"/>
                <w:color w:val="auto"/>
              </w:rPr>
            </w:pPr>
            <w:r>
              <w:rPr>
                <w:rFonts w:ascii="Arial" w:cs="Arial" w:eastAsia="Arial" w:hAnsi="Arial"/>
                <w:sz w:val="18"/>
                <w:szCs w:val="18"/>
                <w:color w:val="auto"/>
              </w:rPr>
              <w:t>Accounts receivable - trade, net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855,844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593,207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99,913</w:t>
            </w:r>
          </w:p>
        </w:tc>
        <w:tc>
          <w:tcPr>
            <w:tcW w:w="0" w:type="dxa"/>
            <w:vAlign w:val="bottom"/>
          </w:tcPr>
          <w:p>
            <w:pPr>
              <w:spacing w:after="0"/>
              <w:rPr>
                <w:sz w:val="1"/>
                <w:szCs w:val="1"/>
                <w:color w:val="auto"/>
              </w:rPr>
            </w:pPr>
          </w:p>
        </w:tc>
      </w:tr>
      <w:tr>
        <w:trPr>
          <w:trHeight w:val="243"/>
        </w:trPr>
        <w:tc>
          <w:tcPr>
            <w:tcW w:w="818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148,134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56,663</w:t>
            </w:r>
          </w:p>
        </w:tc>
        <w:tc>
          <w:tcPr>
            <w:tcW w:w="0" w:type="dxa"/>
            <w:vAlign w:val="bottom"/>
          </w:tcPr>
          <w:p>
            <w:pPr>
              <w:spacing w:after="0"/>
              <w:rPr>
                <w:sz w:val="1"/>
                <w:szCs w:val="1"/>
                <w:color w:val="auto"/>
              </w:rPr>
            </w:pPr>
          </w:p>
        </w:tc>
      </w:tr>
      <w:tr>
        <w:trPr>
          <w:trHeight w:val="237"/>
        </w:trPr>
        <w:tc>
          <w:tcPr>
            <w:tcW w:w="81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1,634,160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1,206,012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271,230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453,891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379,940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192,022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2,640,415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378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219,138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111,345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33,809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Facility lease obligations,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7"/>
        </w:trPr>
        <w:tc>
          <w:tcPr>
            <w:tcW w:w="81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268,727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163,550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Deferred revenue from Sanofi</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77,670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76,520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 other</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131,822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Facility lease obligations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167,219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159,436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296,518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950,244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835,105</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Class A Stock, convertible, $.001 par value; 40,000,000 shares authorized; shares issued and outstanding -</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2,028,871 at September 30, 2013 and 2,069,187 at December 31, 2012</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80" w:type="dxa"/>
            <w:vAlign w:val="bottom"/>
          </w:tcPr>
          <w:p>
            <w:pPr>
              <w:ind w:left="280"/>
              <w:spacing w:after="0"/>
              <w:rPr>
                <w:sz w:val="20"/>
                <w:szCs w:val="20"/>
                <w:color w:val="auto"/>
              </w:rPr>
            </w:pPr>
            <w:r>
              <w:rPr>
                <w:rFonts w:ascii="Arial" w:cs="Arial" w:eastAsia="Arial" w:hAnsi="Arial"/>
                <w:sz w:val="18"/>
                <w:szCs w:val="18"/>
                <w:color w:val="auto"/>
                <w:w w:val="90"/>
              </w:rPr>
              <w:t>Common Stock, $.001 par value; 160,000,000 shares authorized; shares issued and outstanding - 97,351,157</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80"/>
              <w:spacing w:after="0"/>
              <w:rPr>
                <w:sz w:val="20"/>
                <w:szCs w:val="20"/>
                <w:color w:val="auto"/>
              </w:rPr>
            </w:pPr>
            <w:r>
              <w:rPr>
                <w:rFonts w:ascii="Arial" w:cs="Arial" w:eastAsia="Arial" w:hAnsi="Arial"/>
                <w:sz w:val="18"/>
                <w:szCs w:val="18"/>
                <w:color w:val="auto"/>
              </w:rPr>
              <w:t>at September 30, 2013 and 95,223,525 at December 31, 2012</w:t>
            </w: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1,882,421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1,763,508</w:t>
            </w:r>
          </w:p>
        </w:tc>
        <w:tc>
          <w:tcPr>
            <w:tcW w:w="0" w:type="dxa"/>
            <w:vAlign w:val="bottom"/>
          </w:tcPr>
          <w:p>
            <w:pPr>
              <w:spacing w:after="0"/>
              <w:rPr>
                <w:sz w:val="1"/>
                <w:szCs w:val="1"/>
                <w:color w:val="auto"/>
              </w:rPr>
            </w:pPr>
          </w:p>
        </w:tc>
      </w:tr>
      <w:tr>
        <w:trPr>
          <w:trHeight w:val="243"/>
        </w:trPr>
        <w:tc>
          <w:tcPr>
            <w:tcW w:w="818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(517,054)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7"/>
        </w:trPr>
        <w:tc>
          <w:tcPr>
            <w:tcW w:w="81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1,690,171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1,245,385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2,640,415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7203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40005</wp:posOffset>
            </wp:positionV>
            <wp:extent cx="7203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30" w:right="25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4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249,172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1,019,751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576,622</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Sanofi collaboration revenue</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145,042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319,161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319,035</w:t>
            </w: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26,701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48,308</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Technology licensing</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5,893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17,679</w:t>
            </w: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2,231</w:t>
            </w:r>
          </w:p>
        </w:tc>
      </w:tr>
      <w:tr>
        <w:trPr>
          <w:trHeight w:val="237"/>
        </w:trPr>
        <w:tc>
          <w:tcPr>
            <w:tcW w:w="45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597,027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427,687</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1,494,333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963,875</w:t>
            </w: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158,295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444,530</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97,607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46,883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247,330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153,016</w:t>
            </w: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54,286</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Cost of collaboration manufacturing</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225,323</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946,378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651,832</w:t>
            </w:r>
          </w:p>
        </w:tc>
      </w:tr>
      <w:tr>
        <w:trPr>
          <w:trHeight w:val="291"/>
        </w:trPr>
        <w:tc>
          <w:tcPr>
            <w:tcW w:w="45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236,802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202,364</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547,955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312,043</w:t>
            </w:r>
          </w:p>
        </w:tc>
      </w:tr>
      <w:tr>
        <w:trPr>
          <w:trHeight w:val="291"/>
        </w:trPr>
        <w:tc>
          <w:tcPr>
            <w:tcW w:w="45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Investment income</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1,628</w:t>
            </w: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(33,809)</w:t>
            </w:r>
          </w:p>
        </w:tc>
      </w:tr>
      <w:tr>
        <w:trPr>
          <w:trHeight w:val="237"/>
        </w:trPr>
        <w:tc>
          <w:tcPr>
            <w:tcW w:w="45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(10,896)</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(32,181)</w:t>
            </w: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225,684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191,468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515,207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279,862</w:t>
            </w: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4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30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141,306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191,468</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327,556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279,862</w:t>
            </w:r>
          </w:p>
        </w:tc>
      </w:tr>
      <w:tr>
        <w:trPr>
          <w:trHeight w:val="284"/>
        </w:trPr>
        <w:tc>
          <w:tcPr>
            <w:tcW w:w="4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2.97</w:t>
            </w: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r>
      <w:tr>
        <w:trPr>
          <w:trHeight w:val="297"/>
        </w:trPr>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95,012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94,349</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116,713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115,830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115,554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109,780</w:t>
            </w: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5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191,468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279,862</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marketable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141,884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191,935</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325,871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279,820</w:t>
            </w: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6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26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240"/>
          </w:cols>
          <w:pgMar w:left="240" w:top="13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240" w:top="130" w:right="4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460" w:type="dxa"/>
            <w:vAlign w:val="bottom"/>
            <w:gridSpan w:val="3"/>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0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4200" w:type="dxa"/>
            <w:vAlign w:val="bottom"/>
            <w:gridSpan w:val="12"/>
          </w:tcPr>
          <w:p>
            <w:pPr>
              <w:jc w:val="center"/>
              <w:ind w:left="210"/>
              <w:spacing w:after="0"/>
              <w:rPr>
                <w:sz w:val="20"/>
                <w:szCs w:val="20"/>
                <w:color w:val="auto"/>
              </w:rPr>
            </w:pPr>
            <w:r>
              <w:rPr>
                <w:rFonts w:ascii="Arial" w:cs="Arial" w:eastAsia="Arial" w:hAnsi="Arial"/>
                <w:sz w:val="18"/>
                <w:szCs w:val="18"/>
                <w:b w:val="1"/>
                <w:bCs w:val="1"/>
                <w:color w:val="auto"/>
              </w:rPr>
              <w:t>REGENERON PHARMACEUTICALS, INC.</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40" w:type="dxa"/>
            <w:vAlign w:val="bottom"/>
            <w:gridSpan w:val="19"/>
          </w:tcPr>
          <w:p>
            <w:pPr>
              <w:jc w:val="center"/>
              <w:spacing w:after="0"/>
              <w:rPr>
                <w:sz w:val="20"/>
                <w:szCs w:val="20"/>
                <w:color w:val="auto"/>
              </w:rPr>
            </w:pPr>
            <w:r>
              <w:rPr>
                <w:rFonts w:ascii="Arial" w:cs="Arial" w:eastAsia="Arial" w:hAnsi="Arial"/>
                <w:sz w:val="18"/>
                <w:szCs w:val="18"/>
                <w:b w:val="1"/>
                <w:bCs w:val="1"/>
                <w:color w:val="auto"/>
                <w:w w:val="98"/>
              </w:rPr>
              <w:t>CONDENSED CONSOLIDATED STATEMENTS OF STOCKHOLDERS'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380" w:type="dxa"/>
            <w:vAlign w:val="bottom"/>
            <w:gridSpan w:val="15"/>
          </w:tcPr>
          <w:p>
            <w:pPr>
              <w:jc w:val="center"/>
              <w:ind w:right="860"/>
              <w:spacing w:after="0"/>
              <w:rPr>
                <w:sz w:val="20"/>
                <w:szCs w:val="20"/>
                <w:color w:val="auto"/>
              </w:rPr>
            </w:pPr>
            <w:r>
              <w:rPr>
                <w:rFonts w:ascii="Arial" w:cs="Arial" w:eastAsia="Arial" w:hAnsi="Arial"/>
                <w:sz w:val="18"/>
                <w:szCs w:val="18"/>
                <w:b w:val="1"/>
                <w:bCs w:val="1"/>
                <w:color w:val="auto"/>
                <w:w w:val="90"/>
              </w:rPr>
              <w:t>For the Nine Months Ended September 30, 2013 and 2012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5"/>
          </w:tcPr>
          <w:p>
            <w:pPr>
              <w:jc w:val="center"/>
              <w:ind w:right="220"/>
              <w:spacing w:after="0"/>
              <w:rPr>
                <w:sz w:val="20"/>
                <w:szCs w:val="20"/>
                <w:color w:val="auto"/>
              </w:rPr>
            </w:pPr>
            <w:r>
              <w:rPr>
                <w:rFonts w:ascii="Arial" w:cs="Arial" w:eastAsia="Arial" w:hAnsi="Arial"/>
                <w:sz w:val="18"/>
                <w:szCs w:val="18"/>
                <w:b w:val="1"/>
                <w:bCs w:val="1"/>
                <w:i w:val="1"/>
                <w:iCs w:val="1"/>
                <w:color w:val="auto"/>
                <w:w w:val="88"/>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gridSpan w:val="5"/>
            <w:vMerge w:val="restart"/>
          </w:tcPr>
          <w:p>
            <w:pPr>
              <w:ind w:left="220"/>
              <w:spacing w:after="0"/>
              <w:rPr>
                <w:sz w:val="20"/>
                <w:szCs w:val="20"/>
                <w:color w:val="auto"/>
              </w:rPr>
            </w:pPr>
            <w:r>
              <w:rPr>
                <w:rFonts w:ascii="Arial" w:cs="Arial" w:eastAsia="Arial" w:hAnsi="Arial"/>
                <w:sz w:val="18"/>
                <w:szCs w:val="18"/>
                <w:b w:val="1"/>
                <w:bCs w:val="1"/>
                <w:color w:val="auto"/>
              </w:rPr>
              <w:t>Class A Stock</w:t>
            </w:r>
          </w:p>
        </w:tc>
        <w:tc>
          <w:tcPr>
            <w:tcW w:w="156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80" w:type="dxa"/>
            <w:vAlign w:val="bottom"/>
            <w:gridSpan w:val="5"/>
            <w:vMerge w:val="continue"/>
          </w:tcPr>
          <w:p>
            <w:pPr>
              <w:spacing w:after="0"/>
              <w:rPr>
                <w:sz w:val="19"/>
                <w:szCs w:val="19"/>
                <w:color w:val="auto"/>
              </w:rPr>
            </w:pPr>
          </w:p>
        </w:tc>
        <w:tc>
          <w:tcPr>
            <w:tcW w:w="1560" w:type="dxa"/>
            <w:vAlign w:val="bottom"/>
            <w:gridSpan w:val="5"/>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Paid-in</w:t>
            </w:r>
          </w:p>
        </w:tc>
        <w:tc>
          <w:tcPr>
            <w:tcW w:w="118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w w:val="99"/>
              </w:rPr>
              <w:t>Accumulated</w:t>
            </w:r>
          </w:p>
        </w:tc>
        <w:tc>
          <w:tcPr>
            <w:tcW w:w="136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w w:val="96"/>
              </w:rPr>
              <w:t>Comprehensive</w:t>
            </w:r>
          </w:p>
        </w:tc>
        <w:tc>
          <w:tcPr>
            <w:tcW w:w="112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Deficit</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Income (Loss)</w:t>
            </w:r>
          </w:p>
        </w:tc>
        <w:tc>
          <w:tcPr>
            <w:tcW w:w="20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2012</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95,223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$1,763,508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1,245,385</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in connection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with exercise of stock options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42,622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42,625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Common Stock tendered upon exercise of</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options in connection with</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employee tax obligations</w:t>
            </w: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(166,358)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in connection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with Company 401(k) Savings Plan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Issuance of restricted Common Stock under</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Long-Term Incentive Plan</w:t>
            </w: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Conversion of Class A Stock to Common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Stock</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charges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144,808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Excess tax benefit from stock-based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compensation</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97,840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97,840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327,556</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2013</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97,351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$1,882,421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1,690,171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2011</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90,692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$1,754,824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(1,267,323)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485,732</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in connection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with exercise of stock options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48,436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48,440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Common Stock tendered upon exercise of</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options in connection with</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employee tax obligations</w:t>
            </w: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(71,475)</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in connection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with Company 401(k) Savings Plan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Issuance of restricted Common Stock under</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Long-Term Incentive Plan</w:t>
            </w: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Conversion of Class A Stock to Common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Stock</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charges</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63,507</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279,862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279,862</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 w:type="dxa"/>
            <w:vAlign w:val="bottom"/>
          </w:tcPr>
          <w:p>
            <w:pPr>
              <w:spacing w:after="0"/>
              <w:rPr>
                <w:sz w:val="23"/>
                <w:szCs w:val="23"/>
                <w:color w:val="auto"/>
              </w:rPr>
            </w:pPr>
          </w:p>
        </w:tc>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September 30, 2012</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94,410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$1,795,293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(987,461)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806,024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34290</wp:posOffset>
            </wp:positionV>
            <wp:extent cx="7126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51435</wp:posOffset>
            </wp:positionV>
            <wp:extent cx="7126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20"/>
          </w:cols>
          <w:pgMar w:left="240" w:top="11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60" w:type="dxa"/>
            <w:vAlign w:val="bottom"/>
            <w:gridSpan w:val="2"/>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48"/>
        </w:trPr>
        <w:tc>
          <w:tcPr>
            <w:tcW w:w="1160" w:type="dxa"/>
            <w:vAlign w:val="bottom"/>
            <w:tcBorders>
              <w:top w:val="single" w:sz="8" w:color="0000FF"/>
            </w:tcBorders>
          </w:tcPr>
          <w:p>
            <w:pPr>
              <w:spacing w:after="0"/>
              <w:rPr>
                <w:sz w:val="24"/>
                <w:szCs w:val="24"/>
                <w:color w:val="auto"/>
              </w:rPr>
            </w:pPr>
          </w:p>
        </w:tc>
        <w:tc>
          <w:tcPr>
            <w:tcW w:w="7200" w:type="dxa"/>
            <w:vAlign w:val="bottom"/>
          </w:tcPr>
          <w:p>
            <w:pPr>
              <w:jc w:val="center"/>
              <w:ind w:left="1810"/>
              <w:spacing w:after="0"/>
              <w:rPr>
                <w:sz w:val="20"/>
                <w:szCs w:val="20"/>
                <w:color w:val="auto"/>
              </w:rPr>
            </w:pPr>
            <w:r>
              <w:rPr>
                <w:rFonts w:ascii="Arial" w:cs="Arial" w:eastAsia="Arial" w:hAnsi="Arial"/>
                <w:sz w:val="18"/>
                <w:szCs w:val="18"/>
                <w:b w:val="1"/>
                <w:bCs w:val="1"/>
                <w:color w:val="auto"/>
              </w:rPr>
              <w:t>REGENERON PHARMACEUTICALS, INC.</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76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200" w:type="dxa"/>
            <w:vAlign w:val="bottom"/>
          </w:tcPr>
          <w:p>
            <w:pPr>
              <w:jc w:val="center"/>
              <w:ind w:left="1810"/>
              <w:spacing w:after="0"/>
              <w:rPr>
                <w:sz w:val="20"/>
                <w:szCs w:val="20"/>
                <w:color w:val="auto"/>
              </w:rPr>
            </w:pPr>
            <w:r>
              <w:rPr>
                <w:rFonts w:ascii="Arial" w:cs="Arial" w:eastAsia="Arial" w:hAnsi="Arial"/>
                <w:sz w:val="18"/>
                <w:szCs w:val="18"/>
                <w:b w:val="1"/>
                <w:bCs w:val="1"/>
                <w:i w:val="1"/>
                <w:iCs w:val="1"/>
                <w:color w:val="auto"/>
                <w:w w:val="88"/>
              </w:rPr>
              <w:t>(In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327,556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279,862</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29,912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27,162</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63,385</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Non-cash interest expense</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17,009</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13,636</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Deferred taxes</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82,890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Increase in Sanofi and trade accounts receivable</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(299,704)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(498,236)</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prepaid expenses and other assets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(71,244)</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Decrease in deferred revenue</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(28,605)</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94,894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29,231</w:t>
            </w:r>
          </w:p>
        </w:tc>
      </w:tr>
      <w:tr>
        <w:trPr>
          <w:trHeight w:val="237"/>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(447,662)</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(used in) operating activities</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306,867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(167,800)</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(477,312)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(398,253)</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260,770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Purchase of restricted cash and marketable securities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(87,347)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(34,175)</w:t>
            </w:r>
          </w:p>
        </w:tc>
      </w:tr>
      <w:tr>
        <w:trPr>
          <w:trHeight w:val="237"/>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(245,507)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(172,176)</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1160" w:type="dxa"/>
            <w:vAlign w:val="bottom"/>
            <w:shd w:val="clear" w:color="auto" w:fill="CCEEFF"/>
          </w:tcPr>
          <w:p>
            <w:pPr>
              <w:spacing w:after="0"/>
              <w:rPr>
                <w:sz w:val="24"/>
                <w:szCs w:val="24"/>
                <w:color w:val="auto"/>
              </w:rPr>
            </w:pPr>
          </w:p>
        </w:tc>
        <w:tc>
          <w:tcPr>
            <w:tcW w:w="7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facility and capital lease obligations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41,718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48,440</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(71,475)</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97,840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(24,636)</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(364,612)</w:t>
            </w:r>
          </w:p>
        </w:tc>
      </w:tr>
      <w:tr>
        <w:trPr>
          <w:trHeight w:val="297"/>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230,276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483,610</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263,211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118,998</w:t>
            </w:r>
          </w:p>
        </w:tc>
      </w:tr>
      <w:tr>
        <w:trPr>
          <w:trHeight w:val="20"/>
        </w:trPr>
        <w:tc>
          <w:tcPr>
            <w:tcW w:w="11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4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2012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2012.</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Product Sales</w:t>
      </w:r>
    </w:p>
    <w:p>
      <w:pPr>
        <w:spacing w:after="0" w:line="283"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in the United States totaled $363.1 million and $244.4 million for the three months ended September 30, 2013 and 2012, respectively, and $1,006.8 million and $561.9 million for the nine months ended September 30, 2013 and 2012, respectively. In November 2011, the Company received marketing approval from the U.S. Food and Drug Administration ("FDA") for EYLEA (aflibercept) Injection for the treatment of neovascular age-related macular degeneration ("wet AMD"). In September 2012, the Company received marketing approval from the FDA for EYLEA for the treatment of macular edema following central retinal vein occlusion ("CRVO").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$4.0 million and $4.8 million for the three months ended September 30, 2013 and 2012, respectively, and $12.9 million and $14.7 million for the nine months ended September 30, 2013 and 2012, respectively.</w:t>
      </w:r>
    </w:p>
    <w:p>
      <w:pPr>
        <w:spacing w:after="0" w:line="26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recorded 75% and 79% for the three months ended September 30, 2013 and 2012, respectively, and 76% and 79% for the nine months ended September 30, 2013 and 2012, respectively, of its total gross product revenue from sales to Besse Medical, a subsidiary of AmerisourceBergen Corporation.</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(including Medicaid), distribution-related fees, prompt pay discounts, product returns, and other sales-related deductions. The following table summarizes the provisions, and credits/payments, for these sales-related deductions during the nine months ended September 30, 2013.</w:t>
      </w: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18,826</w:t>
            </w: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65,526</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(59,592)</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September 30,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24,760</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43"/>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ind w:left="260" w:right="8980" w:hanging="252"/>
        <w:spacing w:after="0" w:line="636" w:lineRule="auto"/>
        <w:tabs>
          <w:tab w:leader="none" w:pos="19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Revenue </w:t>
      </w:r>
      <w:r>
        <w:rPr>
          <w:rFonts w:ascii="Arial" w:cs="Arial" w:eastAsia="Arial" w:hAnsi="Arial"/>
          <w:sz w:val="16"/>
          <w:szCs w:val="16"/>
          <w:i w:val="1"/>
          <w:iCs w:val="1"/>
          <w:color w:val="auto"/>
        </w:rPr>
        <w:t>Sanofi Collaboration Revenue</w:t>
      </w:r>
    </w:p>
    <w:p>
      <w:pPr>
        <w:spacing w:after="0" w:line="1"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6"/>
          <w:szCs w:val="16"/>
          <w:color w:val="auto"/>
        </w:rPr>
        <w:t>The collaboration revenue the Company earned from Sanofi, as detailed below, consisted primarily of reimbursement for research and development expenses that the Company incurred, the Company's share of losses in connection with Sanofi's commercialization of ZALTRAP</w:t>
      </w:r>
      <w:r>
        <w:rPr>
          <w:rFonts w:ascii="Arial" w:cs="Arial" w:eastAsia="Arial" w:hAnsi="Arial"/>
          <w:sz w:val="22"/>
          <w:szCs w:val="22"/>
          <w:color w:val="auto"/>
          <w:vertAlign w:val="superscript"/>
        </w:rPr>
        <w:t>®</w:t>
      </w:r>
      <w:r>
        <w:rPr>
          <w:rFonts w:ascii="Arial" w:cs="Arial" w:eastAsia="Arial" w:hAnsi="Arial"/>
          <w:sz w:val="16"/>
          <w:szCs w:val="16"/>
          <w:color w:val="auto"/>
        </w:rPr>
        <w:t>, recognition of a substantive milestone payment in the third quarter of 2012 related to FDA approval of ZALTRAP, and revenue related to non-refundable up-front payments.</w:t>
      </w:r>
    </w:p>
    <w:p>
      <w:pPr>
        <w:spacing w:after="0" w:line="228"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In addition, Sanofi collaboration revenue for the nine months ended September 30, 2013 was reduced by two $10.0 million up-front payments to Sanofi in connection with the Company's acquisition from Sanofi of full exclusive rights to two families of novel antibodies, as described below.</w:t>
      </w:r>
    </w:p>
    <w:p>
      <w:pPr>
        <w:spacing w:after="0" w:line="224"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26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w w:val="99"/>
              </w:rPr>
              <w:t>2012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commercialization of ZALTRAP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Substantive milestone payment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development and other expenses</w:t>
            </w:r>
          </w:p>
        </w:tc>
        <w:tc>
          <w:tcPr>
            <w:tcW w:w="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Recognition of deferred revenue related to up-front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payments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Total ZALTRAP</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47,578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134,432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Recognition of deferred revenue related to up-front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and other payments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Recognition of revenue related to</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4240" w:type="dxa"/>
            <w:vAlign w:val="bottom"/>
            <w:tcBorders>
              <w:bottom w:val="single" w:sz="8" w:color="CCEEFF"/>
            </w:tcBorders>
            <w:gridSpan w:val="2"/>
          </w:tcPr>
          <w:p>
            <w:pPr>
              <w:ind w:left="300"/>
              <w:spacing w:after="0" w:line="257" w:lineRule="exact"/>
              <w:rPr>
                <w:sz w:val="20"/>
                <w:szCs w:val="20"/>
                <w:color w:val="auto"/>
              </w:rPr>
            </w:pP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Antibody</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136,993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97,464</w:t>
            </w:r>
          </w:p>
        </w:tc>
        <w:tc>
          <w:tcPr>
            <w:tcW w:w="0" w:type="dxa"/>
            <w:vAlign w:val="bottom"/>
          </w:tcPr>
          <w:p>
            <w:pPr>
              <w:spacing w:after="0"/>
              <w:rPr>
                <w:sz w:val="1"/>
                <w:szCs w:val="1"/>
                <w:color w:val="auto"/>
              </w:rPr>
            </w:pPr>
          </w:p>
        </w:tc>
      </w:tr>
      <w:tr>
        <w:trPr>
          <w:trHeight w:val="257"/>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134,359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145,042</w:t>
            </w: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ind w:left="376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19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416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60" w:type="dxa"/>
            <w:vAlign w:val="bottom"/>
          </w:tcPr>
          <w:p>
            <w:pPr>
              <w:spacing w:after="0"/>
              <w:rPr>
                <w:sz w:val="17"/>
                <w:szCs w:val="17"/>
                <w:color w:val="auto"/>
              </w:rPr>
            </w:pPr>
          </w:p>
        </w:tc>
        <w:tc>
          <w:tcPr>
            <w:tcW w:w="138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8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4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ind w:left="300"/>
              <w:spacing w:after="0"/>
              <w:rPr>
                <w:sz w:val="20"/>
                <w:szCs w:val="20"/>
                <w:color w:val="auto"/>
              </w:rPr>
            </w:pPr>
            <w:r>
              <w:rPr>
                <w:rFonts w:ascii="Arial" w:cs="Arial" w:eastAsia="Arial" w:hAnsi="Arial"/>
                <w:sz w:val="18"/>
                <w:szCs w:val="18"/>
                <w:color w:val="auto"/>
              </w:rPr>
              <w:t>commercialization of ZALTRAP</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(22,581)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(19,525)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Substantive milestone payment</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29"/>
        </w:trPr>
        <w:tc>
          <w:tcPr>
            <w:tcW w:w="20" w:type="dxa"/>
            <w:vAlign w:val="bottom"/>
          </w:tcPr>
          <w:p>
            <w:pPr>
              <w:spacing w:after="0"/>
              <w:rPr>
                <w:sz w:val="19"/>
                <w:szCs w:val="19"/>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ind w:left="300"/>
              <w:spacing w:after="0"/>
              <w:rPr>
                <w:sz w:val="20"/>
                <w:szCs w:val="20"/>
                <w:color w:val="auto"/>
              </w:rPr>
            </w:pPr>
            <w:r>
              <w:rPr>
                <w:rFonts w:ascii="Arial" w:cs="Arial" w:eastAsia="Arial" w:hAnsi="Arial"/>
                <w:sz w:val="18"/>
                <w:szCs w:val="18"/>
                <w:color w:val="auto"/>
              </w:rPr>
              <w:t>development and other expenses</w:t>
            </w:r>
          </w:p>
        </w:tc>
        <w:tc>
          <w:tcPr>
            <w:tcW w:w="3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9,124</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Recognition of deferred revenue related to up-front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payments</w:t>
            </w: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8,260</w:t>
            </w:r>
          </w:p>
        </w:tc>
      </w:tr>
      <w:tr>
        <w:trPr>
          <w:trHeight w:val="237"/>
        </w:trPr>
        <w:tc>
          <w:tcPr>
            <w:tcW w:w="20" w:type="dxa"/>
            <w:vAlign w:val="bottom"/>
          </w:tcPr>
          <w:p>
            <w:pPr>
              <w:spacing w:after="0"/>
              <w:rPr>
                <w:sz w:val="20"/>
                <w:szCs w:val="20"/>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Total ZALTRAP</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47,859</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3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341,952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263,504</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Up-front payments to Sanofi for acquisition of rights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to two antibodies</w:t>
            </w:r>
          </w:p>
        </w:tc>
        <w:tc>
          <w:tcPr>
            <w:tcW w:w="3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140" w:type="dxa"/>
            <w:vAlign w:val="bottom"/>
            <w:gridSpan w:val="2"/>
          </w:tcPr>
          <w:p>
            <w:pPr>
              <w:ind w:left="140"/>
              <w:spacing w:after="0"/>
              <w:rPr>
                <w:sz w:val="20"/>
                <w:szCs w:val="20"/>
                <w:color w:val="auto"/>
              </w:rPr>
            </w:pPr>
            <w:r>
              <w:rPr>
                <w:rFonts w:ascii="Arial" w:cs="Arial" w:eastAsia="Arial" w:hAnsi="Arial"/>
                <w:sz w:val="18"/>
                <w:szCs w:val="18"/>
                <w:color w:val="auto"/>
                <w:w w:val="98"/>
              </w:rPr>
              <w:t>Recognition of deferred revenue related to up-front</w:t>
            </w: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40" w:type="dxa"/>
            <w:vAlign w:val="bottom"/>
            <w:gridSpan w:val="2"/>
          </w:tcPr>
          <w:p>
            <w:pPr>
              <w:ind w:left="300"/>
              <w:spacing w:after="0"/>
              <w:rPr>
                <w:sz w:val="20"/>
                <w:szCs w:val="20"/>
                <w:color w:val="auto"/>
              </w:rPr>
            </w:pPr>
            <w:r>
              <w:rPr>
                <w:rFonts w:ascii="Arial" w:cs="Arial" w:eastAsia="Arial" w:hAnsi="Arial"/>
                <w:sz w:val="18"/>
                <w:szCs w:val="18"/>
                <w:color w:val="auto"/>
              </w:rPr>
              <w:t>and other payments</w:t>
            </w:r>
          </w:p>
        </w:tc>
        <w:tc>
          <w:tcPr>
            <w:tcW w:w="3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6,475</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Recognition of revenue related to</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xml:space="preserve">VelociGene </w:t>
            </w:r>
            <w:r>
              <w:rPr>
                <w:rFonts w:ascii="Arial" w:cs="Arial" w:eastAsia="Arial" w:hAnsi="Arial"/>
                <w:sz w:val="18"/>
                <w:szCs w:val="18"/>
                <w:color w:val="auto"/>
              </w:rPr>
              <w:t>agreement</w:t>
            </w: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r>
      <w:tr>
        <w:trPr>
          <w:trHeight w:val="237"/>
        </w:trPr>
        <w:tc>
          <w:tcPr>
            <w:tcW w:w="20" w:type="dxa"/>
            <w:vAlign w:val="bottom"/>
          </w:tcPr>
          <w:p>
            <w:pPr>
              <w:spacing w:after="0"/>
              <w:rPr>
                <w:sz w:val="20"/>
                <w:szCs w:val="20"/>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Total Antibody</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329,635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271,176</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319,161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319,035</w:t>
            </w: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Sanofi commenced sales of ZALTRAP (ziv-aflibercept) Injection for Intravenous Infusion, in combination with 5-fluorouracil, leucovorin, irinotecan ("FOLFIRI"), for patients with metastatic colorectal cancer (“mCRC”) that is resistant to or has progressed following an oxaliplatin-containing regimen, in the United States in the third quarter of 2012 and in certain European and other countries in the first quarter of 2013. The Company and Sanofi globally collaborate on the development and commercialization of ZALTRAP. Under the terms of the companies' September 2003 collaboration agreement, as amended, Regeneron and Sanofi share co-promotion rights and profits and losses on sales of ZALTRAP outside of Japan. In Japan, the Company is entitled to a royalty on sales of ZALTRAP.</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Acquisition from Sanofi of Rights to PDGF and Ang2 in Ophthalmology</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PDGF (platelet derived growth factor) family of receptors and ligands in ophthalmology and all other indications and to antibodies targeting the Ang2 (angiopoietin-2) receptor and ligand in ophthalmology. Antibodies to the PDGF receptor and Ang2 are currently in preclinical development for use in ophthalmology.</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With respect to PDGF antibodies, the Company made a $10.0 million up-front payment to Sanofi in the second quarter of 2013, and is obligated to pay up to $40 million in potential development milestone payments and royalties on any future sales. With respect to Ang2 antibodies in ophthalmology, the Company also made a $10.0 million up-front payment to Sanofi in the second quarter of 2013, and is obligated to pay a potential $5 million development milestone payment and royalties on any future sales.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commenced sales of EYLEA for the treatment of wet AMD in the fourth quarter of 2012 following receipt of regulatory approvals in the European Union and other regions. The Company and Bayer HealthCare globally collaborate on the development and commercialization of EYLEA outside of the United States.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167"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472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124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commercialization of EYLEA outside the United States  $</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Sales and substantive development milestone payments</w:t>
            </w:r>
          </w:p>
        </w:tc>
        <w:tc>
          <w:tcPr>
            <w:tcW w:w="1240" w:type="dxa"/>
            <w:vAlign w:val="bottom"/>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Cost-sharing of Regeneron EYLEA development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9,724</w:t>
            </w:r>
          </w:p>
        </w:tc>
      </w:tr>
      <w:tr>
        <w:trPr>
          <w:trHeight w:val="243"/>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Reimbursement of other Regeneron EYLEA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4,993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 related to up-front and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milestone payments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37"/>
        </w:trPr>
        <w:tc>
          <w:tcPr>
            <w:tcW w:w="4340" w:type="dxa"/>
            <w:vAlign w:val="bottom"/>
            <w:gridSpan w:val="3"/>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88,583</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26,701</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472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124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commercialization of EYLEA outside the United States  $</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Sales and substantive development milestone payments</w:t>
            </w:r>
          </w:p>
        </w:tc>
        <w:tc>
          <w:tcPr>
            <w:tcW w:w="1240" w:type="dxa"/>
            <w:vAlign w:val="bottom"/>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Cost-sharing of Regeneron EYLEA development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27,377</w:t>
            </w:r>
          </w:p>
        </w:tc>
      </w:tr>
      <w:tr>
        <w:trPr>
          <w:trHeight w:val="243"/>
        </w:trPr>
        <w:tc>
          <w:tcPr>
            <w:tcW w:w="4720" w:type="dxa"/>
            <w:vAlign w:val="bottom"/>
            <w:gridSpan w:val="4"/>
          </w:tcPr>
          <w:p>
            <w:pPr>
              <w:ind w:left="20"/>
              <w:spacing w:after="0"/>
              <w:rPr>
                <w:sz w:val="20"/>
                <w:szCs w:val="20"/>
                <w:color w:val="auto"/>
              </w:rPr>
            </w:pPr>
            <w:r>
              <w:rPr>
                <w:rFonts w:ascii="Arial" w:cs="Arial" w:eastAsia="Arial" w:hAnsi="Arial"/>
                <w:sz w:val="18"/>
                <w:szCs w:val="18"/>
                <w:color w:val="auto"/>
              </w:rPr>
              <w:t>Reimbursement of other Regeneron EYLEA expenses</w:t>
            </w:r>
          </w:p>
        </w:tc>
        <w:tc>
          <w:tcPr>
            <w:tcW w:w="1240" w:type="dxa"/>
            <w:vAlign w:val="bottom"/>
          </w:tcPr>
          <w:p>
            <w:pPr>
              <w:jc w:val="right"/>
              <w:spacing w:after="0"/>
              <w:rPr>
                <w:sz w:val="20"/>
                <w:szCs w:val="20"/>
                <w:color w:val="auto"/>
              </w:rPr>
            </w:pPr>
            <w:r>
              <w:rPr>
                <w:rFonts w:ascii="Arial" w:cs="Arial" w:eastAsia="Arial" w:hAnsi="Arial"/>
                <w:sz w:val="18"/>
                <w:szCs w:val="18"/>
                <w:color w:val="auto"/>
              </w:rPr>
              <w:t>11,995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7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 related to up-front and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milestone payments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r>
      <w:tr>
        <w:trPr>
          <w:trHeight w:val="237"/>
        </w:trPr>
        <w:tc>
          <w:tcPr>
            <w:tcW w:w="4340" w:type="dxa"/>
            <w:vAlign w:val="bottom"/>
            <w:gridSpan w:val="3"/>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134,594</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48,308</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third quarter of 2013, the Company earned a $15.0 million substantive development milestone payment from Bayer HealthCare upon receipt of marketing approval in the European Union for EYLEA for the treatment of macular edema secondary to CRVO. In addition, the Company earned, and recorded as revenue in the third quarter of 2013, two $15.0 million sales milestone payments from Bayer HealthCare upon total aggregate net sales of EYLEA outside the United States exceeding $200 million and $300 million, respectively, over a twelve-month period. In the third quarter of 2012, the Company earned a $15.0 million substantive development milestone payment from Bayer HealthCare upon receipt of marketing approval in Japan for EYLEA for the treatment of wet AMD. The Company may receive an additional $10 million milestone payment related to pricing approval of EYLEA for CRVO in the first major market country outside the United States, and can earn up to $105 million in additional sales milestone payments if twelve-month net sales of EYLEA outside the United States achieve certain specified levels up to $1 billion.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4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3"/>
                <w:szCs w:val="23"/>
                <w:color w:val="auto"/>
              </w:rPr>
            </w:pPr>
          </w:p>
        </w:tc>
      </w:tr>
      <w:tr>
        <w:trPr>
          <w:trHeight w:val="27"/>
        </w:trPr>
        <w:tc>
          <w:tcPr>
            <w:tcW w:w="4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191,468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Convertible senior notes - interest expense related to</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contractual coupon interest rate and amortization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7"/>
        </w:trPr>
        <w:tc>
          <w:tcPr>
            <w:tcW w:w="4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of discount and note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r>
      <w:tr>
        <w:trPr>
          <w:trHeight w:val="29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 diluted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145,984</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198,842</w:t>
            </w:r>
          </w:p>
        </w:tc>
      </w:tr>
      <w:tr>
        <w:trPr>
          <w:trHeight w:val="311"/>
        </w:trPr>
        <w:tc>
          <w:tcPr>
            <w:tcW w:w="4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95,012</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14,106</w:t>
            </w: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7"/>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20,818</w:t>
            </w:r>
          </w:p>
        </w:tc>
      </w:tr>
      <w:tr>
        <w:trPr>
          <w:trHeight w:val="29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116,713</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115,830</w:t>
            </w:r>
          </w:p>
        </w:tc>
      </w:tr>
      <w:tr>
        <w:trPr>
          <w:trHeight w:val="203"/>
        </w:trPr>
        <w:tc>
          <w:tcPr>
            <w:tcW w:w="4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459"/>
        </w:trPr>
        <w:tc>
          <w:tcPr>
            <w:tcW w:w="4360" w:type="dxa"/>
            <w:vAlign w:val="bottom"/>
          </w:tcPr>
          <w:p>
            <w:pPr>
              <w:ind w:left="378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4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3"/>
                <w:szCs w:val="23"/>
                <w:color w:val="auto"/>
              </w:rPr>
            </w:pPr>
          </w:p>
        </w:tc>
      </w:tr>
      <w:tr>
        <w:trPr>
          <w:trHeight w:val="27"/>
        </w:trPr>
        <w:tc>
          <w:tcPr>
            <w:tcW w:w="4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279,862</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Convertible senior notes - interest expense related to</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contractual coupon interest rate and amortization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7"/>
        </w:trPr>
        <w:tc>
          <w:tcPr>
            <w:tcW w:w="4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of discount and note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9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 diluted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341,413</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279,862</w:t>
            </w:r>
          </w:p>
        </w:tc>
      </w:tr>
      <w:tr>
        <w:trPr>
          <w:trHeight w:val="284"/>
        </w:trPr>
        <w:tc>
          <w:tcPr>
            <w:tcW w:w="4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94,349</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14,080</w:t>
            </w: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7"/>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15,431</w:t>
            </w:r>
          </w:p>
        </w:tc>
      </w:tr>
      <w:tr>
        <w:trPr>
          <w:trHeight w:val="29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115,554</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109,780</w:t>
            </w:r>
          </w:p>
        </w:tc>
      </w:tr>
      <w:tr>
        <w:trPr>
          <w:trHeight w:val="203"/>
        </w:trPr>
        <w:tc>
          <w:tcPr>
            <w:tcW w:w="4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4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Shares which have been excluded from the September 30, 2013 and 2012 diluted per share amounts because their effect would have been antidilutive, include the following:</w:t>
      </w:r>
    </w:p>
    <w:p>
      <w:pPr>
        <w:spacing w:after="0" w:line="247" w:lineRule="exact"/>
        <w:rPr>
          <w:sz w:val="20"/>
          <w:szCs w:val="20"/>
          <w:color w:val="auto"/>
        </w:rPr>
      </w:pPr>
    </w:p>
    <w:tbl>
      <w:tblPr>
        <w:tblLayout w:type="fixed"/>
        <w:tblInd w:w="240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r>
      <w:tr>
        <w:trPr>
          <w:trHeight w:val="270"/>
        </w:trPr>
        <w:tc>
          <w:tcPr>
            <w:tcW w:w="3380" w:type="dxa"/>
            <w:vAlign w:val="bottom"/>
          </w:tcPr>
          <w:p>
            <w:pPr>
              <w:spacing w:after="0"/>
              <w:rPr>
                <w:sz w:val="23"/>
                <w:szCs w:val="23"/>
                <w:color w:val="auto"/>
              </w:rPr>
            </w:pPr>
          </w:p>
        </w:tc>
        <w:tc>
          <w:tcPr>
            <w:tcW w:w="22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3"/>
                <w:szCs w:val="23"/>
                <w:color w:val="auto"/>
              </w:rPr>
            </w:pPr>
          </w:p>
        </w:tc>
      </w:tr>
      <w:tr>
        <w:trPr>
          <w:trHeight w:val="27"/>
        </w:trPr>
        <w:tc>
          <w:tcPr>
            <w:tcW w:w="33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33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378"/>
        </w:trPr>
        <w:tc>
          <w:tcPr>
            <w:tcW w:w="3380" w:type="dxa"/>
            <w:vAlign w:val="bottom"/>
          </w:tcPr>
          <w:p>
            <w:pPr>
              <w:spacing w:after="0"/>
              <w:rPr>
                <w:sz w:val="24"/>
                <w:szCs w:val="24"/>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3380" w:type="dxa"/>
            <w:vAlign w:val="bottom"/>
          </w:tcPr>
          <w:p>
            <w:pPr>
              <w:spacing w:after="0"/>
              <w:rPr>
                <w:sz w:val="23"/>
                <w:szCs w:val="23"/>
                <w:color w:val="auto"/>
              </w:rPr>
            </w:pPr>
          </w:p>
        </w:tc>
        <w:tc>
          <w:tcPr>
            <w:tcW w:w="22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3"/>
                <w:szCs w:val="23"/>
                <w:color w:val="auto"/>
              </w:rPr>
            </w:pPr>
          </w:p>
        </w:tc>
      </w:tr>
      <w:tr>
        <w:trPr>
          <w:trHeight w:val="27"/>
        </w:trPr>
        <w:tc>
          <w:tcPr>
            <w:tcW w:w="33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33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4,761</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Marketable securities at September 30, 2013 and December 31, 2012 consist of debt and equity securities primarily issued by investment grade institutions. The Company also held restricted marketable securities at December 31, 2012, which consisted of debt securities, as detailed below, that collateralized letters of credit and lease obligations. During the second quarter of 2013, these collateral requirements were rescinded, either due to cancellation of the associated letter of credit or easing of lender requirements on the Company. As a result, during the second quarter of 2013, all formerly restricted marketable securities were reclassified as unrestricted on the Company's balance sheet which, for the purpose of the Company's Statement of Cash Flows, was treated as a non-cash investing transaction.</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 at September 30, 2013 and December 31, 2012.</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At September 30, 2013</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106,788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106,789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57,046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International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513,693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511,975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At December 31, 2012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327,502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354,990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classifies its debt securities based on their contractual maturity dates. The debt securities listed at September 30, 2013 mature at various dates through August 2024. The fair values of debt security investments by contractual maturity as of September 30, 2013 and December 31, 2012 consist of the following:</w:t>
      </w:r>
    </w:p>
    <w:p>
      <w:pPr>
        <w:spacing w:after="0" w:line="393"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70"/>
        </w:trPr>
        <w:tc>
          <w:tcPr>
            <w:tcW w:w="3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r>
      <w:tr>
        <w:trPr>
          <w:trHeight w:val="27"/>
        </w:trPr>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Unrestricted</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Maturities within one year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182,112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77,819</w:t>
            </w: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Maturities after one year through five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267,837</w:t>
            </w:r>
          </w:p>
        </w:tc>
      </w:tr>
      <w:tr>
        <w:trPr>
          <w:trHeight w:val="229"/>
        </w:trPr>
        <w:tc>
          <w:tcPr>
            <w:tcW w:w="3700" w:type="dxa"/>
            <w:vAlign w:val="bottom"/>
          </w:tcPr>
          <w:p>
            <w:pPr>
              <w:ind w:left="280"/>
              <w:spacing w:after="0"/>
              <w:rPr>
                <w:sz w:val="20"/>
                <w:szCs w:val="20"/>
                <w:color w:val="auto"/>
              </w:rPr>
            </w:pPr>
            <w:r>
              <w:rPr>
                <w:rFonts w:ascii="Arial" w:cs="Arial" w:eastAsia="Arial" w:hAnsi="Arial"/>
                <w:sz w:val="18"/>
                <w:szCs w:val="18"/>
                <w:color w:val="auto"/>
              </w:rPr>
              <w:t>Maturities after five years through ten</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3700" w:type="dxa"/>
            <w:vAlign w:val="bottom"/>
          </w:tcPr>
          <w:p>
            <w:pPr>
              <w:ind w:left="280"/>
              <w:spacing w:after="0"/>
              <w:rPr>
                <w:sz w:val="20"/>
                <w:szCs w:val="20"/>
                <w:color w:val="auto"/>
              </w:rPr>
            </w:pPr>
            <w:r>
              <w:rPr>
                <w:rFonts w:ascii="Arial" w:cs="Arial" w:eastAsia="Arial" w:hAnsi="Arial"/>
                <w:sz w:val="18"/>
                <w:szCs w:val="18"/>
                <w:color w:val="auto"/>
              </w:rPr>
              <w:t>years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after ten years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37"/>
        </w:trPr>
        <w:tc>
          <w:tcPr>
            <w:tcW w:w="3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509,733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345,656</w:t>
            </w:r>
          </w:p>
        </w:tc>
      </w:tr>
      <w:tr>
        <w:trPr>
          <w:trHeight w:val="27"/>
        </w:trPr>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Restricted</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Maturities within one year</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2,781</w:t>
            </w: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Maturities after one year through five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years</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r>
      <w:tr>
        <w:trPr>
          <w:trHeight w:val="237"/>
        </w:trPr>
        <w:tc>
          <w:tcPr>
            <w:tcW w:w="3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5,909</w:t>
            </w:r>
          </w:p>
        </w:tc>
      </w:tr>
      <w:tr>
        <w:trPr>
          <w:trHeight w:val="27"/>
        </w:trPr>
        <w:tc>
          <w:tcPr>
            <w:tcW w:w="3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351,565</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September 30, 2013 and December 31, 2012.</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September 30, 2013</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w w:val="90"/>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420"/>
              <w:spacing w:after="0"/>
              <w:rPr>
                <w:sz w:val="20"/>
                <w:szCs w:val="20"/>
                <w:color w:val="auto"/>
              </w:rPr>
            </w:pPr>
            <w:r>
              <w:rPr>
                <w:rFonts w:ascii="Arial" w:cs="Arial" w:eastAsia="Arial" w:hAnsi="Arial"/>
                <w:sz w:val="18"/>
                <w:szCs w:val="18"/>
                <w:color w:val="auto"/>
              </w:rPr>
              <w:t>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57,612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57,612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International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230,619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232,861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At December 31, 2012</w:t>
            </w:r>
          </w:p>
        </w:tc>
        <w:tc>
          <w:tcPr>
            <w:tcW w:w="16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0"/>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Realized gains and losses are included as a component of investment income. For the three and nine months ended September 30, 2013, total realized gains on sales of marketable securities were $0.5 million and $1.0 million respectively, and there were no realized losses. For both the three and nine months ended September 30, 2012, total realized gains and losses on sales of marketable securities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Company’s assets that are measured at fair value on a recurring basis</w:t>
      </w:r>
      <w:r>
        <w:rPr>
          <w:rFonts w:ascii="Arial" w:cs="Arial" w:eastAsia="Arial" w:hAnsi="Arial"/>
          <w:sz w:val="16"/>
          <w:szCs w:val="16"/>
          <w:i w:val="1"/>
          <w:iCs w:val="1"/>
          <w:color w:val="auto"/>
        </w:rPr>
        <w:t>,</w:t>
      </w:r>
      <w:r>
        <w:rPr>
          <w:rFonts w:ascii="Arial" w:cs="Arial" w:eastAsia="Arial" w:hAnsi="Arial"/>
          <w:sz w:val="16"/>
          <w:szCs w:val="16"/>
          <w:color w:val="auto"/>
        </w:rPr>
        <w:t xml:space="preserve"> at September 30, 2013 and December 31, 2012, consist of the following:</w:t>
      </w:r>
    </w:p>
    <w:p>
      <w:pPr>
        <w:spacing w:after="0" w:line="32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September 30, 2013</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7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303,194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303,194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International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511,975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December 31, 2012</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62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349,049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345,656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government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during the three and nine months ended September 30, 2013 and 2012.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2012 and through the six months ended June 30, 2013, the Company held only one Level 3 marketable security whose cost basis was zero, as the security had been fully impaired prior to 2012. During the three months ended September 30, 2013, the Company sold this Level 3 marketable security and realized a $0.4 million gain on its sale. There were no purchases or maturities of Level 3 marketable securities and no unrealized gains or losses related to Level 3 marketable securities for the three and nine months ended September 30, 2013 and 2012. There were no transfers of marketable securities between Levels 1, 2, or 3 classifications during the three and nine months ended September 30, 2013 and 2012. At September 30, 2013, the Company held no Level 3 marketable securities.</w:t>
      </w:r>
    </w:p>
    <w:p>
      <w:pPr>
        <w:spacing w:after="0" w:line="11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of September 30, 2013 and December 31, 2012, the Company had $400.0 million in aggregate principal amount of 1.875% convertible senior notes that will mature on October 1, 2016 unless earlier converted or repurchased. The fair value of the outstanding convertible senior notes was estimated to be $1,486.4 million and $843.2 million as of September 30, 2013 and December 31, 2012, respectively, and was determined based on Level 2 inputs.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which was included in prepaid expenses and other current assets in the Company's balance sheets, consists of the following:</w:t>
      </w:r>
    </w:p>
    <w:p>
      <w:pPr>
        <w:spacing w:after="0" w:line="302"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3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2012</w:t>
            </w:r>
          </w:p>
        </w:tc>
      </w:tr>
      <w:tr>
        <w:trPr>
          <w:trHeight w:val="27"/>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14,656</w:t>
            </w:r>
          </w:p>
        </w:tc>
      </w:tr>
      <w:tr>
        <w:trPr>
          <w:trHeight w:val="27"/>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10,908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6,550</w:t>
            </w:r>
          </w:p>
        </w:tc>
      </w:tr>
      <w:tr>
        <w:trPr>
          <w:trHeight w:val="27"/>
        </w:trPr>
        <w:tc>
          <w:tcPr>
            <w:tcW w:w="3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33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w:t>
      </w:r>
    </w:p>
    <w:p>
      <w:pPr>
        <w:spacing w:after="0" w:line="8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of September 30, 2013 and December 31, 2012, inventory included reserves of $5.1 million and $3.6 million, respectively. For the nine months ended September 30, 2013 and 2012, cost of goods sold included inventory write-downs and reserves totaling $4.8 million and $8.6 million, respectively. For the three months ended September 30, 2013 and 2012, inventory write-downs and reserves included in cost of goods sold were not material.</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86"/>
        </w:trPr>
        <w:tc>
          <w:tcPr>
            <w:tcW w:w="5280" w:type="dxa"/>
            <w:vAlign w:val="bottom"/>
            <w:gridSpan w:val="2"/>
          </w:tcPr>
          <w:p>
            <w:pPr>
              <w:ind w:left="260"/>
              <w:spacing w:after="0"/>
              <w:rPr>
                <w:sz w:val="20"/>
                <w:szCs w:val="20"/>
                <w:color w:val="auto"/>
              </w:rPr>
            </w:pPr>
            <w:r>
              <w:rPr>
                <w:rFonts w:ascii="Arial" w:cs="Arial" w:eastAsia="Arial" w:hAnsi="Arial"/>
                <w:sz w:val="18"/>
                <w:szCs w:val="18"/>
                <w:color w:val="auto"/>
                <w:w w:val="96"/>
              </w:rPr>
              <w:t>Accounts payable and accrued expenses consist of the following:</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648"/>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19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2012</w:t>
            </w:r>
          </w:p>
        </w:tc>
      </w:tr>
      <w:tr>
        <w:trPr>
          <w:trHeight w:val="27"/>
        </w:trPr>
        <w:tc>
          <w:tcPr>
            <w:tcW w:w="192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38,934</w:t>
            </w:r>
          </w:p>
        </w:tc>
      </w:tr>
      <w:tr>
        <w:trPr>
          <w:trHeight w:val="243"/>
        </w:trPr>
        <w:tc>
          <w:tcPr>
            <w:tcW w:w="1920" w:type="dxa"/>
            <w:vAlign w:val="bottom"/>
          </w:tcPr>
          <w:p>
            <w:pPr>
              <w:spacing w:after="0"/>
              <w:rPr>
                <w:sz w:val="21"/>
                <w:szCs w:val="21"/>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68,928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19,987</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r>
      <w:tr>
        <w:trPr>
          <w:trHeight w:val="229"/>
        </w:trPr>
        <w:tc>
          <w:tcPr>
            <w:tcW w:w="192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w w:val="96"/>
              </w:rPr>
              <w:t>Accrued sales-related charges, deductions,</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56,290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21,870</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19,569</w:t>
            </w:r>
          </w:p>
        </w:tc>
      </w:tr>
      <w:tr>
        <w:trPr>
          <w:trHeight w:val="237"/>
        </w:trPr>
        <w:tc>
          <w:tcPr>
            <w:tcW w:w="1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111,345</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75"/>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ind w:right="14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With respect to non-cash investing activities in connection with the Company's Statements of Cash Flows, included in accounts payable and accrued expenses at September 30, 2013 and December 31, 2012 were $18.4 million and $8.6 million, respectively, of accrued capital expenditures. Included in accounts payable and accrued expenses at September 30, 2012 and December 31, 2011 were $7.0 million and $6.2 million, respectively, of accrued capital expenditures.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April 2013, the Company entered into a new lease agreement for additional laboratory and office space to be constructed in two new buildings (the "Buildings"), which are expected to be completed in late 2015, at the Company's current Tarrytown, New York location. The initial term of the lease, which is expected to commence in mid-2014, is approximately 15 years and contains three renewal options to extend the term of the lease by five years each. The lease provides for (i) monthly payments over its term, which will be based on the landlord's costs of construction and tenant allowances, and (ii) additional charges for utilities, taxes, and operating expenses. Based upon various factors, including the Company's involvement in the Buildings' construction and its responsibility for directly paying for a substantial portion of tenant improvements, the Company is deemed, in substance, to be the owner of the landlord's Buildings in accordance with the application of FASB authoritative guidance. Consequently, in addition to capitalizing the tenant improvements, the Company capitalizes the landlord's costs of constructing these new facilities, offset by a corresponding lease obligation on the Company's balance sheet. The Company will allocate a portion of its future lease payments to the Buildings and the land on which the Buildings are being constructed. The land element of the lease is treated for accounting purposes as an operating lease.</w:t>
      </w:r>
    </w:p>
    <w:p>
      <w:pPr>
        <w:spacing w:after="0" w:line="23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Commencing in the second quarter of 2013, the Company began capitalizing the landlord's costs of constructing the new Buildings, which totaled $7.7 million at September 30, 2013, and recognized a corresponding facility lease obligation of $7.7 million. Such amounts were included as a non-cash activity within the Company's Condensed Consolidated Statements of Cash Flows. Rent expense in connection with the land element of these new facilities commenced in April 2013 and is recorded as a deferred liability until lease payments commence in mid-2014.</w:t>
      </w:r>
    </w:p>
    <w:p>
      <w:pPr>
        <w:spacing w:after="0" w:line="9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April 2013, the Company also executed an early renewal of certain laboratory and office space that it currently leases at its Tarrytown location. The early renewal extended the term of the lease from June 2024 to June 2029.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is subject to U.S. federal, state, and foreign income taxes. The Company's effective tax rate for the three and nine months ended September 30, 2013 was 37.4% and 36.4%, respectively. The nine month effective tax rate included, as a discrete item, the favorable impact of the enactment of The American Taxpayer Relief Act in January 2013. The American Taxpayer Relief Act included a provision to extend the income tax credit for increased research activities retroactively to the tax year ended December 31, 2012, as well as for 2013. As a result, the Company's 2012 research tax credit reduced its effective tax rate for the nine months ended September 30, 2013 by 4.3%.</w:t>
      </w:r>
    </w:p>
    <w:p>
      <w:pPr>
        <w:spacing w:after="0" w:line="24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For the three and nine months ended September 30, 2013, the Company recorded an income tax provision of $84.4 million and $187.7 million, respectively.</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the three and nine months ended September 30, 2012, income tax expense relating to the Company's pre-tax income was fully offset by a reversal of a portion of the Company's valuation allowance. As of September 30, 2012, the Company continued to recognize a full valuation allowance against its net operating loss carry-forward and other deferred tax assets since the Company had an extended history of losses. In the fourth quarter of 2012, the Company recorded an income tax benefit attributable to the release of substantially all of the remaining valuation allowance against the Company's deferred tax assets. The decision to release this valuation allowance was made after the Company determined that it was more likely than not that these deferred tax assets would be realized.</w:t>
      </w:r>
    </w:p>
    <w:p>
      <w:pPr>
        <w:spacing w:after="0" w:line="24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Tax years subsequent to 2009 remain open to examination by federal tax authorities. In addition, New York State has commenced an examination of the Company's 2009, 2010, and 2011 tax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 Costs associated with the Company’s involvement in legal proceedings are expensed as incurred.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Settlement Agreements with Genentech</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On December 31, 2011, the Company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Under the Original Genentech Agreement, the Company received a non-exclusive license to the Davis-Smyth patents, and certain other patents owned or co-owned by Genentech. The Original Genentech Agreement did not cover any non-U.S. patent rights or non-U.S. patent disputes, and did not cover any use of aflibercept other than for prevention and treatment of human eye diseases and disorders in the United States. The Original Genentech Agreement provided for the Company to make payments to Genentech based on U.S. sales of EYLEA through May 7, 2016, the date the Davis-Smyth patents expire. Under the Original Genentech Agreement, the Company made a $60.0 million payment when cumulative U.S. sales of EYLEA reached $400 million, and is obligated to pay royalties of 4.75% on cumulative relevant sales of EYLEA between $400 million and $3 billion and 5.5% on any cumulative relevant sales of EYLEA over $3 billion.</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Effective May 17, 2013, the Company entered into an Amended and Restated Non-Exclusive License and Settlement Agreement with Genentech (the "Amended Genentech Agreement"), which amended the Original Genentech Agreement to now include all sales of EYLEA worldwide and ended the litigation relating to those matters. Under the Amended Genentech Agreement, the Company received a worldwide non-exclusive license to the Davis-Smyth patents, and certain other patents, owned or co-owned by Genentech for the prevention or treatment of eye diseases and eye disorders in a human through administration of EYLEA to the eye. Under the Amended Genentech Agreement, the Company is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the Company's license and collaboration agreement. All payments to Genentech under the Original Genentech Agreement and the Amended Genentech Agreement have been or will be made by the Company. Bayer HealthCare will share in all such payments based on the proportion of ex-U.S. EYLEA sales to worldwide EYLEA sales and determined consistent with the license and collaboration agreement.</w:t>
      </w:r>
    </w:p>
    <w:p>
      <w:pPr>
        <w:spacing w:after="0" w:line="9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Also on May 17, 2013, the Company entered into a Non-Exclusive License and Settlement Agreement (the "ZALTRAP Agreement") with Genentech and Sanofi under which the Company and Sanofi received a worldwide non-exclusive license to the Davis-Smyth patents, and certain other patents, in all indications for human use other than the prevention or treatment of eye diseases and eye disorders through administration to the eye. Under the terms of the ZALTRAP Agreement, payments are required to be made to Genentech based on sales of ZALTRAP in the United States and of ZALTRAP that is manufactured in the United States and sold outside the United States through May 7, 2016. A payment of $19 million is required to be made upon cumulative relevant sales of ZALTRAP reaching $200 million. In addition, royalty payments are required to be made to Genentech based upon 4.5% of cumulative relevant sales of ZALTRAP between $400 million and $1 billion and 6.5% of any cumulative relevant sales of ZALTRAP over $1 billion. All payments to Genentech under the ZALTRAP Agreement will be made by Sanofi, and the Company will share in all such payments.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36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financial performance of Regeneron Pharmaceuticals, Inc. ("Regeneron," "Company", "we," "us," and "our"), and actual events or results may differ materially from these forward-looking statements. Words such as "anticipate," "expect," "intend," "plan," "believe," "seeks,"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EYLEA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ZALTRAP</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and ARCALYST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and our product candidates, potential new indications for marketed products, and research and clinical programs now underway or planned; the likelihood and timing of possible regulatory approval and commercial launch of our late-stage product candidates and new indications for marketed products; ongoing regulatory obligations and oversight impacting our research and clinical programs and business; determinations by regulatory and administrative governmental authorities which may delay or restrict our ability to continue to develop or commercialize EYLEA, ZALTRAP, and ARCALYST and other product candidates and possible new indications for marketed products; our ability to manufacture and manage supply chains for multiple products and product candidates; competing drugs and product candidates that may be superior to EYLEA, ZALTRAP, and ARCALYST and our product candidates and possible new indications for marketed products; uncertainty of market acceptance and commercial success of EYLEA, ZALTRAP, and ARCALYST and our product candidates and possible new indications for marketed products; coverage and reimbursement determinations by third-party payers, including Medicare and Medicaid; unforeseen safety issues resulting from the administration of products and product candidates in patients, including serious complications or side effects in connection with the use of our product candidates in clinical trials; unanticipated expenses; the costs of developing, producing, and selling products; our ability to meet any of our financial projections or guidance and changes to the assumptions underlying those projections or guidance; the potential for any license or collaboration agreement, including our agreements with Sanofi and Bayer HealthCare LLC, to be canceled or terminated without any further product success; and risks associated with intellectual property of other parties and pending or future litigation relating thereto. These statements are made by us based on management's current beliefs and judgment, and the reader is cautioned not to rely on any such statements.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243"/>
        <w:spacing w:after="0" w:line="266" w:lineRule="auto"/>
        <w:rPr>
          <w:sz w:val="20"/>
          <w:szCs w:val="20"/>
          <w:color w:val="auto"/>
        </w:rPr>
      </w:pPr>
      <w:r>
        <w:rPr>
          <w:rFonts w:ascii="Arial" w:cs="Arial" w:eastAsia="Arial" w:hAnsi="Arial"/>
          <w:sz w:val="16"/>
          <w:szCs w:val="16"/>
          <w:color w:val="auto"/>
        </w:rPr>
        <w:t>Regeneron Pharmaceuticals, Inc. is a fully integrated biopharmaceutical company that discovers, invents, develops, manufactures, and commercializes medicines for the treatment of serious medical conditions. Our total revenues were $597.0 million in the third quarter and $1,494.3 million in the first nine months of 2013, compared to $427.7 million in the third quarter and $963.9 million in the first nine months of 2012. Total revenues in the third quarter and first nine months of 2013 included a $15.0 million substantive milestone payment from Bayer HealthCare related to the first marketing approval for EYLEA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macular edema secondary to central retinal vein occlusion (CRVO) outside the United States, as well as two $15.0 million sales milestone payments from Bayer HealthCare upon total aggregate net sales of EYLEA outside the United States exceeding $200 million and $300 million, respectively, over a twelve month period. Total revenues in both the third quarter and first nine months of 2012 included a $50 million milestone payment from Sanofi and a $15 million milestone payment from Bayer HealthCare in connection with regulatory approvals of ZALTRAP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EYLEA, respectively. Our net income was $141.3 million, or $1.25 per diluted share, in the third quarter and $327.6 million, or $2.95 per diluted share, in the first nine months of 2013, compared to net income of $191.5 million, or $1.72 per diluted share, in the third quarter and $279.9 million, or $2.55 per diluted share, in the first nine months of 2012.</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144"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EYLEA (aflibercept) Injection, known in the scientific literature as VEGF Trap-Eye, which is available in the United States for the treatment of neovascular age-related macular degeneration (wet AMD) and macular edema following CRVO, and in the United Kingdom, Germany, Switzerland, Australia, Japan, and certain other countries for the treatment of wet AMD. Net product sales of EYLEA in the United States were $363.1 million in the third quarter and $1,006.8 million in the first nine months of 2013, compared to $244.4 million in the third quarter and $561.9 million in the first nine months of 2012. Bayer HealthCare records revenue from sales of EYLEA outside the United States. EYLEA net product sales outside of the United States commenced in the fourth quarter of 2012, and were $124.8 million in the third quarter and $288.3 million in the first nine months of 2013.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in the European Union (EU) and other regions. The European Commission approved EYLEA for the treatment of visual impairment due to macular edema secondary to CRVO in the third quarter of 2013. Bayer HealthCare has additional regulatory applications for EYLEA for the treatment of wet AMD and macular edema secondary to CRVO pending in other countries.</w:t>
      </w:r>
    </w:p>
    <w:p>
      <w:pPr>
        <w:spacing w:after="0" w:line="24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 xml:space="preserve">In August 2013, we and Bayer HealthCare announced positive week 52 results from the Phase 3 VISTA-DME and VIVID-DME trials of EYLEA for the treatment of diabetic macular edema (DME), as described below under “Clinical Programs: </w:t>
      </w:r>
      <w:r>
        <w:rPr>
          <w:rFonts w:ascii="Arial" w:cs="Arial" w:eastAsia="Arial" w:hAnsi="Arial"/>
          <w:sz w:val="16"/>
          <w:szCs w:val="16"/>
          <w:i w:val="1"/>
          <w:iCs w:val="1"/>
          <w:color w:val="auto"/>
        </w:rPr>
        <w:t>EYLEA - Ophthalmologic Diseases.</w:t>
      </w:r>
      <w:r>
        <w:rPr>
          <w:rFonts w:ascii="Arial" w:cs="Arial" w:eastAsia="Arial" w:hAnsi="Arial"/>
          <w:sz w:val="16"/>
          <w:szCs w:val="16"/>
          <w:color w:val="auto"/>
        </w:rPr>
        <w:t>” Based on the positive results of these studies, we have recently submitted a supplemental Biologics License Application (BLA) for U.S. regulatory approval of EYLEA in DME. Bayer HealthCare plans to submit an application for marketing approval for the treatment of DME in the EU by the end of 2013.</w:t>
      </w:r>
    </w:p>
    <w:p>
      <w:pPr>
        <w:spacing w:after="0" w:line="20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In October 2013, we announced positive week 24 results from the Phase 3 VIBRANT trial of EYLEA for the treatment of macular edema following branch retinal vein occlusion (BRVO), as described below under “Clinical Programs: </w:t>
      </w:r>
      <w:r>
        <w:rPr>
          <w:rFonts w:ascii="Arial" w:cs="Arial" w:eastAsia="Arial" w:hAnsi="Arial"/>
          <w:sz w:val="17"/>
          <w:szCs w:val="17"/>
          <w:i w:val="1"/>
          <w:iCs w:val="1"/>
          <w:color w:val="auto"/>
        </w:rPr>
        <w:t>EYLEA - Ophthalmologic Diseases.</w:t>
      </w:r>
      <w:r>
        <w:rPr>
          <w:rFonts w:ascii="Arial" w:cs="Arial" w:eastAsia="Arial" w:hAnsi="Arial"/>
          <w:sz w:val="17"/>
          <w:szCs w:val="17"/>
          <w:color w:val="auto"/>
        </w:rPr>
        <w:t>” We expect to submit an application for U.S. marketing approval for the treatment of macular edema following BRVO within the next several months.</w:t>
      </w:r>
    </w:p>
    <w:p>
      <w:pPr>
        <w:spacing w:after="0" w:line="22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EYLEA outside the United States, where, for countries other than Japan, the companies share equally the profits and losses from sales of EYLEA. In Japan, we are entitled to a royalty on sales of EYLEA, as described below. We maintain exclusive rights to EYLEA in the United States and are entitled to all profits from any such sales.</w:t>
      </w:r>
    </w:p>
    <w:p>
      <w:pPr>
        <w:spacing w:after="0" w:line="241"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ZALTRAP (ziv-aflibercept) Injection for Intravenous Infusion, known in the scientific literature as VEGF Trap, which is available in the United States for treatment, in combination with 5-fluorouracil, leucovorin, irinotecan (FOLFIRI), of patients with metastatic colorectal cancer (mCRC) that is resistant to or has progressed following an oxaliplatin-containing regimen. In February 2013, the European Commission granted marketing authorization in the EU for ZALTRAP 25mg/ml concentrate for solution for infusion in combination with FOLFIRI chemotherapy in adults with mCRC that is resistant to or has progressed after an oxaliplatin-containing regimen. Regulatory applications for marketing authorization of ZALTRAP for the treatment of previously treated mCRC patients in other countries have also been submitted and are currently under review by the respective regulatory agencies.</w:t>
      </w:r>
    </w:p>
    <w:p>
      <w:pPr>
        <w:spacing w:after="0" w:line="243"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We and Sanofi globally collaborate on the development and commercialization of ZALTRAP, and share profits and losses from commercialization of ZALTRAP, except for Japan, where we are entitled to a royalty on sales of ZALTRAP, as described below. ZALTRAP net product sales, which are recorded by Sanofi, commenced in the United States in August 2012 and in Europe in the first quarter of 2013, and were $17.8 million in the third quarter and $50.5 million in the first nine months of 2013.</w:t>
      </w:r>
    </w:p>
    <w:p>
      <w:pPr>
        <w:spacing w:after="0" w:line="240" w:lineRule="exact"/>
        <w:rPr>
          <w:rFonts w:ascii="Arial" w:cs="Arial" w:eastAsia="Arial" w:hAnsi="Arial"/>
          <w:sz w:val="18"/>
          <w:szCs w:val="18"/>
          <w:color w:val="auto"/>
        </w:rPr>
      </w:pPr>
    </w:p>
    <w:p>
      <w:pPr>
        <w:jc w:val="both"/>
        <w:ind w:left="660" w:hanging="328"/>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5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product sales of ARCALYST totaled $4.0 million in the third quarter and $12.9 million in the first nine months of 2013, compared to $4.8 million in the third quarter and $14.7 million in the first nine months of 2012.</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have 15 product candidates in clinical development, all of which were discovered in our research laboratories. Our Trap-based clinical programs are:</w:t>
      </w:r>
    </w:p>
    <w:p>
      <w:pPr>
        <w:spacing w:after="0" w:line="16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EYLEA, which is in clinical trials for the treatment of DME in collaboration with Bayer HealthCare and macular edema following BRVO; and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ZALTRAP, which is being studied in combination with our angiopoietin-2 inhibitor (nesvacumab) in oncology in collaboration with Sanofi.</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antibody-based clinical programs include 13 fully human monoclonal antibody product candidates. The following seven are being developed in collaboration with Sanofi:</w:t>
      </w:r>
    </w:p>
    <w:p>
      <w:pPr>
        <w:spacing w:after="0" w:line="8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Sarilumab (REGN88), an antibody to the interleukin-6 receptor (IL-6R), which is being developed in rheumatoid arthritis and non-infectious uveitis;</w:t>
      </w:r>
    </w:p>
    <w:p>
      <w:pPr>
        <w:spacing w:after="0" w:line="46"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Alirocumab (REGN727), an antibody to Proprotein Convertase Subtilisin/Kexin type 9 (PCSK9), which is being developed for low-density lipoprotein (LDL) cholesterol reduction;</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Dupilumab (REGN668), an antibody to the interleukin-4 receptor (IL-4R), which is being developed in atopic dermatitis, asthma, and nasal polyposis;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Enoticumab (REGN421), an antibody to Delta-like ligand-4 (Dll4), a novel angiogenesis target, which is being developed in oncology;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Nesvacumab (REGN910), an antibody to angiopoietin-2 (Ang2), another novel angiogenesis target, which is being developed in oncology;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REGN1033, an antibody to myostatin (GDF8), which is being developed in metabolic disorders;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REGN2009, an antibody in clinical development against an undisclosed target.</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we are developing the following six antibody product candidates independently:</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REGN1400, an antibody to ErbB3, which is being developed in oncology;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REGN1154,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REGN1500,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REGN1193,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REGN1908-1909, an antibody combination in clinical development against an undisclosed target;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Fasinumab (REGN475), an antibody to Nerve Growth Factor (NGF), which is being developed for the treatment of pain and is currently on clinical hold by the FDA.</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66" w:lineRule="exact"/>
        <w:rPr>
          <w:sz w:val="20"/>
          <w:szCs w:val="20"/>
          <w:color w:val="auto"/>
        </w:rPr>
      </w:pPr>
    </w:p>
    <w:p>
      <w:pPr>
        <w:jc w:val="both"/>
        <w:ind w:firstLine="243"/>
        <w:spacing w:after="0" w:line="20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25"/>
          <w:szCs w:val="25"/>
          <w:color w:val="auto"/>
          <w:vertAlign w:val="superscript"/>
        </w:rPr>
        <w:t>®</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EYLEA - Ophthalmologic Diseases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In CRVO and BRVO, a blockage occurs in the main blood vessel that transports deoxygenated blood away from the retina. VEGF levels are elevated in response, contributing to macular edema. For clinically significant DME, VEGF-mediated leakage of fluid from blood vessels in the eye results in interference with vision.</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being evaluated in Phase 3 programs in patients with DME, macular edema following BRVO, and, in Asia, myopic choroidal neovascularization (mCNV) of the retina as a result of pathologic myopia.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August 2013, we and Bayer HealthCare announced that in the Phase 3 VISTA-DME and VIVID-DME trials of EYLEA for the treatment of DME, EYLEA 2 milligrams (mg) dosed monthly and EYLEA 2 mg dosed every two months (after 5 initial monthly injections) achieved the primary endpoint of a significantly greater improvement in best-corrected visual acuity (BCVA) from baseline compared to laser photocoagulation at 52 weeks. Both EYLEA treatment arms demonstrated similar improvements in BCVA. Based on the positive results of these studies, we have recently submitted a supplemental BLA for U.S. regulatory approval of EYLEA in DME. Bayer HealthCare plans to submit an application for marketing approval for the treatment of DME in the EU in the fourth quarter of 2013.</w:t>
      </w:r>
    </w:p>
    <w:p>
      <w:pPr>
        <w:spacing w:after="0" w:line="11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conducting the VISTA-DME study in the United States. Bayer HealthCare is conducting the VIVID-DME study in Europe, Japan, and Australia. Both of these Phase 3 trials were initiated in the second quarter of 2011, and are similarly designed, randomized, double-masked, active control trials to evaluate the safety and efficacy of EYLEA in patients with DME. Patients in both trials were randomized to receive either EYLEA 2 mg monthly, EYLEA 2 mg every two months (after 5 initial monthly injections), or the comparator treatment of laser photocoagulation.</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VISTA-DME trial, after one year patients receiving EYLEA 2 mg monthly had a mean change from baseline in BCVA of 12.5 letters (p&lt;0.0001 compared to laser) and patients receiving EYLEA 2 mg every other month (after 5 initial monthly injections) had a mean change from baseline in BCVA of 10.7 letters (p&lt;0.0001 compared to laser), compared to patients receiving laser photocoagulation who had a mean change from baseline in BCVA of 0.2 letters. In the VIVID-DME trial, after one year patients receiving EYLEA 2 mg monthly had a mean change from baseline in BCVA of 10.5 letters (p&lt;0.0001 compared to laser) and patients receiving EYLEA 2 mg every other month (after 5 initial monthly injections) had a mean change from baseline in BCVA of 10.7 letters (p&lt;0.0001 compared to laser), compared to patients receiving laser photocoagulation who had a mean change from baseline in BCVA of 1.2 letters.</w:t>
      </w:r>
    </w:p>
    <w:p>
      <w:pPr>
        <w:spacing w:after="0" w:line="24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these trials, EYLEA was generally well tolerated with a similar overall incidence of adverse events (AEs), ocular serious AEs, and non-ocular serious AEs across the treatment groups and the laser control group. Arterial thromboembolic events as defined by the Anti-Platelet Trialists' Collaboration (non-fatal stroke, non-fatal myocardial infarction, and vascular death) also occurred at similar rates across the treatment groups and the laser control group. AEs were typical of those seen in other studies in patients with diabetes receiving intravitreal anti-VEGF therapy. The most frequent ocular treatment emergent AEs (TEAEs) observed in the VIVID-DME and VISTA-DME trials included conjunctival hemorrhage, eye pain, and vitreous floaters. The most frequent non-ocular TEAEs included hypertension and nasopharyngitis, which occurred with similar frequency in the treatment groups and the laser control group.</w:t>
      </w:r>
    </w:p>
    <w:p>
      <w:pPr>
        <w:spacing w:after="0" w:line="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Full one-year data from the VIVID-DME and VISTA-DME trials were presented at the Retina Society and EURETINA medical conferences in September 2013. Both trials are planned to continue up to 148 weeks. An additional Phase 3 safety study in Japan (VIVID-Japan) was initiated in the first quarter of 2012 and is required for approval in Japan. In February 2013, we and Bayer HealthCare also initiated another Phase 3 study to evaluate the efficacy and safety of EYLEA in DME in Russia, China, and other Asian countries (VIVID EAST-DME).</w:t>
      </w:r>
    </w:p>
    <w:p>
      <w:pPr>
        <w:spacing w:after="0" w:line="10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fourth quarter of 2011, we and Bayer HealthCare initiated a Phase 3 trial in China evaluating the efficacy and safety of EYLEA in wet AMD (SIGHT). The trial is fully enrolled.</w:t>
      </w:r>
    </w:p>
    <w:p>
      <w:pPr>
        <w:spacing w:after="0" w:line="22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the second quarter of 2012, we initiated a multinational study (VIBRANT) of EYLEA in patients with macular edema following BRVO. In October, 2013, we reported positive, top line results from the VIBRANT trial. In this trial, 53% of patients who received EYLEA 2 mg every four weeks gained at least 15 letters in vision from baseline at week 24, the primary endpoint of the study, compared to 27% of patients who received laser, a standard-of-care treatment (p&lt;0.001). Patients who received EYLEA 2 mg every four weeks achieved a 17.0 letter mean improvement over baseline in BCVA compared to a 6.9 letter mean improvement in patients who received laser (p&lt;0.0001), a key secondary endpoint. VIBRANT is the first Phase 3 trial in this indication in which an anti-VEGF agent was directly compared to an active comparator. The incidence of serious AEs (SAEs) was 9.9% in the EYLEA group and 9.8% in the laser group. One death and one Anti-Platelet Trialists’ Collaboration (APTC) defined event (non-fatal stroke) occurred during the trial, both in patients in the laser group. The most common ocular adverse events in the EYLEA treated patients were conjunctival hemorrhage and eye pain. There were no cases of intraocular inflammation. There was one ocular SAE in a patient in the EYLEA group, which was a traumatic cataract. We expect to submit an application for U.S. marketing approval for the treatment of macular edema following BRVO within the next several months.</w:t>
      </w:r>
    </w:p>
    <w:p>
      <w:pPr>
        <w:spacing w:after="0" w:line="22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fourth quarter of 2012, we initiated a study (RE-VIEW) to fulfill a post-marketing requirement by the FDA, which is evaluating the effect of EYLEA on corneal endothelium. The trial is fully enrolled.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June 2013, we and Bayer HealthCare announced positive top-line results for EYLEA from the Phase 3 MYRROR study in mCNV. In this trial, patients receiving EYLEA at an initial dose of 2 mg, followed by treatment on an as-needed (PRN) basis, had a mean improvement in BCVA from baseline at week 24 of 12.1 letters, compared to a loss of 2.0 letters in patients receiving sham injections (p &lt; 0.0001). The most common adverse events observed in the MYRROR trial that occurred with a frequency of 2% or more were conjunctival hemorrhage, dry eye, eye pain, headache, and nasopharyngitis. Bayer HealthCare expects to submit the first application for regulatory approval for this indication in Asia by the end of 2013.</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ZALTRAP (ziv-aflibercept) - Oncology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ZALTRAP is a fusion protein that is designed to bind all forms of VEGF-A, VEGF-B, and P1GF, and prevent their interaction with cell surface receptors. VEGF-A (and to a lesser degree, P1GF) is required for the growth of new blood vessels (a process known as angiogenesis) that are needed for tumors to grow.</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During the third quarter of 2012, we and Sanofi initiated a Phase 1b study of a combination of ZALTRAP and our angiopoietin-2 inhibitor (nesvacumab) in patients with advanced solid malignancies.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Sarilumab (REGN88; IL-6R Antibody) for inflammatory diseases</w:t>
      </w:r>
    </w:p>
    <w:p>
      <w:pPr>
        <w:spacing w:after="0" w:line="279" w:lineRule="exact"/>
        <w:rPr>
          <w:sz w:val="20"/>
          <w:szCs w:val="20"/>
          <w:color w:val="auto"/>
        </w:rPr>
      </w:pPr>
    </w:p>
    <w:p>
      <w:pPr>
        <w:jc w:val="both"/>
        <w:ind w:firstLine="216"/>
        <w:spacing w:after="0" w:line="342" w:lineRule="auto"/>
        <w:rPr>
          <w:sz w:val="20"/>
          <w:szCs w:val="20"/>
          <w:color w:val="auto"/>
        </w:rPr>
      </w:pPr>
      <w:r>
        <w:rPr>
          <w:rFonts w:ascii="Arial" w:cs="Arial" w:eastAsia="Arial" w:hAnsi="Arial"/>
          <w:sz w:val="16"/>
          <w:szCs w:val="16"/>
          <w:color w:val="auto"/>
        </w:rPr>
        <w:t>IL-6 is a key cytokine involved in the pathogenesis of rheumatoid arthritis (RA), causing inflammation and joint destruction. A therapeutic antibody to IL-6R, ACTEMRA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(tocilizumab), a registered trademark of Chugai Seiyaku Kabushiki Kaisha, has been approved for the treatment of rheumatoid arthritis.</w:t>
      </w:r>
    </w:p>
    <w:p>
      <w:pPr>
        <w:spacing w:after="0" w:line="8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the third quarter of 2011, we and Sanofi announced that in the Phase 2b stage of the SARIL-RA-MOBILITY trial in RA, patients treated with sarilumab in combination with a standard RA treatment, methotrexate (MTX), achieved a significant and clinically meaningful improvement in signs and symptoms of moderate-to-severe RA compared to patients treated with MTX alone. The primary endpoint of the study was the proportion of patients achieving at least a 20% improvement in RA symptoms (ACR20) after 12 weeks.</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Phase 3 Part B SARIL-RA-MOBILITY study in patients with RA is fully enrolled. This trial will assess the improvement in signs and symptoms at 24 weeks and the treatment effect of sarilumab on radiographic progression at one year. In addition, we and Sanofi have initiated additional Phase 3 studies, SARIL-RA-TARGET, SARIL-RA-COMPARE, and SARIL-RA- ASCERTAIN. The broad SARIL-RA clinical development program is focused on adult populations with moderate-to-severe RA who are inadequate responders to either MTX or tumor necrosis factor alpha (TNF-alpha) inhibitor therapy. SARIL-RA-TARGET is a randomized, double-blind, placebo-controlled study evaluating sarilumab in combination with non-biologic, disease-modifying anti-rheumatic drugs (DMARDS) in moderate-to-severe active RA patients with inadequate responses to, or who are intolerant of, one or more TNF-alpha inhibitors. The SARIL-RA-COMPARE study is evaluating the safety and efficacy of sarilumab plus MTX compared to etanercept (a TNF-alpha inhibitor) plus MTX in adult patients with moderate-to-severe RA who demonstrate an inadequate response to adalimumab as their first TNF-alpha inhibitor therapy. The SARIL-RA-ASCERTAIN study is a safety study evaluating the safety and tolerability of sarilumab versus a calibrator, tocilizumab, both in combination with MTX, in patients with RA who are inadequate responders to, or intolerant of, TNF-alpha inhibitors. Patients who complete SARIL-RA-MOBILITY, SARIL-RA-TARGET, or SARIL-RA-ASCERTAIN are offered enrollment into the ongoing SARIL-RA-EXTEND, which is an open-label, long-term safety study of sarilumab. Data from the SARIL-RA-MOBILITY trial are expected by the end of 2013.</w:t>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Phase 1 study was initiated in May 2013 in Japan assessing the safety and tolerability of sarilumab in patients with RA.</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a Phase 2 study, SARIL-NIU-SATURN, is expected to commence in the fourth quarter of 2013 and is a placebo-controlled proof of concept study evaluating the safety and efficacy of sarilumab in non-infectious uveitis.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Alirocumab (REGN727; PCSK9 Antibody) for LDL cholesterol reduction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PCSK9 is a secreted protein that plays a key role in modulating LDL cholesterol (LDL-C) levels in the body. PCSK9 binds to and induces the destruction of the LDL receptor, thereby interfering with cellular uptake and increasing circulating levels of LDL cholesterol. In a landmark study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generate a fully human monoclonal antibody inhibitor of PCSK9, called alirocumab, that is intended to lower LDL cholesterol.</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Alirocumab has been studied in three Phase 2 clinical studies, two in patients with primary hypercholesterolemia and one in patients with heterozygous familial hypercholesterolemia (heFH). In the Phase 2 studies, alirocumab significantly reduced LDL-C from baseline up to 72% on top of standard of care statin therapy. Consistent and robust reductions in other lipid parameters, including a reduction in lipoprotein-a (Lp(a)) were also observed. Lp(a) is another form of bad cholesterol which is believed to be a risk factor for coronary heart disease and strokes when elevated. In the Phase 2 program, injection site reactions were the most common adverse events with alirocumab, and were rare. Rare cases of hypersensitivity reaction were also reported. Serious adverse events were reported in 1.8% of patients in the active treatment arms and 2.6% of patients in the placebo groups.</w:t>
      </w:r>
    </w:p>
    <w:p>
      <w:pPr>
        <w:spacing w:after="0" w:line="8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and Sanofi initiated the global Phase 3 ODYSSEY program for alirocumab in the second quarter of 2012. The ODYSSEY program is expected to enroll more than 23,000 patients. This includes eleven clinical trials evaluating the effect of alirocumab, dosed every two weeks, on lowering LDL cholesterol. The 18,000 patient ODYSSEY OUTCOMES trial, assessing reduction in serious cardiovascular events, is currently enrolling patients, while the other trials in the ODYSSEY program are fully enrolled. LDL cholesterol reduction is expected to be the primary efficacy endpoint for initial regulatory filings. In addition, a trial of alirocumab dosed every four weeks (ODYSSEY CHOICE) is expected to begin enrollment by the end of 2013. The ODYSSEY studies are being conducted in clinical centers around the world including the United States, Canada, Western and Eastern Europe, South America, Australia, and Asia.</w:t>
      </w:r>
    </w:p>
    <w:p>
      <w:pPr>
        <w:spacing w:after="0" w:line="24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first trial to report data from the Phase 3 ODYSSEY program was the ODYSSEY MONO trial, which evaluated the efficacy and safety of alirocumab monotherapy versus ezetimibe monotherapy in patients with primary hypercholesterolemia. The study achieved its primary efficacy endpoint and demonstrated that patients randomized to receive alirocumab monotherapy experienced a mean reduction in LDL-C levels of 47.2% from baseline to week 24, compared to 15.6% in patients receiving ezetimibe monotherapy (p&lt;0.0001). In the trial, which employed a dose increase (up-titration) for patients who did not achieve an LDL-C level of 70 milligrams/deciliter (mg/dL), the majority of patients remained on the initial low dose of alirocumab of 75 mg. The percentage of patients who reported TEAEs was 78.4% in the ezetimibe group and 69.2% in the alirocumab group. The most common class of AEs was infections (39.2% with ezetimibe vs. 42.3% with alirocumab), which included nasopharyngitis, influenza, and upper respiratory tract infection. Injection-site reactions occurred in less than 2% of patients in both groups. Muscle-related AEs occurred in 3.9% of patients treated with ezetimibe and 3.8% of patients treated with alirocumab.</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Dupilumab (REGN668; IL-4R Antibody) for allergic and immune conditions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dermatitis and asthma. Dupilumab is a fully human monoclonal antibody generated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that is designed to bind to IL-4R.</w:t>
      </w:r>
    </w:p>
    <w:p>
      <w:pPr>
        <w:spacing w:after="0" w:line="2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Dupilumab demonstrated positive proof of concept in patients with atopic dermatitis and asthma. Data from two Phase 1b trials in atopic dermatitis was presented at the American Academy of Dermatology annual meeting in March 2013. The efficacy data showed that treatment with four weekly subcutaneous injections of dupilumab at either 150 mg or 300 mg per week, significantly improved the signs and symptoms of patients with moderate-to-severe atopic dermatitis whose disease was not adequately controlled with topical medications. The most common AEs were nasopharyngitis (19.6% vs 12.5% for placebo) and headache (11.8% vs 6.3% for placebo).</w:t>
      </w:r>
    </w:p>
    <w:p>
      <w:pPr>
        <w:spacing w:after="0" w:line="24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Data from a Phase 2a trial in asthma patients with elevated eosinophils were presented at the American Thoracic Society in May 2013, and were also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in June 2013. In this study, patients receiving dupilumab experienced an 87% reduction in the incidence of asthma exacerbations compared to patients receiving placebo (p&lt;0.0001). Clinically meaningful and statistically significant improvements were observed for lung function and other asthma control parameters, such as forced expiratory volume over one second (FEV</w:t>
      </w:r>
      <w:r>
        <w:rPr>
          <w:rFonts w:ascii="Arial" w:cs="Arial" w:eastAsia="Arial" w:hAnsi="Arial"/>
          <w:sz w:val="11"/>
          <w:szCs w:val="11"/>
          <w:color w:val="auto"/>
        </w:rPr>
        <w:t>1</w:t>
      </w:r>
      <w:r>
        <w:rPr>
          <w:rFonts w:ascii="Arial" w:cs="Arial" w:eastAsia="Arial" w:hAnsi="Arial"/>
          <w:sz w:val="16"/>
          <w:szCs w:val="16"/>
          <w:color w:val="auto"/>
        </w:rPr>
        <w:t>) (difference from baseline to week 12 between dupilumab and placebo of 0.27 L, p &lt; 0.001). TEAEs were reported by a similar proportion of patients in both groups (76.9% placebo; 80.8% dupilumab). AEs were generally non-specific and of mild-to-moderate intensity. The most common AEs for placebo and dupilumab were injection-site reaction (9.6% and 28.8%), nasopharyngitis (3.8% and 13.5%), upper respiratory tract infection (17.3% and 13.5%), headache (5.8% and 11.5%) and nausea (1.9% and 7.7%).</w:t>
      </w:r>
    </w:p>
    <w:p>
      <w:pPr>
        <w:spacing w:after="0" w:line="8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Data from a Phase 2 trial in atopic dermatitis were presented at the 22nd Congress of the European Academy of Dermatology and Venereology in October 2013.</w:t>
      </w:r>
    </w:p>
    <w:p>
      <w:pPr>
        <w:spacing w:after="0" w:line="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second quarter of 2013, Phase 2b trials in atopic dermatitis and asthma were initiated and are currently enrolling patients. In addition, in the third quarter of 2013, a Phase 2 study in nasal polyposis was initiated and is currently enrolling patients.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Enoticumab (REGN421; Dll4 Antibody) for advanced malignancies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Enoticumab is a fully human monoclonal antibody to Dll4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is in Phase 1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Nesvacumab (REGN910; Ang2 Antibody) for oncology and ophthalmology</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angiopoietins, which were discovered at Regeneron, are ligands for the endothelial cell receptor Tie2 and are essential for vascular development and angiogenesis. Unlike other family members, angiopoietin-2 (Ang2) is strongly upregulated by endothelial cells at sites of angiogenesis and vascular remodeling, including tumors. Enhanced anti-tumor effects have been observed in preclinical models with combined blockade of both VEGF and Ang2.</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Nesvacumab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block Ang2. Nesvacumab is in Phase 1 clinical development in oncology. In addition, during the third quarter of 2012, we and Sanofi initiated a Phase 1b study evaluating nesvacumab in combination with ZALTRAP in patients with advanced solid malignancies.</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May 2013, we acquired from Sanofi full rights to antibodies targeting the Ang2 receptor and ligand in ophthalmology, as described below. We expect to initiate a clinical study for Ang2 in ophthalmology in the next several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REGN1033 (GDF8 Antibody)</w:t>
      </w:r>
    </w:p>
    <w:p>
      <w:pPr>
        <w:spacing w:after="0" w:line="27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 xml:space="preserve">In the first quarter of 2012, we initiated a Phase 1 clinical study for REGN1033, a fully human monoclonal GDF8 antibody generated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 Myostatin has been validated as a target to increase muscle mass and strength through genetic mutations in both animals and</w:t>
      </w:r>
      <w:r>
        <w:rPr>
          <w:rFonts w:ascii="Arial" w:cs="Arial" w:eastAsia="Arial" w:hAnsi="Arial"/>
          <w:sz w:val="18"/>
          <w:szCs w:val="18"/>
          <w:i w:val="1"/>
          <w:iCs w:val="1"/>
          <w:color w:val="auto"/>
        </w:rPr>
        <w:t xml:space="preserve"> </w:t>
      </w:r>
      <w:r>
        <w:rPr>
          <w:rFonts w:ascii="Arial" w:cs="Arial" w:eastAsia="Arial" w:hAnsi="Arial"/>
          <w:sz w:val="18"/>
          <w:szCs w:val="18"/>
          <w:color w:val="auto"/>
        </w:rPr>
        <w:t>humans that abrogate its bioactivity. A Phase 2a study for REGN1033 is expected to commence in the fourth quarter of 2013.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REGN2009</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REGN2009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June 2013, we initiated a Phase 1 clinical study.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REGN1400 (ErbB3 Antibody) for oncology</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REGN1400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ErbB3. In the fourth quarter of 2012, REGN1400 entered into Phase 1 clinical development in oncology.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REGN1154</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REGN1154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the first quarter of 2012, we initiated a Phase 1 clinical study in Australia. Sanofi decided not to opt-in to the REGN1154 program and we have sole global rights. Under the terms of our agreement, Sanofi is entitled to receive a mid-single digit royalty on any future sales of REGN1154.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REGN1500</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REGN1500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the fourth quarter of 2012, we initiated a Phase 1 clinical study. Sanofi decided not to opt-in to the REGN1500 program and we have sole global rights. Under the terms of our agreement, Sanofi is entitled to receive a mid-single digit royalty on any future sales of REGN1500.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REGN1193</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REGN1193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A Phase 1 clinical study of REGN1193 was initiated in August 2013. Sanofi decided not to opt-in to the REGN1193 program and we have sole global rights. Under the terms of our agreement, Sanofi is entitled to receive a mid-single digit royalty on any future sales of REGN1193.</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REGN1908-1909</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REGN1908-1909 is a fully human monocolonal antibody combination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against an undisclosed target. A Phase 1 clinical study of REGN1908-1909 was initiated in August 2013. Sanofi decided not to opt-in to the REGN1908-1909 program and we have sole global rights. Under the terms of our agreement, Sanofi is entitled to receive a mid-single digit royalty on any future sales of REGN1908-1909.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Fasinumab (REGN475; NGF Antibody) for pain (on clinical hold)</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which is designed to block pain sensitization in neurons. Preclinical experiments indicate that fasinumab specifically binds to and blocks NGF activity and does not bind to or block cell signaling for the closely related neurotrophins NT-3 and BDNF.</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December 2012, the FDA placed fasinumab and other investigational agents targeting NGF on clinical hold based on preclinical findings with other anti-NGF agents in development. Prior to the FDA clinical hold action, we were planning to initiate late-stage clinical trials with fasinumab. There are currently no ongoing trials with fasinumab that are either enrolling or treating patients.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Sanofi elected not to continue co-development of fasinumab, and we have sole global rights. Under the terms of our agreement, Sanofi is entitled to receive a mid-single digit royalty on any future sales of fasinumab.</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Ophthalmology Development Programs from Sanofi</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2013, we acquired from Sanofi full exclusive rights to two families of novel antibodies invented at Regeneron and previously included in our antibody collaboration with Sanofi. We acquired full rights to antibodies targeting the PDGF (platelet derived growth factor) family of receptors and ligands in ophthalmology and all other indications and to antibodies targeting the Ang2 receptor and ligand in ophthalmology. Antibodies to the PDGF receptor and Ang2 are currently in preclinical development for use in ophthalmology.</w:t>
      </w:r>
    </w:p>
    <w:p>
      <w:pPr>
        <w:spacing w:after="0" w:line="24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With respect to PDGF antibodies, we made a $10.0 million up-front payment to Sanofi in May 2013, and are obligated to pay up to $40 million in potential development milestone payments and royalties on any future sales. With respect to Ang2 antibodies in ophthalmology, we also made a $10.0 million up-front payment to Sanofi in May 2013, and are obligated to pay a potential $5 million development milestone payment and royalties on any future sales.</w:t>
      </w:r>
    </w:p>
    <w:p>
      <w:pPr>
        <w:spacing w:after="0" w:line="2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and Sanofi have agreed to continue to develop antibodies to Ang2 outside of ophthalmology under our antibody collaboration agreement, including nesvacumab, as described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14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and 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i w:val="1"/>
          <w:iCs w:val="1"/>
          <w:color w:val="auto"/>
        </w:rPr>
        <w:t>ZALTRAP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and Sanofi globally collaborate on the development and commercialization of ZALTRAP. Under the terms of our September 2003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collaboration agreement, as amended, we and Sanofi share co-promotion rights and share profits and losses from commercialization of ZALTRAP outside of Japan. In Japan, we are entitled to a royalty of approximately 35% on sales of ZALTRAP, subject to certain potential adjustments.</w:t>
      </w:r>
    </w:p>
    <w:p>
      <w:pPr>
        <w:spacing w:after="0" w:line="21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the ZALTRAP collaboration agreement, as amended, agreed upon worldwide development expenses incurred by both companies during the term of the agreement are funded by Sanofi. If the collaboration becomes profitable, we will be obligated to reimburse Sanofi out of our share of ZALTRAP profits (including royalties on sales of ZALTRAP in Japan)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initially, our share of any ZALTRAP profits will be used to reimburse Sanofi for this repayment obligation.</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Antibodies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November 2007, we and Sanofi entered into a global, strategic collaboration to discover, develop, and commercialize fully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The collaboration is 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IND or its equivalent, toxicology studies, and manufacture of preclinical and clinical supplies.</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9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November 2009, we and Sanofi amended these agreements to expand and extend our antibody collaboration. Under the amended discovery agreement, Sanofi agreed to fund up to $160 million per year of our antibody discovery activities over the period from 2010-2017. Sanofi has an option to extend certain antibody development and preclinical activities relating to selected program targets for up to an additional three years after 2017. Pursuant to the collaboration, Sanofi funded $30 million of agreed-upon costs we incurred to expand our manufacturing capacity at our Rensselaer, New York facilities.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Bayer HealthCare</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October 2006, we entered into a license and collaboration agreement with Bayer HealthCare for the 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May 2012, Bayer HealthCare's Japanese subsidiary, Bayer Yakuhin, Ltd., and Santen Pharmaceutical Co., Ltd. entered into an agreement to co-promote EYLEA in Japan. In conjunction with this agreement, we and Bayer HealthCare amended our existing global license and collaboration agreement for EYLEA to convert the 50/50 profit share for Japan into a royalty agreement under which we are entitled to receive a tiered royalty of between 33.5% and 40.0% of EYLEA annual net sales in Japan. In certain specified circumstances, the Japan royalty may revert to a profit share arrangement.</w:t>
      </w:r>
    </w:p>
    <w:p>
      <w:pPr>
        <w:spacing w:after="0" w:line="24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earned, and recorded as revenue in the third quarter of 2013, a $15.0 million milestone payment from Bayer HealthCare related to the first marketing approval for EYLEA for macular edema secondary to CRVO outside the United States. In addition, we earned, and recorded as revenue in the third quarter of 2013, two $15.0 million sales milestone payments from Bayer HealthCare upon total aggregate sales of EYLEA outside the United States exceeding $200 million and $300 million, respectively, over a twelve-month period. We may receive an additional $10 million milestone payment related to pricing approval of EYLEA for CRVO in the first major market country outside the United States, and can earn up to $105 million in additional sales milestone payments if twelve-month sales of EYLEA outside the United States achieve certain specified levels up to $1 billion.</w:t>
      </w:r>
    </w:p>
    <w:p>
      <w:pPr>
        <w:spacing w:after="0" w:line="9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royalties on sales of EYLEA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91" w:lineRule="exact"/>
        <w:rPr>
          <w:sz w:val="20"/>
          <w:szCs w:val="20"/>
          <w:color w:val="auto"/>
        </w:rPr>
      </w:pPr>
    </w:p>
    <w:p>
      <w:pPr>
        <w:ind w:right="1660" w:firstLine="243"/>
        <w:spacing w:after="0" w:line="407" w:lineRule="auto"/>
        <w:rPr>
          <w:sz w:val="20"/>
          <w:szCs w:val="20"/>
          <w:color w:val="auto"/>
        </w:rPr>
      </w:pPr>
      <w:r>
        <w:rPr>
          <w:rFonts w:ascii="Arial" w:cs="Arial" w:eastAsia="Arial" w:hAnsi="Arial"/>
          <w:sz w:val="18"/>
          <w:szCs w:val="18"/>
          <w:color w:val="auto"/>
        </w:rPr>
        <w:t xml:space="preserve">Within the United States, we retain exclusive commercialization rights to EYLEA and are entitled to all profits from any such sales. </w:t>
      </w:r>
      <w:r>
        <w:rPr>
          <w:rFonts w:ascii="Arial" w:cs="Arial" w:eastAsia="Arial" w:hAnsi="Arial"/>
          <w:sz w:val="18"/>
          <w:szCs w:val="18"/>
          <w:b w:val="1"/>
          <w:bCs w:val="1"/>
          <w:color w:val="auto"/>
        </w:rPr>
        <w:t>License Agreement with Astellas</w:t>
      </w:r>
    </w:p>
    <w:p>
      <w:pPr>
        <w:jc w:val="both"/>
        <w:ind w:firstLine="230"/>
        <w:spacing w:after="0" w:line="271" w:lineRule="auto"/>
        <w:rPr>
          <w:sz w:val="20"/>
          <w:szCs w:val="20"/>
          <w:color w:val="auto"/>
        </w:rPr>
      </w:pPr>
      <w:r>
        <w:rPr>
          <w:rFonts w:ascii="Arial" w:cs="Arial" w:eastAsia="Arial" w:hAnsi="Arial"/>
          <w:sz w:val="17"/>
          <w:szCs w:val="17"/>
          <w:color w:val="auto"/>
        </w:rPr>
        <w:t xml:space="preserve">In March 2007, we entered into a six-year, non-exclusive license agreement with Astellas Pharma Inc. to allow Astellas to utilize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its internal research programs to discover human monoclonal antibodies.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Agreement with Novartis Pharma AG</w:t>
      </w:r>
    </w:p>
    <w:p>
      <w:pPr>
        <w:spacing w:after="0" w:line="28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and gouty arthritis, and is in earlier stage development for atherosclerosis and other inflammatory diseases. We are unable to predict whether these royalties will ever contribute materially to our results of operations or financial condition.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Beginning in the first quarter of 2012, we reported profitability; prior to that, we generally incurred net losses. Our ability to continue to generate profits and to generate positive cash flow from operations over the next several years depends significantly on our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continue to expand and require additional resources. Our operating results may fluctuate from quarter to quarter and will depend on, among other factors, the net sales of our marketed products, the scope and progress of our research and development efforts, the timing of certain expenses and milestones, and the continuation of our collaborations with Sanofi and Bayer HealthCare, including our share of collaboration profits or losses, or royalties,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2013 to date were, and plans for the next 12 months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167" w:lineRule="exact"/>
        <w:rPr>
          <w:sz w:val="20"/>
          <w:szCs w:val="20"/>
          <w:color w:val="auto"/>
        </w:rPr>
      </w:pPr>
    </w:p>
    <w:p>
      <w:pPr>
        <w:ind w:left="2100"/>
        <w:spacing w:after="0"/>
        <w:tabs>
          <w:tab w:leader="none" w:pos="7340" w:val="left"/>
        </w:tabs>
        <w:rPr>
          <w:sz w:val="20"/>
          <w:szCs w:val="20"/>
          <w:color w:val="auto"/>
        </w:rPr>
      </w:pPr>
      <w:r>
        <w:rPr>
          <w:rFonts w:ascii="Arial" w:cs="Arial" w:eastAsia="Arial" w:hAnsi="Arial"/>
          <w:sz w:val="18"/>
          <w:szCs w:val="18"/>
          <w:b w:val="1"/>
          <w:bCs w:val="1"/>
          <w:color w:val="auto"/>
        </w:rPr>
        <w:t>2013 Events to Date</w:t>
      </w:r>
      <w:r>
        <w:rPr>
          <w:sz w:val="20"/>
          <w:szCs w:val="20"/>
          <w:color w:val="auto"/>
        </w:rPr>
        <w:tab/>
      </w:r>
      <w:r>
        <w:rPr>
          <w:rFonts w:ascii="Arial" w:cs="Arial" w:eastAsia="Arial" w:hAnsi="Arial"/>
          <w:sz w:val="16"/>
          <w:szCs w:val="16"/>
          <w:b w:val="1"/>
          <w:bCs w:val="1"/>
          <w:color w:val="auto"/>
        </w:rPr>
        <w:t>2013-14 Plans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00"/>
          </w:cols>
          <w:pgMar w:left="240" w:top="130" w:right="259" w:bottom="1440" w:gutter="0" w:footer="0" w:header="0"/>
        </w:sectPr>
      </w:pPr>
    </w:p>
    <w:p>
      <w:pPr>
        <w:spacing w:after="0" w:line="63" w:lineRule="exact"/>
        <w:rPr>
          <w:sz w:val="20"/>
          <w:szCs w:val="20"/>
          <w:color w:val="auto"/>
        </w:rPr>
      </w:pPr>
    </w:p>
    <w:p>
      <w:pPr>
        <w:ind w:left="380" w:right="60" w:hanging="261"/>
        <w:spacing w:after="0" w:line="302"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Bayer HealthCare received regulatory approval for EYLEA in Brazil and certain European and other countries for the treatment of patients with wet AMD and continued to pursue regulatory applications for marketing approval in additional countries</w:t>
      </w:r>
    </w:p>
    <w:p>
      <w:pPr>
        <w:spacing w:after="0" w:line="46" w:lineRule="exact"/>
        <w:rPr>
          <w:rFonts w:ascii="Arial" w:cs="Arial" w:eastAsia="Arial" w:hAnsi="Arial"/>
          <w:sz w:val="16"/>
          <w:szCs w:val="16"/>
          <w:color w:val="auto"/>
        </w:rPr>
      </w:pPr>
    </w:p>
    <w:p>
      <w:pPr>
        <w:ind w:left="380" w:right="20" w:hanging="261"/>
        <w:spacing w:after="0" w:line="279"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Bayer HealthCare received regulatory approval for EYLEA in the European Union for the treatment of patients with macular edema secondary to CRVO and continued to pursue regulatory applications for marketing approval in additional countries</w:t>
      </w:r>
    </w:p>
    <w:p>
      <w:pPr>
        <w:spacing w:after="0" w:line="63" w:lineRule="exact"/>
        <w:rPr>
          <w:rFonts w:ascii="Arial" w:cs="Arial" w:eastAsia="Arial" w:hAnsi="Arial"/>
          <w:sz w:val="17"/>
          <w:szCs w:val="17"/>
          <w:color w:val="auto"/>
        </w:rPr>
      </w:pPr>
    </w:p>
    <w:p>
      <w:pPr>
        <w:ind w:left="380" w:right="220" w:hanging="261"/>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Initiated Phase 3 VIVID EAST-DME study in Russia, China, and other Asian countries</w:t>
      </w:r>
    </w:p>
    <w:p>
      <w:pPr>
        <w:spacing w:after="0" w:line="8" w:lineRule="exact"/>
        <w:rPr>
          <w:rFonts w:ascii="Arial" w:cs="Arial" w:eastAsia="Arial" w:hAnsi="Arial"/>
          <w:sz w:val="18"/>
          <w:szCs w:val="18"/>
          <w:color w:val="auto"/>
        </w:rPr>
      </w:pPr>
    </w:p>
    <w:p>
      <w:pPr>
        <w:ind w:left="380" w:right="200" w:hanging="261"/>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Reported positive one year results from the Phase 3 VIVID-DME and VISTA-DME studies</w:t>
      </w:r>
    </w:p>
    <w:p>
      <w:pPr>
        <w:spacing w:after="0" w:line="8" w:lineRule="exact"/>
        <w:rPr>
          <w:rFonts w:ascii="Arial" w:cs="Arial" w:eastAsia="Arial" w:hAnsi="Arial"/>
          <w:sz w:val="18"/>
          <w:szCs w:val="18"/>
          <w:color w:val="auto"/>
        </w:rPr>
      </w:pPr>
    </w:p>
    <w:p>
      <w:pPr>
        <w:ind w:left="380" w:right="80" w:hanging="261"/>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Submitted supplemental BLA for regulatory approval in the United States for the treatment of DME</w:t>
      </w:r>
    </w:p>
    <w:p>
      <w:pPr>
        <w:spacing w:after="0" w:line="8" w:lineRule="exact"/>
        <w:rPr>
          <w:rFonts w:ascii="Arial" w:cs="Arial" w:eastAsia="Arial" w:hAnsi="Arial"/>
          <w:sz w:val="18"/>
          <w:szCs w:val="18"/>
          <w:color w:val="auto"/>
        </w:rPr>
      </w:pPr>
    </w:p>
    <w:p>
      <w:pPr>
        <w:ind w:left="380" w:right="440" w:hanging="261"/>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Reported positive results from the Phase 3 MYRROR study in myopic CNV</w:t>
      </w:r>
    </w:p>
    <w:p>
      <w:pPr>
        <w:spacing w:after="0" w:line="8" w:lineRule="exact"/>
        <w:rPr>
          <w:rFonts w:ascii="Arial" w:cs="Arial" w:eastAsia="Arial" w:hAnsi="Arial"/>
          <w:sz w:val="18"/>
          <w:szCs w:val="18"/>
          <w:color w:val="auto"/>
        </w:rPr>
      </w:pPr>
    </w:p>
    <w:p>
      <w:pPr>
        <w:ind w:left="380" w:hanging="261"/>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Reported positive six month primary endpoint results for VIBRANT study in macular edema following BRVO</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67" w:right="100" w:hanging="267"/>
        <w:spacing w:after="0" w:line="317" w:lineRule="auto"/>
        <w:tabs>
          <w:tab w:leader="none" w:pos="267"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agency decisions on additional applications outside the United States for the treatment of wet AMD and macular edema secondary to CRVO</w:t>
      </w:r>
    </w:p>
    <w:p>
      <w:pPr>
        <w:ind w:left="267" w:hanging="267"/>
        <w:spacing w:after="0"/>
        <w:tabs>
          <w:tab w:leader="none" w:pos="267" w:val="left"/>
        </w:tabs>
        <w:numPr>
          <w:ilvl w:val="0"/>
          <w:numId w:val="9"/>
        </w:numPr>
        <w:rPr>
          <w:rFonts w:ascii="Arial" w:cs="Arial" w:eastAsia="Arial" w:hAnsi="Arial"/>
          <w:sz w:val="16"/>
          <w:szCs w:val="16"/>
          <w:color w:val="auto"/>
        </w:rPr>
      </w:pPr>
      <w:r>
        <w:rPr>
          <w:rFonts w:ascii="Arial" w:cs="Arial" w:eastAsia="Arial" w:hAnsi="Arial"/>
          <w:sz w:val="16"/>
          <w:szCs w:val="16"/>
          <w:color w:val="auto"/>
        </w:rPr>
        <w:t>Bayer HealthCare to file for ex-US regulatory approval in DME and myopic</w:t>
      </w:r>
    </w:p>
    <w:p>
      <w:pPr>
        <w:spacing w:after="0" w:line="46" w:lineRule="exact"/>
        <w:rPr>
          <w:rFonts w:ascii="Arial" w:cs="Arial" w:eastAsia="Arial" w:hAnsi="Arial"/>
          <w:sz w:val="16"/>
          <w:szCs w:val="16"/>
          <w:color w:val="auto"/>
        </w:rPr>
      </w:pPr>
    </w:p>
    <w:p>
      <w:pPr>
        <w:ind w:left="267"/>
        <w:spacing w:after="0"/>
        <w:rPr>
          <w:rFonts w:ascii="Arial" w:cs="Arial" w:eastAsia="Arial" w:hAnsi="Arial"/>
          <w:sz w:val="16"/>
          <w:szCs w:val="16"/>
          <w:color w:val="auto"/>
        </w:rPr>
      </w:pPr>
      <w:r>
        <w:rPr>
          <w:rFonts w:ascii="Arial" w:cs="Arial" w:eastAsia="Arial" w:hAnsi="Arial"/>
          <w:sz w:val="18"/>
          <w:szCs w:val="18"/>
          <w:color w:val="auto"/>
        </w:rPr>
        <w:t>CNV</w:t>
      </w:r>
    </w:p>
    <w:p>
      <w:pPr>
        <w:spacing w:after="0" w:line="48" w:lineRule="exact"/>
        <w:rPr>
          <w:rFonts w:ascii="Arial" w:cs="Arial" w:eastAsia="Arial" w:hAnsi="Arial"/>
          <w:sz w:val="16"/>
          <w:szCs w:val="16"/>
          <w:color w:val="auto"/>
        </w:rPr>
      </w:pPr>
    </w:p>
    <w:p>
      <w:pPr>
        <w:ind w:left="267" w:right="140" w:hanging="267"/>
        <w:spacing w:after="0" w:line="277" w:lineRule="auto"/>
        <w:tabs>
          <w:tab w:leader="none" w:pos="267"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for regulatory approval in the United States for the treatment of macular edema following BRVO</w:t>
      </w:r>
    </w:p>
    <w:p>
      <w:pPr>
        <w:spacing w:after="0" w:line="8" w:lineRule="exact"/>
        <w:rPr>
          <w:rFonts w:ascii="Arial" w:cs="Arial" w:eastAsia="Arial" w:hAnsi="Arial"/>
          <w:sz w:val="18"/>
          <w:szCs w:val="18"/>
          <w:color w:val="auto"/>
        </w:rPr>
      </w:pPr>
    </w:p>
    <w:p>
      <w:pPr>
        <w:ind w:left="267" w:right="100" w:hanging="267"/>
        <w:spacing w:after="0" w:line="277" w:lineRule="auto"/>
        <w:tabs>
          <w:tab w:leader="none" w:pos="267"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 two-year results from Phase 3 DME studies and one-year results from Phase 3 macular edema following BRVO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1541145</wp:posOffset>
            </wp:positionV>
            <wp:extent cx="7229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452" w:lineRule="exact"/>
        <w:rPr>
          <w:sz w:val="20"/>
          <w:szCs w:val="20"/>
          <w:color w:val="auto"/>
        </w:rPr>
      </w:pPr>
    </w:p>
    <w:p>
      <w:pPr>
        <w:sectPr>
          <w:pgSz w:w="11900" w:h="16838" w:orient="portrait"/>
          <w:cols w:equalWidth="0" w:num="2">
            <w:col w:w="5320" w:space="153"/>
            <w:col w:w="5927"/>
          </w:cols>
          <w:pgMar w:left="240" w:top="130" w:right="2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color w:val="auto"/>
        </w:rPr>
        <w:t>ZALTRAP</w:t>
      </w:r>
    </w:p>
    <w:p>
      <w:pPr>
        <w:sectPr>
          <w:pgSz w:w="11900" w:h="16838" w:orient="portrait"/>
          <w:cols w:equalWidth="0" w:num="1">
            <w:col w:w="11400"/>
          </w:cols>
          <w:pgMar w:left="240" w:top="130" w:right="259" w:bottom="1440" w:gutter="0" w:footer="0" w:header="0"/>
          <w:type w:val="continuous"/>
        </w:sectPr>
      </w:pPr>
    </w:p>
    <w:p>
      <w:pPr>
        <w:spacing w:after="0" w:line="75" w:lineRule="exact"/>
        <w:rPr>
          <w:sz w:val="20"/>
          <w:szCs w:val="20"/>
          <w:color w:val="auto"/>
        </w:rPr>
      </w:pPr>
    </w:p>
    <w:p>
      <w:pPr>
        <w:ind w:left="380" w:hanging="261"/>
        <w:spacing w:after="0" w:line="259"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European Commission granted marketing authorization in the European Union for ZALTRAP for patients with mCRC that is resistant to or has progressed following an oxaliplatin-containing regimen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67" w:right="440" w:hanging="267"/>
        <w:spacing w:after="0" w:line="264" w:lineRule="auto"/>
        <w:tabs>
          <w:tab w:leader="none" w:pos="2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agency decisions outside the United States on additional applications for ZALTRAP in the treatment of previously treated mCRC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141605</wp:posOffset>
            </wp:positionV>
            <wp:extent cx="7229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5080" w:space="393"/>
            <w:col w:w="5927"/>
          </w:cols>
          <w:pgMar w:left="240" w:top="130" w:right="259"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30" w:right="25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2">
              <w:r>
                <w:rPr>
                  <w:rFonts w:ascii="Arial" w:cs="Arial" w:eastAsia="Arial" w:hAnsi="Arial"/>
                  <w:sz w:val="16"/>
                  <w:szCs w:val="16"/>
                  <w:color w:val="0000FF"/>
                  <w:w w:val="90"/>
                </w:rPr>
                <w:t>Table of Contents</w:t>
              </w:r>
            </w:hyperlink>
          </w:p>
        </w:tc>
        <w:tc>
          <w:tcPr>
            <w:tcW w:w="15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300" w:type="dxa"/>
            <w:vAlign w:val="bottom"/>
          </w:tcPr>
          <w:p>
            <w:pPr>
              <w:spacing w:after="0"/>
              <w:rPr>
                <w:sz w:val="16"/>
                <w:szCs w:val="16"/>
                <w:color w:val="auto"/>
              </w:rPr>
            </w:pPr>
          </w:p>
        </w:tc>
      </w:tr>
      <w:tr>
        <w:trPr>
          <w:trHeight w:val="561"/>
        </w:trPr>
        <w:tc>
          <w:tcPr>
            <w:tcW w:w="6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6"/>
              </w:rPr>
              <w:t>Antibody-based Clinical Programs:</w:t>
            </w:r>
          </w:p>
        </w:tc>
        <w:tc>
          <w:tcPr>
            <w:tcW w:w="44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453"/>
        </w:trPr>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40" w:type="dxa"/>
            <w:vAlign w:val="bottom"/>
          </w:tcPr>
          <w:p>
            <w:pPr>
              <w:ind w:left="2000"/>
              <w:spacing w:after="0"/>
              <w:rPr>
                <w:sz w:val="20"/>
                <w:szCs w:val="20"/>
                <w:color w:val="auto"/>
              </w:rPr>
            </w:pPr>
            <w:r>
              <w:rPr>
                <w:rFonts w:ascii="Arial" w:cs="Arial" w:eastAsia="Arial" w:hAnsi="Arial"/>
                <w:sz w:val="18"/>
                <w:szCs w:val="18"/>
                <w:b w:val="1"/>
                <w:bCs w:val="1"/>
                <w:color w:val="auto"/>
              </w:rPr>
              <w:t>2013 Events to Date</w:t>
            </w:r>
          </w:p>
        </w:tc>
        <w:tc>
          <w:tcPr>
            <w:tcW w:w="4300" w:type="dxa"/>
            <w:vAlign w:val="bottom"/>
          </w:tcPr>
          <w:p>
            <w:pPr>
              <w:ind w:left="1220"/>
              <w:spacing w:after="0"/>
              <w:rPr>
                <w:sz w:val="20"/>
                <w:szCs w:val="20"/>
                <w:color w:val="auto"/>
              </w:rPr>
            </w:pPr>
            <w:r>
              <w:rPr>
                <w:rFonts w:ascii="Arial" w:cs="Arial" w:eastAsia="Arial" w:hAnsi="Arial"/>
                <w:sz w:val="18"/>
                <w:szCs w:val="18"/>
                <w:b w:val="1"/>
                <w:bCs w:val="1"/>
                <w:color w:val="auto"/>
              </w:rPr>
              <w:t>2013-14 Plans (next 12 months)</w:t>
            </w: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2"/>
        </w:trPr>
        <w:tc>
          <w:tcPr>
            <w:tcW w:w="26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4440" w:type="dxa"/>
            <w:vAlign w:val="bottom"/>
          </w:tcPr>
          <w:p>
            <w:pPr>
              <w:ind w:left="640"/>
              <w:spacing w:after="0"/>
              <w:rPr>
                <w:sz w:val="20"/>
                <w:szCs w:val="20"/>
                <w:color w:val="auto"/>
              </w:rPr>
            </w:pPr>
            <w:r>
              <w:rPr>
                <w:rFonts w:ascii="Arial" w:cs="Arial" w:eastAsia="Arial" w:hAnsi="Arial"/>
                <w:sz w:val="18"/>
                <w:szCs w:val="18"/>
                <w:color w:val="auto"/>
              </w:rPr>
              <w:t>Ÿ  Continued enrollment in Phase 3 SARIL-RA</w:t>
            </w:r>
          </w:p>
        </w:tc>
        <w:tc>
          <w:tcPr>
            <w:tcW w:w="4300" w:type="dxa"/>
            <w:vAlign w:val="bottom"/>
          </w:tcPr>
          <w:p>
            <w:pPr>
              <w:ind w:left="320"/>
              <w:spacing w:after="0"/>
              <w:rPr>
                <w:sz w:val="20"/>
                <w:szCs w:val="20"/>
                <w:color w:val="auto"/>
              </w:rPr>
            </w:pPr>
            <w:r>
              <w:rPr>
                <w:rFonts w:ascii="Arial" w:cs="Arial" w:eastAsia="Arial" w:hAnsi="Arial"/>
                <w:sz w:val="18"/>
                <w:szCs w:val="18"/>
                <w:color w:val="auto"/>
                <w:w w:val="97"/>
              </w:rPr>
              <w:t>Ÿ  Report results from SARIL-RA- MOBILITY study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40" w:type="dxa"/>
            <w:vAlign w:val="bottom"/>
          </w:tcPr>
          <w:p>
            <w:pPr>
              <w:ind w:left="900"/>
              <w:spacing w:after="0"/>
              <w:rPr>
                <w:sz w:val="20"/>
                <w:szCs w:val="20"/>
                <w:color w:val="auto"/>
              </w:rPr>
            </w:pPr>
            <w:r>
              <w:rPr>
                <w:rFonts w:ascii="Arial" w:cs="Arial" w:eastAsia="Arial" w:hAnsi="Arial"/>
                <w:sz w:val="18"/>
                <w:szCs w:val="18"/>
                <w:color w:val="auto"/>
              </w:rPr>
              <w:t>program</w:t>
            </w:r>
          </w:p>
        </w:tc>
        <w:tc>
          <w:tcPr>
            <w:tcW w:w="430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1">
            <w:col w:w="11420"/>
          </w:cols>
          <w:pgMar w:left="240" w:top="118" w:right="239" w:bottom="1440" w:gutter="0" w:footer="0" w:header="0"/>
        </w:sectPr>
      </w:pPr>
    </w:p>
    <w:p>
      <w:pPr>
        <w:ind w:left="3580" w:hanging="261"/>
        <w:spacing w:after="0" w:line="264" w:lineRule="auto"/>
        <w:tabs>
          <w:tab w:leader="none" w:pos="3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Initiated SARIL-RA-ASCERTAIN and SARIL-RA-COMPARE Phase 3 studies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8" w:right="300" w:hanging="268"/>
        <w:spacing w:after="0" w:line="277" w:lineRule="auto"/>
        <w:tabs>
          <w:tab w:leader="none" w:pos="2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SARIL-NIU-SATURN Phase 2 study in non-infectious uveitis</w:t>
      </w:r>
    </w:p>
    <w:p>
      <w:pPr>
        <w:spacing w:after="0" w:line="238" w:lineRule="exact"/>
        <w:rPr>
          <w:sz w:val="20"/>
          <w:szCs w:val="20"/>
          <w:color w:val="auto"/>
        </w:rPr>
      </w:pPr>
    </w:p>
    <w:p>
      <w:pPr>
        <w:sectPr>
          <w:pgSz w:w="11900" w:h="16838" w:orient="portrait"/>
          <w:cols w:equalWidth="0" w:num="2">
            <w:col w:w="7040" w:space="392"/>
            <w:col w:w="3988"/>
          </w:cols>
          <w:pgMar w:left="240" w:top="118" w:right="239" w:bottom="1440" w:gutter="0" w:footer="0" w:header="0"/>
          <w:type w:val="continuous"/>
        </w:sectPr>
      </w:pPr>
    </w:p>
    <w:p>
      <w:pPr>
        <w:ind w:left="40"/>
        <w:spacing w:after="0"/>
        <w:tabs>
          <w:tab w:leader="none" w:pos="3300" w:val="left"/>
        </w:tabs>
        <w:rPr>
          <w:sz w:val="20"/>
          <w:szCs w:val="20"/>
          <w:color w:val="auto"/>
        </w:rPr>
      </w:pPr>
      <w:r>
        <w:rPr>
          <w:rFonts w:ascii="Arial" w:cs="Arial" w:eastAsia="Arial" w:hAnsi="Arial"/>
          <w:sz w:val="18"/>
          <w:szCs w:val="18"/>
          <w:b w:val="1"/>
          <w:bCs w:val="1"/>
          <w:i w:val="1"/>
          <w:iCs w:val="1"/>
          <w:color w:val="auto"/>
        </w:rPr>
        <w:t>Alirocumab (PCSK9 Antibody)</w:t>
      </w:r>
      <w:r>
        <w:rPr>
          <w:sz w:val="20"/>
          <w:szCs w:val="20"/>
          <w:color w:val="auto"/>
        </w:rPr>
        <w:tab/>
      </w:r>
      <w:r>
        <w:rPr>
          <w:rFonts w:ascii="Arial" w:cs="Arial" w:eastAsia="Arial" w:hAnsi="Arial"/>
          <w:sz w:val="16"/>
          <w:szCs w:val="16"/>
          <w:color w:val="auto"/>
        </w:rPr>
        <w:t>Ÿ  Continued patient enrollment in Phase 3</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ODYSSEY trials</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Ÿ  Reported positive results from Phase 3 ODYSSEY</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MONO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8" w:right="300" w:hanging="268"/>
        <w:spacing w:after="0" w:line="277" w:lineRule="auto"/>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enrollment of the Phase 3 ODYSSEY trials</w:t>
      </w:r>
    </w:p>
    <w:p>
      <w:pPr>
        <w:spacing w:after="0" w:line="8" w:lineRule="exact"/>
        <w:rPr>
          <w:rFonts w:ascii="Arial" w:cs="Arial" w:eastAsia="Arial" w:hAnsi="Arial"/>
          <w:sz w:val="18"/>
          <w:szCs w:val="18"/>
          <w:color w:val="auto"/>
        </w:rPr>
      </w:pPr>
    </w:p>
    <w:p>
      <w:pPr>
        <w:ind w:left="268" w:right="400" w:hanging="268"/>
        <w:spacing w:after="0" w:line="277" w:lineRule="auto"/>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 results from several additional Phase 3 ODYSSEY trials</w:t>
      </w:r>
    </w:p>
    <w:p>
      <w:pPr>
        <w:spacing w:after="0" w:line="8" w:lineRule="exact"/>
        <w:rPr>
          <w:rFonts w:ascii="Arial" w:cs="Arial" w:eastAsia="Arial" w:hAnsi="Arial"/>
          <w:sz w:val="18"/>
          <w:szCs w:val="18"/>
          <w:color w:val="auto"/>
        </w:rPr>
      </w:pPr>
    </w:p>
    <w:p>
      <w:pPr>
        <w:ind w:left="268" w:hanging="268"/>
        <w:spacing w:after="0"/>
        <w:tabs>
          <w:tab w:leader="none" w:pos="2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Phase 3 ODYSSEY CHOICE trials</w:t>
      </w:r>
    </w:p>
    <w:p>
      <w:pPr>
        <w:spacing w:after="0" w:line="77" w:lineRule="exact"/>
        <w:rPr>
          <w:sz w:val="20"/>
          <w:szCs w:val="20"/>
          <w:color w:val="auto"/>
        </w:rPr>
      </w:pPr>
    </w:p>
    <w:p>
      <w:pPr>
        <w:sectPr>
          <w:pgSz w:w="11900" w:h="16838" w:orient="portrait"/>
          <w:cols w:equalWidth="0" w:num="2">
            <w:col w:w="7240" w:space="192"/>
            <w:col w:w="3988"/>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8"/>
              </w:rPr>
              <w:t>Reported results for Phase 1b studies in atopic</w:t>
            </w:r>
          </w:p>
        </w:tc>
        <w:tc>
          <w:tcPr>
            <w:tcW w:w="4140" w:type="dxa"/>
            <w:vAlign w:val="bottom"/>
          </w:tcPr>
          <w:p>
            <w:pPr>
              <w:ind w:left="160"/>
              <w:spacing w:after="0"/>
              <w:rPr>
                <w:sz w:val="20"/>
                <w:szCs w:val="20"/>
                <w:color w:val="auto"/>
              </w:rPr>
            </w:pPr>
            <w:r>
              <w:rPr>
                <w:rFonts w:ascii="Arial" w:cs="Arial" w:eastAsia="Arial" w:hAnsi="Arial"/>
                <w:sz w:val="18"/>
                <w:szCs w:val="18"/>
                <w:color w:val="auto"/>
              </w:rPr>
              <w:t>Ÿ  Continue patient enrollment in Phase 2 trials</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dermatitis</w:t>
            </w:r>
          </w:p>
        </w:tc>
        <w:tc>
          <w:tcPr>
            <w:tcW w:w="414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4"/>
              </w:rPr>
              <w:t>Reported results from Phase 2a study in asthma.</w:t>
            </w:r>
          </w:p>
        </w:tc>
        <w:tc>
          <w:tcPr>
            <w:tcW w:w="4140" w:type="dxa"/>
            <w:vAlign w:val="bottom"/>
          </w:tcPr>
          <w:p>
            <w:pPr>
              <w:spacing w:after="0"/>
              <w:rPr>
                <w:sz w:val="22"/>
                <w:szCs w:val="22"/>
                <w:color w:val="auto"/>
              </w:rPr>
            </w:pPr>
          </w:p>
        </w:tc>
      </w:tr>
      <w:tr>
        <w:trPr>
          <w:trHeight w:val="216"/>
        </w:trPr>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 xml:space="preserve">Results were also published online in the </w:t>
            </w:r>
            <w:r>
              <w:rPr>
                <w:rFonts w:ascii="Arial" w:cs="Arial" w:eastAsia="Arial" w:hAnsi="Arial"/>
                <w:sz w:val="18"/>
                <w:szCs w:val="18"/>
                <w:i w:val="1"/>
                <w:iCs w:val="1"/>
                <w:color w:val="auto"/>
              </w:rPr>
              <w:t>New</w:t>
            </w:r>
          </w:p>
        </w:tc>
        <w:tc>
          <w:tcPr>
            <w:tcW w:w="414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i w:val="1"/>
                <w:iCs w:val="1"/>
                <w:color w:val="auto"/>
              </w:rPr>
              <w:t>England Journal of Medicine</w:t>
            </w:r>
          </w:p>
        </w:tc>
        <w:tc>
          <w:tcPr>
            <w:tcW w:w="414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Reported results from Phase 2 study in atopic</w:t>
            </w:r>
          </w:p>
        </w:tc>
        <w:tc>
          <w:tcPr>
            <w:tcW w:w="414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dermatitis</w:t>
            </w:r>
          </w:p>
        </w:tc>
        <w:tc>
          <w:tcPr>
            <w:tcW w:w="414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7"/>
              </w:rPr>
              <w:t>Initiated Phase 2b trials in atopic dermatitis and</w:t>
            </w:r>
          </w:p>
        </w:tc>
        <w:tc>
          <w:tcPr>
            <w:tcW w:w="4140" w:type="dxa"/>
            <w:vAlign w:val="bottom"/>
          </w:tcPr>
          <w:p>
            <w:pPr>
              <w:spacing w:after="0"/>
              <w:rPr>
                <w:sz w:val="22"/>
                <w:szCs w:val="22"/>
                <w:color w:val="auto"/>
              </w:rPr>
            </w:pP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asthma</w:t>
            </w:r>
          </w:p>
        </w:tc>
        <w:tc>
          <w:tcPr>
            <w:tcW w:w="4140" w:type="dxa"/>
            <w:vAlign w:val="bottom"/>
          </w:tcPr>
          <w:p>
            <w:pPr>
              <w:spacing w:after="0"/>
              <w:rPr>
                <w:sz w:val="20"/>
                <w:szCs w:val="20"/>
                <w:color w:val="auto"/>
              </w:rPr>
            </w:pPr>
          </w:p>
        </w:tc>
      </w:tr>
      <w:tr>
        <w:trPr>
          <w:trHeight w:val="270"/>
        </w:trPr>
        <w:tc>
          <w:tcPr>
            <w:tcW w:w="3120" w:type="dxa"/>
            <w:vAlign w:val="bottom"/>
          </w:tcPr>
          <w:p>
            <w:pPr>
              <w:spacing w:after="0"/>
              <w:rPr>
                <w:sz w:val="23"/>
                <w:szCs w:val="23"/>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Initiated Phase 2 trial in nasal polyposis</w:t>
            </w:r>
          </w:p>
        </w:tc>
        <w:tc>
          <w:tcPr>
            <w:tcW w:w="4140" w:type="dxa"/>
            <w:vAlign w:val="bottom"/>
          </w:tcPr>
          <w:p>
            <w:pPr>
              <w:spacing w:after="0"/>
              <w:rPr>
                <w:sz w:val="23"/>
                <w:szCs w:val="23"/>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Enoticumab (Dll4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60"/>
              <w:spacing w:after="0"/>
              <w:rPr>
                <w:sz w:val="20"/>
                <w:szCs w:val="20"/>
                <w:color w:val="auto"/>
              </w:rPr>
            </w:pPr>
            <w:r>
              <w:rPr>
                <w:rFonts w:ascii="Arial" w:cs="Arial" w:eastAsia="Arial" w:hAnsi="Arial"/>
                <w:sz w:val="18"/>
                <w:szCs w:val="18"/>
                <w:color w:val="auto"/>
                <w:w w:val="98"/>
              </w:rPr>
              <w:t>Ÿ  Complete patient enrollment in the expansion of</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the Phase 1 program</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Nesvacumab (Ang2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60"/>
              <w:spacing w:after="0"/>
              <w:rPr>
                <w:sz w:val="20"/>
                <w:szCs w:val="20"/>
                <w:color w:val="auto"/>
              </w:rPr>
            </w:pPr>
            <w:r>
              <w:rPr>
                <w:rFonts w:ascii="Arial" w:cs="Arial" w:eastAsia="Arial" w:hAnsi="Arial"/>
                <w:sz w:val="18"/>
                <w:szCs w:val="18"/>
                <w:color w:val="auto"/>
              </w:rPr>
              <w:t>Ÿ  Complete patient enrollment in the Phase 1b</w:t>
            </w:r>
          </w:p>
        </w:tc>
      </w:tr>
      <w:tr>
        <w:trPr>
          <w:trHeight w:val="230"/>
        </w:trPr>
        <w:tc>
          <w:tcPr>
            <w:tcW w:w="3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program in advanced malignancies</w:t>
            </w:r>
          </w:p>
        </w:tc>
      </w:tr>
      <w:tr>
        <w:trPr>
          <w:trHeight w:val="270"/>
        </w:trPr>
        <w:tc>
          <w:tcPr>
            <w:tcW w:w="3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Ÿ  Initiate clinical development in ophthalmology</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60"/>
              <w:spacing w:after="0"/>
              <w:rPr>
                <w:sz w:val="20"/>
                <w:szCs w:val="20"/>
                <w:color w:val="auto"/>
              </w:rPr>
            </w:pPr>
            <w:r>
              <w:rPr>
                <w:rFonts w:ascii="Arial" w:cs="Arial" w:eastAsia="Arial" w:hAnsi="Arial"/>
                <w:sz w:val="18"/>
                <w:szCs w:val="18"/>
                <w:color w:val="auto"/>
              </w:rPr>
              <w:t>Ÿ  Initiate Phase 2a study</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REGN2009 (target not disclosed)</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40" w:type="dxa"/>
            <w:vAlign w:val="bottom"/>
          </w:tcPr>
          <w:p>
            <w:pPr>
              <w:ind w:left="16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REGN1400 (ErbB3 Antibody)</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6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REGN1154 (target not disclosed)</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Completion of Phase 1 program</w:t>
            </w:r>
          </w:p>
        </w:tc>
        <w:tc>
          <w:tcPr>
            <w:tcW w:w="414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REGN1500 (target not disclosed)</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4140" w:type="dxa"/>
            <w:vAlign w:val="bottom"/>
          </w:tcPr>
          <w:p>
            <w:pPr>
              <w:ind w:left="16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REGN1193 (target not disclosed)</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40" w:type="dxa"/>
            <w:vAlign w:val="bottom"/>
          </w:tcPr>
          <w:p>
            <w:pPr>
              <w:ind w:left="16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3"/>
              </w:rPr>
              <w:t>REGN1908-1909 (target not disclosed)</w:t>
            </w:r>
          </w:p>
        </w:tc>
        <w:tc>
          <w:tcPr>
            <w:tcW w:w="400" w:type="dxa"/>
            <w:vAlign w:val="bottom"/>
          </w:tcPr>
          <w:p>
            <w:pPr>
              <w:ind w:left="20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Initiated Phase 1 program</w:t>
            </w:r>
          </w:p>
        </w:tc>
        <w:tc>
          <w:tcPr>
            <w:tcW w:w="4140" w:type="dxa"/>
            <w:vAlign w:val="bottom"/>
          </w:tcPr>
          <w:p>
            <w:pPr>
              <w:ind w:left="160"/>
              <w:spacing w:after="0"/>
              <w:rPr>
                <w:sz w:val="20"/>
                <w:szCs w:val="20"/>
                <w:color w:val="auto"/>
              </w:rPr>
            </w:pPr>
            <w:r>
              <w:rPr>
                <w:rFonts w:ascii="Arial" w:cs="Arial" w:eastAsia="Arial" w:hAnsi="Arial"/>
                <w:sz w:val="18"/>
                <w:szCs w:val="18"/>
                <w:color w:val="auto"/>
                <w:w w:val="97"/>
              </w:rPr>
              <w:t>Ÿ  Continue patient enrollment in Phase 1 program</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400" w:type="dxa"/>
            <w:vAlign w:val="bottom"/>
          </w:tcPr>
          <w:p>
            <w:pPr>
              <w:ind w:left="22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On clinical hold</w:t>
            </w:r>
          </w:p>
        </w:tc>
        <w:tc>
          <w:tcPr>
            <w:tcW w:w="4140" w:type="dxa"/>
            <w:vAlign w:val="bottom"/>
          </w:tcPr>
          <w:p>
            <w:pPr>
              <w:ind w:left="160"/>
              <w:spacing w:after="0"/>
              <w:rPr>
                <w:sz w:val="20"/>
                <w:szCs w:val="20"/>
                <w:color w:val="auto"/>
              </w:rPr>
            </w:pPr>
            <w:r>
              <w:rPr>
                <w:rFonts w:ascii="Arial" w:cs="Arial" w:eastAsia="Arial" w:hAnsi="Arial"/>
                <w:sz w:val="18"/>
                <w:szCs w:val="18"/>
                <w:color w:val="auto"/>
              </w:rPr>
              <w:t>Ÿ  Determine future development plan</w:t>
            </w:r>
          </w:p>
        </w:tc>
      </w:tr>
      <w:tr>
        <w:trPr>
          <w:trHeight w:val="27"/>
        </w:trPr>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669"/>
        </w:trPr>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60" w:type="dxa"/>
            <w:vAlign w:val="bottom"/>
          </w:tcPr>
          <w:p>
            <w:pPr>
              <w:ind w:left="2100"/>
              <w:spacing w:after="0"/>
              <w:rPr>
                <w:sz w:val="20"/>
                <w:szCs w:val="20"/>
                <w:color w:val="auto"/>
              </w:rPr>
            </w:pPr>
            <w:r>
              <w:rPr>
                <w:rFonts w:ascii="Arial" w:cs="Arial" w:eastAsia="Arial" w:hAnsi="Arial"/>
                <w:sz w:val="18"/>
                <w:szCs w:val="18"/>
                <w:color w:val="auto"/>
              </w:rPr>
              <w:t>31</w:t>
            </w:r>
          </w:p>
        </w:tc>
        <w:tc>
          <w:tcPr>
            <w:tcW w:w="4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2013 and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reported net income of $141.3 million, or $1.25 per diluted share, for the third quarter of 2013, compared to $191.5 million, or $1.72 per diluted share, for the third quarter of 2012. The decrease in net income resulted primarily from higher operating and income tax expenses, partly offset by higher net product sales of EYLEA in the United States and higher Bayer HealthCare collaboration revenue in connection with sales of EYLEA outside the United States, as described below. Net income in the third quarter of 2013 and 2012 also included the recognition of $45.0 million and $65.0 million, respectively, of milestone payments.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for the three months ended September 30, 2013 and 2012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43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4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product sales consist of U.S. sales of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For the three months ended September 30, 2013 and 2012, we recognized EYLEA net product sales of $363.1 million and $244.4 million, respectively. For the three months ended September 30, 2013 and 2012, we also recognized ARCALYST net product sales of $4.0 million and $4.8 million, respectively.</w:t>
      </w:r>
    </w:p>
    <w:p>
      <w:pPr>
        <w:spacing w:after="0" w:line="1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September 30, 2013 and 2012, we recorded 75% and 79%, respectively, of our total gross product revenue from sales to Besse Medical, a subsidiary of AmerisourceBergen Corporation.</w:t>
      </w:r>
    </w:p>
    <w:p>
      <w:pPr>
        <w:spacing w:after="0" w:line="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record product sales net of allowances and accruals for rebates and chargebacks under governmental programs (including Medicaid), distribution-related fees, prompt pay discounts, product returns, and other sales-related deductions. The following table summarizes the provisions, and credits/payments, for sales-related deductions for the three months ended September 30, 2013 and 2012.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4400" w:type="dxa"/>
            <w:vAlign w:val="bottom"/>
            <w:gridSpan w:val="3"/>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Table of Contents</w:t>
              </w:r>
            </w:hyperlink>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10"/>
        </w:trPr>
        <w:tc>
          <w:tcPr>
            <w:tcW w:w="10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Distribution-</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Related Fees</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106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06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w w:val="99"/>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60" w:type="dxa"/>
            <w:vAlign w:val="bottom"/>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57"/>
        </w:trPr>
        <w:tc>
          <w:tcPr>
            <w:tcW w:w="1060" w:type="dxa"/>
            <w:vAlign w:val="bottom"/>
          </w:tcPr>
          <w:p>
            <w:pPr>
              <w:spacing w:after="0"/>
              <w:rPr>
                <w:sz w:val="22"/>
                <w:szCs w:val="22"/>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Balance as of September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106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w w:val="99"/>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60" w:type="dxa"/>
            <w:vAlign w:val="bottom"/>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57"/>
        </w:trPr>
        <w:tc>
          <w:tcPr>
            <w:tcW w:w="1060" w:type="dxa"/>
            <w:vAlign w:val="bottom"/>
          </w:tcPr>
          <w:p>
            <w:pPr>
              <w:spacing w:after="0"/>
              <w:rPr>
                <w:sz w:val="22"/>
                <w:szCs w:val="22"/>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Balance as of September 30, 2012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our share of losses in connection with Sanofi's commercialization of ZALTRAP, recognition of a substantive milestone payment, and revenue related to non-refundable up-front payments.</w:t>
      </w:r>
    </w:p>
    <w:p>
      <w:pPr>
        <w:spacing w:after="0" w:line="258"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Substantive milestone payment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rPr>
              <w:t>and other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Recognition of deferred revenue related to up-front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Recognition of deferred revenue related to up-front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other payments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w w:val="94"/>
              </w:rPr>
              <w:t xml:space="preserve">Recognition of revenue related to </w:t>
            </w:r>
            <w:r>
              <w:rPr>
                <w:rFonts w:ascii="Arial" w:cs="Arial" w:eastAsia="Arial" w:hAnsi="Arial"/>
                <w:sz w:val="18"/>
                <w:szCs w:val="18"/>
                <w:i w:val="1"/>
                <w:iCs w:val="1"/>
                <w:color w:val="auto"/>
                <w:w w:val="94"/>
              </w:rPr>
              <w:t>VelociGene</w:t>
            </w:r>
            <w:r>
              <w:rPr>
                <w:rFonts w:ascii="Arial" w:cs="Arial" w:eastAsia="Arial" w:hAnsi="Arial"/>
                <w:sz w:val="18"/>
                <w:szCs w:val="18"/>
                <w:color w:val="auto"/>
                <w:w w:val="94"/>
              </w:rPr>
              <w:t xml:space="preserve"> agreement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145.0</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Sanofi commenced sales of ZALTRAP (ziv-aflibercept) Injection for Intravenous Infusion, in combination with FOLFIRI, for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100"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26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Three months ended September</w:t>
            </w:r>
          </w:p>
        </w:tc>
      </w:tr>
      <w:tr>
        <w:trPr>
          <w:trHeight w:val="196"/>
        </w:trPr>
        <w:tc>
          <w:tcPr>
            <w:tcW w:w="20" w:type="dxa"/>
            <w:vAlign w:val="bottom"/>
          </w:tcPr>
          <w:p>
            <w:pPr>
              <w:spacing w:after="0"/>
              <w:rPr>
                <w:sz w:val="17"/>
                <w:szCs w:val="17"/>
                <w:color w:val="auto"/>
              </w:rPr>
            </w:pPr>
          </w:p>
        </w:tc>
        <w:tc>
          <w:tcPr>
            <w:tcW w:w="3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by Sanofi</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18"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share of the loss in the third quarter of 2013 and 2012 consisted of costs in connection with launching and commercializing ZALTRAP, which were only partly offset by net product sales. Sanofi provides us with an estimate of our share of the profit or loss from commercialization of ZALTRAP for the most recent fiscal quarter. Sanofi's estimates of net products sales and related expenses for such quarter are reconciled to their actual net product sales and related expenses in the subsequent fiscal quarter, and our portion of the profit or loss is adjusted accordingly, as necessary.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third quarter of 2012, we earned a $50.0 million substantive milestone payment from Sanofi upon FDA approval of ZALTRAP.</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Recognition of deferred revenue related to the ZALTRAP up-front payments from Sanofi decreased in the third quarter of 2013, compared to the same period of 2012, due to lengthening the estimated performance period over which this deferred revenue is being recognized, effective in the first quarter of 2013. In connection with recognition of deferred revenue related to ZALTRAP, as of September 30, 2013, $7.3 million of the original $105.0 million of up-front payments was deferred and will be recognized as revenue in future periods.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third quarter of 2013, Sanofi's reimbursement of our antibody expenses consisted of $45.5 million under our discovery agreement and $88.9 million of development costs under our license agreement, compared to $49.6 million and $45.3 million, respectively, in the third quarter of 2012. The higher reimbursement of development costs in the third quarter of 2013, compared to the same period of 2012, was primarily due to increased development activities for alirocumab, dupilumab, and sarilumab.</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it relates to recognition of deferred revenue, in connection with the November 2009 amendment of the discovery agreement, Sanofi has funded $30 million of agreed-upon costs incurred by us to expand our manufacturing capacity at our Rensselaer, New York facilities. Revenue related to such funding from Sanofi was deferred and is being recognized as collaboration revenue prospectively over the related performance period in conjunction with the recognition of the original $85.0 million up-front payment. As of September 30, 2013, $62.7 million of the up-front and other payments was deferred and will be recognized as revenue in future periods.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collaboration revenue we earned from Bayer HealthCare, as detailed below, consisted of our share of profits in connection with commercialization of EYLEA outside the United States, recognition of sales and substantive development milestone payments, cost-sharing of Regeneron EYLEA development expenses and reimbursement of other Regeneron EYLEA expenses, and revenue related to a non-refundable $75.0 million up-front payment received in 2006 and a $20.0 million milestone payment received in 2007 (which, for the purpose of revenue recognition, was not considered substantive).</w:t>
      </w:r>
    </w:p>
    <w:p>
      <w:pPr>
        <w:spacing w:after="0" w:line="231"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30"/>
              <w:spacing w:after="0" w:line="194"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commercialization of EYLEA outside the 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w w:val="99"/>
              </w:rPr>
              <w:t>Sales and substantive development milestone payments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Reimbursement of other Regeneron EYLEA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 related to up-front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milestone payments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jc w:val="right"/>
              <w:ind w:right="90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Bayer HealthCare commenced sales of EYLEA for the treatment of wet AMD in the fourth quarter of 2012 following receipt of regulatory approvals in the EU, Japan, and other countries. Regeneron's net profit in connection with commercialization of EYLEA outside the United States is summarized below.</w:t>
      </w:r>
    </w:p>
    <w:p>
      <w:pPr>
        <w:sectPr>
          <w:pgSz w:w="11900" w:h="16838" w:orient="portrait"/>
          <w:cols w:equalWidth="0" w:num="1">
            <w:col w:w="11420"/>
          </w:cols>
          <w:pgMar w:left="240" w:top="130" w:right="239" w:bottom="1440" w:gutter="0" w:footer="0" w:header="0"/>
        </w:sectPr>
      </w:pPr>
    </w:p>
    <w:p>
      <w:pPr>
        <w:spacing w:after="0" w:line="201" w:lineRule="exact"/>
        <w:rPr>
          <w:sz w:val="20"/>
          <w:szCs w:val="20"/>
          <w:color w:val="auto"/>
        </w:rPr>
      </w:pPr>
    </w:p>
    <w:p>
      <w:pPr>
        <w:ind w:left="2640" w:right="100"/>
        <w:spacing w:after="0" w:line="282" w:lineRule="auto"/>
        <w:rPr>
          <w:sz w:val="20"/>
          <w:szCs w:val="20"/>
          <w:color w:val="auto"/>
        </w:rPr>
      </w:pPr>
      <w:r>
        <w:rPr>
          <w:rFonts w:ascii="Arial" w:cs="Arial" w:eastAsia="Arial" w:hAnsi="Arial"/>
          <w:sz w:val="18"/>
          <w:szCs w:val="18"/>
          <w:b w:val="1"/>
          <w:bCs w:val="1"/>
          <w:u w:val="single" w:color="auto"/>
          <w:color w:val="auto"/>
        </w:rPr>
        <w:t>Regeneron's Net Profit from EYLEA Sales Outside the United States</w:t>
      </w:r>
    </w:p>
    <w:p>
      <w:pPr>
        <w:spacing w:after="0" w:line="4" w:lineRule="exact"/>
        <w:rPr>
          <w:sz w:val="20"/>
          <w:szCs w:val="20"/>
          <w:color w:val="auto"/>
        </w:rPr>
      </w:pPr>
    </w:p>
    <w:p>
      <w:pPr>
        <w:ind w:left="2640"/>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31750</wp:posOffset>
            </wp:positionV>
            <wp:extent cx="3944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4620" cy="188595"/>
                    </a:xfrm>
                    <a:prstGeom prst="rect">
                      <a:avLst/>
                    </a:prstGeom>
                    <a:noFill/>
                  </pic:spPr>
                </pic:pic>
              </a:graphicData>
            </a:graphic>
          </wp:anchor>
        </w:drawing>
      </w:r>
    </w:p>
    <w:p>
      <w:pPr>
        <w:spacing w:after="0" w:line="7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Net product sales outside the United States</w:t>
      </w:r>
    </w:p>
    <w:p>
      <w:pPr>
        <w:spacing w:after="0" w:line="63" w:lineRule="exact"/>
        <w:rPr>
          <w:sz w:val="20"/>
          <w:szCs w:val="20"/>
          <w:color w:val="auto"/>
        </w:rPr>
      </w:pPr>
    </w:p>
    <w:p>
      <w:pPr>
        <w:ind w:left="2800" w:hanging="161"/>
        <w:spacing w:after="0" w:line="277" w:lineRule="auto"/>
        <w:rPr>
          <w:sz w:val="20"/>
          <w:szCs w:val="20"/>
          <w:color w:val="auto"/>
        </w:rPr>
      </w:pPr>
      <w:r>
        <w:rPr>
          <w:rFonts w:ascii="Arial" w:cs="Arial" w:eastAsia="Arial" w:hAnsi="Arial"/>
          <w:sz w:val="18"/>
          <w:szCs w:val="18"/>
          <w:color w:val="auto"/>
        </w:rPr>
        <w:t>Regeneron's share of collaboration profit from sales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-1905</wp:posOffset>
            </wp:positionV>
            <wp:extent cx="394462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44620" cy="445770"/>
                    </a:xfrm>
                    <a:prstGeom prst="rect">
                      <a:avLst/>
                    </a:prstGeom>
                    <a:noFill/>
                  </pic:spPr>
                </pic:pic>
              </a:graphicData>
            </a:graphic>
          </wp:anchor>
        </w:drawing>
      </w:r>
    </w:p>
    <w:p>
      <w:pPr>
        <w:ind w:left="2800" w:right="20" w:hanging="161"/>
        <w:spacing w:after="0" w:line="264" w:lineRule="auto"/>
        <w:rPr>
          <w:sz w:val="20"/>
          <w:szCs w:val="20"/>
          <w:color w:val="auto"/>
        </w:rPr>
      </w:pPr>
      <w:r>
        <w:rPr>
          <w:rFonts w:ascii="Arial" w:cs="Arial" w:eastAsia="Arial" w:hAnsi="Arial"/>
          <w:sz w:val="18"/>
          <w:szCs w:val="18"/>
          <w:color w:val="auto"/>
        </w:rPr>
        <w:t>Reimbursement of EYLEA development expenses incurred by Bayer HealthCare in accordance with Regeneron's payment obligation</w:t>
      </w:r>
    </w:p>
    <w:p>
      <w:pPr>
        <w:spacing w:after="0" w:line="19" w:lineRule="exact"/>
        <w:rPr>
          <w:sz w:val="20"/>
          <w:szCs w:val="20"/>
          <w:color w:val="auto"/>
        </w:rPr>
      </w:pPr>
    </w:p>
    <w:p>
      <w:pPr>
        <w:ind w:left="2800" w:right="140" w:hanging="161"/>
        <w:spacing w:after="0" w:line="342" w:lineRule="auto"/>
        <w:rPr>
          <w:sz w:val="20"/>
          <w:szCs w:val="20"/>
          <w:color w:val="auto"/>
        </w:rPr>
      </w:pPr>
      <w:r>
        <w:rPr>
          <w:rFonts w:ascii="Arial" w:cs="Arial" w:eastAsia="Arial" w:hAnsi="Arial"/>
          <w:sz w:val="16"/>
          <w:szCs w:val="16"/>
          <w:color w:val="auto"/>
        </w:rPr>
        <w:t>Regeneron's net profit in connection with commercialization of EYLEA outside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September 30, 2013</w:t>
      </w:r>
    </w:p>
    <w:p>
      <w:pPr>
        <w:spacing w:after="0" w:line="85" w:lineRule="exact"/>
        <w:rPr>
          <w:sz w:val="20"/>
          <w:szCs w:val="20"/>
          <w:color w:val="auto"/>
        </w:rPr>
      </w:pPr>
    </w:p>
    <w:p>
      <w:pPr>
        <w:ind w:left="1220" w:hanging="1215"/>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124.8</w:t>
      </w:r>
    </w:p>
    <w:p>
      <w:pPr>
        <w:spacing w:after="0" w:line="292"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-267335</wp:posOffset>
            </wp:positionV>
            <wp:extent cx="1106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6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46" w:lineRule="exact"/>
        <w:rPr>
          <w:sz w:val="20"/>
          <w:szCs w:val="20"/>
          <w:color w:val="auto"/>
        </w:rPr>
      </w:pPr>
    </w:p>
    <w:p>
      <w:pPr>
        <w:ind w:left="1320" w:hanging="1315"/>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1061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48895</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6940" w:space="160"/>
            <w:col w:w="4320"/>
          </w:cols>
          <w:pgMar w:left="240" w:top="130" w:right="239" w:bottom="1440" w:gutter="0" w:footer="0" w:header="0"/>
          <w:type w:val="continuous"/>
        </w:sectPr>
      </w:pPr>
    </w:p>
    <w:p>
      <w:pPr>
        <w:spacing w:after="0" w:line="3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Bayer HealthCare records revenue from sales of EYLEA outside the United States. Bayer HealthCare provides us with an estimate of our share of the profit or loss, including the Japan royalties we earned, from commercialization of EYLEA outside the United States for the most recent fiscal quarter. Their estimate is reconciled to their actual revenues from sales of EYLEA outside the United States and related expenses in the subsequent fiscal quarter, and our portion of the profit or loss is adjusted accordingly, as necessary. In the third quarter of 2013, our share of the profit and the Japan royalties we earned from commercialization of EYLEA outside the United States were partly offset by our contractual obligation to reimburse Bayer HealthCare for a portion of the agreed-upon development expenses previously incurred by Bayer HealthCare.</w:t>
      </w:r>
    </w:p>
    <w:p>
      <w:pPr>
        <w:spacing w:after="0" w:line="23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the third quarter of 2013, we earned a $15.0 million substantive development milestone payment from Bayer HealthCare upon receipt of marketing approval in the EU for EYLEA for the treatment of macular edema secondary to CRVO. In addition, we earned, and recorded as revenue in the third quarter of 2013, two $15.0 million sales milestone payments from Bayer HealthCare upon total aggregate net sales of EYLEA outside the United States exceeding $200 million and $300 million, respectively, over a twelve-month period. In the third quarter of 2012, we earned a $15.0 million substantive development milestone payment from Bayer HealthCare upon receipt of marketing approval in Japan for EYLEA for the treatment of wet AMD.</w:t>
      </w:r>
    </w:p>
    <w:p>
      <w:pPr>
        <w:spacing w:after="0" w:line="2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Cost-sharing of our global EYLEA development expenses with Bayer HealthCare decreased in the third quarter of 2013 compared to the same period in 2012, as we incurred lower costs in connection with winding down various Phase 3 EYLEA clinical studies and lower development costs in connection with manufacturing EYLEA.</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described further below under "</w:t>
      </w:r>
      <w:r>
        <w:rPr>
          <w:rFonts w:ascii="Arial" w:cs="Arial" w:eastAsia="Arial" w:hAnsi="Arial"/>
          <w:sz w:val="18"/>
          <w:szCs w:val="18"/>
          <w:i w:val="1"/>
          <w:iCs w:val="1"/>
          <w:color w:val="auto"/>
        </w:rPr>
        <w:t>License and Settlement Agreements with Genentech</w:t>
      </w:r>
      <w:r>
        <w:rPr>
          <w:rFonts w:ascii="Arial" w:cs="Arial" w:eastAsia="Arial" w:hAnsi="Arial"/>
          <w:sz w:val="18"/>
          <w:szCs w:val="18"/>
          <w:color w:val="auto"/>
        </w:rPr>
        <w:t>", in May 2013, we entered into an Amended and Restated Non-Exclusive License and Settlement Agreement with Genentech to now include all sales of EYLEA worldwide. All payments to Genentech under this agreement are made by us. Reimbursement of other Regeneron EYLEA expenses in the third quarter of 2013 primarily related to Bayer HealthCare's share of royalties payable to Genentech in connection with ex-US sales of EYLEA.</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September 30, 2013, $23.7 million of the up-front and 2007 milestone payments was deferred and will be recognized as revenue in future periods.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connection with the amendment and extension of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 with Astellas, in August 2010, we received a $165.0 million up-front payment, which was deferred upon receipt and is being recognized as revenue ratably over a seven-year period beginning in June 2011. In the third quarter of both 2013 and 2012, we recognized $5.9 million of technology licensing revenue related to this agreement. As of September 30, 2013, $110.5 million of the August 2010 technology licensing payment received from Astellas was deferred and will be recognized as revenue in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canakinumab. In the third quarter of 2013 and 2012, other revenue included $1.0 million and $0.8 million, respectively, of royalties from Novartis.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$360.2 million in the third quarter of 2013 from $225.3 million in the third quarter of 2012. Our average headcount in the third quarter of 2013 increased to 2,217 from 1,863 in the same period of 2012, principally in connection with expanding our research and development, and commercialization, activities.</w:t>
      </w:r>
    </w:p>
    <w:p>
      <w:pPr>
        <w:spacing w:after="0" w:line="235"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Operating expenses in the third quarter of 2013 and 2012 included a total of $45.8 million and $20.5 million, respectively, of non-cash compensation expense related to employee stock option and restricted stock awards (Non-cash Compensation Expense). The increase in total Non-cash Compensation Expense in the third quarter of 2013 was primarily attributable to the higher fair market value of our Common Stock on the date of our annual employee option grants made in December 2012 compared to recent prior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Research and development expenses increased to $224.0 million in the third quarter of 2013 from $158.3 million in the same period of 2012. The following table summarizes the major categories of our research and development expenses for the three months ended September 30, 2013 and 2012:</w:t>
      </w:r>
    </w:p>
    <w:p>
      <w:pPr>
        <w:spacing w:after="0" w:line="201"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7"/>
          </w:tcPr>
          <w:p>
            <w:pPr>
              <w:ind w:left="100"/>
              <w:spacing w:after="0"/>
              <w:rPr>
                <w:sz w:val="20"/>
                <w:szCs w:val="20"/>
                <w:color w:val="auto"/>
              </w:rPr>
            </w:pPr>
            <w:r>
              <w:rPr>
                <w:rFonts w:ascii="Arial" w:cs="Arial" w:eastAsia="Arial" w:hAnsi="Arial"/>
                <w:sz w:val="18"/>
                <w:szCs w:val="18"/>
                <w:b w:val="1"/>
                <w:bCs w:val="1"/>
                <w:color w:val="auto"/>
                <w:w w:val="94"/>
              </w:rPr>
              <w:t>Three months ended September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87"/>
              </w:rPr>
              <w:t>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3300" w:type="dxa"/>
            <w:vAlign w:val="bottom"/>
            <w:gridSpan w:val="3"/>
          </w:tcPr>
          <w:p>
            <w:pPr>
              <w:ind w:left="20"/>
              <w:spacing w:after="0"/>
              <w:rPr>
                <w:sz w:val="20"/>
                <w:szCs w:val="20"/>
                <w:color w:val="auto"/>
              </w:rPr>
            </w:pPr>
            <w:r>
              <w:rPr>
                <w:rFonts w:ascii="Arial" w:cs="Arial" w:eastAsia="Arial" w:hAnsi="Arial"/>
                <w:sz w:val="18"/>
                <w:szCs w:val="18"/>
                <w:color w:val="auto"/>
                <w:w w:val="97"/>
              </w:rPr>
              <w:t>Cost-sharing of Bayer HealthCare EYLEA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4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8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440" w:type="dxa"/>
            <w:vAlign w:val="bottom"/>
            <w:gridSpan w:val="3"/>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20" w:hanging="488"/>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Non-cash Compensation Expense of $24.5 million for the three months ended September 30, 2013 and $12.1 million for the three months ended September 30, 2012.</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$3.7 million for the three months ended September 30, 2013 and $1.2 million for the three months ended September 30, 2012.</w:t>
      </w:r>
    </w:p>
    <w:p>
      <w:pPr>
        <w:spacing w:after="0" w:line="1"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1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increased due primarily to higher costs for clinical studies of alirocumab and dupilumab. Clinical manufacturing costs increased primarily due to higher costs related to manufacturing dupilumab and sarilumab. Occupancy and other operating costs increased principally in connection with our higher headcount, expanded research and development activities, and higher facility-related costs at our leased facilities in Tarrytown, New York.</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research and clinical development programs are shown below.</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34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Project Costs</w:t>
            </w:r>
          </w:p>
        </w:tc>
        <w:tc>
          <w:tcPr>
            <w:tcW w:w="3000" w:type="dxa"/>
            <w:vAlign w:val="bottom"/>
            <w:gridSpan w:val="6"/>
          </w:tcPr>
          <w:p>
            <w:pPr>
              <w:ind w:left="100"/>
              <w:spacing w:after="0"/>
              <w:rPr>
                <w:sz w:val="20"/>
                <w:szCs w:val="20"/>
                <w:color w:val="auto"/>
              </w:rPr>
            </w:pPr>
            <w:r>
              <w:rPr>
                <w:rFonts w:ascii="Arial" w:cs="Arial" w:eastAsia="Arial" w:hAnsi="Arial"/>
                <w:sz w:val="18"/>
                <w:szCs w:val="18"/>
                <w:b w:val="1"/>
                <w:bCs w:val="1"/>
                <w:color w:val="auto"/>
                <w:w w:val="94"/>
              </w:rPr>
              <w:t>Three months ended September 30,</w:t>
            </w:r>
          </w:p>
        </w:tc>
        <w:tc>
          <w:tcPr>
            <w:tcW w:w="180" w:type="dxa"/>
            <w:vAlign w:val="bottom"/>
          </w:tcPr>
          <w:p>
            <w:pPr>
              <w:spacing w:after="0"/>
              <w:rPr>
                <w:sz w:val="17"/>
                <w:szCs w:val="17"/>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7"/>
        </w:trPr>
        <w:tc>
          <w:tcPr>
            <w:tcW w:w="34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Alirocumab</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Sarilumab</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Dupilumab</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ARCALYST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Other product candidates in clinical</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development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3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research programs and unallocated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57"/>
        </w:trPr>
        <w:tc>
          <w:tcPr>
            <w:tcW w:w="20" w:type="dxa"/>
            <w:vAlign w:val="bottom"/>
          </w:tcPr>
          <w:p>
            <w:pPr>
              <w:spacing w:after="0"/>
              <w:rPr>
                <w:sz w:val="22"/>
                <w:szCs w:val="22"/>
                <w:color w:val="auto"/>
              </w:rPr>
            </w:pPr>
          </w:p>
        </w:tc>
        <w:tc>
          <w:tcPr>
            <w:tcW w:w="3380" w:type="dxa"/>
            <w:vAlign w:val="bottom"/>
            <w:gridSpan w:val="2"/>
          </w:tcPr>
          <w:p>
            <w:pPr>
              <w:ind w:left="240"/>
              <w:spacing w:after="0"/>
              <w:rPr>
                <w:sz w:val="20"/>
                <w:szCs w:val="20"/>
                <w:color w:val="auto"/>
              </w:rPr>
            </w:pPr>
            <w:r>
              <w:rPr>
                <w:rFonts w:ascii="Arial" w:cs="Arial" w:eastAsia="Arial" w:hAnsi="Arial"/>
                <w:sz w:val="18"/>
                <w:szCs w:val="18"/>
                <w:color w:val="auto"/>
                <w:w w:val="91"/>
              </w:rPr>
              <w:t>Total research and development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65.7</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or additional indications for our marketed products in clinical development will generate material product revenues and net cash inflows.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Selling, general, and administrative expenses increased to $97.6 million in the third quarter of 2013 from $46.9 million in the same period of 2012 primarily due to higher expenses in connection with commercialization of EYLEA, including the Branded Prescription Drug Fee (as described in the Liquidity and Capital Resources section below) and contributions to a not-for-profit organization that assists patients with chronic disease conditions, and higher Non-cash Compensation Expense principally for the reason described above. Selling, general, and administrative expenses included $17.1 million and $7.0 million of Non-cash Compensation Expense in the third quarter of 2013 and 2012,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Cost of goods sold increased to $28.3 million in the third quarter of 2013 from $20.1 million in the same period of 2012 due to increased sales of EYLEA.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primarily consisted of royalties, as well as costs in connection with producing EYLEA and ARCALYST commercial supplies.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manufacture commercial supplies of product for our collaborators. Cost of collaboration manufacturing in the third quarter of 2013 was $10.3 million, which primarily consisted of third-party royalties, as well as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Interest expense increased slightly to $11.7 million in the third quarter of 2013 from $11.4 million in the same period of 2012. In October 2011, we issued $400.0 million aggregate principal amount of 1.875% convertible senior notes. Total interest expense in the third quarter of 2013 and 2012 associated with these notes, including amortization of the note discount and debt issuance costs, was $7.6 million and $7.4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third quarter of 2013, we recorded a $84.4 million income tax provision. The effective tax rate for the third quarter was 37.4%.</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third quarter of 2012, income tax expense relating to our pre-tax income was fully offset by a reversal of a portion of our valuation allowance. As of September 30, 2012, we continued to recognize a full valuation allowance against our net operating loss carry-forward and other deferred tax assets since we had an extended history of losses. In the fourth quarter of 2012, we recorded an income tax benefit attributable to the release of substantially all of the remaining valuation allowance against our deferred tax assets. The decision to release this valuation allowance was made after we determined that it was more likely than not that these deferred tax assets would be realized.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2013 and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reported net income of $327.6 million, or $2.95 per diluted share, for the first nine months of 2013, compared to $279.9 million, or $2.55 per diluted share, for the first nine months of 2012. The increase in net income resulted primarily from an increase in net product sales of EYLEA, which we launched in November 2011, partly offset by higher operating and income tax expenses, as described below. Net income in the the first nine months of 2013 and 2012 also included the recognition of $45.0 million and $65.0 million, respectively, of milestone payments.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for the nine months ended September 30, 2013 and 2012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2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6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1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Technology licensing revenue</w:t>
            </w: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3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9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3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80" w:type="dxa"/>
            <w:vAlign w:val="bottom"/>
            <w:vMerge w:val="restart"/>
          </w:tcPr>
          <w:p>
            <w:pPr>
              <w:jc w:val="right"/>
              <w:ind w:right="650"/>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product sales consist of U.S. sales of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For the nine months ended September 30, 2013 and 2012, we recognized EYLEA net product sales of $1,006.8 million and $561.9 million, respectively. For the nine months ended September 30, 2013 and 2012, we also recognized ARCALYST net product sales of $12.9 million and $14.7 million, respectively.</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nine months ended September 30, 2013 and 2012, we recorded 76% and 79%, respectively, of our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record product sales net of allowances and accruals for rebates and chargebacks under governmental programs (including Medicaid), distribution-related fees, prompt pay discounts, product returns, and other sales-related deductions. The following table summarizes the provisions, and credits/payments, for sales-related deductions for the nine months ended September 30, 2013 and 2012.</w:t>
      </w:r>
    </w:p>
    <w:p>
      <w:pPr>
        <w:spacing w:after="0" w:line="258"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Distribution-</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Related Fees</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w w:val="99"/>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September 30,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w w:val="99"/>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September 30, 2012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our share of losses in connection with Sanofi's commercialization of ZALTRAP, recognition of a substantive milestone payment, and revenue related to non-refundable up-front payments.</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addition, Sanofi collaboration revenue for the nine months ended September 30, 2013 was reduced by two $10.0 million up-front payments to Sanofi in connection with our acquisition from Sanofi of full exclusive rights to two families of novel antibodies, as described below.</w:t>
      </w:r>
    </w:p>
    <w:p>
      <w:pPr>
        <w:spacing w:after="0" w:line="247"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Substantive milestone payment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rPr>
              <w:t>and other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Recognition of deferred revenue related to up-front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263.5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Up-front payments to Sanofi for acquisition of rights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to two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w w:val="97"/>
              </w:rPr>
              <w:t>Recognition of deferred revenue related to up-front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rPr>
              <w:t>other payments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4"/>
              </w:rPr>
              <w:t xml:space="preserve">Recognition of revenue related to </w:t>
            </w:r>
            <w:r>
              <w:rPr>
                <w:rFonts w:ascii="Arial" w:cs="Arial" w:eastAsia="Arial" w:hAnsi="Arial"/>
                <w:sz w:val="18"/>
                <w:szCs w:val="18"/>
                <w:i w:val="1"/>
                <w:iCs w:val="1"/>
                <w:color w:val="auto"/>
                <w:w w:val="94"/>
              </w:rPr>
              <w:t>VelociGene</w:t>
            </w:r>
            <w:r>
              <w:rPr>
                <w:rFonts w:ascii="Arial" w:cs="Arial" w:eastAsia="Arial" w:hAnsi="Arial"/>
                <w:sz w:val="18"/>
                <w:szCs w:val="18"/>
                <w:color w:val="auto"/>
                <w:w w:val="94"/>
              </w:rPr>
              <w:t xml:space="preserve"> agreement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319.0</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Sanofi commenced sales of ZALTRAP (ziv-aflibercept) Injection for Intravenous Infusion, in combination with FOLFIRI, for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100"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260" w:type="dxa"/>
            <w:vAlign w:val="bottom"/>
          </w:tcPr>
          <w:p>
            <w:pPr>
              <w:spacing w:after="0"/>
              <w:rPr>
                <w:sz w:val="18"/>
                <w:szCs w:val="18"/>
                <w:color w:val="auto"/>
              </w:rPr>
            </w:pPr>
          </w:p>
        </w:tc>
        <w:tc>
          <w:tcPr>
            <w:tcW w:w="23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r>
      <w:tr>
        <w:trPr>
          <w:trHeight w:val="196"/>
        </w:trPr>
        <w:tc>
          <w:tcPr>
            <w:tcW w:w="20" w:type="dxa"/>
            <w:vAlign w:val="bottom"/>
          </w:tcPr>
          <w:p>
            <w:pPr>
              <w:spacing w:after="0"/>
              <w:rPr>
                <w:sz w:val="17"/>
                <w:szCs w:val="17"/>
                <w:color w:val="auto"/>
              </w:rPr>
            </w:pPr>
          </w:p>
        </w:tc>
        <w:tc>
          <w:tcPr>
            <w:tcW w:w="3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right"/>
              <w:ind w:right="670"/>
              <w:spacing w:after="0" w:line="196"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by Sanofi</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r>
    </w:tbl>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share of the loss increased in the first nine months of 2013, compared to the first nine months of 2012, because of higher costs in connection with launching and commercializing ZALTRAP which were only partly offset by net product sales. Sanofi provides us with an estimate of our share of the profit or loss from commercialization of ZALTRAP for the most recent fiscal quarter. Sanofi's estimates of net products sales and related expenses for such quarter are reconciled to their actual net product sales and related expenses in the subsequent fiscal quarter, and our portion of the profit or loss is adjusted accordingly, as necessary.</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third quarter of 2012, we earned a $50.0 million substantive milestone payment from Sanofi upon FDA approval of ZALTRAP.</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Recognition of deferred revenue related to the ZALTRAP up-front payments from Sanofi decreased in the first nine months of 2013, compared to the same period of 2012, due to lengthening the estimated performance period over which this deferred revenue is being recognized, effective in the first quarter of 2013.</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nine months of 2013, Sanofi's reimbursement of our antibody expenses consisted of $134.3 million under our discovery agreement and $207.7 million of development costs under our license agreement, compared to $140.7 million and $122.8 million, respectively, in the first nine months of 2012. The higher reimbursement of development costs in the first nine months of 2013, compared to the same period of 2012, was primarily due to increased development activities for alirocumab and dupilumab.</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above, in May 2013, we made two $10.0 million up-front payments to Sanofi in connection with acquiring from Sanofi full exclusive rights to antibodies targeting the PDGF family of receptors and ligands in ophthalmology and all other indications and to antibodies targeting the Ang2 receptor and ligand in ophthalmology.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collaboration revenue we earned from Bayer HealthCare, as detailed below, consisted primarily of our share of profits in connection with commercialization of EYLEA outside the United States, recognition of sales and substantive development milestone payments, cost-sharing of Regeneron EYLEA development expenses and reimbursement of other Regeneron EYLEA expenses, and revenue related to a non-refundable $75.0 million up-front payment received in 2006 and a $20.0 million milestone payment received in 2007 (which, for the purpose of revenue recognition, was not considered substantive).</w:t>
      </w:r>
    </w:p>
    <w:p>
      <w:pPr>
        <w:spacing w:after="0" w:line="265"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3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commercialization of EYLEA outside the 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w w:val="99"/>
              </w:rPr>
              <w:t>Sales and substantive development milestone payments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Reimbursement of other Regeneron EYLEA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Recognition of deferred revenue related to up-front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milestone payments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20" w:type="dxa"/>
            <w:vAlign w:val="bottom"/>
          </w:tcPr>
          <w:p>
            <w:pPr>
              <w:spacing w:after="0"/>
              <w:rPr>
                <w:sz w:val="22"/>
                <w:szCs w:val="22"/>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Bayer HealthCare commenced sales of EYLEA for the treatment of wet AMD in the fourth quarter of 2012 following receipt of regulatory approvals in the EU, Japan, and other countries. Regeneron's net profit in connection with commercialization of EYLEA outside the United States is summarized below.</w:t>
      </w:r>
    </w:p>
    <w:p>
      <w:pPr>
        <w:sectPr>
          <w:pgSz w:w="11900" w:h="16838" w:orient="portrait"/>
          <w:cols w:equalWidth="0" w:num="1">
            <w:col w:w="11420"/>
          </w:cols>
          <w:pgMar w:left="240" w:top="130" w:right="239" w:bottom="1440" w:gutter="0" w:footer="0" w:header="0"/>
        </w:sectPr>
      </w:pPr>
    </w:p>
    <w:p>
      <w:pPr>
        <w:spacing w:after="0" w:line="336" w:lineRule="exact"/>
        <w:rPr>
          <w:sz w:val="20"/>
          <w:szCs w:val="20"/>
          <w:color w:val="auto"/>
        </w:rPr>
      </w:pPr>
    </w:p>
    <w:p>
      <w:pPr>
        <w:ind w:left="2720" w:right="80"/>
        <w:spacing w:after="0" w:line="282" w:lineRule="auto"/>
        <w:rPr>
          <w:sz w:val="20"/>
          <w:szCs w:val="20"/>
          <w:color w:val="auto"/>
        </w:rPr>
      </w:pPr>
      <w:r>
        <w:rPr>
          <w:rFonts w:ascii="Arial" w:cs="Arial" w:eastAsia="Arial" w:hAnsi="Arial"/>
          <w:sz w:val="18"/>
          <w:szCs w:val="18"/>
          <w:b w:val="1"/>
          <w:bCs w:val="1"/>
          <w:u w:val="single" w:color="auto"/>
          <w:color w:val="auto"/>
        </w:rPr>
        <w:t>Regeneron's Net Profit from EYLEA Sales Outside the United States</w:t>
      </w:r>
    </w:p>
    <w:p>
      <w:pPr>
        <w:spacing w:after="0" w:line="4" w:lineRule="exact"/>
        <w:rPr>
          <w:sz w:val="20"/>
          <w:szCs w:val="20"/>
          <w:color w:val="auto"/>
        </w:rPr>
      </w:pPr>
    </w:p>
    <w:p>
      <w:pPr>
        <w:ind w:left="2720"/>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31750</wp:posOffset>
            </wp:positionV>
            <wp:extent cx="383349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33495" cy="188595"/>
                    </a:xfrm>
                    <a:prstGeom prst="rect">
                      <a:avLst/>
                    </a:prstGeom>
                    <a:noFill/>
                  </pic:spPr>
                </pic:pic>
              </a:graphicData>
            </a:graphic>
          </wp:anchor>
        </w:drawing>
      </w:r>
    </w:p>
    <w:p>
      <w:pPr>
        <w:spacing w:after="0" w:line="70"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Net product sales outside the United States</w:t>
      </w:r>
    </w:p>
    <w:p>
      <w:pPr>
        <w:spacing w:after="0" w:line="63" w:lineRule="exact"/>
        <w:rPr>
          <w:sz w:val="20"/>
          <w:szCs w:val="20"/>
          <w:color w:val="auto"/>
        </w:rPr>
      </w:pPr>
    </w:p>
    <w:p>
      <w:pPr>
        <w:ind w:left="2880" w:right="540" w:hanging="161"/>
        <w:spacing w:after="0" w:line="277" w:lineRule="auto"/>
        <w:rPr>
          <w:sz w:val="20"/>
          <w:szCs w:val="20"/>
          <w:color w:val="auto"/>
        </w:rPr>
      </w:pPr>
      <w:r>
        <w:rPr>
          <w:rFonts w:ascii="Arial" w:cs="Arial" w:eastAsia="Arial" w:hAnsi="Arial"/>
          <w:sz w:val="18"/>
          <w:szCs w:val="18"/>
          <w:color w:val="auto"/>
        </w:rPr>
        <w:t>Regeneron's share of collaboration profit from sales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-1905</wp:posOffset>
            </wp:positionV>
            <wp:extent cx="3833495"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33495" cy="445770"/>
                    </a:xfrm>
                    <a:prstGeom prst="rect">
                      <a:avLst/>
                    </a:prstGeom>
                    <a:noFill/>
                  </pic:spPr>
                </pic:pic>
              </a:graphicData>
            </a:graphic>
          </wp:anchor>
        </w:drawing>
      </w:r>
    </w:p>
    <w:p>
      <w:pPr>
        <w:ind w:left="2880" w:hanging="161"/>
        <w:spacing w:after="0" w:line="264" w:lineRule="auto"/>
        <w:rPr>
          <w:sz w:val="20"/>
          <w:szCs w:val="20"/>
          <w:color w:val="auto"/>
        </w:rPr>
      </w:pPr>
      <w:r>
        <w:rPr>
          <w:rFonts w:ascii="Arial" w:cs="Arial" w:eastAsia="Arial" w:hAnsi="Arial"/>
          <w:sz w:val="18"/>
          <w:szCs w:val="18"/>
          <w:color w:val="auto"/>
        </w:rPr>
        <w:t>Reimbursement of EYLEA development expenses incurred by Bayer HealthCare in accordance with Regeneron's payment obligation</w:t>
      </w:r>
    </w:p>
    <w:p>
      <w:pPr>
        <w:spacing w:after="0" w:line="19" w:lineRule="exact"/>
        <w:rPr>
          <w:sz w:val="20"/>
          <w:szCs w:val="20"/>
          <w:color w:val="auto"/>
        </w:rPr>
      </w:pPr>
    </w:p>
    <w:p>
      <w:pPr>
        <w:ind w:left="2880" w:right="100" w:hanging="161"/>
        <w:spacing w:after="0" w:line="342" w:lineRule="auto"/>
        <w:rPr>
          <w:sz w:val="20"/>
          <w:szCs w:val="20"/>
          <w:color w:val="auto"/>
        </w:rPr>
      </w:pPr>
      <w:r>
        <w:rPr>
          <w:rFonts w:ascii="Arial" w:cs="Arial" w:eastAsia="Arial" w:hAnsi="Arial"/>
          <w:sz w:val="16"/>
          <w:szCs w:val="16"/>
          <w:color w:val="auto"/>
        </w:rPr>
        <w:t>Regeneron's net profit in connection with commercialization of EYLEA outside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1"/>
        <w:spacing w:after="0"/>
        <w:rPr>
          <w:sz w:val="20"/>
          <w:szCs w:val="20"/>
          <w:color w:val="auto"/>
        </w:rPr>
      </w:pPr>
      <w:r>
        <w:rPr>
          <w:rFonts w:ascii="Arial" w:cs="Arial" w:eastAsia="Arial" w:hAnsi="Arial"/>
          <w:sz w:val="16"/>
          <w:szCs w:val="16"/>
          <w:b w:val="1"/>
          <w:bCs w:val="1"/>
          <w:color w:val="auto"/>
        </w:rPr>
        <w:t>Nine months ended</w:t>
      </w:r>
    </w:p>
    <w:p>
      <w:pPr>
        <w:spacing w:after="0" w:line="50" w:lineRule="exact"/>
        <w:rPr>
          <w:sz w:val="20"/>
          <w:szCs w:val="20"/>
          <w:color w:val="auto"/>
        </w:rPr>
      </w:pPr>
    </w:p>
    <w:p>
      <w:pPr>
        <w:ind w:left="21"/>
        <w:spacing w:after="0"/>
        <w:rPr>
          <w:sz w:val="20"/>
          <w:szCs w:val="20"/>
          <w:color w:val="auto"/>
        </w:rPr>
      </w:pPr>
      <w:r>
        <w:rPr>
          <w:rFonts w:ascii="Arial" w:cs="Arial" w:eastAsia="Arial" w:hAnsi="Arial"/>
          <w:sz w:val="16"/>
          <w:szCs w:val="16"/>
          <w:b w:val="1"/>
          <w:bCs w:val="1"/>
          <w:color w:val="auto"/>
        </w:rPr>
        <w:t>September 30, 2013</w:t>
      </w:r>
    </w:p>
    <w:p>
      <w:pPr>
        <w:spacing w:after="0" w:line="85" w:lineRule="exact"/>
        <w:rPr>
          <w:sz w:val="20"/>
          <w:szCs w:val="20"/>
          <w:color w:val="auto"/>
        </w:rPr>
      </w:pPr>
    </w:p>
    <w:p>
      <w:pPr>
        <w:ind w:left="1061" w:hanging="1061"/>
        <w:spacing w:after="0"/>
        <w:tabs>
          <w:tab w:leader="none" w:pos="10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288.3</w:t>
      </w:r>
    </w:p>
    <w:p>
      <w:pPr>
        <w:spacing w:after="0" w:line="292" w:lineRule="exact"/>
        <w:rPr>
          <w:rFonts w:ascii="Arial" w:cs="Arial" w:eastAsia="Arial" w:hAnsi="Arial"/>
          <w:sz w:val="18"/>
          <w:szCs w:val="18"/>
          <w:color w:val="auto"/>
        </w:rPr>
      </w:pPr>
    </w:p>
    <w:p>
      <w:pPr>
        <w:ind w:left="1061"/>
        <w:spacing w:after="0"/>
        <w:rPr>
          <w:rFonts w:ascii="Arial" w:cs="Arial" w:eastAsia="Arial" w:hAnsi="Arial"/>
          <w:sz w:val="18"/>
          <w:szCs w:val="18"/>
          <w:color w:val="auto"/>
        </w:rPr>
      </w:pPr>
      <w:r>
        <w:rPr>
          <w:rFonts w:ascii="Arial" w:cs="Arial" w:eastAsia="Arial" w:hAnsi="Arial"/>
          <w:sz w:val="18"/>
          <w:szCs w:val="18"/>
          <w:color w:val="auto"/>
        </w:rPr>
        <w:t>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-267335</wp:posOffset>
            </wp:positionV>
            <wp:extent cx="1003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720"/>
        <w:spacing w:after="0"/>
        <w:rPr>
          <w:sz w:val="20"/>
          <w:szCs w:val="20"/>
          <w:color w:val="auto"/>
        </w:rPr>
      </w:pPr>
      <w:r>
        <w:rPr>
          <w:rFonts w:ascii="Arial" w:cs="Arial" w:eastAsia="Arial" w:hAnsi="Arial"/>
          <w:sz w:val="18"/>
          <w:szCs w:val="18"/>
          <w:color w:val="auto"/>
        </w:rPr>
        <w:t>(42.9)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033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46" w:lineRule="exact"/>
        <w:rPr>
          <w:sz w:val="20"/>
          <w:szCs w:val="20"/>
          <w:color w:val="auto"/>
        </w:rPr>
      </w:pPr>
    </w:p>
    <w:p>
      <w:pPr>
        <w:ind w:left="1141" w:hanging="1141"/>
        <w:spacing w:after="0"/>
        <w:tabs>
          <w:tab w:leader="none" w:pos="11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1003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1003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7000" w:space="179"/>
            <w:col w:w="4241"/>
          </w:cols>
          <w:pgMar w:left="240" w:top="130" w:right="239" w:bottom="1440" w:gutter="0" w:footer="0" w:header="0"/>
          <w:type w:val="continuous"/>
        </w:sectPr>
      </w:pPr>
    </w:p>
    <w:p>
      <w:pPr>
        <w:spacing w:after="0" w:line="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records revenue from sales of EYLEA outside the United States. Bayer HealthCare provides us with an estimate of our share of the profit or loss, including the Japan royalties we earned, from commercialization of EYLEA outside the United States for the most recent fiscal quarter. Their estimate is reconciled to their actual revenues from sales of EYLEA outside</w:t>
      </w:r>
    </w:p>
    <w:p>
      <w:pPr>
        <w:sectPr>
          <w:pgSz w:w="11900" w:h="16838" w:orient="portrait"/>
          <w:cols w:equalWidth="0" w:num="1">
            <w:col w:w="11420"/>
          </w:cols>
          <w:pgMar w:left="240" w:top="130" w:right="239" w:bottom="1440"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States and related expenses in the subsequent fiscal quarter, and our portion of the profit or loss is adjusted accordingly, as necessary. In the first nine months of 2013, our share of the profit and the Japan royalties we earned from commercialization of EYLEA outside the United States were partly offset by our contractual obligation to reimburse Bayer HealthCare for a portion of the agreed-upon development expenses previously incurred by Bayer HealthCare.</w:t>
      </w:r>
    </w:p>
    <w:p>
      <w:pPr>
        <w:spacing w:after="0" w:line="24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the third quarter of 2013, we earned a $15.0 million substantive development milestone payment from Bayer HealthCare upon receipt of marketing approval in the EU for EYLEA for the treatment of macular edema secondary to CRVO. In addition, we earned, and recorded as revenue in the third quarter of 2013, two $15.0 million sales milestone payments from Bayer HealthCare upon total aggregate net sales of EYLEA outside the United States exceeding $200 million and $300 million, respectively, over a twelve-month period. In the third quarter of 2012, we earned a $15.0 million substantive development milestone payment from Bayer HealthCare upon receipt of marketing approval in Japan for EYLEA for the treatment of wet AMD.</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Cost-sharing of our global EYLEA development expenses with Bayer HealthCare decreased in the first nine months of 2013 compared to the same period in 2012, as we incurred lower costs in connection with winding down various Phase 3 EYLEA clinical studies.</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other Regeneron EYLEA expenses in the first nine months of 2013 primarily related to Bayer HealthCare's share of royalties payable to Genentech in connection with ex-US sales of EYLEA.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the first nine months of both 2013 and 2012, we recognized $17.7 million of technology licensing revenue related to this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canakinumab. In the first nine months of 2013 and 2012, other revenue included $3.1 million and $2.1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$946.4 million in the first nine months of 2013 from $651.8 million in the first nine months of 2012. Our average headcount in the first nine months of 2013 increased to 2,098 from 1,791 in the same period of 2012, principally in connection with expanding our research and development, and commercialization, activities.</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Operating expenses in the first nine months of 2013 and 2012 included a total of $143.2 million and $63.4 million, respectively, of Non-cash Compensation Expense. The increase in total Non-cash Compensation Expense in the first nine months of 2013 was primarily attributable to the higher fair market value of our Common Stock on the date of our annual employee option grants made in December 2012 compared to recent prior years.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Research and development expenses increased to $591.8 million in the first nine months of 2013 from $444.5 million in the same period of 2012. The following table summarizes the major categories of our research and development expenses for the nine months ended September 30, 2013 and 2012:</w:t>
      </w:r>
    </w:p>
    <w:p>
      <w:pPr>
        <w:spacing w:after="0" w:line="201"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280" w:type="dxa"/>
            <w:vAlign w:val="bottom"/>
          </w:tcPr>
          <w:p>
            <w:pPr>
              <w:spacing w:after="0"/>
              <w:rPr>
                <w:sz w:val="16"/>
                <w:szCs w:val="16"/>
                <w:color w:val="auto"/>
              </w:rPr>
            </w:pPr>
          </w:p>
        </w:tc>
        <w:tc>
          <w:tcPr>
            <w:tcW w:w="2440" w:type="dxa"/>
            <w:vAlign w:val="bottom"/>
            <w:gridSpan w:val="5"/>
          </w:tcPr>
          <w:p>
            <w:pPr>
              <w:jc w:val="center"/>
              <w:ind w:right="38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6"/>
                <w:szCs w:val="16"/>
                <w:color w:val="auto"/>
              </w:rPr>
            </w:pPr>
          </w:p>
        </w:tc>
        <w:tc>
          <w:tcPr>
            <w:tcW w:w="110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300" w:type="dxa"/>
            <w:vAlign w:val="bottom"/>
            <w:gridSpan w:val="3"/>
          </w:tcPr>
          <w:p>
            <w:pPr>
              <w:ind w:left="20"/>
              <w:spacing w:after="0"/>
              <w:rPr>
                <w:sz w:val="20"/>
                <w:szCs w:val="20"/>
                <w:color w:val="auto"/>
              </w:rPr>
            </w:pPr>
            <w:r>
              <w:rPr>
                <w:rFonts w:ascii="Arial" w:cs="Arial" w:eastAsia="Arial" w:hAnsi="Arial"/>
                <w:sz w:val="18"/>
                <w:szCs w:val="18"/>
                <w:color w:val="auto"/>
                <w:w w:val="97"/>
              </w:rPr>
              <w:t>Cost-sharing of Bayer HealthCare EYLEA</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488"/>
        <w:spacing w:after="0" w:line="258"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Non-cash Compensation Expense of $72.9 million for the nine months ended September 30, 2013 and $31.9 million for the nine months ended September 30, 2012.</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$9.8 million for the nine months ended September 30, 2013 and $3.4 million for the nine months ended September 30, 2012.</w:t>
      </w:r>
    </w:p>
    <w:p>
      <w:pPr>
        <w:spacing w:after="0" w:line="1"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Payroll and benefits increased principally due to the increase in employee headcount and Non-cash Compensation Expense, as described above. Clinical trial expenses increased due primarily to higher costs for clinical studies of alirocumab, dupilumab, and other early stage antibody candidates, partly offset by lower costs related to our Phase 3 trials of EYLEA in wet AMD and macular edema following CRVO, and ARCALYST, which have concluded. Clinical manufacturing costs increased primarily due to higher costs related to manufacturing alirocumab, dupilumab, and other earlier-stage antibody product candidates, partly offset by lower costs related to manufacturing clinical supplies of ARCALYST. Occupancy and other operating costs increased principally in connection with our higher headcount, expanded research and development activities, and higher facility-related costs at our leased facilities in Tarrytown, New York.</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research and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 September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gridSpan w:val="3"/>
          </w:tcPr>
          <w:p>
            <w:pPr>
              <w:jc w:val="right"/>
              <w:ind w:right="110"/>
              <w:spacing w:after="0" w:line="194"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Alirocumab</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ARCALYST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Other product candidates in clinical</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development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40" w:type="dxa"/>
            <w:vAlign w:val="bottom"/>
            <w:gridSpan w:val="2"/>
          </w:tcPr>
          <w:p>
            <w:pPr>
              <w:ind w:left="240"/>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591.8</w:t>
            </w:r>
          </w:p>
        </w:tc>
        <w:tc>
          <w:tcPr>
            <w:tcW w:w="6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340" w:type="dxa"/>
            <w:vAlign w:val="bottom"/>
            <w:gridSpan w:val="2"/>
          </w:tcPr>
          <w:p>
            <w:pPr>
              <w:ind w:left="24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the reasons described above under "Research and Development Expenses" for the three months ended September 30, 2013 and 2012,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or additional indications for our marketed products in clinical development will generate material product revenues and net cash inflows.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Selling, general, and administrative expenses increased to $247.3 million in the first nine months of 2013 from $153.0 million in the same period of 2012 primarily due to higher expenses in connection with commercialization of EYLEA, including the Branded Prescription Drug Fee (as described in the Liquidity and Capital Resources section below) and contributions to a not-for-profit organization that assists patients with chronic disease conditions, and higher Non-cash Compensation Expense principally for the reason described above. Selling, general, and administrative expenses included $59.2 million and $27.4 million of Non-cash Compensation Expense in the first nine months of 2013 and 2012,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goods sold increased to $83.6 million in the first nine months of 2013 from $54.3 million in the same period of 2012 due to increased sales of EYLEA. Cost of goods sold primarily consisted of royalties, as well as costs in connection with producing EYLEA and ARCALYST commercial supplies. In addition, cost of goods sold in the first nine months of 2013 and 2012 included inventory write-downs and reserves totaling $4.8 million and $8.6 million,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manufacture commercial supplies of product for our collaborators. Cost of collaboration manufacturing in the first nine months of 2013 was $23.7 million, which primarily consisted of third-party royalties, as well as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Interest expense increased slightly to $34.8 million in the first nine months of 2013 from $33.8 million in the same period of 2012. In October 2011, we issued $400.0 million aggregate principal amount of 1.875% convertible senior notes. Total interest expense in the first nine months of 2013 and 2012 associated with these notes, including amortization of the note discount and debt issuance costs, was $22.6 million and $21.6 million, respectively.</w:t>
      </w:r>
    </w:p>
    <w:p>
      <w:pPr>
        <w:sectPr>
          <w:pgSz w:w="11900" w:h="16838" w:orient="portrait"/>
          <w:cols w:equalWidth="0" w:num="1">
            <w:col w:w="11420"/>
          </w:cols>
          <w:pgMar w:left="240" w:top="130"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first nine months of 2013, we recorded a $187.7 million income tax provision. The effective tax rate for the first nine months was 36.4%, which included, as a discrete item, the favorable impact of the enactment of The American Taxpayer Relief Act in January 2013. The American Taxpayer Relief Act included a provision to extend the income tax credit for increased research activities retroactively to the tax year ended December 31, 2012, as well as for the current year. As a result, our 2012 research tax credit reduced our effective tax rate for the first nine months of 2013 by 4.3%.</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nine months of 2012, income tax expense relating to our pre-tax income was fully offset by a reversal of a portion of our valuation allowance. As of September 30, 2012, we continued to recognize a full valuation allowance against our net operating loss carry-forward and other deferred tax assets since we had an extended history of losses. In the fourth quarter of 2012, we recorded an income tax benefit attributable to the release of substantially all of the remaining valuation allowance against our deferred tax assets. The decision to release this valuation allowance was made after we determined that it was more likely than not that these deferred tax assets would be realized.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2012, we became profitable and began to generate cash from our product sales of EYLEA. From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EYLEA and ARCALYST product revenue, our technology licensing agreements, our past contract manufacturing agreements, and investment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Nine Months Ended September 30, 2013 and 2012</w:t>
      </w:r>
    </w:p>
    <w:p>
      <w:pPr>
        <w:spacing w:after="0" w:line="14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September 30, 2013, we had $775.2 million in cash, cash equivalents, and marketable securities compared with $587.5 million (including $8.2 million of restricted cash and marketable securities) at December 31, 2012. In connection with our product launch of EYLEA in November 2011, we have offered extended payment terms to our EYLEA customers. As a result, due to the growth of our EYLEA product sales, our net trade accounts receivable increased to $855.8 million at September 30, 2013 from $593.2 million at December 31, 2012. During the nine months ended September 30, 2013, we collected $807.8 million of EYLEA trade receivables.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Net cash provided by operating activities was $306.9 million in the first nine months of 2013. Our net income of $327.6 million in the first nine months of 2013 included the following non-cash expenses: (i) Non-cash Compensation Expense of $143.2 million, (ii) depreciation and amortization of $29.9 million,</w:t>
      </w:r>
    </w:p>
    <w:p>
      <w:pPr>
        <w:jc w:val="both"/>
        <w:ind w:firstLine="8"/>
        <w:spacing w:after="0" w:line="254" w:lineRule="auto"/>
        <w:tabs>
          <w:tab w:leader="none" w:pos="3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interest expense of $17.3 million, primarily resulting from the amortization of the discount and debt issuance costs in connection with our convertible senior notes, which were issued in October 2011, and (iv) other non-cash charges, including $4.8 million of inventory write-downs and reserves. In addition, deferred tax assets at September 30, 2013 decreased by $82.9 million, compared to end-of-year 2012, primarily due to utilization of these assets to offset income taxes payable for the first nine months of 2013.</w:t>
      </w:r>
    </w:p>
    <w:p>
      <w:pPr>
        <w:spacing w:after="0" w:line="24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At September 30, 2013, Sanofi and trade accounts receivable increased by $299.7 million, compared to end-of-year 2012, primarily due to higher trade accounts receivable in connection with EYLEA product sales, as described above. Prepaid expenses and other assets increased by $84.1 million, compared to end-of-year 2012, primarily due to higher balances of capitalized inventory costs, principally in connection with EYLEA commercial supplies, and a higher receivable balance due from Bayer HealthCare in connection with the launch of EYLEA outside the United States. Our deferred revenue at September 30, 2013 decreased by $20.8 million, compared to end-of-year 2012, primarily due to amortization of a previously deferred $165.0 million payment under our license agreement with Astellas and amortization of previously deferred payments under our Sanofi and Bayer HealthCare collaborations, partly offset by costs of product manufactured and shipped to Sanofi and Bayer HealthCare for which recognition of revenue has been deferred. Accounts payable, accrued expenses, and other liabilities increased by $94.9 million million, compared to end-of-year 2012, primarily due to higher sales-related charges, deductions, and royalties related to EYLEA, higher payroll-related liabilities, and higher liabilities for capital expenditures.</w:t>
      </w:r>
    </w:p>
    <w:p>
      <w:pPr>
        <w:spacing w:after="0" w:line="22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Net cash used in operating activities was $167.8 million in the first nine months of 2012. Our net income of $279.9 million in the first nine months of 2012 included the following non-cash expenses: (i) Non-cash Compensation Expense of $63.4 million, (ii) depreciation and amortization of $27.2 million,</w:t>
      </w:r>
    </w:p>
    <w:p>
      <w:pPr>
        <w:ind w:right="20" w:firstLine="8"/>
        <w:spacing w:after="0" w:line="323" w:lineRule="auto"/>
        <w:tabs>
          <w:tab w:leader="none" w:pos="337"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non-cash interest expense of $17.0 million, primarily resulting from the amortization of the discount and debt issuance costs in connection with our convertible senior notes, which were issued in October 2011, and (iv) other non-cash charges, including $8.6 million of inventory write-downs and reserves.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At September 30, 2012, Sanofi and trade accounts receivable increased by $498.2 million, compared to end-of-year 2011, primarily due to higher trade accounts receivable in connection with higher EYLEA product sales and the extended payment terms granted to our EYLEA customers, as described above. Prepaid expenses and other assets increased by $71.2 million, compared to end-of-year 2011, primarily due to (i) the $15.0 million milestone payment which was receivable from Bayer HealthCare at September 30, 2012, (ii) an increase in capitalized inventories, principally in connection with EYLEA commercial supplies, and (iii) an increase in prepaid royalties resulting from the $60.0 million payment we made in the third quarter of 2012 related to our Non-Exclusive License and Partial Settlement Agreement with Genentech. Our deferred revenue at September 30, 2012 decreased by $28.6 million, compared to end-of-year 2011,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$29.2 million at September 30, 2012, compared to end-of-year 2011, primarily due to higher sales-related deductions in connection with EYLEA.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Net cash used in investing activities was $245.5 million and $172.2 million in the first nine months of 2013 and 2012, respectively. In the first nine months of 2013 and 2012, purchases of marketable securities exceeded sales or maturities of marketable securities by $158.2 million and $137.5 million, respectively. Capital expenditures of $87.3 million and $34.2 million in the first nine months of 2013 and 2012, respectively, included costs in connection with expanding our Rensselaer, New York manufacturing facilities and tenant improvement and associated costs related to our leased facilities in Tarrytown, New York.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used in financing activities was $28.4 million and $24.6 million in the first nine months of 2013 and 2012, respectively. Proceeds from issuances of Common Stock were $41.7 million in the first nine months of 2013, compared to $48.4 million in the first nine months of 2012. In addition, payments for employee tax obligations in connection with stock option exercises were $166.4 million in the first nine months of 2013, compared to $71.5 million in the first nine months of 2012. Cash flows from financing activities also increased due to utilization of excess tax benefits in connection with stock option exercises, which offset cash tax obligations.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At September 30, 2013 and December 31, 2012, we held marketable securities, which were primarily issued by investment grade institutions, whose aggregate fair value totaled $511.9 million and $354.9 million, respectively. The composition of our portfolio of marketable securities on these dates was as follows:</w:t>
      </w:r>
    </w:p>
    <w:p>
      <w:pPr>
        <w:spacing w:after="0" w:line="258"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September 30, 2013</w:t>
            </w:r>
          </w:p>
        </w:tc>
        <w:tc>
          <w:tcPr>
            <w:tcW w:w="160" w:type="dxa"/>
            <w:vAlign w:val="bottom"/>
          </w:tcPr>
          <w:p>
            <w:pPr>
              <w:spacing w:after="0"/>
              <w:rPr>
                <w:sz w:val="20"/>
                <w:szCs w:val="20"/>
                <w:color w:val="auto"/>
              </w:rPr>
            </w:pPr>
          </w:p>
        </w:tc>
        <w:tc>
          <w:tcPr>
            <w:tcW w:w="24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December 31, 2012</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Investment type</w:t>
            </w:r>
          </w:p>
        </w:tc>
        <w:tc>
          <w:tcPr>
            <w:tcW w:w="14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360" w:type="dxa"/>
            <w:vAlign w:val="bottom"/>
            <w:gridSpan w:val="2"/>
          </w:tcPr>
          <w:p>
            <w:pPr>
              <w:ind w:left="340"/>
              <w:spacing w:after="0" w:line="196"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114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28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Percent</w:t>
            </w: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w w:val="95"/>
              </w:rPr>
              <w:t>U.S. government and government agency</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Arial" w:cs="Arial" w:eastAsia="Arial" w:hAnsi="Arial"/>
                <w:sz w:val="18"/>
                <w:szCs w:val="18"/>
                <w:color w:val="auto"/>
              </w:rPr>
              <w:t>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International government agency</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Arial" w:cs="Arial" w:eastAsia="Arial" w:hAnsi="Arial"/>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8"/>
              </w:rPr>
              <w:t>Total unrestricted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2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U.S. government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20" w:type="dxa"/>
            <w:vAlign w:val="bottom"/>
          </w:tcPr>
          <w:p>
            <w:pPr>
              <w:spacing w:after="0"/>
              <w:rPr>
                <w:sz w:val="22"/>
                <w:szCs w:val="22"/>
                <w:color w:val="auto"/>
              </w:rPr>
            </w:pPr>
          </w:p>
        </w:tc>
        <w:tc>
          <w:tcPr>
            <w:tcW w:w="3340" w:type="dxa"/>
            <w:vAlign w:val="bottom"/>
            <w:gridSpan w:val="2"/>
          </w:tcPr>
          <w:p>
            <w:pPr>
              <w:ind w:left="24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at September 30, 2013, we had $263.2 million of cash and cash equivalents, primarily held in bank deposits and money market funds. At December 31, 2012, we had $232.6 million of cash, cash equivalents, and restricted cash, primarily held in money market funds that invest in U.S. government securities. During the second quarter of 2013, either due to cancellation of</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associated letter of credit or easing of lender requirements, all formerly restricted marketable securities were reclassified as unrestricted on our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cash expenditures for property, plant, and equipment totaled $87.3 million for the first nine months of 2013 and $34.2 million in the first nine months of 2012.</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July 2013, we reached preliminary agreement to acquire a 400,000 square foot facility in Limerick, Ireland, subject to entering into definitive agreements as well as securing permits from the local government in Limerick. We intend to renovate this facility to accommodate and support our growth, primarily in connection with expanding our manufacturing capacity to support our global supply chain.</w:t>
      </w:r>
    </w:p>
    <w:p>
      <w:pPr>
        <w:spacing w:after="0" w:line="23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expect to incur total capital expenditures of approximately $350 to $450 million over the course of the fourth quarter of 2013 and in 2014 primarily in connection with expanding our manufacturing facilities at our Rensselaer facility, tenant improvements at our leased Tarrytown facilities, purchasing and commencing renovations on the new Limerick facility described above (predicated on finalizing its purchase), and purchases of equipment.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Settlement Agreements with Genentech</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December 31,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The Original Genentech Agreement provided for us to make payments to Genentech based on U.S. sales of EYLEA through May 7, 2016, the date the Davis-Smyth patents expire. Under the Original Genentech Agreement, we made a $60.0 million milestone payment when cumulative U.S. sales reached $400 million and are obligated to pay royalties of 4.75% on cumulative relevant sales of EYLEA between $400 million and $3 billion and 5.5% on any cumulative relevant sales of EYLEA over $3 billion.</w:t>
      </w:r>
    </w:p>
    <w:p>
      <w:pPr>
        <w:spacing w:after="0" w:line="23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Effective May 17, 2013, we entered into an Amended and Restated Non-Exclusive License and Settlement Agreement with Genentech (the Amended Genentech Agreement), which amended the Original Genentech Agreement to now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are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ex-U.S. EYLEA sales to worldwide EYLEA sales and determined consistent with the license and collaboration agreement.</w:t>
      </w:r>
    </w:p>
    <w:p>
      <w:pPr>
        <w:spacing w:after="0" w:line="2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Also on May 17, 2013, we entered into a Non-Exclusive License and Settlement Agreement (the ZALTRAP Agreement), with Genentech, Sanofi U.S. Services, Inc. and Sanofi-Aventis U.S. LLC (the latter two entities, collectively, Sanofi) under which we and Sanofi received a worldwide non-exclusive license to the Davis-Smyth patents, and certain other patents, in all indications for human use other than the prevention or treatment of eye diseases and eye disorders through administration to the eye. Under the terms of the ZALTRAP Agreement, payments are required to be made to Genentech based on sales of ZALTRAP in the United States and of ZALTRAP that is manufactured in the United States and sold outside the United States through May 7, 2016. A payment of $19 million is required to be made upon cumulative relevant sales of ZALTRAP reaching $200 million. In addition, royalty payments are required to be made to Genentech based upon 4.5% of cumulative relevant sales of ZALTRAP between $400 million and $1 billion and 6.5% of any cumulative relevant sales of ZALTRAP over $1 billion. All payments to Genentech under the ZALTRAP Agreement will be made by Sanofi, and we will share in all such payments.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April 2013, we entered into a new lease agreement for approximately 297,000 square feet of additional new laboratory and office space to be constructed in two new buildings (the Buildings), which are expected to be completed in late 2015, at our current Tarrytown, New York location. The initial term of the lease, which is expected to commence in mid-2014, is approximately 15 years and contains three renewal options to extend the term of the lease by five years each. The lease provides for (i) monthly payments over its term, which will be based on the landlord's costs of construction and tenant allowances, and (ii) additional charges for utilities, taxes, and operating expenses. Based upon various factors, including our involvement in the Buildings' construction and our responsibility for directly paying for a substantial portion of tenant improvements, we are deemed, in substance, to be the owner of the landlord's Buildings in accordance with the application of FASB authoritative guidance. Consequently, we</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capitalize the landlord's costs of constructing these new facilities as a non-cash transaction, offset by a corresponding lease obligation on our balance sheet. We will allocate a portion of our future lease payments to the Buildings and the land on which the Buildings are being constructed. The land element of the lease is treated for accounting purposes as an operating lease.</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April 2013, we also executed an early renewal of approximately 360,000 square feet of space that we currently lease at our Tarrytown location. The early renewal extended the term of the lease from June 2024 to June 2029.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expect continued growth in our expenditures, particularly in connection with our research and development activities (including preclinical and clinical testing), capital expenditures, and commercialization of EYLEA. We believe that our existing capital resources, funds generated by anticipated EYLEA net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ZALTRAP and antibodies collaborations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agreed-upon development expenses that both companies incur in connection with our EYLEA collaboration.</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As described above, in May 2013, we acquired from Sanofi full exclusive rights to antibodies targeting the PDGF family of receptors and ligands in ophthalmology and all other indications and to antibodies targeting the Ang2 receptor and ligand in ophthalmology. With respect to PDGF antibodies, we made a $10.0 million up-front payment to Sanofi in May 2013, and are obligated to pay up to $40 million in potential development milestone payments and royalties on any future sales. With respect to Ang2 antibodies in ophthalmology, we also made a $10.0 million up-front payment to Sanofi in May 2013, and are obligated to pay a potential $5 million development milestone payment and royalties on any future sales.</w:t>
      </w:r>
    </w:p>
    <w:p>
      <w:pPr>
        <w:spacing w:after="0" w:line="22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our collaboration agreements with Sanofi and Bayer HealthCare,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becomes profitable, we have contingent contractual obligations to reimburse Sanofi and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ZALTRAP collaboration with Sanofi and our Bayer HealthCare collaboration, royalties on product sales in Japan) otherwise payable to us, unless, in some cases, we elect to reimburse these expenses at a faster rate. In particular, as of December 31, 2012, our reimbursement obligation to Sanofi for ZALTRAP was approximately $419 million, while our reimbursement obligation to Bayer HealthCare for EYLEA was approximately $264 million. Therefore, we expect that, initially, our share of profits from sales of ZALTRAP, and a portion of our share of profits from sales of EYLEA outside the United States, will be used to reimburse our collaborators for these obligations.</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2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 In addition, under the provisions of the Patient Protection and Affordable Care Act and the Health Care and Education Reconciliation Act of 2010, a non-tax deductible annual fee (the Branded Prescription Drug Fee) is imposed on pharmaceutical manufacturers that sell branded prescription drugs to specified government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programs. This fee is allocated to companies, including Regeneron, based on their prior year market share of total branded prescription drug sales into these government programs.</w:t>
      </w:r>
    </w:p>
    <w:p>
      <w:pPr>
        <w:spacing w:after="0" w:line="22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in the first nine months of 2013 and 2012, we made cash payments of $166.4 million and $71.5 million, respectively, for employee tax obligations in connection with stock option exercises. Future cash requirements for such payments will depend on various factors, including the level of stock option grants and exercises, the level of restricted stock grants, and the sales prices of our Common Stock, and may continue to be substantial.</w:t>
      </w:r>
    </w:p>
    <w:p>
      <w:pPr>
        <w:spacing w:after="0" w:line="20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patents and other intellectual property will continue to be substantial.</w:t>
      </w:r>
    </w:p>
    <w:p>
      <w:pPr>
        <w:spacing w:after="0" w:line="224"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Due to the amounts of our net operating loss and tax credit carry-forwards available for tax purposes, which totaled $876.6 million and $71.2 million, respectively, at December 31, 2012, we do not anticipate incurring significant cash obligations for federal and state corporate income taxes in the near future.</w:t>
      </w:r>
    </w:p>
    <w:p>
      <w:pPr>
        <w:spacing w:after="0" w:line="17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connection with our collaboration with Bayer HealthCare, we are entitled to receive a $10 million future milestone payment related to pricing approval of EYLEA for CRVO in the first major market country outside the United States, as well as up to $105 million in additional sales milestones based on total twelve-month sales of EYLEA outside the United States achieving certain specified levels up to $1 billion. Under the terms of our ZALTRAP collaboration agreement with Sanofi, we are also entitled to receive milestone payments upon receipt of additional specified marketing approvals.</w:t>
      </w:r>
    </w:p>
    <w:p>
      <w:pPr>
        <w:spacing w:after="0" w:line="20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Other than letters of credits totaling $1.5 million as of September 30, 2013, we have no off-balance sheet arrangements. A $3.4 million letter of credit was canceled in April 2013 in connection with the amendment of our Tarrytown lease, as described above. As of September 30, 2013, we had no other banking arrangements that provided short-term financing or lines of credit. In November 2013, we filed a shelf registration statement on Form S-3, to replace the shelf registration that expired in October 2013, registering the sale, in one or more offerings, of an indeterminate amount of equity or debt securities, together or separately. There is no assurance, however, that we will be able to complete any offerings of securities under this shelf or other registration statements. Factors influencing the availability of additional financing include our progress in product development and commercialization, investor perception of our prospects, and the general condition of the financial markets.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Around Market Risk" of our 2012 Form 10-K. There have been no material changes to our market risks or to our management of such risks during the nine months ended September 30, 2013.</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2013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September 25, 2013, we commenced patent infringement litigation against Kymab Ltd, a company based in the United Kingdom, in the English High Court of Justice, Chancery Division, Patents Court, in London. We claim infringement of one or more claims of our European Patent No. 1,360,287 (the '287 Patent), which concerns genetically altered mice capable of producing chimeric antibodies that are part human and part mouse. These chimeric antibodies can later be altered to produce high-affinity fully human monoclonal antibodies. The lawsuit seeks, among other types of relief, an injunction and an account of profits in connection with Kymab’s infringing acts, which may include, among other things, the making, use, keeping, sale, or offer for sale of genetically engineered mice (or certain cells from which they are derived) that infringe one or more claims of the '287 Patent, as well as the use of the process described in the ‘287 Patent for making such products.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and have only recently achieved profitability. If we cannot sustain profitability, our business, prospects, operating results, and financial condition would be materially harmed.</w:t>
      </w:r>
    </w:p>
    <w:p>
      <w:pPr>
        <w:spacing w:after="0" w:line="2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From inception on January 8, 1988 through September 30, 2013, we had a cumulative loss of $189.5 million. If we cannot sustain profitability, we may be unable to continue our operations. In the absence of substantial revenue from the sale of products on an ongoing basis, including our sales of EYLEA and ARCALYST, and our share of the profits from Sanofi's sales of ZALTRAP and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launch and marketing of EYLEA and the potential commercial launches of our late-stage product candidates and new indications for our marketed products, manufacturing scale-up, expenses related to clinical trials testing EYLEA and antibody product candidates we are developing on our own (without Sanofi), and expenses related to the potential requirement for us to fund 20% of Phase 3 clinical trial costs for any of our antibody product candidates being developed in collaboration with Sanofi.</w:t>
      </w:r>
    </w:p>
    <w:p>
      <w:pPr>
        <w:spacing w:after="0" w:line="22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Our ability to obtain additional financing on acceptable terms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for the treatment of wet AMD and macular edema following CRVO, we may face delay, reduction, or elimination of our research and development or preclinical or clinical programs and our commercialization activities, which would significantly limit our potential to generate revenue.</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Our revenue from outside of the United States will increase as our products, whether marketed by us or our collaborators, gain marketing approval in such jurisdictions.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As of September 30, 2013, we had $263.2 million in cash and cash equivalents and $512.0 million in marketable securities. Our investments consist primarily of fixed-income securities, including certificates of deposit, money-market funds, U.S. and foreign government obligations, investment-grade corporate bonds, and municipal securities. These investments are subject to external factors that may adversely affect their market value or liquidity, such as interest rate, liquidity, market, and issuer credit risks, including actual or anticipated changes in credit ratings. If our investments suffer market price declines that are other than temporary, their value could be impaired, which may have an adverse effect on our financial condition and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We are substantially dependent on the success of EYLEA. If we are unable to continue to commercialize EYLEA or if we are unable to obtain additional marketing approvals, our business, prospects, operating results, and financial condition will be materially harmed.</w:t>
      </w:r>
    </w:p>
    <w:p>
      <w:pPr>
        <w:spacing w:after="0" w:line="6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EYLEA net sales represent a substantial portion of our revenues and this concentration of our net sales in a single product makes us substantially dependent on that product. In the nine months ended September 30, 2013 and in 2012, EYLEA net sales represented 67% and 58%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 In addition, if we are unable to obtain approval of EYLEA in the United States for the treatment of DME, or if Bayer HealthCare is unable to obtain approval of EYLEA in additional countries or in additional indications, our prospects would be materially harmed.</w:t>
      </w:r>
    </w:p>
    <w:p>
      <w:pPr>
        <w:spacing w:after="0" w:line="86"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17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EYLEA is currently available in the United States for treatment of wet AMD and macular edema following CRVO, and in the United Kingdom, Germany, Switzerland, Australia, Japan, and certain other countries for the treatment of wet AMD. Additionally, marketing approval has been obtained in the EU for EYLEA for the treatment of visual impairment due to macular edema secondary to CRVO. We are subject to significant ongoing regulatory obligations with respect to EYLEA for the treatment of wet AMD and macular edema following CRVO in the United States and the EU, and, in other countries, the commercialization of EYLEA is subject to additional significant ongoing regulatory obligations and oversight in those countries where the product is approved. If we fail to maintain regulatory compliance for EYLEA for the treatment of wet AMD and macular edema following CRVO, we may lose marketing approval, which would materially harm our business, prospects, operating results, and financial condition. Failure to comply may also subject us to sanctions, product recalls, or withdrawals of previously approved marketing applications. See also “Risks Related to Manufacturing and Supply—</w:t>
      </w:r>
      <w:r>
        <w:rPr>
          <w:rFonts w:ascii="Arial" w:cs="Arial" w:eastAsia="Arial" w:hAnsi="Arial"/>
          <w:sz w:val="17"/>
          <w:szCs w:val="17"/>
          <w:i w:val="1"/>
          <w:iCs w:val="1"/>
          <w:color w:val="auto"/>
        </w:rPr>
        <w:t>If we fail to</w:t>
      </w:r>
      <w:r>
        <w:rPr>
          <w:rFonts w:ascii="Arial" w:cs="Arial" w:eastAsia="Arial" w:hAnsi="Arial"/>
          <w:sz w:val="17"/>
          <w:szCs w:val="17"/>
          <w:color w:val="auto"/>
        </w:rPr>
        <w:t xml:space="preserve"> </w:t>
      </w:r>
      <w:r>
        <w:rPr>
          <w:rFonts w:ascii="Arial" w:cs="Arial" w:eastAsia="Arial" w:hAnsi="Arial"/>
          <w:sz w:val="17"/>
          <w:szCs w:val="17"/>
          <w:i w:val="1"/>
          <w:iCs w:val="1"/>
          <w:color w:val="auto"/>
        </w:rPr>
        <w:t>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regulatory approval for sales of EYLEA is limited to the treatment of wet AMD and macular edema following CRVO and is limited geographically.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don't receive approval for EYLEA for other indications, or if approvals are not obtained for sales in other countries, sales and profits will be limited.</w:t>
      </w:r>
    </w:p>
    <w:p>
      <w:pPr>
        <w:spacing w:after="0" w:line="2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and Bayer HealthCare have received regulatory approvals for sale of EYLEA for the treatment of wet AMD and macular edema following CRVO in certain countries throughout the world. If we do not receive approval for EYLEA for other uses, or if approvals for sales in other countries are not obtained, sales will be limited and our potential for profits will be limited. As a result, our business, prospects, operating results, and financial condition would be materially impacted.</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sales in the United States of EYLEA are dependent, in part, on the availability and extent of reimbursement from third-party payers, including private payer healthcare and insurance programs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w:t>
      </w:r>
      <w:r>
        <w:rPr>
          <w:rFonts w:ascii="Arial" w:cs="Arial" w:eastAsia="Arial" w:hAnsi="Arial"/>
          <w:sz w:val="16"/>
          <w:szCs w:val="16"/>
          <w:i w:val="1"/>
          <w:iCs w:val="1"/>
          <w:color w:val="auto"/>
        </w:rPr>
        <w:t>The successful</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The commercial success of EYLEA currently being marketed for the treatment of wet AMD and macular edema following CRVO is subject to strong competition.</w:t>
      </w:r>
    </w:p>
    <w:p>
      <w:pPr>
        <w:spacing w:after="0" w:line="224" w:lineRule="exact"/>
        <w:rPr>
          <w:sz w:val="20"/>
          <w:szCs w:val="20"/>
          <w:color w:val="auto"/>
        </w:rPr>
      </w:pPr>
    </w:p>
    <w:p>
      <w:pPr>
        <w:jc w:val="both"/>
        <w:ind w:firstLine="216"/>
        <w:spacing w:after="0" w:line="247" w:lineRule="auto"/>
        <w:rPr>
          <w:sz w:val="20"/>
          <w:szCs w:val="20"/>
          <w:color w:val="auto"/>
        </w:rPr>
      </w:pPr>
      <w:r>
        <w:rPr>
          <w:rFonts w:ascii="Arial" w:cs="Arial" w:eastAsia="Arial" w:hAnsi="Arial"/>
          <w:sz w:val="16"/>
          <w:szCs w:val="16"/>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wet AMD, macular edema following CRVO, DME, visual impairment due to mCNV,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in June 2010 for the treatment of macular edema following RVO, CRVO, and BRVO, and in August 2012 for the treatment of DME.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was also approved by the European Medicines Agency for wet AMD in January 2007, for DME in January 2011, for the treatment of macular edema following RVO, CRVO, and BRVO in June 2011, and for mCNV in July 2013.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platelet-derived growth factor subunit B (PDGF-B), as a product candidate intended to be used in combination with an anti-VEGF therapy in wet AMD. In June 2012, Ophthotech announced results of a Phase 2b study in wet AMD that it claimed demonstrated that Fovista</w:t>
      </w:r>
      <w:r>
        <w:rPr>
          <w:rFonts w:ascii="Arial" w:cs="Arial" w:eastAsia="Arial" w:hAnsi="Arial"/>
          <w:sz w:val="13"/>
          <w:szCs w:val="13"/>
          <w:color w:val="auto"/>
        </w:rPr>
        <w:t>™</w:t>
      </w:r>
      <w:r>
        <w:rPr>
          <w:rFonts w:ascii="Arial" w:cs="Arial" w:eastAsia="Arial" w:hAnsi="Arial"/>
          <w:sz w:val="16"/>
          <w:szCs w:val="16"/>
          <w:color w:val="auto"/>
        </w:rPr>
        <w:t xml:space="preserve"> administered in combination with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resulted in increased visual outcomes compared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monotherapy, and in August 2013 announced the initiation of patient enrollment in a Phase 3 study consisting of three clinical trials evaluating the safety and efficacy of the Fovista</w:t>
      </w:r>
      <w:r>
        <w:rPr>
          <w:rFonts w:ascii="Arial" w:cs="Arial" w:eastAsia="Arial" w:hAnsi="Arial"/>
          <w:sz w:val="22"/>
          <w:szCs w:val="22"/>
          <w:color w:val="auto"/>
          <w:vertAlign w:val="superscript"/>
        </w:rPr>
        <w:t>™</w:t>
      </w:r>
      <w:r>
        <w:rPr>
          <w:rFonts w:ascii="Arial" w:cs="Arial" w:eastAsia="Arial" w:hAnsi="Arial"/>
          <w:sz w:val="16"/>
          <w:szCs w:val="16"/>
          <w:color w:val="auto"/>
        </w:rPr>
        <w:t>/anti-VEGF combination. Allergan is developing an anti-VEGF-A DARPin</w:t>
      </w:r>
      <w:r>
        <w:rPr>
          <w:rFonts w:ascii="Arial" w:cs="Arial" w:eastAsia="Arial" w:hAnsi="Arial"/>
          <w:sz w:val="22"/>
          <w:szCs w:val="22"/>
          <w:color w:val="auto"/>
          <w:vertAlign w:val="superscript"/>
        </w:rPr>
        <w:t>®</w:t>
      </w:r>
      <w:r>
        <w:rPr>
          <w:rFonts w:ascii="Arial" w:cs="Arial" w:eastAsia="Arial" w:hAnsi="Arial"/>
          <w:sz w:val="16"/>
          <w:szCs w:val="16"/>
          <w:color w:val="auto"/>
        </w:rPr>
        <w:t>, as well as a dual anti-VEGF-A/PDGF-B DARPin</w:t>
      </w:r>
      <w:r>
        <w:rPr>
          <w:rFonts w:ascii="Arial" w:cs="Arial" w:eastAsia="Arial" w:hAnsi="Arial"/>
          <w:sz w:val="22"/>
          <w:szCs w:val="22"/>
          <w:color w:val="auto"/>
          <w:vertAlign w:val="superscript"/>
        </w:rPr>
        <w:t>®</w:t>
      </w:r>
      <w:r>
        <w:rPr>
          <w:rFonts w:ascii="Arial" w:cs="Arial" w:eastAsia="Arial" w:hAnsi="Arial"/>
          <w:sz w:val="16"/>
          <w:szCs w:val="16"/>
          <w:color w:val="auto"/>
        </w:rPr>
        <w:t>, and its corresponding backups for the treatment of wet AMD and related conditions. Novartis is developing ESBA1008, an antibody fragment targeting VEGF-A for the treatment of wet AMD. ESBA1008 is currently being tested in a number of studies, including a head-to-head study against EYLEA.</w:t>
      </w:r>
    </w:p>
    <w:p>
      <w:pPr>
        <w:spacing w:after="0" w:line="124" w:lineRule="exact"/>
        <w:rPr>
          <w:sz w:val="20"/>
          <w:szCs w:val="20"/>
          <w:color w:val="auto"/>
        </w:rPr>
      </w:pPr>
    </w:p>
    <w:p>
      <w:pPr>
        <w:jc w:val="both"/>
        <w:ind w:right="20" w:firstLine="243"/>
        <w:spacing w:after="0" w:line="222" w:lineRule="auto"/>
        <w:rPr>
          <w:sz w:val="20"/>
          <w:szCs w:val="20"/>
          <w:color w:val="auto"/>
        </w:rPr>
      </w:pPr>
      <w:r>
        <w:rPr>
          <w:rFonts w:ascii="Arial" w:cs="Arial" w:eastAsia="Arial" w:hAnsi="Arial"/>
          <w:sz w:val="18"/>
          <w:szCs w:val="18"/>
          <w:color w:val="auto"/>
        </w:rPr>
        <w:t>In addition, ophthalmologists are using with success off-label, third-party repackaged versions of Genentech's approved VEGF antagonist, Avastin</w:t>
      </w:r>
      <w:r>
        <w:rPr>
          <w:rFonts w:ascii="Arial" w:cs="Arial" w:eastAsia="Arial" w:hAnsi="Arial"/>
          <w:sz w:val="25"/>
          <w:szCs w:val="25"/>
          <w:color w:val="auto"/>
          <w:vertAlign w:val="superscript"/>
        </w:rPr>
        <w:t>®</w:t>
      </w:r>
      <w:r>
        <w:rPr>
          <w:rFonts w:ascii="Arial" w:cs="Arial" w:eastAsia="Arial" w:hAnsi="Arial"/>
          <w:sz w:val="18"/>
          <w:szCs w:val="18"/>
          <w:color w:val="auto"/>
        </w:rPr>
        <w:t>, for the treatment of wet AMD, DME, and RVO. The relatively low cost of therapy with Avastin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in patients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with wet AMD presents a significant competitive challenge in this indication.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14"/>
          <w:szCs w:val="14"/>
          <w:color w:val="auto"/>
        </w:rPr>
        <w:t>®</w:t>
      </w:r>
      <w:r>
        <w:rPr>
          <w:rFonts w:ascii="Arial" w:cs="Arial" w:eastAsia="Arial" w:hAnsi="Arial"/>
          <w:sz w:val="17"/>
          <w:szCs w:val="17"/>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countries. Furthermore,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present significant competitive challenges as doctors and patients have had significant experience using these medicines. Moreover, the reported results of the CATT study, combined with the relatively low cost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wet AMD, macular edema following CRVO, or other eye indications. See also “Risks Related to Commercialization of Products—</w:t>
      </w:r>
      <w:r>
        <w:rPr>
          <w:rFonts w:ascii="Arial" w:cs="Arial" w:eastAsia="Arial" w:hAnsi="Arial"/>
          <w:sz w:val="17"/>
          <w:szCs w:val="17"/>
          <w:i w:val="1"/>
          <w:iCs w:val="1"/>
          <w:color w:val="auto"/>
        </w:rPr>
        <w:t>We may be unsuccessful in continuing the commercialization of our marketed products or in commercializing our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 or new indications for our marketed products, if approved, which would materially and adversely affect our business, profitability, and future prospects</w:t>
      </w:r>
      <w:r>
        <w:rPr>
          <w:rFonts w:ascii="Arial" w:cs="Arial" w:eastAsia="Arial" w:hAnsi="Arial"/>
          <w:sz w:val="17"/>
          <w:szCs w:val="17"/>
          <w:color w:val="auto"/>
        </w:rPr>
        <w:t>” below.</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sales could be reduced by imports from countries where our products are available at lower prices.</w:t>
      </w:r>
    </w:p>
    <w:p>
      <w:pPr>
        <w:spacing w:after="0" w:line="14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cannot sell or market products without regulatory approval. If we do not maintain regulatory approval for our products EYLEA, ZALTRAP, and ARCALYST, and obtain regulatory approval for our product candidates, or new indications of our marketed products, including EYLEA for the treatment of ophthalmologic diseases other than wet AMD and macular edema following CRVO, the value of our company and our business, prospects, operating results, and financial condition will be materially harmed. Our product candidates, including EYLEA for DME and macular edema following BRVO, may not receive regulatory approval. If we are unable to obtain regulatory approval for EYLEA in DME and macular edema following BRVO, or if we are materially delayed in doing so, our business, prospects, operating results, and financial condition will be materially harmed. In addition, if we fail to maintain regulatory approval for EYLEA for the treatment of wet AMD and macular edema following CRVO, we may lose marketing approval and the ability to generate EYLEA product sales revenue, which would materially and negatively impact our business, prospects, operating results, and financial condition.</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similarly likely to be a lengthy and expensive process, and approval is highly uncertain.</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4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are testing EYLEA in late-stage clinical trials in additional indications.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testing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24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2011, we announced that our Phase 3 VELOUR trial of ZALTRAP met its primary endpoint of improving overall survival in the treatment of patients with previously treated mCRC. Based upon these positive results, we and Sanofi submitted regulatory applications for marketing approval to the FDA and EMA, and, in August 2012, the FDA approved ZALTRAP in combination with FOLFIRI chemotherapy regimen for patients with mCRC that is resistant to or has progressed following an oxaliplatin-containing regimen. However, in April 2011, we and Sanofi also announced the results from another randomized, double-blind Phase 3 trial (VENICE) that evaluated ZALTRAP as a first-line treatment for metastatic androgen-independent prostate cancer in combination with docetaxel/prednisone. The VENICE trial did not meet the pre-specified criterion of improvement in overall survival.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03" w:lineRule="auto"/>
        <w:rPr>
          <w:sz w:val="20"/>
          <w:szCs w:val="20"/>
          <w:color w:val="auto"/>
        </w:rPr>
      </w:pPr>
      <w:r>
        <w:rPr>
          <w:rFonts w:ascii="Arial" w:cs="Arial" w:eastAsia="Arial" w:hAnsi="Arial"/>
          <w:sz w:val="18"/>
          <w:szCs w:val="18"/>
          <w:color w:val="auto"/>
        </w:rPr>
        <w:t>In January 2012, Roche announced that a Phase 3 trial of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had met the primary endpoint of overall survival in mCRC in patients who had previously received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standard chemotherapy. The positive results of this trial in a similar patient population could impact the potential commercial opportunity for ZALTRAP in mCRC.</w:t>
      </w:r>
    </w:p>
    <w:p>
      <w:pPr>
        <w:spacing w:after="0" w:line="25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0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diseases of the eye in addition to wet AMD and macular edema following CRVO. There are many potential safety concerns associated with significant blockade of VEGF that may limit our ability to successfully develop and/or commercialize ZALTRAP and EYLEA.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ZALTRAP for the treatment of mCRC or EYLEA for the treatment of diseases of the eye.</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have studied fasinumab in a variety of pain indications, including osteoarthritis of the knee. In December 2010, the FDA placed fasinumab and other investigational agents targeting NGF on clinical hold after a case of rapidly progressive osteoarthritis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leading to joint replacement was seen in another company's anti-NGF program due to the FDA's concern that this case was suggestive of a class effect. In December 2012, the FDA removed the clinical hold on fasinumab after reviewing our proposed Phase 3 program in osteoarthritis. However, shortly thereafter, the entire class was again placed on clinical hold as a result of preclinical data from other investigational agents targeting NGF in development. There are currently no trials with fasinumab that are either enrolling or treating patients. Discussions with the FDA about fasinumab are ongoing.</w:t>
      </w:r>
    </w:p>
    <w:p>
      <w:pPr>
        <w:spacing w:after="0" w:line="20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others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other parties who file an opposition. Such opposition proceedings are increasingly common in the EU and are costly to defend. We have pending patent applications in the United States Patent and Trademark Office and the European Patent Office, and it is likely that we will need to defend patent applications from challenges by others from time to time in the future. Certain patent applications filed in the United States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2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and could be subject to damage awards if we are found to have infringed, patents or other proprietary rights of others.</w:t>
      </w:r>
    </w:p>
    <w:p>
      <w:pPr>
        <w:spacing w:after="0" w:line="22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been in the past, are currently, and may in the future be involved in patent litigation. For example, we are currently involved in the patent litigation against Kymab Ltd described in Part II, Item 1, "Legal Proceedings." We are aware of patents and pending applications owned by Roche that claim antibodies to IL-6R and methods of treating rheumatoid arthritis with such antibodies. We are developing sarilumab, an antibody to IL-6R, for the treatment of rheumatoid arthritis. Although we do not</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30"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believe that sarilumab infringes any valid claim in these patents or patent applications, Roche could initiate a lawsuit for patent infringement and assert its patents are valid and cover sarilumab. We are also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 ZALTRAP, nor EYLEA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3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drug candidates, and a court may find that we are infringing validly issued patents of others. In the event that the manufacture, use, or sale of any of our drug candidates, or our other late-stage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and to commercialize our other product candidates or other indications for our marketed products if they receive regulatory approval.</w:t>
      </w:r>
    </w:p>
    <w:p>
      <w:pPr>
        <w:spacing w:after="0" w:line="2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prospects, operating results, and financial condition may be materially harmed.</w:t>
      </w:r>
    </w:p>
    <w:p>
      <w:pPr>
        <w:spacing w:after="0" w:line="237"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84"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We have commenced construction of additional manufacturing space at our Rensselaer, New York site to increase our manufacturing capacity. In addition, we are in discussions to acquire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our contemplated acquisition of the Limerick, Ireland facility remains subject to entering into definitive agreements as well as securing permits from the local government, and there is no guarantee that a final agreement will be reached on terms favorable to us or that we will be able to obtain the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10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to which those intellectual property rights apply, which could materially harm our business, prospects, operating results, and financial condition.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381" w:lineRule="auto"/>
        <w:rPr>
          <w:sz w:val="20"/>
          <w:szCs w:val="20"/>
          <w:color w:val="auto"/>
        </w:rPr>
      </w:pPr>
      <w:r>
        <w:rPr>
          <w:rFonts w:ascii="Arial" w:cs="Arial" w:eastAsia="Arial" w:hAnsi="Arial"/>
          <w:sz w:val="15"/>
          <w:szCs w:val="15"/>
          <w:b w:val="1"/>
          <w:bCs w:val="1"/>
          <w:i w:val="1"/>
          <w:iCs w:val="1"/>
          <w:color w:val="auto"/>
        </w:rPr>
        <w:t>If sales of EYLEA and ZALTRAP do not meet the levels currently expected, or if the launch of new indications for EYLEA or of any of our product candidates is delayed or unsuccessful, we may face costs related to unused capacity at our manufacturing facilities and at the facilities of third parties.</w:t>
      </w:r>
    </w:p>
    <w:p>
      <w:pPr>
        <w:spacing w:after="0" w:line="15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have large-scale manufacturing operations in Rensselaer, New York. We use our facilities to produce bulk product of ARCALYST for the treatment of CAPS, bulk product of EYLEA for the treatment of wet AMD and macular edema following CRVO, bulk product of ZALTRAP for the treatment of patients with mCRC that is resistant to or has progressed following an oxaliplatin-containing regimen, and clinical and preclinical candidates for ourselves and our collaborations, and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w:t>
      </w:r>
    </w:p>
    <w:p>
      <w:pPr>
        <w:spacing w:after="0" w:line="220"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 at the facilities.</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Also, certain raw materials or other products necessary for the manufacture and formulation of EYLEA, ZALTRAP, ARCALYST, and our product candidates, some of which are difficult to source, are provided by single-source unaffiliated third-party suppliers. In addition, we rely on certain third parties to perform filling, finishing, distribution, laboratory testing, and other services related to the manufacture of EYLEA, ZALTRAP,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This, in turn, could materially and adversely affect our ability to manufacture or supply EYLEA, ZALTRAP, ARCALYST, and our product candidates, which could materially and adversely affect our business and future prospects.</w:t>
      </w:r>
    </w:p>
    <w:p>
      <w:pPr>
        <w:spacing w:after="0" w:line="2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6"/>
          <w:szCs w:val="16"/>
          <w:color w:val="auto"/>
        </w:rPr>
        <w:t>Currently, we have three marketed products, EYLEA, ZALTRAP, and ARCALYST. While we have established our own sales and marketing organization for EYLEA in the United States for the treatment of wet AMD and macular edema following CRVO, we have limited commercialization experience and we have no sales, marketing, commercial, or distribution capabilities outside the United States. In addition, EYLEA faces intense competition from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from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14"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effectively communicate to the marketplace the benefits of the dosing regimen of EYLEA as compared to the dosing regimen of Lucentis</w:t>
      </w:r>
      <w:r>
        <w:rPr>
          <w:rFonts w:ascii="Arial" w:cs="Arial" w:eastAsia="Arial" w:hAnsi="Arial"/>
          <w:sz w:val="24"/>
          <w:szCs w:val="24"/>
          <w:color w:val="auto"/>
          <w:vertAlign w:val="superscript"/>
        </w:rPr>
        <w:t>®</w:t>
      </w:r>
      <w:r>
        <w:rPr>
          <w:rFonts w:ascii="Arial" w:cs="Arial" w:eastAsia="Arial" w:hAnsi="Arial"/>
          <w:sz w:val="17"/>
          <w:szCs w:val="17"/>
          <w:color w:val="auto"/>
        </w:rPr>
        <w:t>, and the willingness of retinal specialists and patients to switch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EYLEA;</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left="660" w:hanging="328"/>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new health care legislation currently being implemented in the United States.</w:t>
      </w:r>
    </w:p>
    <w:p>
      <w:pPr>
        <w:spacing w:after="0" w:line="1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As previously noted, Genentech has an approved VEGF antagonist, Avastin</w:t>
      </w:r>
      <w:r>
        <w:rPr>
          <w:rFonts w:ascii="Arial" w:cs="Arial" w:eastAsia="Arial" w:hAnsi="Arial"/>
          <w:sz w:val="16"/>
          <w:szCs w:val="16"/>
          <w:color w:val="auto"/>
          <w:vertAlign w:val="superscript"/>
        </w:rPr>
        <w:t>®</w:t>
      </w:r>
      <w:r>
        <w:rPr>
          <w:rFonts w:ascii="Arial" w:cs="Arial" w:eastAsia="Arial" w:hAnsi="Arial"/>
          <w:sz w:val="16"/>
          <w:szCs w:val="16"/>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(which has recently agreed to be acquired by Amgen), together with its partner Bayer HealthCare, and GlaxoSmithKline are marketing and selling oral medications that target tumor cell growth and new vasculature formation that fuels the growth of tumors. It will be difficult for ZALTRAP to compete against Avastin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and the FDA-approved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21" w:lineRule="exact"/>
        <w:rPr>
          <w:sz w:val="20"/>
          <w:szCs w:val="20"/>
          <w:color w:val="auto"/>
        </w:rPr>
      </w:pPr>
    </w:p>
    <w:p>
      <w:pPr>
        <w:jc w:val="both"/>
        <w:ind w:firstLine="216"/>
        <w:spacing w:after="0" w:line="247" w:lineRule="auto"/>
        <w:rPr>
          <w:sz w:val="20"/>
          <w:szCs w:val="20"/>
          <w:color w:val="auto"/>
        </w:rPr>
      </w:pPr>
      <w:r>
        <w:rPr>
          <w:rFonts w:ascii="Arial" w:cs="Arial" w:eastAsia="Arial" w:hAnsi="Arial"/>
          <w:sz w:val="16"/>
          <w:szCs w:val="16"/>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wet AMD, macular edema following CRVO, DME, visual impairment due to mCNV,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in June 2010 for the treatment of macular edema following RVO, CRVO, and BRVO, and in August 2012 for the treatment of DME.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was also approved by the European Medicines Agency for wet AMD in January 2007, for DME in January 2011, for the treatment of macular edema following RVO, CRVO, and BRVO in June 2011, and for mCNV in July 2013.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platelet-derived growth factor subunit B (PDGF-B), as a product candidate intended to be used in combination with an anti-VEGF therapy in wet AMD. In June 2012, Ophthotech announced results of a Phase 2b study in wet AMD that it claimed demonstrated that Fovista</w:t>
      </w:r>
      <w:r>
        <w:rPr>
          <w:rFonts w:ascii="Arial" w:cs="Arial" w:eastAsia="Arial" w:hAnsi="Arial"/>
          <w:sz w:val="13"/>
          <w:szCs w:val="13"/>
          <w:color w:val="auto"/>
        </w:rPr>
        <w:t>™</w:t>
      </w:r>
      <w:r>
        <w:rPr>
          <w:rFonts w:ascii="Arial" w:cs="Arial" w:eastAsia="Arial" w:hAnsi="Arial"/>
          <w:sz w:val="16"/>
          <w:szCs w:val="16"/>
          <w:color w:val="auto"/>
        </w:rPr>
        <w:t xml:space="preserve"> administered in combination with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resulted in increased visual outcomes compared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monotherapy, and in August 2013 announced the initiation of patient enrollment in a Phase 3 study consisting of three clinical trials evaluating the safety and efficacy of the Fovista</w:t>
      </w:r>
      <w:r>
        <w:rPr>
          <w:rFonts w:ascii="Arial" w:cs="Arial" w:eastAsia="Arial" w:hAnsi="Arial"/>
          <w:sz w:val="22"/>
          <w:szCs w:val="22"/>
          <w:color w:val="auto"/>
          <w:vertAlign w:val="superscript"/>
        </w:rPr>
        <w:t>™</w:t>
      </w:r>
      <w:r>
        <w:rPr>
          <w:rFonts w:ascii="Arial" w:cs="Arial" w:eastAsia="Arial" w:hAnsi="Arial"/>
          <w:sz w:val="16"/>
          <w:szCs w:val="16"/>
          <w:color w:val="auto"/>
        </w:rPr>
        <w:t>/anti-VEGF combination. Allergan is developing an anti-VEGF-A DARPin</w:t>
      </w:r>
      <w:r>
        <w:rPr>
          <w:rFonts w:ascii="Arial" w:cs="Arial" w:eastAsia="Arial" w:hAnsi="Arial"/>
          <w:sz w:val="22"/>
          <w:szCs w:val="22"/>
          <w:color w:val="auto"/>
          <w:vertAlign w:val="superscript"/>
        </w:rPr>
        <w:t>®</w:t>
      </w:r>
      <w:r>
        <w:rPr>
          <w:rFonts w:ascii="Arial" w:cs="Arial" w:eastAsia="Arial" w:hAnsi="Arial"/>
          <w:sz w:val="16"/>
          <w:szCs w:val="16"/>
          <w:color w:val="auto"/>
        </w:rPr>
        <w:t>, as well as a dual anti-VEGF-A/PDGF-B DARPin</w:t>
      </w:r>
      <w:r>
        <w:rPr>
          <w:rFonts w:ascii="Arial" w:cs="Arial" w:eastAsia="Arial" w:hAnsi="Arial"/>
          <w:sz w:val="22"/>
          <w:szCs w:val="22"/>
          <w:color w:val="auto"/>
          <w:vertAlign w:val="superscript"/>
        </w:rPr>
        <w:t>®</w:t>
      </w:r>
      <w:r>
        <w:rPr>
          <w:rFonts w:ascii="Arial" w:cs="Arial" w:eastAsia="Arial" w:hAnsi="Arial"/>
          <w:sz w:val="16"/>
          <w:szCs w:val="16"/>
          <w:color w:val="auto"/>
        </w:rPr>
        <w:t>, and its corresponding backups for the treatment of wet AMD and related conditions. Novartis is developing ESBA1008, an antibody fragment targeting VEGF-A for the treatment of wet AMD. ESBA1008 is currently being tested in a number of studies, including a head-to-head study against EYLEA.</w:t>
      </w:r>
    </w:p>
    <w:p>
      <w:pPr>
        <w:spacing w:after="0" w:line="259" w:lineRule="exact"/>
        <w:rPr>
          <w:sz w:val="20"/>
          <w:szCs w:val="20"/>
          <w:color w:val="auto"/>
        </w:rPr>
      </w:pPr>
    </w:p>
    <w:p>
      <w:pPr>
        <w:jc w:val="both"/>
        <w:ind w:firstLine="243"/>
        <w:spacing w:after="0" w:line="214" w:lineRule="auto"/>
        <w:rPr>
          <w:sz w:val="20"/>
          <w:szCs w:val="20"/>
          <w:color w:val="auto"/>
        </w:rPr>
      </w:pPr>
      <w:r>
        <w:rPr>
          <w:rFonts w:ascii="Arial" w:cs="Arial" w:eastAsia="Arial" w:hAnsi="Arial"/>
          <w:sz w:val="17"/>
          <w:szCs w:val="17"/>
          <w:color w:val="auto"/>
        </w:rPr>
        <w:t>In addition, ophthalmologists are using with success off-label, third-party repackaged versions of Genentech's approved VEGF antagonist, Avastin</w:t>
      </w:r>
      <w:r>
        <w:rPr>
          <w:rFonts w:ascii="Arial" w:cs="Arial" w:eastAsia="Arial" w:hAnsi="Arial"/>
          <w:sz w:val="24"/>
          <w:szCs w:val="24"/>
          <w:color w:val="auto"/>
          <w:vertAlign w:val="superscript"/>
        </w:rPr>
        <w:t>®</w:t>
      </w:r>
      <w:r>
        <w:rPr>
          <w:rFonts w:ascii="Arial" w:cs="Arial" w:eastAsia="Arial" w:hAnsi="Arial"/>
          <w:sz w:val="17"/>
          <w:szCs w:val="17"/>
          <w:color w:val="auto"/>
        </w:rPr>
        <w:t>, for the treatment of wet AMD, DME, and RVO. The relatively low cost of therapy with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in patients with wet AMD presents a significant competitive challenge in this indication.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14"/>
          <w:szCs w:val="14"/>
          <w:color w:val="auto"/>
        </w:rPr>
        <w:t>®</w:t>
      </w:r>
      <w:r>
        <w:rPr>
          <w:rFonts w:ascii="Arial" w:cs="Arial" w:eastAsia="Arial" w:hAnsi="Arial"/>
          <w:sz w:val="17"/>
          <w:szCs w:val="17"/>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countries. Furthermore,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present significant competitive challenges as doctors and patients have had significant experience using these medicines. Moreover, the reported results of the CATT study, combined with the relatively low cost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wet AMD, macular edema following CRVO, or other eye indications.</w:t>
      </w:r>
    </w:p>
    <w:p>
      <w:pPr>
        <w:spacing w:after="0" w:line="247"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 to the IL-1 receptor. In 2009, Novartis received regulatory approval in the United States and Europe for Ilaris</w:t>
      </w:r>
      <w:r>
        <w:rPr>
          <w:rFonts w:ascii="Arial" w:cs="Arial" w:eastAsia="Arial" w:hAnsi="Arial"/>
          <w:sz w:val="24"/>
          <w:szCs w:val="24"/>
          <w:color w:val="auto"/>
          <w:vertAlign w:val="superscript"/>
        </w:rPr>
        <w:t>®</w:t>
      </w:r>
      <w:r>
        <w:rPr>
          <w:rFonts w:ascii="Arial" w:cs="Arial" w:eastAsia="Arial" w:hAnsi="Arial"/>
          <w:sz w:val="17"/>
          <w:szCs w:val="17"/>
          <w:color w:val="auto"/>
        </w:rPr>
        <w:t>, a fully human anti-interleukin-1ß (IL-1ß) antibody, for the treatment of CAPS. Ilaris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has been approved by the FDA for the treatment of systemic juvenile idiopathic arthritis and by the EMEA for the treatment of certain patients with gouty arthritis and is also in development for atherosclerosis and a number of other inflammatory diseases. Novartis' IL-1 antibody and these other drug candidates could offer competitive advantages over ARCALYST. For example, Ilaris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dosed once every eight weeks compared to the once-weekly dosing regimen for ARCALYST.</w:t>
      </w:r>
    </w:p>
    <w:p>
      <w:pPr>
        <w:spacing w:after="0" w:line="26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AbbVie are developing antibody product candidates against NGF. Genentech/Roche is marketing an antibody against IL-6R (tocilizumab) for the treatment of rheumatoid arthritis, and several other companies, including Johnson &amp; Johnson (in partnership with GlaxoSmithKline) and Bristol-Myers Squibb, have antibodies against IL-6 in clinical development for this disease. GlaxoSmithKline, in partnership with OncoMed Pharmaceuticals, has a Dll4 antibody in clinical development for the treatment of solid tumors. Amgen previously had an antibody against IL-4R in clinical development for the treatment of asthma. Several companies, including Amgen, Pfizer, and Roche, have development programs for antibodies against PCSK9. Alnylam, in partnership with The Medicines Company, has a clinical program underway with an RNAi molecule against PCSK9. In addition, there are therapeutic products targeting PCSK9 operating through other mechanisms of action currently on the market or in development, including oral products and a biosimilar product in Europe. Further, Amgen, Pfizer, and AstraZeneca have development programs underway for antibodies against Ang2.</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235"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future revenues and profitability will be adversely affected in a material manner if United States and foreign governmental payers, private third-party insurers and payers, and other third-party payers, including Medicare and Medicaid, do not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1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savings to the Medicare program by using off-label Avastin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rather than Lucentis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42"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Since EYLEA for the treatment of wet AMD, macular edema following CRVO, and other eye diseases, and ZALTRAP for the treatment of patients with mCRC that is resistant to or has progressed following an oxaliplatin-containing regimen, will likely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8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sell EYLEA in the United States to three distributors and several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nine months ended September 30, 2013 and 2012, we recorded 76% and 79%,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2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In addition, as part of the PPACA, the federal government recently enacted the Physician Payment Sunshine Act and related regulations. The Physician Payment Sunshine Act will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started to be required to collect information regarding such payments in August 2013 and will be required to begin reporting such information in March 2014.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26"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the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2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8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18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130" w:lineRule="exact"/>
        <w:rPr>
          <w:sz w:val="20"/>
          <w:szCs w:val="20"/>
          <w:color w:val="auto"/>
        </w:rPr>
      </w:pPr>
    </w:p>
    <w:p>
      <w:pPr>
        <w:ind w:left="5620" w:right="3220" w:hanging="5288"/>
        <w:spacing w:after="0" w:line="559"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 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ind w:left="66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 and the cost of currency exchange;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tax consequences, including those that might result from the failure to operate in conformity with the requirements for certain tax treatment, tax incentives, or grants;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alirocumab, dupilumab, enoticumab, nesvacumab, REGN1033, and REGN2009,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 out of their development, unless we enter into a partnership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and decided not to opt in to the REGN1154, REGN 1193, REGN1500, and other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232"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If our collaboration with Sanofi for ZALTRAP is terminated, or Sanofi materially breaches its obligations thereunder, our business, prospects, operating results, and financial condition, and our ability to develop and commercialize ZALTRAP, would be materially harmed.</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Regulatory approvals have been obtained for EYLEA for the treatment of wet AMD in Australia, Japan, and certain European and Latin American countries, as well as marketing approval for macular edema following CRVO in the EU. We cannot assure you that additional regulatory approvals will be received for EYLEA outside the United States or that EYLEA will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and macular edema following CRVO,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rely on third-party service providers to support the distribution of EYLEA and ARCALYST in the United States and for many other related activities in connection with the commercialization of these marketed products. Despite our arrangements with them, these third parties may not perform adequately. If these service providers do not perform their services adequately, our sales of EYLEA for the treatment of wet AMD and macular edema following CRVO and ARCALYST for the treatment of CAPS will suffer.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Chief Scientific Officer and President, Regeneron Laboratories; and Neil Stahl, Ph.D., our Senior Vice President, Research and Development Sciences. As we commercialize EYLEA in the United States for the treatment of wet AMD and macular edema following CRVO,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20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4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fluctuations in our operating results, in particular net product sales of EYLEA and, to a lesser degree, sales of ZALTRAP and ARCALYST;</w:t>
      </w:r>
    </w:p>
    <w:p>
      <w:pPr>
        <w:spacing w:after="0" w:line="74"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63" w:lineRule="exact"/>
        <w:rPr>
          <w:rFonts w:ascii="Arial" w:cs="Arial" w:eastAsia="Arial" w:hAnsi="Arial"/>
          <w:sz w:val="18"/>
          <w:szCs w:val="18"/>
          <w:color w:val="auto"/>
        </w:rPr>
      </w:pPr>
    </w:p>
    <w:p>
      <w:pPr>
        <w:jc w:val="both"/>
        <w:ind w:left="660" w:hanging="328"/>
        <w:spacing w:after="0" w:line="317"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EYLEA, ZALTRAP, or ARCALYST, or product candidates or new indications for our marketed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or reimbursement actions or decisions by government authorities or insurers affecting the coverage or reimbursement of any of our marketed products or competitors’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our relationships with collaborative partners or key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in the fourth quarter of 2012, we determined, based on our facts and circumstances, that it was more likely than not that a substantial portion of our deferred tax assets would be realized and, as a result, substantially all of our valuation allowance against deferred tax assets was released. Therefore, beginning in 2013, we began recording income tax expense, which results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 significant reduction in our net income and net income per share and may have an impact on the market price of our Common Stock.</w:t>
      </w:r>
    </w:p>
    <w:p>
      <w:pPr>
        <w:spacing w:after="0" w:line="14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1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September 30, 2013, our four largest shareholders plus Dr. Schleifer, our Chief Executive Officer, beneficially owned approximately 42.9% of our outstanding shares of Common Stock, assuming, in the case of our Chief Executive Officer, the conversion of his Class A Stock into Common Stock and the exercise of all options held by him which are exercisable within 60 days of September 30, 2013.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September 30, 2013, Sanofi beneficially owned 15,816,953 shares of our Common Stock, representing approximately 16.2% of the shares of Common Stock then outstanding. In February 2013, we received from Sanofi a notification under the Hart-Scott-Rodino Antitrust Improvements Act of 1976 that it intends to acquire additional Common Stock through open market purchases and direct purchases from shareholders.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2013, holders of Class A Stock held 17.3%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2013:</w:t>
      </w:r>
    </w:p>
    <w:p>
      <w:pPr>
        <w:spacing w:after="0" w:line="97" w:lineRule="exact"/>
        <w:rPr>
          <w:sz w:val="20"/>
          <w:szCs w:val="20"/>
          <w:color w:val="auto"/>
        </w:rPr>
      </w:pPr>
    </w:p>
    <w:p>
      <w:pPr>
        <w:jc w:val="both"/>
        <w:ind w:left="660" w:hanging="328"/>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9.6% of our outstanding shares of Common Stock, assuming conversion of their Class A Stock into Common Stock and the exercise of all options held by such persons which are exercisable within 60 days of September 30, 2013, and 22.2% of the combined voting power of our outstanding shares of Common Stock and Class A Stock, assuming the exercise of all options held by such persons which are exercisable within 60 days of September 30, 2013;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four largest shareholders plus Dr. Schleifer, our Chief Executive Officer, beneficially owned approximately 42.9% of our outstanding shares of Common Stock, assuming, in the case of our Chief Executive Officer, the conversion of his Class A Stock into Common Stock and the exercise of all options held by him which are exercisable within 60 days of September 30 17, 2013. In addition, these four shareholders plus our Chief Executive Officer held approximately 49.3% of the combined voting power of our outstanding shares of Common Stock and Class A Stock, assuming the exercise of all options held by our Chief Executive Officer which are exercisable within 60 days of September 30, 2013.</w:t>
      </w:r>
    </w:p>
    <w:p>
      <w:pPr>
        <w:spacing w:after="0" w:line="9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Pursuant to an investor agreement with us,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our offering of our 1.875% Convertible Senior Notes due October 1, 2016 ("convertible senior notes" or "notes"),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6"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“standstill” provisions in our investor agreement with Sanofi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44" w:lineRule="exact"/>
        <w:rPr>
          <w:sz w:val="20"/>
          <w:szCs w:val="20"/>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9" w:lineRule="exact"/>
        <w:rPr>
          <w:rFonts w:ascii="Arial" w:cs="Arial" w:eastAsia="Arial" w:hAnsi="Arial"/>
          <w:sz w:val="18"/>
          <w:szCs w:val="18"/>
          <w:color w:val="auto"/>
        </w:rPr>
      </w:pPr>
    </w:p>
    <w:p>
      <w:pPr>
        <w:ind w:left="660" w:hanging="328"/>
        <w:spacing w:after="0" w:line="31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Until the later of the fifth anniversaries of the expiration or earlier termination of our antibody collaboration agreements with Sanofi or our ZALTRAP collaboration with Sanofi, as amended, Sanofi will be bound by certain “standstill” provisions, which contractually prohibit Sanofi from acquiring more than certain specified percentages of our Class A Stock and Common Stock (taken together) or otherwise seeking to obtain control of our company.</w:t>
      </w:r>
    </w:p>
    <w:p>
      <w:pPr>
        <w:spacing w:after="0" w:line="22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11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addition, our Change in Control Severance Plan and the employment agreement with our Chief Executive Officer provide for severance benefits in the event of termination as a result of a change in control of our company. In addition, many of our stock options issued under our Second Amended and Restated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80" w:type="dxa"/>
            <w:vAlign w:val="bottom"/>
          </w:tcPr>
          <w:p>
            <w:pPr>
              <w:spacing w:after="0"/>
              <w:rPr>
                <w:sz w:val="20"/>
                <w:szCs w:val="20"/>
                <w:color w:val="auto"/>
              </w:rPr>
            </w:pPr>
          </w:p>
        </w:tc>
      </w:tr>
      <w:tr>
        <w:trPr>
          <w:trHeight w:val="338"/>
        </w:trPr>
        <w:tc>
          <w:tcPr>
            <w:tcW w:w="6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440" w:type="dxa"/>
            <w:vAlign w:val="bottom"/>
          </w:tcPr>
          <w:p>
            <w:pPr>
              <w:spacing w:after="0"/>
              <w:rPr>
                <w:sz w:val="17"/>
                <w:szCs w:val="17"/>
                <w:color w:val="auto"/>
              </w:rPr>
            </w:pPr>
          </w:p>
        </w:tc>
        <w:tc>
          <w:tcPr>
            <w:tcW w:w="8980" w:type="dxa"/>
            <w:vAlign w:val="bottom"/>
            <w:gridSpan w:val="4"/>
          </w:tcPr>
          <w:p>
            <w:pPr>
              <w:ind w:left="10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6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7980" w:type="dxa"/>
            <w:vAlign w:val="bottom"/>
          </w:tcPr>
          <w:p>
            <w:pPr>
              <w:spacing w:after="0"/>
              <w:rPr>
                <w:sz w:val="4"/>
                <w:szCs w:val="4"/>
                <w:color w:val="auto"/>
              </w:rPr>
            </w:pPr>
          </w:p>
        </w:tc>
      </w:tr>
      <w:tr>
        <w:trPr>
          <w:trHeight w:val="250"/>
        </w:trPr>
        <w:tc>
          <w:tcPr>
            <w:tcW w:w="62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5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Offer Letter for Robert E. Landry effective September 9, 2013.</w:t>
            </w:r>
          </w:p>
        </w:tc>
      </w:tr>
      <w:tr>
        <w:trPr>
          <w:trHeight w:val="243"/>
        </w:trPr>
        <w:tc>
          <w:tcPr>
            <w:tcW w:w="1180" w:type="dxa"/>
            <w:vAlign w:val="bottom"/>
            <w:gridSpan w:val="2"/>
          </w:tcPr>
          <w:p>
            <w:pPr>
              <w:ind w:left="6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gridSpan w:val="3"/>
          </w:tcPr>
          <w:p>
            <w:pPr>
              <w:ind w:left="200"/>
              <w:spacing w:after="0"/>
              <w:rPr>
                <w:sz w:val="20"/>
                <w:szCs w:val="20"/>
                <w:color w:val="auto"/>
              </w:rPr>
            </w:pPr>
            <w:r>
              <w:rPr>
                <w:rFonts w:ascii="Arial" w:cs="Arial" w:eastAsia="Arial" w:hAnsi="Arial"/>
                <w:sz w:val="18"/>
                <w:szCs w:val="18"/>
                <w:color w:val="auto"/>
                <w:w w:val="94"/>
              </w:rPr>
              <w:t>– Certification of Principal Executive Officer pursuant to Rule 13a-14(a) under the Securities Exchange Act of 1934.</w:t>
            </w:r>
          </w:p>
        </w:tc>
      </w:tr>
      <w:tr>
        <w:trPr>
          <w:trHeight w:val="27"/>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62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95"/>
              </w:rPr>
              <w:t>– Certification of Principal Financial Officer pursuant to Rule 13a-14(a) under the Securities Exchange Act of 1934.</w:t>
            </w:r>
          </w:p>
        </w:tc>
      </w:tr>
      <w:tr>
        <w:trPr>
          <w:trHeight w:val="243"/>
        </w:trPr>
        <w:tc>
          <w:tcPr>
            <w:tcW w:w="1180" w:type="dxa"/>
            <w:vAlign w:val="bottom"/>
            <w:gridSpan w:val="2"/>
          </w:tcPr>
          <w:p>
            <w:pPr>
              <w:ind w:left="6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gridSpan w:val="3"/>
          </w:tcPr>
          <w:p>
            <w:pPr>
              <w:ind w:left="200"/>
              <w:spacing w:after="0"/>
              <w:rPr>
                <w:sz w:val="20"/>
                <w:szCs w:val="20"/>
                <w:color w:val="auto"/>
              </w:rPr>
            </w:pPr>
            <w:r>
              <w:rPr>
                <w:rFonts w:ascii="Arial" w:cs="Arial" w:eastAsia="Arial" w:hAnsi="Arial"/>
                <w:sz w:val="18"/>
                <w:szCs w:val="18"/>
                <w:color w:val="auto"/>
                <w:w w:val="98"/>
              </w:rPr>
              <w:t>– Certification of Principal Executive Officer and Principal Financial Officer pursuant to 18 U.S.C. Section 1350.</w:t>
            </w:r>
          </w:p>
        </w:tc>
      </w:tr>
      <w:tr>
        <w:trPr>
          <w:trHeight w:val="27"/>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62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5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Interactive Data File</w:t>
            </w:r>
          </w:p>
        </w:tc>
      </w:tr>
      <w:tr>
        <w:trPr>
          <w:trHeight w:val="243"/>
        </w:trPr>
        <w:tc>
          <w:tcPr>
            <w:tcW w:w="62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8520" w:type="dxa"/>
            <w:vAlign w:val="bottom"/>
            <w:gridSpan w:val="2"/>
          </w:tcPr>
          <w:p>
            <w:pPr>
              <w:ind w:left="60"/>
              <w:spacing w:after="0"/>
              <w:rPr>
                <w:sz w:val="20"/>
                <w:szCs w:val="20"/>
                <w:color w:val="auto"/>
              </w:rPr>
            </w:pPr>
            <w:r>
              <w:rPr>
                <w:rFonts w:ascii="Arial" w:cs="Arial" w:eastAsia="Arial" w:hAnsi="Arial"/>
                <w:sz w:val="18"/>
                <w:szCs w:val="18"/>
                <w:color w:val="auto"/>
              </w:rPr>
              <w:t>XBRL Instance Document</w:t>
            </w:r>
          </w:p>
        </w:tc>
      </w:tr>
      <w:tr>
        <w:trPr>
          <w:trHeight w:val="27"/>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620" w:type="dxa"/>
            <w:vAlign w:val="bottom"/>
            <w:tcBorders>
              <w:right w:val="single" w:sz="8" w:color="CCEEFF"/>
            </w:tcBorders>
          </w:tcPr>
          <w:p>
            <w:pPr>
              <w:spacing w:after="0"/>
              <w:rPr>
                <w:sz w:val="21"/>
                <w:szCs w:val="21"/>
                <w:color w:val="auto"/>
              </w:rPr>
            </w:pPr>
          </w:p>
        </w:tc>
        <w:tc>
          <w:tcPr>
            <w:tcW w:w="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 XBRL Taxonomy Extension Schema</w:t>
            </w:r>
          </w:p>
        </w:tc>
      </w:tr>
      <w:tr>
        <w:trPr>
          <w:trHeight w:val="243"/>
        </w:trPr>
        <w:tc>
          <w:tcPr>
            <w:tcW w:w="62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gridSpan w:val="3"/>
          </w:tcPr>
          <w:p>
            <w:pPr>
              <w:ind w:left="200"/>
              <w:spacing w:after="0"/>
              <w:rPr>
                <w:sz w:val="20"/>
                <w:szCs w:val="20"/>
                <w:color w:val="auto"/>
              </w:rPr>
            </w:pPr>
            <w:r>
              <w:rPr>
                <w:rFonts w:ascii="Arial" w:cs="Arial" w:eastAsia="Arial" w:hAnsi="Arial"/>
                <w:sz w:val="18"/>
                <w:szCs w:val="18"/>
                <w:color w:val="auto"/>
              </w:rPr>
              <w:t>– XBRL Taxonomy Extension Calculation Linkbase</w:t>
            </w:r>
          </w:p>
        </w:tc>
      </w:tr>
      <w:tr>
        <w:trPr>
          <w:trHeight w:val="27"/>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980" w:type="dxa"/>
            <w:vAlign w:val="bottom"/>
          </w:tcPr>
          <w:p>
            <w:pPr>
              <w:spacing w:after="0"/>
              <w:rPr>
                <w:sz w:val="2"/>
                <w:szCs w:val="2"/>
                <w:color w:val="auto"/>
              </w:rPr>
            </w:pPr>
          </w:p>
        </w:tc>
      </w:tr>
      <w:tr>
        <w:trPr>
          <w:trHeight w:val="250"/>
        </w:trPr>
        <w:tc>
          <w:tcPr>
            <w:tcW w:w="620" w:type="dxa"/>
            <w:vAlign w:val="bottom"/>
            <w:tcBorders>
              <w:right w:val="single" w:sz="8" w:color="CCEEFF"/>
            </w:tcBorders>
          </w:tcPr>
          <w:p>
            <w:pPr>
              <w:spacing w:after="0"/>
              <w:rPr>
                <w:sz w:val="21"/>
                <w:szCs w:val="21"/>
                <w:color w:val="auto"/>
              </w:rPr>
            </w:pPr>
          </w:p>
        </w:tc>
        <w:tc>
          <w:tcPr>
            <w:tcW w:w="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 XBRL Taxonomy Extension Definition Document</w:t>
            </w:r>
          </w:p>
        </w:tc>
      </w:tr>
      <w:tr>
        <w:trPr>
          <w:trHeight w:val="243"/>
        </w:trPr>
        <w:tc>
          <w:tcPr>
            <w:tcW w:w="62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gridSpan w:val="3"/>
          </w:tcPr>
          <w:p>
            <w:pPr>
              <w:ind w:left="200"/>
              <w:spacing w:after="0"/>
              <w:rPr>
                <w:sz w:val="20"/>
                <w:szCs w:val="20"/>
                <w:color w:val="auto"/>
              </w:rPr>
            </w:pPr>
            <w:r>
              <w:rPr>
                <w:rFonts w:ascii="Arial" w:cs="Arial" w:eastAsia="Arial" w:hAnsi="Arial"/>
                <w:sz w:val="18"/>
                <w:szCs w:val="18"/>
                <w:color w:val="auto"/>
              </w:rPr>
              <w:t>– XBRL Taxonomy Extension Label Linkbase</w:t>
            </w:r>
          </w:p>
        </w:tc>
      </w:tr>
      <w:tr>
        <w:trPr>
          <w:trHeight w:val="27"/>
        </w:trPr>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980" w:type="dxa"/>
            <w:vAlign w:val="bottom"/>
          </w:tcPr>
          <w:p>
            <w:pPr>
              <w:spacing w:after="0"/>
              <w:rPr>
                <w:sz w:val="2"/>
                <w:szCs w:val="2"/>
                <w:color w:val="auto"/>
              </w:rPr>
            </w:pPr>
          </w:p>
        </w:tc>
      </w:tr>
      <w:tr>
        <w:trPr>
          <w:trHeight w:val="243"/>
        </w:trPr>
        <w:tc>
          <w:tcPr>
            <w:tcW w:w="620" w:type="dxa"/>
            <w:vAlign w:val="bottom"/>
            <w:tcBorders>
              <w:right w:val="single" w:sz="8" w:color="CCEEFF"/>
            </w:tcBorders>
          </w:tcPr>
          <w:p>
            <w:pPr>
              <w:spacing w:after="0"/>
              <w:rPr>
                <w:sz w:val="21"/>
                <w:szCs w:val="21"/>
                <w:color w:val="auto"/>
              </w:rPr>
            </w:pPr>
          </w:p>
        </w:tc>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 XBRL Taxonomy Extension Presentation Linkbase</w:t>
            </w:r>
          </w:p>
        </w:tc>
      </w:tr>
      <w:tr>
        <w:trPr>
          <w:trHeight w:val="27"/>
        </w:trPr>
        <w:tc>
          <w:tcPr>
            <w:tcW w:w="620" w:type="dxa"/>
            <w:vAlign w:val="bottom"/>
            <w:tcBorders>
              <w:right w:val="single" w:sz="8" w:color="CCEEFF"/>
            </w:tcBorders>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Incorporated by reference to Exhibit 10.1 to the Form 8-K for Regeneron Pharmaceuticals, Inc., filed September 12,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ind w:left="40"/>
        <w:spacing w:after="0"/>
        <w:tabs>
          <w:tab w:leader="none" w:pos="700" w:val="left"/>
          <w:tab w:leader="none" w:pos="4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Robert E. Landry</w:t>
      </w:r>
    </w:p>
    <w:p>
      <w:pPr>
        <w:spacing w:after="0" w:line="33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November 5, 2013</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November 5, 2013</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September 30, 2013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5, 2013</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5, 2013</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1."/>
      <w:numFmt w:val="decimal"/>
      <w:start w:val="3"/>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Ÿ"/>
      <w:numFmt w:val="bullet"/>
      <w:start w:val="1"/>
    </w:lvl>
  </w:abstractNum>
  <w:abstractNum w:abstractNumId="8">
    <w:nsid w:val="333AB105"/>
    <w:multiLevelType w:val="hybridMultilevel"/>
    <w:lvl w:ilvl="0">
      <w:lvlJc w:val="left"/>
      <w:lvlText w:val="Ÿ"/>
      <w:numFmt w:val="bullet"/>
      <w:start w:val="1"/>
    </w:lvl>
  </w:abstractNum>
  <w:abstractNum w:abstractNumId="9">
    <w:nsid w:val="721DA317"/>
    <w:multiLevelType w:val="hybridMultilevel"/>
    <w:lvl w:ilvl="0">
      <w:lvlJc w:val="left"/>
      <w:lvlText w:val="Ÿ"/>
      <w:numFmt w:val="bullet"/>
      <w:start w:val="1"/>
    </w:lvl>
  </w:abstractNum>
  <w:abstractNum w:abstractNumId="10">
    <w:nsid w:val="2443A858"/>
    <w:multiLevelType w:val="hybridMultilevel"/>
    <w:lvl w:ilvl="0">
      <w:lvlJc w:val="left"/>
      <w:lvlText w:val="Ÿ"/>
      <w:numFmt w:val="bullet"/>
      <w:start w:val="1"/>
    </w:lvl>
  </w:abstractNum>
  <w:abstractNum w:abstractNumId="11">
    <w:nsid w:val="2D1D5AE9"/>
    <w:multiLevelType w:val="hybridMultilevel"/>
    <w:lvl w:ilvl="0">
      <w:lvlJc w:val="left"/>
      <w:lvlText w:val="Ÿ"/>
      <w:numFmt w:val="bullet"/>
      <w:start w:val="1"/>
    </w:lvl>
  </w:abstractNum>
  <w:abstractNum w:abstractNumId="12">
    <w:nsid w:val="6763845E"/>
    <w:multiLevelType w:val="hybridMultilevel"/>
    <w:lvl w:ilvl="0">
      <w:lvlJc w:val="left"/>
      <w:lvlText w:val="Ÿ"/>
      <w:numFmt w:val="bullet"/>
      <w:start w:val="1"/>
    </w:lvl>
  </w:abstractNum>
  <w:abstractNum w:abstractNumId="13">
    <w:nsid w:val="75A2A8D4"/>
    <w:multiLevelType w:val="hybridMultilevel"/>
    <w:lvl w:ilvl="0">
      <w:lvlJc w:val="left"/>
      <w:lvlText w:val="Ÿ"/>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lowerRoman"/>
      <w:start w:val="3"/>
    </w:lvl>
  </w:abstractNum>
  <w:abstractNum w:abstractNumId="21">
    <w:nsid w:val="2CA88611"/>
    <w:multiLevelType w:val="hybridMultilevel"/>
    <w:lvl w:ilvl="0">
      <w:lvlJc w:val="left"/>
      <w:lvlText w:val="(%1)"/>
      <w:numFmt w:val="lowerRoman"/>
      <w:start w:val="3"/>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2019-12-06T05:24:47Z</dcterms:created>
  <dcterms:modified xsi:type="dcterms:W3CDTF">2019-12-06T05:24:47Z</dcterms:modified>
</cp:coreProperties>
</file>