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75886F10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person:(1) has a previous statement on file reporting beneficial ownership of more than five percent of the class of securities described in Item 1; and (2) has filed no amendment subsequent thereto reporting beneficial ownership of five percent or less of such class.)(See Rule 13d-7).</w:t>
      </w:r>
    </w:p>
    <w:p>
      <w:pPr>
        <w:spacing w:after="0" w:line="210"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2512"/>
              <w:spacing w:after="0"/>
              <w:rPr>
                <w:sz w:val="20"/>
                <w:szCs w:val="20"/>
                <w:color w:val="auto"/>
              </w:rPr>
            </w:pPr>
            <w:r>
              <w:rPr>
                <w:rFonts w:ascii="Courier New" w:cs="Courier New" w:eastAsia="Courier New" w:hAnsi="Courier New"/>
                <w:sz w:val="18"/>
                <w:szCs w:val="18"/>
                <w:color w:val="auto"/>
              </w:rPr>
              <w:t>2</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30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CUSIP No. 75886F10</w:t>
            </w:r>
          </w:p>
        </w:tc>
        <w:tc>
          <w:tcPr>
            <w:tcW w:w="2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Page   2   of   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1480" w:right="1779"/>
        <w:spacing w:after="0" w:line="268" w:lineRule="auto"/>
        <w:rPr>
          <w:sz w:val="20"/>
          <w:szCs w:val="20"/>
          <w:color w:val="auto"/>
        </w:rPr>
      </w:pPr>
      <w:r>
        <w:rPr>
          <w:rFonts w:ascii="Courier New" w:cs="Courier New" w:eastAsia="Courier New" w:hAnsi="Courier New"/>
          <w:sz w:val="16"/>
          <w:szCs w:val="16"/>
          <w:color w:val="auto"/>
        </w:rPr>
        <w:t>Chancellor LGT Asset Management, Inc. (94-2259541) and Chancellor LGT Trust Company (52-1576922), as Investment Advisers for various fiduciary accounts and LGT Asset Management, Inc. (94-303766) as the holding company for Chancellor LGT Asset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2</w:t>
            </w:r>
          </w:p>
        </w:tc>
        <w:tc>
          <w:tcPr>
            <w:tcW w:w="7000" w:type="dxa"/>
            <w:vAlign w:val="bottom"/>
          </w:tcPr>
          <w:p>
            <w:pPr>
              <w:ind w:left="6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5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000" w:type="dxa"/>
            <w:vAlign w:val="bottom"/>
          </w:tcPr>
          <w:p>
            <w:pPr>
              <w:ind w:left="6580"/>
              <w:spacing w:after="0" w:line="203" w:lineRule="exact"/>
              <w:rPr>
                <w:sz w:val="20"/>
                <w:szCs w:val="20"/>
                <w:color w:val="auto"/>
              </w:rPr>
            </w:pPr>
            <w:r>
              <w:rPr>
                <w:rFonts w:ascii="Courier New" w:cs="Courier New" w:eastAsia="Courier New" w:hAnsi="Courier New"/>
                <w:sz w:val="18"/>
                <w:szCs w:val="18"/>
                <w:color w:val="auto"/>
              </w:rPr>
              <w:t>(a)</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800" w:type="dxa"/>
            <w:vAlign w:val="bottom"/>
          </w:tcPr>
          <w:p>
            <w:pPr>
              <w:spacing w:after="0"/>
              <w:rPr>
                <w:sz w:val="17"/>
                <w:szCs w:val="17"/>
                <w:color w:val="auto"/>
              </w:rPr>
            </w:pPr>
          </w:p>
        </w:tc>
        <w:tc>
          <w:tcPr>
            <w:tcW w:w="7000" w:type="dxa"/>
            <w:vAlign w:val="bottom"/>
          </w:tcPr>
          <w:p>
            <w:pPr>
              <w:ind w:left="6580"/>
              <w:spacing w:after="0" w:line="203" w:lineRule="exact"/>
              <w:rPr>
                <w:sz w:val="20"/>
                <w:szCs w:val="20"/>
                <w:color w:val="auto"/>
              </w:rPr>
            </w:pPr>
            <w:r>
              <w:rPr>
                <w:rFonts w:ascii="Courier New" w:cs="Courier New" w:eastAsia="Courier New" w:hAnsi="Courier New"/>
                <w:sz w:val="18"/>
                <w:szCs w:val="18"/>
                <w:color w:val="auto"/>
              </w:rPr>
              <w:t>(b)</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USE ONLY</w:t>
      </w:r>
    </w:p>
    <w:p>
      <w:pPr>
        <w:spacing w:after="0" w:line="216" w:lineRule="exact"/>
        <w:rPr>
          <w:sz w:val="20"/>
          <w:szCs w:val="20"/>
          <w:color w:val="auto"/>
        </w:rPr>
      </w:pPr>
    </w:p>
    <w:p>
      <w:pPr>
        <w:sectPr>
          <w:pgSz w:w="11900" w:h="16838" w:orient="portrait"/>
          <w:cols w:equalWidth="0" w:num="2">
            <w:col w:w="1080" w:space="720"/>
            <w:col w:w="841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ind w:left="1480" w:hanging="1472"/>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1900" w:right="3039"/>
        <w:spacing w:after="0" w:line="236" w:lineRule="auto"/>
        <w:rPr>
          <w:sz w:val="20"/>
          <w:szCs w:val="20"/>
          <w:color w:val="auto"/>
        </w:rPr>
      </w:pPr>
      <w:r>
        <w:rPr>
          <w:rFonts w:ascii="Courier New" w:cs="Courier New" w:eastAsia="Courier New" w:hAnsi="Courier New"/>
          <w:sz w:val="18"/>
          <w:szCs w:val="18"/>
          <w:color w:val="auto"/>
        </w:rPr>
        <w:t>Chancellor LGT Asset Management, Inc. - California Chancellor LGT Trust Company - New York LGT Asset Management, Inc. -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spacing w:after="0"/>
              <w:rPr>
                <w:sz w:val="17"/>
                <w:szCs w:val="17"/>
                <w:color w:val="auto"/>
              </w:rPr>
            </w:pP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2,386,200 shares</w:t>
            </w:r>
          </w:p>
        </w:tc>
      </w:tr>
    </w:tbl>
    <w:p>
      <w:pPr>
        <w:ind w:left="320"/>
        <w:spacing w:after="0" w:line="238" w:lineRule="auto"/>
        <w:rPr>
          <w:sz w:val="20"/>
          <w:szCs w:val="20"/>
          <w:color w:val="auto"/>
        </w:rPr>
      </w:pPr>
      <w:r>
        <w:rPr>
          <w:rFonts w:ascii="Courier New" w:cs="Courier New" w:eastAsia="Courier New" w:hAnsi="Courier New"/>
          <w:sz w:val="18"/>
          <w:szCs w:val="18"/>
          <w:color w:val="auto"/>
        </w:rPr>
        <w:t>OWNED BY</w:t>
      </w:r>
    </w:p>
    <w:p>
      <w:pPr>
        <w:ind w:left="540"/>
        <w:spacing w:after="0"/>
        <w:rPr>
          <w:sz w:val="20"/>
          <w:szCs w:val="20"/>
          <w:color w:val="auto"/>
        </w:rPr>
      </w:pPr>
      <w:r>
        <w:rPr>
          <w:rFonts w:ascii="Courier New" w:cs="Courier New" w:eastAsia="Courier New" w:hAnsi="Courier New"/>
          <w:sz w:val="18"/>
          <w:szCs w:val="18"/>
          <w:color w:val="auto"/>
        </w:rPr>
        <w:t>EACH</w:t>
      </w:r>
    </w:p>
    <w:p>
      <w:pPr>
        <w:ind w:left="220"/>
        <w:spacing w:after="0" w:line="237" w:lineRule="auto"/>
        <w:rPr>
          <w:sz w:val="20"/>
          <w:szCs w:val="20"/>
          <w:color w:val="auto"/>
        </w:rPr>
      </w:pPr>
      <w:r>
        <w:rPr>
          <w:rFonts w:ascii="Courier New" w:cs="Courier New" w:eastAsia="Courier New" w:hAnsi="Courier New"/>
          <w:sz w:val="18"/>
          <w:szCs w:val="18"/>
          <w:color w:val="auto"/>
        </w:rPr>
        <w:t>REPORTING</w:t>
      </w: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w:t>
      </w:r>
    </w:p>
    <w:p>
      <w:pPr>
        <w:ind w:left="2540" w:hanging="741"/>
        <w:spacing w:after="0"/>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ind w:left="3900" w:hanging="205"/>
        <w:spacing w:after="0"/>
        <w:tabs>
          <w:tab w:leader="none" w:pos="3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2,386,200 shares</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540" w:hanging="741"/>
        <w:spacing w:after="0"/>
        <w:tabs>
          <w:tab w:leader="none" w:pos="2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ind w:left="3900" w:hanging="205"/>
        <w:spacing w:after="0"/>
        <w:tabs>
          <w:tab w:leader="none" w:pos="390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hanging="1472"/>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2,386,200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IF THE AGGREGATE AMOUNT IN ROW (9) EXCLUDES CERTAIN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8.91 %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HC, BK, 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2512"/>
              <w:spacing w:after="0"/>
              <w:rPr>
                <w:sz w:val="20"/>
                <w:szCs w:val="20"/>
                <w:color w:val="auto"/>
              </w:rPr>
            </w:pPr>
            <w:r>
              <w:rPr>
                <w:rFonts w:ascii="Courier New" w:cs="Courier New" w:eastAsia="Courier New" w:hAnsi="Courier New"/>
                <w:sz w:val="18"/>
                <w:szCs w:val="18"/>
                <w:color w:val="auto"/>
              </w:rPr>
              <w:t>3</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30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CUSIP No. 75886F10</w:t>
            </w:r>
          </w:p>
        </w:tc>
        <w:tc>
          <w:tcPr>
            <w:tcW w:w="2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Page   3   of   5</w:t>
            </w:r>
          </w:p>
        </w:tc>
      </w:tr>
    </w:tbl>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PHARMACEUTICAL (the "Company")</w:t>
      </w:r>
    </w:p>
    <w:p>
      <w:pPr>
        <w:spacing w:after="0" w:line="206" w:lineRule="exact"/>
        <w:rPr>
          <w:rFonts w:ascii="Courier New" w:cs="Courier New" w:eastAsia="Courier New" w:hAnsi="Courier New"/>
          <w:sz w:val="18"/>
          <w:szCs w:val="18"/>
          <w:color w:val="auto"/>
        </w:rPr>
      </w:pPr>
    </w:p>
    <w:p>
      <w:pPr>
        <w:ind w:left="2740" w:right="4739" w:hanging="1784"/>
        <w:spacing w:after="0" w:line="235" w:lineRule="auto"/>
        <w:tabs>
          <w:tab w:leader="none" w:pos="17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777 OLD SAW MILL RIVER RD. TARRYTOWN, NY 10591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firstLine="956"/>
        <w:spacing w:after="0" w:line="238"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is being filed by (i) Chancellor LGT Asset Management, Inc., a California Corporation, whose principal business is providing investment advisory services to registered investment companies and institutional investors, (ii) its wholly owned subsidiary, Chancellor LGT Trust Company, a New York State chartered trust company whose principal business is providing institutional investment management services and (iii) LGT Asset Management, Inc., the holding company for Chancellor LGT Asset Management, Inc. Chancellor LGT Asset Management, Inc. is a wholly owned subsidiary of LGT Asset Management, Inc. LGT Asset Management, Inc. is an indirect wholly owned subsidiary of Liechtenstein Global Trust, AG. Liechtenstein Global Trust, AG which has numerous worldwide affiliates is controlled by The Prince of Liechtenstein Foundation, a parent organization for the various business enterprises of the Princely Family of Liechtenstein.</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principal place of business of Chancellor LGT Asset Management, Inc. and Chancellor LGT Trust Company is: 1166 Avenue of the Americas, New York, New York 10036. The address of the principal place of the holding company, LGT Asset Management, Inc. is 50 California Street, San Francisco, CA 94111.</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Chancellor LGT Asset Management, Inc. is a California Corporation. Chancellor LGT Trust Company is a New York State chartered trust company. LGT Asset Management, Inc. is a California Corporation.</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75886F10</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96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Group, in accordance with Rule 13d-1(b)(i)(ii)(H).</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2512"/>
              <w:spacing w:after="0"/>
              <w:rPr>
                <w:sz w:val="20"/>
                <w:szCs w:val="20"/>
                <w:color w:val="auto"/>
              </w:rPr>
            </w:pPr>
            <w:r>
              <w:rPr>
                <w:rFonts w:ascii="Courier New" w:cs="Courier New" w:eastAsia="Courier New" w:hAnsi="Courier New"/>
                <w:sz w:val="18"/>
                <w:szCs w:val="18"/>
                <w:color w:val="auto"/>
              </w:rPr>
              <w:t>4</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30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CUSIP No. 75886F10</w:t>
            </w:r>
          </w:p>
        </w:tc>
        <w:tc>
          <w:tcPr>
            <w:tcW w:w="2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Page   4   of   5</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month ended DECEMBER 31, 1997, the aggregate number of shares of the Company's common stock beneficially owned by Chancellor LGT Asset Management, Inc. and Chancellor LGT Trust Company, as investment advisers for various fiduciary accounts and LGT Asset Management, Inc., as the holding company is 2,386,200 shares.</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8.91 based upon 26,795,000 shares outstanding.</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Chancellor LGT Asset Management, Inc. and Chancellor LGT Trust Company, as investment advisers for various fiduciary accounts, have sole power to vote or to direct to vote, and sole power to dispose of or to direct the disposition of, all of the shares reported in this statement. Chancellor LGT Asset Management, Inc. is a wholly owned subsidiary of LGT Asset Management, Inc. LGT Asset Management, Inc. is an indirect wholly owned subsidiary of Liechtenstein Global Trust, AG. Liechtenstein Global Trust, AG which has numerous worldwide affiliates is controlled by The Prince of Liechtenstein Foundation, a parent organization for the various business enterprises of the Princely Family of Liechtenstein.</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Chancellor LGT Asset Management, Inc. and Chancellor LGT Trust Company are investment advisers for various fiduciary accounts which are entitled to receipt of dividends and to proceeds of the sale of the shares reported in this Statement. The ownership interest of any such account does not relate to more than five percent of the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Securities Being Reported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a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2512"/>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30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CUSIP No. 75886F10</w:t>
            </w:r>
          </w:p>
        </w:tc>
        <w:tc>
          <w:tcPr>
            <w:tcW w:w="2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6"/>
              </w:rPr>
              <w:t>Page   5   of   5</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Chancellor LGT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as Investment Adviser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Roberta Moore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Roberta Moore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Chancellor LGT Trust Company</w:t>
      </w:r>
    </w:p>
    <w:p>
      <w:pPr>
        <w:ind w:left="3800"/>
        <w:spacing w:after="0" w:line="238" w:lineRule="auto"/>
        <w:rPr>
          <w:sz w:val="20"/>
          <w:szCs w:val="20"/>
          <w:color w:val="auto"/>
        </w:rPr>
      </w:pPr>
      <w:r>
        <w:rPr>
          <w:rFonts w:ascii="Courier New" w:cs="Courier New" w:eastAsia="Courier New" w:hAnsi="Courier New"/>
          <w:sz w:val="18"/>
          <w:szCs w:val="18"/>
          <w:color w:val="auto"/>
        </w:rPr>
        <w:t>as Investment Adviser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Roberta Moore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Roberta Moore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LGT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as Holding Company</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Roberta Moore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Roberta Moore</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ind w:left="3800"/>
        <w:spacing w:after="0" w:line="238" w:lineRule="auto"/>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2000" w:right="3479" w:hanging="1044"/>
        <w:spacing w:after="0" w:line="470" w:lineRule="auto"/>
        <w:tabs>
          <w:tab w:leader="none" w:pos="15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3(a)(b) of the Act Chancellor LGT Trust Company</w:t>
      </w:r>
    </w:p>
    <w:p>
      <w:pPr>
        <w:spacing w:after="0" w:line="11" w:lineRule="exact"/>
        <w:rPr>
          <w:rFonts w:ascii="Courier New" w:cs="Courier New" w:eastAsia="Courier New" w:hAnsi="Courier New"/>
          <w:sz w:val="18"/>
          <w:szCs w:val="18"/>
          <w:color w:val="auto"/>
        </w:rPr>
      </w:pPr>
    </w:p>
    <w:p>
      <w:pPr>
        <w:ind w:right="2519" w:firstLine="956"/>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Chancellor LGT Asset Management,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6"/>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8"/>
      <w:numFmt w:val="bullet"/>
      <w:start w:val="1"/>
    </w:lvl>
    <w:lvl w:ilvl="2">
      <w:lvlJc w:val="left"/>
      <w:lvlText w:val="-"/>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2019-12-20T03:00:49Z</dcterms:created>
  <dcterms:modified xsi:type="dcterms:W3CDTF">2019-12-20T03:00:49Z</dcterms:modified>
</cp:coreProperties>
</file>