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jc w:val="center"/>
        <w:ind w:right="-119"/>
        <w:spacing w:after="0"/>
        <w:rPr>
          <w:sz w:val="20"/>
          <w:szCs w:val="20"/>
          <w:color w:val="auto"/>
        </w:rPr>
      </w:pPr>
      <w:r>
        <w:rPr>
          <w:rFonts w:ascii="Arial" w:cs="Arial" w:eastAsia="Arial" w:hAnsi="Arial"/>
          <w:sz w:val="25"/>
          <w:szCs w:val="25"/>
          <w:color w:val="auto"/>
        </w:rPr>
        <w:t>UNITED STATES</w:t>
      </w:r>
    </w:p>
    <w:p>
      <w:pPr>
        <w:spacing w:after="0" w:line="32" w:lineRule="exact"/>
        <w:rPr>
          <w:sz w:val="20"/>
          <w:szCs w:val="20"/>
          <w:color w:val="auto"/>
        </w:rPr>
      </w:pPr>
    </w:p>
    <w:p>
      <w:pPr>
        <w:jc w:val="center"/>
        <w:ind w:right="-119"/>
        <w:spacing w:after="0"/>
        <w:rPr>
          <w:sz w:val="20"/>
          <w:szCs w:val="20"/>
          <w:color w:val="auto"/>
        </w:rPr>
      </w:pPr>
      <w:r>
        <w:rPr>
          <w:rFonts w:ascii="Arial" w:cs="Arial" w:eastAsia="Arial" w:hAnsi="Arial"/>
          <w:sz w:val="25"/>
          <w:szCs w:val="25"/>
          <w:color w:val="auto"/>
        </w:rPr>
        <w:t>SECURITIES AND EXCHANGE COMMISSION</w:t>
      </w:r>
    </w:p>
    <w:p>
      <w:pPr>
        <w:spacing w:after="0" w:line="240"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Washington, D.C. 20549</w:t>
      </w:r>
    </w:p>
    <w:p>
      <w:pPr>
        <w:spacing w:after="0" w:line="295" w:lineRule="exact"/>
        <w:rPr>
          <w:sz w:val="20"/>
          <w:szCs w:val="20"/>
          <w:color w:val="auto"/>
        </w:rPr>
      </w:pPr>
    </w:p>
    <w:p>
      <w:pPr>
        <w:jc w:val="center"/>
        <w:ind w:right="-119"/>
        <w:spacing w:after="0"/>
        <w:rPr>
          <w:sz w:val="20"/>
          <w:szCs w:val="20"/>
          <w:color w:val="auto"/>
        </w:rPr>
      </w:pPr>
      <w:r>
        <w:rPr>
          <w:rFonts w:ascii="Arial" w:cs="Arial" w:eastAsia="Arial" w:hAnsi="Arial"/>
          <w:sz w:val="32"/>
          <w:szCs w:val="32"/>
          <w:b w:val="1"/>
          <w:bCs w:val="1"/>
          <w:color w:val="auto"/>
        </w:rPr>
        <w:t>Form 10-Q</w:t>
      </w:r>
    </w:p>
    <w:p>
      <w:pPr>
        <w:spacing w:after="0" w:line="200" w:lineRule="exact"/>
        <w:rPr>
          <w:sz w:val="20"/>
          <w:szCs w:val="20"/>
          <w:color w:val="auto"/>
        </w:rPr>
      </w:pPr>
    </w:p>
    <w:p>
      <w:pPr>
        <w:spacing w:after="0" w:line="364" w:lineRule="exact"/>
        <w:rPr>
          <w:sz w:val="20"/>
          <w:szCs w:val="20"/>
          <w:color w:val="auto"/>
        </w:rPr>
      </w:pPr>
    </w:p>
    <w:p>
      <w:pPr>
        <w:ind w:left="820"/>
        <w:spacing w:after="0"/>
        <w:rPr>
          <w:sz w:val="20"/>
          <w:szCs w:val="20"/>
          <w:color w:val="auto"/>
        </w:rPr>
      </w:pPr>
      <w:r>
        <w:rPr>
          <w:rFonts w:ascii="Arial" w:cs="Arial" w:eastAsia="Arial" w:hAnsi="Arial"/>
          <w:sz w:val="18"/>
          <w:szCs w:val="18"/>
          <w:color w:val="auto"/>
        </w:rPr>
        <w:t>(Mark One)</w:t>
      </w:r>
    </w:p>
    <w:p>
      <w:pPr>
        <w:spacing w:after="0" w:line="20" w:lineRule="exact"/>
        <w:rPr>
          <w:sz w:val="20"/>
          <w:szCs w:val="20"/>
          <w:color w:val="auto"/>
        </w:rPr>
      </w:pPr>
    </w:p>
    <w:p>
      <w:pPr>
        <w:ind w:left="820" w:hanging="812"/>
        <w:spacing w:after="0"/>
        <w:tabs>
          <w:tab w:leader="none" w:pos="820" w:val="left"/>
        </w:tabs>
        <w:numPr>
          <w:ilvl w:val="0"/>
          <w:numId w:val="1"/>
        </w:numPr>
        <w:rPr>
          <w:rFonts w:ascii="Arial" w:cs="Arial" w:eastAsia="Arial" w:hAnsi="Arial"/>
          <w:sz w:val="19"/>
          <w:szCs w:val="19"/>
          <w:color w:val="auto"/>
        </w:rPr>
      </w:pPr>
      <w:r>
        <w:rPr>
          <w:rFonts w:ascii="Arial" w:cs="Arial" w:eastAsia="Arial" w:hAnsi="Arial"/>
          <w:sz w:val="19"/>
          <w:szCs w:val="19"/>
          <w:color w:val="auto"/>
        </w:rPr>
        <w:t>QUARTERLY REPORT PURSUANT TO SECTION 13 OR 15(d) OF THE SECURITIES EXCHANGE ACT OF 1934</w:t>
      </w:r>
    </w:p>
    <w:p>
      <w:pPr>
        <w:spacing w:after="0" w:line="230" w:lineRule="exact"/>
        <w:rPr>
          <w:sz w:val="20"/>
          <w:szCs w:val="20"/>
          <w:color w:val="auto"/>
        </w:rPr>
      </w:pPr>
    </w:p>
    <w:p>
      <w:pPr>
        <w:ind w:left="820"/>
        <w:spacing w:after="0"/>
        <w:rPr>
          <w:sz w:val="20"/>
          <w:szCs w:val="20"/>
          <w:color w:val="auto"/>
        </w:rPr>
      </w:pPr>
      <w:r>
        <w:rPr>
          <w:rFonts w:ascii="Arial" w:cs="Arial" w:eastAsia="Arial" w:hAnsi="Arial"/>
          <w:sz w:val="18"/>
          <w:szCs w:val="18"/>
          <w:color w:val="auto"/>
        </w:rPr>
        <w:t>For the quarterly period ended March 31, 2004</w:t>
      </w:r>
    </w:p>
    <w:p>
      <w:pPr>
        <w:spacing w:after="0" w:line="225"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OR</w:t>
      </w:r>
    </w:p>
    <w:p>
      <w:pPr>
        <w:spacing w:after="0" w:line="218" w:lineRule="exact"/>
        <w:rPr>
          <w:sz w:val="20"/>
          <w:szCs w:val="20"/>
          <w:color w:val="auto"/>
        </w:rPr>
      </w:pPr>
    </w:p>
    <w:p>
      <w:pPr>
        <w:spacing w:after="0"/>
        <w:tabs>
          <w:tab w:leader="none" w:pos="800" w:val="left"/>
        </w:tabs>
        <w:rPr>
          <w:sz w:val="20"/>
          <w:szCs w:val="20"/>
          <w:color w:val="auto"/>
        </w:rPr>
      </w:pPr>
      <w:r>
        <w:rPr>
          <w:rFonts w:ascii="Arial" w:cs="Arial" w:eastAsia="Arial" w:hAnsi="Arial"/>
          <w:sz w:val="22"/>
          <w:szCs w:val="22"/>
          <w:color w:val="auto"/>
        </w:rPr>
        <w:t>(  )</w:t>
      </w:r>
      <w:r>
        <w:rPr>
          <w:sz w:val="20"/>
          <w:szCs w:val="20"/>
          <w:color w:val="auto"/>
        </w:rPr>
        <w:tab/>
      </w:r>
      <w:r>
        <w:rPr>
          <w:rFonts w:ascii="Arial" w:cs="Arial" w:eastAsia="Arial" w:hAnsi="Arial"/>
          <w:sz w:val="19"/>
          <w:szCs w:val="19"/>
          <w:color w:val="auto"/>
        </w:rPr>
        <w:t>TRANSITION REPORT PURSUANT TO SECTION 13 OR 15 (d) OF THE SECURITIES EXCHANGE ACT OF 1934</w:t>
      </w:r>
    </w:p>
    <w:p>
      <w:pPr>
        <w:spacing w:after="0" w:line="213" w:lineRule="exact"/>
        <w:rPr>
          <w:sz w:val="20"/>
          <w:szCs w:val="20"/>
          <w:color w:val="auto"/>
        </w:rPr>
      </w:pPr>
    </w:p>
    <w:p>
      <w:pPr>
        <w:ind w:left="820"/>
        <w:spacing w:after="0"/>
        <w:tabs>
          <w:tab w:leader="none" w:pos="3740" w:val="left"/>
        </w:tabs>
        <w:rPr>
          <w:sz w:val="20"/>
          <w:szCs w:val="20"/>
          <w:color w:val="auto"/>
        </w:rPr>
      </w:pPr>
      <w:r>
        <w:rPr>
          <w:rFonts w:ascii="Arial" w:cs="Arial" w:eastAsia="Arial" w:hAnsi="Arial"/>
          <w:sz w:val="18"/>
          <w:szCs w:val="18"/>
          <w:color w:val="auto"/>
        </w:rPr>
        <w:t>For the transition period from</w:t>
      </w:r>
      <w:r>
        <w:rPr>
          <w:sz w:val="20"/>
          <w:szCs w:val="20"/>
          <w:color w:val="auto"/>
        </w:rPr>
        <w:tab/>
      </w:r>
      <w:r>
        <w:rPr>
          <w:rFonts w:ascii="Arial" w:cs="Arial" w:eastAsia="Arial" w:hAnsi="Arial"/>
          <w:sz w:val="16"/>
          <w:szCs w:val="16"/>
          <w:color w:val="auto"/>
        </w:rPr>
        <w:t>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1906905</wp:posOffset>
            </wp:positionH>
            <wp:positionV relativeFrom="paragraph">
              <wp:posOffset>-10160</wp:posOffset>
            </wp:positionV>
            <wp:extent cx="10033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03300" cy="8890"/>
                    </a:xfrm>
                    <a:prstGeom prst="rect">
                      <a:avLst/>
                    </a:prstGeom>
                    <a:noFill/>
                  </pic:spPr>
                </pic:pic>
              </a:graphicData>
            </a:graphic>
          </wp:anchor>
        </w:drawing>
      </w:r>
    </w:p>
    <w:p>
      <w:pPr>
        <w:spacing w:after="0" w:line="205" w:lineRule="exact"/>
        <w:rPr>
          <w:sz w:val="20"/>
          <w:szCs w:val="20"/>
          <w:color w:val="auto"/>
        </w:rPr>
      </w:pPr>
    </w:p>
    <w:p>
      <w:pPr>
        <w:ind w:left="820"/>
        <w:spacing w:after="0"/>
        <w:rPr>
          <w:sz w:val="20"/>
          <w:szCs w:val="20"/>
          <w:color w:val="auto"/>
        </w:rPr>
      </w:pPr>
      <w:r>
        <w:rPr>
          <w:rFonts w:ascii="Arial" w:cs="Arial" w:eastAsia="Arial" w:hAnsi="Arial"/>
          <w:sz w:val="18"/>
          <w:szCs w:val="18"/>
          <w:color w:val="auto"/>
        </w:rPr>
        <w:t>Commission File Number 0-19034</w:t>
      </w:r>
    </w:p>
    <w:p>
      <w:pPr>
        <w:spacing w:after="0" w:line="200" w:lineRule="exact"/>
        <w:rPr>
          <w:sz w:val="20"/>
          <w:szCs w:val="20"/>
          <w:color w:val="auto"/>
        </w:rPr>
      </w:pPr>
    </w:p>
    <w:p>
      <w:pPr>
        <w:spacing w:after="0" w:line="224" w:lineRule="exact"/>
        <w:rPr>
          <w:sz w:val="20"/>
          <w:szCs w:val="20"/>
          <w:color w:val="auto"/>
        </w:rPr>
      </w:pPr>
    </w:p>
    <w:p>
      <w:pPr>
        <w:jc w:val="center"/>
        <w:ind w:right="-119"/>
        <w:spacing w:after="0"/>
        <w:rPr>
          <w:sz w:val="20"/>
          <w:szCs w:val="20"/>
          <w:color w:val="auto"/>
        </w:rPr>
      </w:pPr>
      <w:r>
        <w:rPr>
          <w:rFonts w:ascii="Arial" w:cs="Arial" w:eastAsia="Arial" w:hAnsi="Arial"/>
          <w:sz w:val="43"/>
          <w:szCs w:val="43"/>
          <w:color w:val="auto"/>
        </w:rPr>
        <w:t>REGENERON PHARMACEUTICALS,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1085850</wp:posOffset>
            </wp:positionH>
            <wp:positionV relativeFrom="paragraph">
              <wp:posOffset>297815</wp:posOffset>
            </wp:positionV>
            <wp:extent cx="508571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085715" cy="8890"/>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tbl>
      <w:tblPr>
        <w:tblLayout w:type="fixed"/>
        <w:tblInd w:w="1640" w:type="dxa"/>
        <w:tblCellMar>
          <w:top w:w="0" w:type="dxa"/>
          <w:left w:w="0" w:type="dxa"/>
          <w:bottom w:w="0" w:type="dxa"/>
          <w:right w:w="0" w:type="dxa"/>
        </w:tblCellMar>
      </w:tblPr>
      <w:tr>
        <w:trPr>
          <w:trHeight w:val="230"/>
        </w:trPr>
        <w:tc>
          <w:tcPr>
            <w:tcW w:w="3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200" w:type="dxa"/>
            <w:vAlign w:val="bottom"/>
            <w:gridSpan w:val="3"/>
          </w:tcPr>
          <w:p>
            <w:pPr>
              <w:ind w:left="40"/>
              <w:spacing w:after="0"/>
              <w:rPr>
                <w:sz w:val="20"/>
                <w:szCs w:val="20"/>
                <w:color w:val="auto"/>
              </w:rPr>
            </w:pPr>
            <w:r>
              <w:rPr>
                <w:rFonts w:ascii="Arial" w:cs="Arial" w:eastAsia="Arial" w:hAnsi="Arial"/>
                <w:sz w:val="18"/>
                <w:szCs w:val="18"/>
                <w:color w:val="auto"/>
              </w:rPr>
              <w:t>(Exact name of registrant as specified in its charter)</w:t>
            </w:r>
          </w:p>
        </w:tc>
      </w:tr>
      <w:tr>
        <w:trPr>
          <w:trHeight w:val="432"/>
        </w:trPr>
        <w:tc>
          <w:tcPr>
            <w:tcW w:w="380" w:type="dxa"/>
            <w:vAlign w:val="bottom"/>
          </w:tcPr>
          <w:p>
            <w:pPr>
              <w:spacing w:after="0"/>
              <w:rPr>
                <w:sz w:val="24"/>
                <w:szCs w:val="24"/>
                <w:color w:val="auto"/>
              </w:rPr>
            </w:pPr>
          </w:p>
        </w:tc>
        <w:tc>
          <w:tcPr>
            <w:tcW w:w="1800" w:type="dxa"/>
            <w:vAlign w:val="bottom"/>
            <w:gridSpan w:val="2"/>
          </w:tcPr>
          <w:p>
            <w:pPr>
              <w:jc w:val="center"/>
              <w:ind w:right="420"/>
              <w:spacing w:after="0"/>
              <w:rPr>
                <w:sz w:val="20"/>
                <w:szCs w:val="20"/>
                <w:color w:val="auto"/>
              </w:rPr>
            </w:pPr>
            <w:r>
              <w:rPr>
                <w:rFonts w:ascii="Arial" w:cs="Arial" w:eastAsia="Arial" w:hAnsi="Arial"/>
                <w:sz w:val="18"/>
                <w:szCs w:val="18"/>
                <w:color w:val="auto"/>
                <w:w w:val="94"/>
              </w:rPr>
              <w:t>New York</w:t>
            </w:r>
          </w:p>
        </w:tc>
        <w:tc>
          <w:tcPr>
            <w:tcW w:w="5580" w:type="dxa"/>
            <w:vAlign w:val="bottom"/>
            <w:gridSpan w:val="2"/>
          </w:tcPr>
          <w:p>
            <w:pPr>
              <w:jc w:val="center"/>
              <w:ind w:left="4110"/>
              <w:spacing w:after="0"/>
              <w:rPr>
                <w:sz w:val="20"/>
                <w:szCs w:val="20"/>
                <w:color w:val="auto"/>
              </w:rPr>
            </w:pPr>
            <w:r>
              <w:rPr>
                <w:rFonts w:ascii="Arial" w:cs="Arial" w:eastAsia="Arial" w:hAnsi="Arial"/>
                <w:sz w:val="18"/>
                <w:szCs w:val="18"/>
                <w:color w:val="auto"/>
                <w:w w:val="89"/>
              </w:rPr>
              <w:t>13-3444607</w:t>
            </w:r>
          </w:p>
        </w:tc>
        <w:tc>
          <w:tcPr>
            <w:tcW w:w="620" w:type="dxa"/>
            <w:vAlign w:val="bottom"/>
          </w:tcPr>
          <w:p>
            <w:pPr>
              <w:spacing w:after="0"/>
              <w:rPr>
                <w:sz w:val="24"/>
                <w:szCs w:val="24"/>
                <w:color w:val="auto"/>
              </w:rPr>
            </w:pPr>
          </w:p>
        </w:tc>
      </w:tr>
      <w:tr>
        <w:trPr>
          <w:trHeight w:val="95"/>
        </w:trPr>
        <w:tc>
          <w:tcPr>
            <w:tcW w:w="380" w:type="dxa"/>
            <w:vAlign w:val="bottom"/>
          </w:tcPr>
          <w:p>
            <w:pPr>
              <w:spacing w:after="0"/>
              <w:rPr>
                <w:sz w:val="8"/>
                <w:szCs w:val="8"/>
                <w:color w:val="auto"/>
              </w:rPr>
            </w:pPr>
          </w:p>
        </w:tc>
        <w:tc>
          <w:tcPr>
            <w:tcW w:w="140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4200" w:type="dxa"/>
            <w:vAlign w:val="bottom"/>
          </w:tcPr>
          <w:p>
            <w:pPr>
              <w:spacing w:after="0"/>
              <w:rPr>
                <w:sz w:val="8"/>
                <w:szCs w:val="8"/>
                <w:color w:val="auto"/>
              </w:rPr>
            </w:pPr>
          </w:p>
        </w:tc>
        <w:tc>
          <w:tcPr>
            <w:tcW w:w="1380" w:type="dxa"/>
            <w:vAlign w:val="bottom"/>
            <w:tcBorders>
              <w:bottom w:val="single" w:sz="8" w:color="808080"/>
            </w:tcBorders>
          </w:tcPr>
          <w:p>
            <w:pPr>
              <w:spacing w:after="0"/>
              <w:rPr>
                <w:sz w:val="8"/>
                <w:szCs w:val="8"/>
                <w:color w:val="auto"/>
              </w:rPr>
            </w:pPr>
          </w:p>
        </w:tc>
        <w:tc>
          <w:tcPr>
            <w:tcW w:w="620" w:type="dxa"/>
            <w:vAlign w:val="bottom"/>
          </w:tcPr>
          <w:p>
            <w:pPr>
              <w:spacing w:after="0"/>
              <w:rPr>
                <w:sz w:val="8"/>
                <w:szCs w:val="8"/>
                <w:color w:val="auto"/>
              </w:rPr>
            </w:pPr>
          </w:p>
        </w:tc>
      </w:tr>
      <w:tr>
        <w:trPr>
          <w:trHeight w:val="290"/>
        </w:trPr>
        <w:tc>
          <w:tcPr>
            <w:tcW w:w="2180" w:type="dxa"/>
            <w:vAlign w:val="bottom"/>
            <w:gridSpan w:val="3"/>
          </w:tcPr>
          <w:p>
            <w:pPr>
              <w:jc w:val="center"/>
              <w:ind w:right="20"/>
              <w:spacing w:after="0"/>
              <w:rPr>
                <w:sz w:val="20"/>
                <w:szCs w:val="20"/>
                <w:color w:val="auto"/>
              </w:rPr>
            </w:pPr>
            <w:r>
              <w:rPr>
                <w:rFonts w:ascii="Arial" w:cs="Arial" w:eastAsia="Arial" w:hAnsi="Arial"/>
                <w:sz w:val="18"/>
                <w:szCs w:val="18"/>
                <w:color w:val="auto"/>
                <w:w w:val="92"/>
              </w:rPr>
              <w:t>(State or other jurisdiction of</w:t>
            </w:r>
          </w:p>
        </w:tc>
        <w:tc>
          <w:tcPr>
            <w:tcW w:w="6200" w:type="dxa"/>
            <w:vAlign w:val="bottom"/>
            <w:gridSpan w:val="3"/>
          </w:tcPr>
          <w:p>
            <w:pPr>
              <w:jc w:val="center"/>
              <w:ind w:left="3490"/>
              <w:spacing w:after="0"/>
              <w:rPr>
                <w:sz w:val="20"/>
                <w:szCs w:val="20"/>
                <w:color w:val="auto"/>
              </w:rPr>
            </w:pPr>
            <w:r>
              <w:rPr>
                <w:rFonts w:ascii="Arial" w:cs="Arial" w:eastAsia="Arial" w:hAnsi="Arial"/>
                <w:sz w:val="18"/>
                <w:szCs w:val="18"/>
                <w:color w:val="auto"/>
                <w:w w:val="94"/>
              </w:rPr>
              <w:t>(I.R.S. Employer Identification No.)</w:t>
            </w:r>
          </w:p>
        </w:tc>
      </w:tr>
      <w:tr>
        <w:trPr>
          <w:trHeight w:val="230"/>
        </w:trPr>
        <w:tc>
          <w:tcPr>
            <w:tcW w:w="2180" w:type="dxa"/>
            <w:vAlign w:val="bottom"/>
            <w:gridSpan w:val="3"/>
          </w:tcPr>
          <w:p>
            <w:pPr>
              <w:jc w:val="center"/>
              <w:ind w:right="20"/>
              <w:spacing w:after="0"/>
              <w:rPr>
                <w:sz w:val="20"/>
                <w:szCs w:val="20"/>
                <w:color w:val="auto"/>
              </w:rPr>
            </w:pPr>
            <w:r>
              <w:rPr>
                <w:rFonts w:ascii="Arial" w:cs="Arial" w:eastAsia="Arial" w:hAnsi="Arial"/>
                <w:sz w:val="18"/>
                <w:szCs w:val="18"/>
                <w:color w:val="auto"/>
                <w:w w:val="92"/>
              </w:rPr>
              <w:t>incorporation or organization)</w:t>
            </w:r>
          </w:p>
        </w:tc>
        <w:tc>
          <w:tcPr>
            <w:tcW w:w="42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419"/>
        </w:trPr>
        <w:tc>
          <w:tcPr>
            <w:tcW w:w="2180" w:type="dxa"/>
            <w:vAlign w:val="bottom"/>
            <w:gridSpan w:val="3"/>
          </w:tcPr>
          <w:p>
            <w:pPr>
              <w:jc w:val="center"/>
              <w:ind w:right="20"/>
              <w:spacing w:after="0"/>
              <w:rPr>
                <w:sz w:val="20"/>
                <w:szCs w:val="20"/>
                <w:color w:val="auto"/>
              </w:rPr>
            </w:pPr>
            <w:r>
              <w:rPr>
                <w:rFonts w:ascii="Arial" w:cs="Arial" w:eastAsia="Arial" w:hAnsi="Arial"/>
                <w:sz w:val="18"/>
                <w:szCs w:val="18"/>
                <w:color w:val="auto"/>
                <w:w w:val="93"/>
              </w:rPr>
              <w:t>777 Old Saw Mill River Road</w:t>
            </w:r>
          </w:p>
        </w:tc>
        <w:tc>
          <w:tcPr>
            <w:tcW w:w="5580" w:type="dxa"/>
            <w:vAlign w:val="bottom"/>
            <w:gridSpan w:val="2"/>
          </w:tcPr>
          <w:p>
            <w:pPr>
              <w:jc w:val="center"/>
              <w:ind w:left="4110"/>
              <w:spacing w:after="0"/>
              <w:rPr>
                <w:sz w:val="20"/>
                <w:szCs w:val="20"/>
                <w:color w:val="auto"/>
              </w:rPr>
            </w:pPr>
            <w:r>
              <w:rPr>
                <w:rFonts w:ascii="Arial" w:cs="Arial" w:eastAsia="Arial" w:hAnsi="Arial"/>
                <w:sz w:val="18"/>
                <w:szCs w:val="18"/>
                <w:color w:val="auto"/>
                <w:w w:val="89"/>
              </w:rPr>
              <w:t>10591-6707</w:t>
            </w:r>
          </w:p>
        </w:tc>
        <w:tc>
          <w:tcPr>
            <w:tcW w:w="620" w:type="dxa"/>
            <w:vAlign w:val="bottom"/>
          </w:tcPr>
          <w:p>
            <w:pPr>
              <w:spacing w:after="0"/>
              <w:rPr>
                <w:sz w:val="24"/>
                <w:szCs w:val="24"/>
                <w:color w:val="auto"/>
              </w:rPr>
            </w:pPr>
          </w:p>
        </w:tc>
      </w:tr>
    </w:tbl>
    <w:p>
      <w:pPr>
        <w:ind w:left="1920"/>
        <w:spacing w:after="0" w:line="236" w:lineRule="auto"/>
        <w:rPr>
          <w:sz w:val="20"/>
          <w:szCs w:val="20"/>
          <w:color w:val="auto"/>
        </w:rPr>
      </w:pPr>
      <w:r>
        <w:rPr>
          <w:rFonts w:ascii="Arial" w:cs="Arial" w:eastAsia="Arial" w:hAnsi="Arial"/>
          <w:sz w:val="18"/>
          <w:szCs w:val="18"/>
          <w:color w:val="auto"/>
        </w:rPr>
        <w:t>Tarrytown, New York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5090795</wp:posOffset>
            </wp:positionH>
            <wp:positionV relativeFrom="paragraph">
              <wp:posOffset>-68580</wp:posOffset>
            </wp:positionV>
            <wp:extent cx="8750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75030" cy="8890"/>
                    </a:xfrm>
                    <a:prstGeom prst="rect">
                      <a:avLst/>
                    </a:prstGeom>
                    <a:noFill/>
                  </pic:spPr>
                </pic:pic>
              </a:graphicData>
            </a:graphic>
          </wp:anchor>
        </w:drawing>
      </w:r>
    </w:p>
    <w:p>
      <w:pPr>
        <w:ind w:left="8300"/>
        <w:spacing w:after="0"/>
        <w:rPr>
          <w:sz w:val="20"/>
          <w:szCs w:val="20"/>
          <w:color w:val="auto"/>
        </w:rPr>
      </w:pPr>
      <w:r>
        <w:rPr>
          <w:rFonts w:ascii="Arial" w:cs="Arial" w:eastAsia="Arial" w:hAnsi="Arial"/>
          <w:sz w:val="18"/>
          <w:szCs w:val="18"/>
          <w:color w:val="auto"/>
        </w:rPr>
        <w:t>(Zip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1196975</wp:posOffset>
            </wp:positionH>
            <wp:positionV relativeFrom="paragraph">
              <wp:posOffset>-63500</wp:posOffset>
            </wp:positionV>
            <wp:extent cx="10547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54735" cy="8890"/>
                    </a:xfrm>
                    <a:prstGeom prst="rect">
                      <a:avLst/>
                    </a:prstGeom>
                    <a:noFill/>
                  </pic:spPr>
                </pic:pic>
              </a:graphicData>
            </a:graphic>
          </wp:anchor>
        </w:drawing>
      </w:r>
    </w:p>
    <w:p>
      <w:pPr>
        <w:ind w:left="1280"/>
        <w:spacing w:after="0"/>
        <w:rPr>
          <w:sz w:val="20"/>
          <w:szCs w:val="20"/>
          <w:color w:val="auto"/>
        </w:rPr>
      </w:pPr>
      <w:r>
        <w:rPr>
          <w:rFonts w:ascii="Arial" w:cs="Arial" w:eastAsia="Arial" w:hAnsi="Arial"/>
          <w:sz w:val="18"/>
          <w:szCs w:val="18"/>
          <w:color w:val="auto"/>
        </w:rPr>
        <w:t>(Address of principal executive offices)</w:t>
      </w:r>
    </w:p>
    <w:p>
      <w:pPr>
        <w:spacing w:after="0" w:line="17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(914) 347-7000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126365</wp:posOffset>
            </wp:positionV>
            <wp:extent cx="1826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7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(Registrant’s telephone number, including area code)</w:t>
      </w:r>
    </w:p>
    <w:p>
      <w:pPr>
        <w:spacing w:after="0" w:line="185"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41" w:lineRule="exact"/>
        <w:rPr>
          <w:sz w:val="20"/>
          <w:szCs w:val="20"/>
          <w:color w:val="auto"/>
        </w:rPr>
      </w:pPr>
    </w:p>
    <w:p>
      <w:pPr>
        <w:ind w:left="4980"/>
        <w:spacing w:after="0"/>
        <w:tabs>
          <w:tab w:leader="none" w:pos="5920" w:val="left"/>
        </w:tabs>
        <w:rPr>
          <w:sz w:val="20"/>
          <w:szCs w:val="20"/>
          <w:color w:val="auto"/>
        </w:rPr>
      </w:pPr>
      <w:r>
        <w:rPr>
          <w:rFonts w:ascii="Arial" w:cs="Arial" w:eastAsia="Arial" w:hAnsi="Arial"/>
          <w:sz w:val="18"/>
          <w:szCs w:val="18"/>
          <w:color w:val="auto"/>
        </w:rPr>
        <w:t>Yes (X)</w:t>
      </w:r>
      <w:r>
        <w:rPr>
          <w:sz w:val="20"/>
          <w:szCs w:val="20"/>
          <w:color w:val="auto"/>
        </w:rPr>
        <w:tab/>
      </w:r>
      <w:r>
        <w:rPr>
          <w:rFonts w:ascii="Arial" w:cs="Arial" w:eastAsia="Arial" w:hAnsi="Arial"/>
          <w:sz w:val="18"/>
          <w:szCs w:val="18"/>
          <w:color w:val="auto"/>
        </w:rPr>
        <w:t>No (  )</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Indicate by check mark whether the registrant is an accelerated filer (as defined in Rule 12b-2 of the Exchange Act).</w:t>
      </w:r>
    </w:p>
    <w:p>
      <w:pPr>
        <w:spacing w:after="0" w:line="185" w:lineRule="exact"/>
        <w:rPr>
          <w:sz w:val="20"/>
          <w:szCs w:val="20"/>
          <w:color w:val="auto"/>
        </w:rPr>
      </w:pPr>
    </w:p>
    <w:p>
      <w:pPr>
        <w:ind w:left="4980"/>
        <w:spacing w:after="0"/>
        <w:tabs>
          <w:tab w:leader="none" w:pos="5920" w:val="left"/>
        </w:tabs>
        <w:rPr>
          <w:sz w:val="20"/>
          <w:szCs w:val="20"/>
          <w:color w:val="auto"/>
        </w:rPr>
      </w:pPr>
      <w:r>
        <w:rPr>
          <w:rFonts w:ascii="Arial" w:cs="Arial" w:eastAsia="Arial" w:hAnsi="Arial"/>
          <w:sz w:val="18"/>
          <w:szCs w:val="18"/>
          <w:color w:val="auto"/>
        </w:rPr>
        <w:t>Yes (  )</w:t>
      </w:r>
      <w:r>
        <w:rPr>
          <w:sz w:val="20"/>
          <w:szCs w:val="20"/>
          <w:color w:val="auto"/>
        </w:rPr>
        <w:tab/>
      </w:r>
      <w:r>
        <w:rPr>
          <w:rFonts w:ascii="Arial" w:cs="Arial" w:eastAsia="Arial" w:hAnsi="Arial"/>
          <w:sz w:val="17"/>
          <w:szCs w:val="17"/>
          <w:color w:val="auto"/>
        </w:rPr>
        <w:t>No (X)</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Indicate the number of shares outstanding of each of the issuer’s classes of common stock as of April 30, 2004:</w:t>
      </w:r>
    </w:p>
    <w:p>
      <w:pPr>
        <w:spacing w:after="0" w:line="200" w:lineRule="exact"/>
        <w:rPr>
          <w:sz w:val="20"/>
          <w:szCs w:val="20"/>
          <w:color w:val="auto"/>
        </w:rPr>
      </w:pPr>
    </w:p>
    <w:p>
      <w:pPr>
        <w:spacing w:after="0" w:line="206" w:lineRule="exact"/>
        <w:rPr>
          <w:sz w:val="20"/>
          <w:szCs w:val="20"/>
          <w:color w:val="auto"/>
        </w:rPr>
      </w:pPr>
    </w:p>
    <w:tbl>
      <w:tblPr>
        <w:tblLayout w:type="fixed"/>
        <w:tblInd w:w="1720" w:type="dxa"/>
        <w:tblCellMar>
          <w:top w:w="0" w:type="dxa"/>
          <w:left w:w="0" w:type="dxa"/>
          <w:bottom w:w="0" w:type="dxa"/>
          <w:right w:w="0" w:type="dxa"/>
        </w:tblCellMar>
      </w:tblPr>
      <w:tr>
        <w:trPr>
          <w:trHeight w:val="186"/>
        </w:trPr>
        <w:tc>
          <w:tcPr>
            <w:tcW w:w="5140" w:type="dxa"/>
            <w:vAlign w:val="bottom"/>
          </w:tcPr>
          <w:p>
            <w:pPr>
              <w:ind w:left="1840"/>
              <w:spacing w:after="0"/>
              <w:rPr>
                <w:sz w:val="20"/>
                <w:szCs w:val="20"/>
                <w:color w:val="auto"/>
              </w:rPr>
            </w:pPr>
            <w:r>
              <w:rPr>
                <w:rFonts w:ascii="Arial" w:cs="Arial" w:eastAsia="Arial" w:hAnsi="Arial"/>
                <w:sz w:val="14"/>
                <w:szCs w:val="14"/>
                <w:b w:val="1"/>
                <w:bCs w:val="1"/>
                <w:color w:val="auto"/>
              </w:rPr>
              <w:t>Class of Common Stock</w:t>
            </w:r>
          </w:p>
        </w:tc>
        <w:tc>
          <w:tcPr>
            <w:tcW w:w="360" w:type="dxa"/>
            <w:vAlign w:val="bottom"/>
          </w:tcPr>
          <w:p>
            <w:pPr>
              <w:spacing w:after="0"/>
              <w:rPr>
                <w:sz w:val="16"/>
                <w:szCs w:val="16"/>
                <w:color w:val="auto"/>
              </w:rPr>
            </w:pPr>
          </w:p>
        </w:tc>
        <w:tc>
          <w:tcPr>
            <w:tcW w:w="2480" w:type="dxa"/>
            <w:vAlign w:val="bottom"/>
          </w:tcPr>
          <w:p>
            <w:pPr>
              <w:jc w:val="right"/>
              <w:ind w:right="608"/>
              <w:spacing w:after="0"/>
              <w:rPr>
                <w:sz w:val="20"/>
                <w:szCs w:val="20"/>
                <w:color w:val="auto"/>
              </w:rPr>
            </w:pPr>
            <w:r>
              <w:rPr>
                <w:rFonts w:ascii="Arial" w:cs="Arial" w:eastAsia="Arial" w:hAnsi="Arial"/>
                <w:sz w:val="14"/>
                <w:szCs w:val="14"/>
                <w:b w:val="1"/>
                <w:bCs w:val="1"/>
                <w:color w:val="auto"/>
              </w:rPr>
              <w:t>Number of Shares</w:t>
            </w:r>
          </w:p>
        </w:tc>
      </w:tr>
      <w:tr>
        <w:trPr>
          <w:trHeight w:val="53"/>
        </w:trPr>
        <w:tc>
          <w:tcPr>
            <w:tcW w:w="5140" w:type="dxa"/>
            <w:vAlign w:val="bottom"/>
            <w:tcBorders>
              <w:bottom w:val="single" w:sz="8" w:color="808080"/>
            </w:tcBorders>
          </w:tcPr>
          <w:p>
            <w:pPr>
              <w:spacing w:after="0"/>
              <w:rPr>
                <w:sz w:val="4"/>
                <w:szCs w:val="4"/>
                <w:color w:val="auto"/>
              </w:rPr>
            </w:pPr>
          </w:p>
        </w:tc>
        <w:tc>
          <w:tcPr>
            <w:tcW w:w="360" w:type="dxa"/>
            <w:vAlign w:val="bottom"/>
          </w:tcPr>
          <w:p>
            <w:pPr>
              <w:spacing w:after="0"/>
              <w:rPr>
                <w:sz w:val="4"/>
                <w:szCs w:val="4"/>
                <w:color w:val="auto"/>
              </w:rPr>
            </w:pPr>
          </w:p>
        </w:tc>
        <w:tc>
          <w:tcPr>
            <w:tcW w:w="2480" w:type="dxa"/>
            <w:vAlign w:val="bottom"/>
            <w:tcBorders>
              <w:bottom w:val="single" w:sz="8" w:color="808080"/>
            </w:tcBorders>
          </w:tcPr>
          <w:p>
            <w:pPr>
              <w:spacing w:after="0"/>
              <w:rPr>
                <w:sz w:val="4"/>
                <w:szCs w:val="4"/>
                <w:color w:val="auto"/>
              </w:rPr>
            </w:pPr>
          </w:p>
        </w:tc>
      </w:tr>
      <w:tr>
        <w:trPr>
          <w:trHeight w:val="276"/>
        </w:trPr>
        <w:tc>
          <w:tcPr>
            <w:tcW w:w="5140" w:type="dxa"/>
            <w:vAlign w:val="bottom"/>
          </w:tcPr>
          <w:p>
            <w:pPr>
              <w:spacing w:after="0"/>
              <w:rPr>
                <w:sz w:val="20"/>
                <w:szCs w:val="20"/>
                <w:color w:val="auto"/>
              </w:rPr>
            </w:pPr>
            <w:r>
              <w:rPr>
                <w:rFonts w:ascii="Arial" w:cs="Arial" w:eastAsia="Arial" w:hAnsi="Arial"/>
                <w:sz w:val="18"/>
                <w:szCs w:val="18"/>
                <w:color w:val="auto"/>
              </w:rPr>
              <w:t>Class A Stock, $0.001 par value</w:t>
            </w:r>
          </w:p>
        </w:tc>
        <w:tc>
          <w:tcPr>
            <w:tcW w:w="2840" w:type="dxa"/>
            <w:vAlign w:val="bottom"/>
            <w:gridSpan w:val="2"/>
          </w:tcPr>
          <w:p>
            <w:pPr>
              <w:jc w:val="right"/>
              <w:ind w:right="768"/>
              <w:spacing w:after="0"/>
              <w:rPr>
                <w:sz w:val="20"/>
                <w:szCs w:val="20"/>
                <w:color w:val="auto"/>
              </w:rPr>
            </w:pPr>
            <w:r>
              <w:rPr>
                <w:rFonts w:ascii="Arial" w:cs="Arial" w:eastAsia="Arial" w:hAnsi="Arial"/>
                <w:sz w:val="18"/>
                <w:szCs w:val="18"/>
                <w:color w:val="auto"/>
              </w:rPr>
              <w:t>2,365,873</w:t>
            </w:r>
          </w:p>
        </w:tc>
      </w:tr>
      <w:tr>
        <w:trPr>
          <w:trHeight w:val="230"/>
        </w:trPr>
        <w:tc>
          <w:tcPr>
            <w:tcW w:w="5140" w:type="dxa"/>
            <w:vAlign w:val="bottom"/>
          </w:tcPr>
          <w:p>
            <w:pPr>
              <w:spacing w:after="0"/>
              <w:rPr>
                <w:sz w:val="20"/>
                <w:szCs w:val="20"/>
                <w:color w:val="auto"/>
              </w:rPr>
            </w:pPr>
            <w:r>
              <w:rPr>
                <w:rFonts w:ascii="Arial" w:cs="Arial" w:eastAsia="Arial" w:hAnsi="Arial"/>
                <w:sz w:val="18"/>
                <w:szCs w:val="18"/>
                <w:color w:val="auto"/>
              </w:rPr>
              <w:t>Common Stock, $0.001 par value</w:t>
            </w:r>
          </w:p>
        </w:tc>
        <w:tc>
          <w:tcPr>
            <w:tcW w:w="2840" w:type="dxa"/>
            <w:vAlign w:val="bottom"/>
            <w:gridSpan w:val="2"/>
          </w:tcPr>
          <w:p>
            <w:pPr>
              <w:jc w:val="right"/>
              <w:ind w:right="768"/>
              <w:spacing w:after="0"/>
              <w:rPr>
                <w:sz w:val="20"/>
                <w:szCs w:val="20"/>
                <w:color w:val="auto"/>
              </w:rPr>
            </w:pPr>
            <w:r>
              <w:rPr>
                <w:rFonts w:ascii="Arial" w:cs="Arial" w:eastAsia="Arial" w:hAnsi="Arial"/>
                <w:sz w:val="18"/>
                <w:szCs w:val="18"/>
                <w:color w:val="auto"/>
              </w:rPr>
              <w:t>53,276,634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384175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Table of Contents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March 31, 2004</w:t>
      </w:r>
    </w:p>
    <w:p>
      <w:pPr>
        <w:spacing w:after="0" w:line="378" w:lineRule="exact"/>
        <w:rPr>
          <w:sz w:val="20"/>
          <w:szCs w:val="20"/>
          <w:color w:val="auto"/>
        </w:rPr>
      </w:pPr>
    </w:p>
    <w:p>
      <w:pPr>
        <w:ind w:left="10320"/>
        <w:spacing w:after="0"/>
        <w:rPr>
          <w:sz w:val="20"/>
          <w:szCs w:val="20"/>
          <w:color w:val="auto"/>
        </w:rPr>
      </w:pPr>
      <w:r>
        <w:rPr>
          <w:rFonts w:ascii="Arial" w:cs="Arial" w:eastAsia="Arial" w:hAnsi="Arial"/>
          <w:sz w:val="14"/>
          <w:szCs w:val="14"/>
          <w:b w:val="1"/>
          <w:bCs w:val="1"/>
          <w:color w:val="auto"/>
        </w:rPr>
        <w:t>Page Numbers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6419850</wp:posOffset>
            </wp:positionH>
            <wp:positionV relativeFrom="paragraph">
              <wp:posOffset>57785</wp:posOffset>
            </wp:positionV>
            <wp:extent cx="8318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31850" cy="8890"/>
                    </a:xfrm>
                    <a:prstGeom prst="rect">
                      <a:avLst/>
                    </a:prstGeom>
                    <a:noFill/>
                  </pic:spPr>
                </pic:pic>
              </a:graphicData>
            </a:graphic>
          </wp:anchor>
        </w:drawing>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0" w:type="dxa"/>
            <w:vAlign w:val="bottom"/>
            <w:tcBorders>
              <w:bottom w:val="single" w:sz="8" w:color="0000EE"/>
            </w:tcBorders>
            <w:gridSpan w:val="2"/>
          </w:tcPr>
          <w:p>
            <w:pPr>
              <w:spacing w:after="0"/>
              <w:rPr>
                <w:rFonts w:ascii="Arial" w:cs="Arial" w:eastAsia="Arial" w:hAnsi="Arial"/>
                <w:sz w:val="18"/>
                <w:szCs w:val="18"/>
                <w:b w:val="1"/>
                <w:bCs w:val="1"/>
                <w:color w:val="0000EE"/>
                <w:w w:val="98"/>
              </w:rPr>
            </w:pPr>
            <w:hyperlink w:anchor="page4">
              <w:r>
                <w:rPr>
                  <w:rFonts w:ascii="Arial" w:cs="Arial" w:eastAsia="Arial" w:hAnsi="Arial"/>
                  <w:sz w:val="18"/>
                  <w:szCs w:val="18"/>
                  <w:b w:val="1"/>
                  <w:bCs w:val="1"/>
                  <w:color w:val="0000EE"/>
                  <w:w w:val="98"/>
                </w:rPr>
                <w:t>PART I</w:t>
              </w:r>
            </w:hyperlink>
          </w:p>
        </w:tc>
        <w:tc>
          <w:tcPr>
            <w:tcW w:w="4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0" w:type="dxa"/>
            <w:vAlign w:val="bottom"/>
            <w:tcBorders>
              <w:bottom w:val="single" w:sz="8" w:color="0000EE"/>
            </w:tcBorders>
            <w:gridSpan w:val="2"/>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FINANCIAL INFORMATION</w:t>
              </w:r>
            </w:hyperlink>
          </w:p>
        </w:tc>
      </w:tr>
      <w:tr>
        <w:trPr>
          <w:trHeight w:val="196"/>
        </w:trPr>
        <w:tc>
          <w:tcPr>
            <w:tcW w:w="480" w:type="dxa"/>
            <w:vAlign w:val="bottom"/>
            <w:tcBorders>
              <w:bottom w:val="single" w:sz="8" w:color="0000EE"/>
            </w:tcBorders>
          </w:tcPr>
          <w:p>
            <w:pPr>
              <w:spacing w:after="0" w:line="196" w:lineRule="exact"/>
              <w:rPr>
                <w:rFonts w:ascii="Arial" w:cs="Arial" w:eastAsia="Arial" w:hAnsi="Arial"/>
                <w:sz w:val="18"/>
                <w:szCs w:val="18"/>
                <w:color w:val="0000EE"/>
                <w:w w:val="91"/>
              </w:rPr>
            </w:pPr>
            <w:hyperlink w:anchor="page4">
              <w:r>
                <w:rPr>
                  <w:rFonts w:ascii="Arial" w:cs="Arial" w:eastAsia="Arial" w:hAnsi="Arial"/>
                  <w:sz w:val="18"/>
                  <w:szCs w:val="18"/>
                  <w:color w:val="0000EE"/>
                  <w:w w:val="91"/>
                </w:rPr>
                <w:t>Item 1</w:t>
              </w:r>
            </w:hyperlink>
          </w:p>
        </w:tc>
        <w:tc>
          <w:tcPr>
            <w:tcW w:w="600" w:type="dxa"/>
            <w:vAlign w:val="bottom"/>
            <w:gridSpan w:val="2"/>
          </w:tcPr>
          <w:p>
            <w:pPr>
              <w:spacing w:after="0"/>
              <w:rPr>
                <w:sz w:val="17"/>
                <w:szCs w:val="17"/>
                <w:color w:val="auto"/>
              </w:rPr>
            </w:pPr>
          </w:p>
        </w:tc>
        <w:tc>
          <w:tcPr>
            <w:tcW w:w="460" w:type="dxa"/>
            <w:vAlign w:val="bottom"/>
          </w:tcPr>
          <w:p>
            <w:pPr>
              <w:spacing w:after="0"/>
              <w:rPr>
                <w:sz w:val="17"/>
                <w:szCs w:val="17"/>
                <w:color w:val="auto"/>
              </w:rPr>
            </w:pPr>
          </w:p>
        </w:tc>
        <w:tc>
          <w:tcPr>
            <w:tcW w:w="1520" w:type="dxa"/>
            <w:vAlign w:val="bottom"/>
            <w:tcBorders>
              <w:bottom w:val="single" w:sz="8" w:color="0000EE"/>
            </w:tcBorders>
          </w:tcPr>
          <w:p>
            <w:pPr>
              <w:spacing w:after="0" w:line="196" w:lineRule="exact"/>
              <w:rPr>
                <w:rFonts w:ascii="Arial" w:cs="Arial" w:eastAsia="Arial" w:hAnsi="Arial"/>
                <w:sz w:val="18"/>
                <w:szCs w:val="18"/>
                <w:color w:val="0000EE"/>
                <w:w w:val="89"/>
              </w:rPr>
            </w:pPr>
            <w:hyperlink w:anchor="page4">
              <w:r>
                <w:rPr>
                  <w:rFonts w:ascii="Arial" w:cs="Arial" w:eastAsia="Arial" w:hAnsi="Arial"/>
                  <w:sz w:val="18"/>
                  <w:szCs w:val="18"/>
                  <w:color w:val="0000EE"/>
                  <w:w w:val="89"/>
                </w:rPr>
                <w:t>Financial Statements</w:t>
              </w:r>
            </w:hyperlink>
          </w:p>
        </w:tc>
        <w:tc>
          <w:tcPr>
            <w:tcW w:w="880" w:type="dxa"/>
            <w:vAlign w:val="bottom"/>
          </w:tcPr>
          <w:p>
            <w:pPr>
              <w:spacing w:after="0"/>
              <w:rPr>
                <w:sz w:val="17"/>
                <w:szCs w:val="17"/>
                <w:color w:val="auto"/>
              </w:rPr>
            </w:pPr>
          </w:p>
        </w:tc>
      </w:tr>
    </w:tbl>
    <w:p>
      <w:pPr>
        <w:sectPr>
          <w:pgSz w:w="11900" w:h="16838" w:orient="portrait"/>
          <w:cols w:equalWidth="0" w:num="1">
            <w:col w:w="11320"/>
          </w:cols>
          <w:pgMar w:left="240" w:top="122" w:right="339" w:bottom="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840" w:type="dxa"/>
            <w:vAlign w:val="bottom"/>
            <w:tcBorders>
              <w:bottom w:val="single" w:sz="8" w:color="0000EE"/>
            </w:tcBorders>
            <w:gridSpan w:val="7"/>
          </w:tcPr>
          <w:p>
            <w:pPr>
              <w:spacing w:after="0"/>
              <w:rPr>
                <w:rFonts w:ascii="Arial" w:cs="Arial" w:eastAsia="Arial" w:hAnsi="Arial"/>
                <w:sz w:val="18"/>
                <w:szCs w:val="18"/>
                <w:color w:val="0000EE"/>
                <w:w w:val="87"/>
              </w:rPr>
            </w:pPr>
            <w:hyperlink w:anchor="page4">
              <w:r>
                <w:rPr>
                  <w:rFonts w:ascii="Arial" w:cs="Arial" w:eastAsia="Arial" w:hAnsi="Arial"/>
                  <w:sz w:val="18"/>
                  <w:szCs w:val="18"/>
                  <w:color w:val="0000EE"/>
                  <w:w w:val="87"/>
                </w:rPr>
                <w:t>Condensed balance sheets (unaudited) at March 31, 2004 and December 31, 2003</w:t>
              </w:r>
            </w:hyperlink>
          </w:p>
        </w:tc>
        <w:tc>
          <w:tcPr>
            <w:tcW w:w="2280" w:type="dxa"/>
            <w:vAlign w:val="bottom"/>
            <w:gridSpan w:val="4"/>
          </w:tcPr>
          <w:p>
            <w:pPr>
              <w:spacing w:after="0"/>
              <w:rPr>
                <w:sz w:val="17"/>
                <w:szCs w:val="17"/>
                <w:color w:val="auto"/>
              </w:rPr>
            </w:pPr>
          </w:p>
        </w:tc>
        <w:tc>
          <w:tcPr>
            <w:tcW w:w="1260" w:type="dxa"/>
            <w:vAlign w:val="bottom"/>
          </w:tcPr>
          <w:p>
            <w:pPr>
              <w:ind w:left="820"/>
              <w:spacing w:after="0"/>
              <w:rPr>
                <w:sz w:val="20"/>
                <w:szCs w:val="20"/>
                <w:color w:val="auto"/>
              </w:rPr>
            </w:pPr>
            <w:r>
              <w:rPr>
                <w:rFonts w:ascii="Arial" w:cs="Arial" w:eastAsia="Arial" w:hAnsi="Arial"/>
                <w:sz w:val="18"/>
                <w:szCs w:val="18"/>
                <w:color w:val="auto"/>
              </w:rPr>
              <w:t>3</w:t>
            </w:r>
          </w:p>
        </w:tc>
      </w:tr>
      <w:tr>
        <w:trPr>
          <w:trHeight w:val="196"/>
        </w:trPr>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300" w:type="dxa"/>
            <w:vAlign w:val="bottom"/>
            <w:tcBorders>
              <w:bottom w:val="single" w:sz="8" w:color="0000EE"/>
            </w:tcBorders>
            <w:gridSpan w:val="10"/>
          </w:tcPr>
          <w:p>
            <w:pPr>
              <w:spacing w:after="0" w:line="196" w:lineRule="exact"/>
              <w:rPr>
                <w:rFonts w:ascii="Arial" w:cs="Arial" w:eastAsia="Arial" w:hAnsi="Arial"/>
                <w:sz w:val="18"/>
                <w:szCs w:val="18"/>
                <w:color w:val="0000EE"/>
                <w:w w:val="88"/>
              </w:rPr>
            </w:pPr>
            <w:hyperlink w:anchor="page5">
              <w:r>
                <w:rPr>
                  <w:rFonts w:ascii="Arial" w:cs="Arial" w:eastAsia="Arial" w:hAnsi="Arial"/>
                  <w:sz w:val="18"/>
                  <w:szCs w:val="18"/>
                  <w:color w:val="0000EE"/>
                  <w:w w:val="88"/>
                </w:rPr>
                <w:t>Condensed statements of operations (unaudited) for the three months ended March 31, 2004 and 2003</w:t>
              </w:r>
            </w:hyperlink>
          </w:p>
        </w:tc>
        <w:tc>
          <w:tcPr>
            <w:tcW w:w="820" w:type="dxa"/>
            <w:vAlign w:val="bottom"/>
          </w:tcPr>
          <w:p>
            <w:pPr>
              <w:spacing w:after="0"/>
              <w:rPr>
                <w:sz w:val="17"/>
                <w:szCs w:val="17"/>
                <w:color w:val="auto"/>
              </w:rPr>
            </w:pPr>
          </w:p>
        </w:tc>
        <w:tc>
          <w:tcPr>
            <w:tcW w:w="1260" w:type="dxa"/>
            <w:vAlign w:val="bottom"/>
          </w:tcPr>
          <w:p>
            <w:pPr>
              <w:ind w:left="820"/>
              <w:spacing w:after="0" w:line="196" w:lineRule="exact"/>
              <w:rPr>
                <w:sz w:val="20"/>
                <w:szCs w:val="20"/>
                <w:color w:val="auto"/>
              </w:rPr>
            </w:pPr>
            <w:r>
              <w:rPr>
                <w:rFonts w:ascii="Arial" w:cs="Arial" w:eastAsia="Arial" w:hAnsi="Arial"/>
                <w:sz w:val="18"/>
                <w:szCs w:val="18"/>
                <w:color w:val="auto"/>
              </w:rPr>
              <w:t>4</w:t>
            </w:r>
          </w:p>
        </w:tc>
      </w:tr>
      <w:tr>
        <w:trPr>
          <w:trHeight w:val="196"/>
        </w:trPr>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120" w:type="dxa"/>
            <w:vAlign w:val="bottom"/>
            <w:gridSpan w:val="11"/>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Condensed statement of stockholders’ equity (unaudited) for the three months ended March 31, 2004</w:t>
              </w:r>
            </w:hyperlink>
          </w:p>
        </w:tc>
        <w:tc>
          <w:tcPr>
            <w:tcW w:w="1260" w:type="dxa"/>
            <w:vAlign w:val="bottom"/>
          </w:tcPr>
          <w:p>
            <w:pPr>
              <w:ind w:left="820"/>
              <w:spacing w:after="0" w:line="196" w:lineRule="exact"/>
              <w:rPr>
                <w:sz w:val="20"/>
                <w:szCs w:val="20"/>
                <w:color w:val="auto"/>
              </w:rPr>
            </w:pPr>
            <w:r>
              <w:rPr>
                <w:rFonts w:ascii="Arial" w:cs="Arial" w:eastAsia="Arial" w:hAnsi="Arial"/>
                <w:sz w:val="18"/>
                <w:szCs w:val="18"/>
                <w:color w:val="auto"/>
              </w:rPr>
              <w:t>5</w:t>
            </w:r>
          </w:p>
        </w:tc>
      </w:tr>
      <w:tr>
        <w:trPr>
          <w:trHeight w:val="20"/>
        </w:trPr>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Borders>
              <w:right w:val="single" w:sz="8" w:color="0000EE"/>
            </w:tcBorders>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2280" w:type="dxa"/>
            <w:vAlign w:val="bottom"/>
            <w:gridSpan w:val="2"/>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96"/>
        </w:trPr>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120" w:type="dxa"/>
            <w:vAlign w:val="bottom"/>
            <w:gridSpan w:val="11"/>
          </w:tcPr>
          <w:p>
            <w:pPr>
              <w:spacing w:after="0" w:line="196" w:lineRule="exact"/>
              <w:rPr>
                <w:rFonts w:ascii="Arial" w:cs="Arial" w:eastAsia="Arial" w:hAnsi="Arial"/>
                <w:sz w:val="18"/>
                <w:szCs w:val="18"/>
                <w:color w:val="0000EE"/>
                <w:w w:val="98"/>
              </w:rPr>
            </w:pPr>
            <w:hyperlink w:anchor="page7">
              <w:r>
                <w:rPr>
                  <w:rFonts w:ascii="Arial" w:cs="Arial" w:eastAsia="Arial" w:hAnsi="Arial"/>
                  <w:sz w:val="18"/>
                  <w:szCs w:val="18"/>
                  <w:color w:val="0000EE"/>
                  <w:w w:val="98"/>
                </w:rPr>
                <w:t>Condensed statements of cash flows (unaudited) for the three months ended March 31, 2004 and 2003</w:t>
              </w:r>
            </w:hyperlink>
          </w:p>
        </w:tc>
        <w:tc>
          <w:tcPr>
            <w:tcW w:w="1260" w:type="dxa"/>
            <w:vAlign w:val="bottom"/>
          </w:tcPr>
          <w:p>
            <w:pPr>
              <w:ind w:left="820"/>
              <w:spacing w:after="0" w:line="196" w:lineRule="exact"/>
              <w:rPr>
                <w:sz w:val="20"/>
                <w:szCs w:val="20"/>
                <w:color w:val="auto"/>
              </w:rPr>
            </w:pPr>
            <w:r>
              <w:rPr>
                <w:rFonts w:ascii="Arial" w:cs="Arial" w:eastAsia="Arial" w:hAnsi="Arial"/>
                <w:sz w:val="18"/>
                <w:szCs w:val="18"/>
                <w:color w:val="auto"/>
              </w:rPr>
              <w:t>6</w:t>
            </w:r>
          </w:p>
        </w:tc>
      </w:tr>
      <w:tr>
        <w:trPr>
          <w:trHeight w:val="196"/>
        </w:trPr>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4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6"/>
              </w:rPr>
            </w:pPr>
            <w:hyperlink w:anchor="page8">
              <w:r>
                <w:rPr>
                  <w:rFonts w:ascii="Arial" w:cs="Arial" w:eastAsia="Arial" w:hAnsi="Arial"/>
                  <w:sz w:val="18"/>
                  <w:szCs w:val="18"/>
                  <w:color w:val="0000EE"/>
                  <w:w w:val="86"/>
                </w:rPr>
                <w:t>Notes to condensed financial statements</w:t>
              </w:r>
            </w:hyperlink>
          </w:p>
        </w:tc>
        <w:tc>
          <w:tcPr>
            <w:tcW w:w="4460" w:type="dxa"/>
            <w:vAlign w:val="bottom"/>
            <w:tcBorders>
              <w:top w:val="single" w:sz="8" w:color="0000EE"/>
            </w:tcBorders>
            <w:gridSpan w:val="5"/>
          </w:tcPr>
          <w:p>
            <w:pPr>
              <w:spacing w:after="0"/>
              <w:rPr>
                <w:sz w:val="17"/>
                <w:szCs w:val="17"/>
                <w:color w:val="auto"/>
              </w:rPr>
            </w:pPr>
          </w:p>
        </w:tc>
        <w:tc>
          <w:tcPr>
            <w:tcW w:w="820" w:type="dxa"/>
            <w:vAlign w:val="bottom"/>
          </w:tcPr>
          <w:p>
            <w:pPr>
              <w:spacing w:after="0"/>
              <w:rPr>
                <w:sz w:val="17"/>
                <w:szCs w:val="17"/>
                <w:color w:val="auto"/>
              </w:rPr>
            </w:pPr>
          </w:p>
        </w:tc>
        <w:tc>
          <w:tcPr>
            <w:tcW w:w="1260" w:type="dxa"/>
            <w:vAlign w:val="bottom"/>
          </w:tcPr>
          <w:p>
            <w:pPr>
              <w:ind w:left="820"/>
              <w:spacing w:after="0" w:line="196" w:lineRule="exact"/>
              <w:rPr>
                <w:sz w:val="20"/>
                <w:szCs w:val="20"/>
                <w:color w:val="auto"/>
              </w:rPr>
            </w:pPr>
            <w:r>
              <w:rPr>
                <w:rFonts w:ascii="Arial" w:cs="Arial" w:eastAsia="Arial" w:hAnsi="Arial"/>
                <w:sz w:val="18"/>
                <w:szCs w:val="18"/>
                <w:color w:val="auto"/>
              </w:rPr>
              <w:t>7-14</w:t>
            </w:r>
          </w:p>
        </w:tc>
      </w:tr>
      <w:tr>
        <w:trPr>
          <w:trHeight w:val="196"/>
        </w:trPr>
        <w:tc>
          <w:tcPr>
            <w:tcW w:w="480" w:type="dxa"/>
            <w:vAlign w:val="bottom"/>
          </w:tcPr>
          <w:p>
            <w:pPr>
              <w:spacing w:after="0" w:line="196" w:lineRule="exact"/>
              <w:rPr>
                <w:rFonts w:ascii="Arial" w:cs="Arial" w:eastAsia="Arial" w:hAnsi="Arial"/>
                <w:sz w:val="18"/>
                <w:szCs w:val="18"/>
                <w:color w:val="0000EE"/>
                <w:w w:val="91"/>
              </w:rPr>
            </w:pPr>
            <w:hyperlink w:anchor="page16">
              <w:r>
                <w:rPr>
                  <w:rFonts w:ascii="Arial" w:cs="Arial" w:eastAsia="Arial" w:hAnsi="Arial"/>
                  <w:sz w:val="18"/>
                  <w:szCs w:val="18"/>
                  <w:color w:val="0000EE"/>
                  <w:w w:val="91"/>
                </w:rPr>
                <w:t>Item 2</w:t>
              </w:r>
            </w:hyperlink>
          </w:p>
        </w:tc>
        <w:tc>
          <w:tcPr>
            <w:tcW w:w="1120" w:type="dxa"/>
            <w:vAlign w:val="bottom"/>
            <w:gridSpan w:val="2"/>
          </w:tcPr>
          <w:p>
            <w:pPr>
              <w:spacing w:after="0"/>
              <w:rPr>
                <w:sz w:val="17"/>
                <w:szCs w:val="17"/>
                <w:color w:val="auto"/>
              </w:rPr>
            </w:pPr>
          </w:p>
        </w:tc>
        <w:tc>
          <w:tcPr>
            <w:tcW w:w="8120" w:type="dxa"/>
            <w:vAlign w:val="bottom"/>
            <w:gridSpan w:val="11"/>
          </w:tcPr>
          <w:p>
            <w:pPr>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Management’s Discussion and Analysis of Financial Condition and Results of Operations</w:t>
              </w:r>
            </w:hyperlink>
          </w:p>
        </w:tc>
        <w:tc>
          <w:tcPr>
            <w:tcW w:w="1260" w:type="dxa"/>
            <w:vAlign w:val="bottom"/>
          </w:tcPr>
          <w:p>
            <w:pPr>
              <w:ind w:left="820"/>
              <w:spacing w:after="0" w:line="196" w:lineRule="exact"/>
              <w:rPr>
                <w:sz w:val="20"/>
                <w:szCs w:val="20"/>
                <w:color w:val="auto"/>
              </w:rPr>
            </w:pPr>
            <w:r>
              <w:rPr>
                <w:rFonts w:ascii="Arial" w:cs="Arial" w:eastAsia="Arial" w:hAnsi="Arial"/>
                <w:sz w:val="18"/>
                <w:szCs w:val="18"/>
                <w:color w:val="auto"/>
                <w:w w:val="91"/>
              </w:rPr>
              <w:t>15-36</w:t>
            </w:r>
          </w:p>
        </w:tc>
      </w:tr>
      <w:tr>
        <w:trPr>
          <w:trHeight w:val="20"/>
        </w:trPr>
        <w:tc>
          <w:tcPr>
            <w:tcW w:w="4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Borders>
              <w:right w:val="single" w:sz="8" w:color="0000EE"/>
            </w:tcBorders>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680" w:type="dxa"/>
            <w:vAlign w:val="bottom"/>
            <w:gridSpan w:val="2"/>
            <w:shd w:val="clear" w:color="auto" w:fill="0000EE"/>
          </w:tcPr>
          <w:p>
            <w:pPr>
              <w:spacing w:after="0" w:line="20" w:lineRule="exact"/>
              <w:rPr>
                <w:sz w:val="1"/>
                <w:szCs w:val="1"/>
                <w:color w:val="auto"/>
              </w:rPr>
            </w:pPr>
          </w:p>
        </w:tc>
        <w:tc>
          <w:tcPr>
            <w:tcW w:w="2280" w:type="dxa"/>
            <w:vAlign w:val="bottom"/>
            <w:gridSpan w:val="2"/>
            <w:shd w:val="clear" w:color="auto" w:fill="0000EE"/>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96"/>
        </w:trPr>
        <w:tc>
          <w:tcPr>
            <w:tcW w:w="480" w:type="dxa"/>
            <w:vAlign w:val="bottom"/>
          </w:tcPr>
          <w:p>
            <w:pPr>
              <w:spacing w:after="0" w:line="196" w:lineRule="exact"/>
              <w:rPr>
                <w:rFonts w:ascii="Arial" w:cs="Arial" w:eastAsia="Arial" w:hAnsi="Arial"/>
                <w:sz w:val="18"/>
                <w:szCs w:val="18"/>
                <w:color w:val="0000EE"/>
                <w:w w:val="91"/>
              </w:rPr>
            </w:pPr>
            <w:hyperlink w:anchor="page37">
              <w:r>
                <w:rPr>
                  <w:rFonts w:ascii="Arial" w:cs="Arial" w:eastAsia="Arial" w:hAnsi="Arial"/>
                  <w:sz w:val="18"/>
                  <w:szCs w:val="18"/>
                  <w:color w:val="0000EE"/>
                  <w:w w:val="91"/>
                </w:rPr>
                <w:t>Item 3</w:t>
              </w:r>
            </w:hyperlink>
          </w:p>
        </w:tc>
        <w:tc>
          <w:tcPr>
            <w:tcW w:w="1120" w:type="dxa"/>
            <w:vAlign w:val="bottom"/>
            <w:gridSpan w:val="2"/>
          </w:tcPr>
          <w:p>
            <w:pPr>
              <w:spacing w:after="0"/>
              <w:rPr>
                <w:sz w:val="17"/>
                <w:szCs w:val="17"/>
                <w:color w:val="auto"/>
              </w:rPr>
            </w:pPr>
          </w:p>
        </w:tc>
        <w:tc>
          <w:tcPr>
            <w:tcW w:w="8120" w:type="dxa"/>
            <w:vAlign w:val="bottom"/>
            <w:gridSpan w:val="11"/>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Quantitative &amp; Qualitative Disclosure About Market Risk</w:t>
              </w:r>
            </w:hyperlink>
          </w:p>
        </w:tc>
        <w:tc>
          <w:tcPr>
            <w:tcW w:w="1260" w:type="dxa"/>
            <w:vAlign w:val="bottom"/>
          </w:tcPr>
          <w:p>
            <w:pPr>
              <w:ind w:left="820"/>
              <w:spacing w:after="0" w:line="196" w:lineRule="exact"/>
              <w:rPr>
                <w:sz w:val="20"/>
                <w:szCs w:val="20"/>
                <w:color w:val="auto"/>
              </w:rPr>
            </w:pPr>
            <w:r>
              <w:rPr>
                <w:rFonts w:ascii="Arial" w:cs="Arial" w:eastAsia="Arial" w:hAnsi="Arial"/>
                <w:sz w:val="18"/>
                <w:szCs w:val="18"/>
                <w:color w:val="auto"/>
              </w:rPr>
              <w:t>36</w:t>
            </w:r>
          </w:p>
        </w:tc>
      </w:tr>
      <w:tr>
        <w:trPr>
          <w:trHeight w:val="20"/>
        </w:trPr>
        <w:tc>
          <w:tcPr>
            <w:tcW w:w="4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Borders>
              <w:right w:val="single" w:sz="8" w:color="0000EE"/>
            </w:tcBorders>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680" w:type="dxa"/>
            <w:vAlign w:val="bottom"/>
            <w:gridSpan w:val="2"/>
            <w:shd w:val="clear" w:color="auto" w:fill="0000EE"/>
          </w:tcPr>
          <w:p>
            <w:pPr>
              <w:spacing w:after="0" w:line="20" w:lineRule="exact"/>
              <w:rPr>
                <w:sz w:val="1"/>
                <w:szCs w:val="1"/>
                <w:color w:val="auto"/>
              </w:rPr>
            </w:pPr>
          </w:p>
        </w:tc>
        <w:tc>
          <w:tcPr>
            <w:tcW w:w="4000" w:type="dxa"/>
            <w:vAlign w:val="bottom"/>
            <w:gridSpan w:val="5"/>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96"/>
        </w:trPr>
        <w:tc>
          <w:tcPr>
            <w:tcW w:w="480" w:type="dxa"/>
            <w:vAlign w:val="bottom"/>
          </w:tcPr>
          <w:p>
            <w:pPr>
              <w:spacing w:after="0" w:line="196" w:lineRule="exact"/>
              <w:rPr>
                <w:rFonts w:ascii="Arial" w:cs="Arial" w:eastAsia="Arial" w:hAnsi="Arial"/>
                <w:sz w:val="18"/>
                <w:szCs w:val="18"/>
                <w:color w:val="0000EE"/>
                <w:w w:val="91"/>
              </w:rPr>
            </w:pPr>
            <w:hyperlink w:anchor="page38">
              <w:r>
                <w:rPr>
                  <w:rFonts w:ascii="Arial" w:cs="Arial" w:eastAsia="Arial" w:hAnsi="Arial"/>
                  <w:sz w:val="18"/>
                  <w:szCs w:val="18"/>
                  <w:color w:val="0000EE"/>
                  <w:w w:val="91"/>
                </w:rPr>
                <w:t>Item 4</w:t>
              </w:r>
            </w:hyperlink>
          </w:p>
        </w:tc>
        <w:tc>
          <w:tcPr>
            <w:tcW w:w="1120" w:type="dxa"/>
            <w:vAlign w:val="bottom"/>
            <w:gridSpan w:val="2"/>
          </w:tcPr>
          <w:p>
            <w:pPr>
              <w:spacing w:after="0"/>
              <w:rPr>
                <w:sz w:val="17"/>
                <w:szCs w:val="17"/>
                <w:color w:val="auto"/>
              </w:rPr>
            </w:pPr>
          </w:p>
        </w:tc>
        <w:tc>
          <w:tcPr>
            <w:tcW w:w="8120" w:type="dxa"/>
            <w:vAlign w:val="bottom"/>
            <w:gridSpan w:val="11"/>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Controls and Procedures</w:t>
              </w:r>
            </w:hyperlink>
          </w:p>
        </w:tc>
        <w:tc>
          <w:tcPr>
            <w:tcW w:w="1260" w:type="dxa"/>
            <w:vAlign w:val="bottom"/>
          </w:tcPr>
          <w:p>
            <w:pPr>
              <w:ind w:left="840"/>
              <w:spacing w:after="0" w:line="196" w:lineRule="exact"/>
              <w:rPr>
                <w:sz w:val="20"/>
                <w:szCs w:val="20"/>
                <w:color w:val="auto"/>
              </w:rPr>
            </w:pPr>
            <w:r>
              <w:rPr>
                <w:rFonts w:ascii="Arial" w:cs="Arial" w:eastAsia="Arial" w:hAnsi="Arial"/>
                <w:sz w:val="18"/>
                <w:szCs w:val="18"/>
                <w:color w:val="auto"/>
                <w:w w:val="86"/>
              </w:rPr>
              <w:t>36-37</w:t>
            </w:r>
          </w:p>
        </w:tc>
      </w:tr>
      <w:tr>
        <w:trPr>
          <w:trHeight w:val="20"/>
        </w:trPr>
        <w:tc>
          <w:tcPr>
            <w:tcW w:w="4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Borders>
              <w:right w:val="single" w:sz="8" w:color="0000EE"/>
            </w:tcBorders>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80" w:type="dxa"/>
            <w:vAlign w:val="bottom"/>
            <w:gridSpan w:val="7"/>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96"/>
        </w:trPr>
        <w:tc>
          <w:tcPr>
            <w:tcW w:w="1600" w:type="dxa"/>
            <w:vAlign w:val="bottom"/>
            <w:gridSpan w:val="3"/>
          </w:tcPr>
          <w:p>
            <w:pPr>
              <w:spacing w:after="0" w:line="196" w:lineRule="exact"/>
              <w:rPr>
                <w:rFonts w:ascii="Arial" w:cs="Arial" w:eastAsia="Arial" w:hAnsi="Arial"/>
                <w:sz w:val="18"/>
                <w:szCs w:val="18"/>
                <w:b w:val="1"/>
                <w:bCs w:val="1"/>
                <w:color w:val="0000EE"/>
              </w:rPr>
            </w:pPr>
            <w:hyperlink w:anchor="page39">
              <w:r>
                <w:rPr>
                  <w:rFonts w:ascii="Arial" w:cs="Arial" w:eastAsia="Arial" w:hAnsi="Arial"/>
                  <w:sz w:val="18"/>
                  <w:szCs w:val="18"/>
                  <w:b w:val="1"/>
                  <w:bCs w:val="1"/>
                  <w:color w:val="0000EE"/>
                </w:rPr>
                <w:t>PART II</w:t>
              </w:r>
            </w:hyperlink>
          </w:p>
        </w:tc>
        <w:tc>
          <w:tcPr>
            <w:tcW w:w="8120" w:type="dxa"/>
            <w:vAlign w:val="bottom"/>
            <w:gridSpan w:val="11"/>
          </w:tcPr>
          <w:p>
            <w:pPr>
              <w:spacing w:after="0" w:line="196" w:lineRule="exact"/>
              <w:rPr>
                <w:rFonts w:ascii="Arial" w:cs="Arial" w:eastAsia="Arial" w:hAnsi="Arial"/>
                <w:sz w:val="18"/>
                <w:szCs w:val="18"/>
                <w:b w:val="1"/>
                <w:bCs w:val="1"/>
                <w:color w:val="0000EE"/>
              </w:rPr>
            </w:pPr>
            <w:hyperlink w:anchor="page39">
              <w:r>
                <w:rPr>
                  <w:rFonts w:ascii="Arial" w:cs="Arial" w:eastAsia="Arial" w:hAnsi="Arial"/>
                  <w:sz w:val="18"/>
                  <w:szCs w:val="18"/>
                  <w:b w:val="1"/>
                  <w:bCs w:val="1"/>
                  <w:color w:val="0000EE"/>
                </w:rPr>
                <w:t>OTHER INFORMATION</w:t>
              </w:r>
            </w:hyperlink>
          </w:p>
        </w:tc>
        <w:tc>
          <w:tcPr>
            <w:tcW w:w="1260" w:type="dxa"/>
            <w:vAlign w:val="bottom"/>
          </w:tcPr>
          <w:p>
            <w:pPr>
              <w:spacing w:after="0"/>
              <w:rPr>
                <w:sz w:val="17"/>
                <w:szCs w:val="17"/>
                <w:color w:val="auto"/>
              </w:rPr>
            </w:pPr>
          </w:p>
        </w:tc>
      </w:tr>
      <w:tr>
        <w:trPr>
          <w:trHeight w:val="20"/>
        </w:trPr>
        <w:tc>
          <w:tcPr>
            <w:tcW w:w="660" w:type="dxa"/>
            <w:vAlign w:val="bottom"/>
            <w:gridSpan w:val="2"/>
            <w:shd w:val="clear" w:color="auto" w:fill="0000EE"/>
          </w:tcPr>
          <w:p>
            <w:pPr>
              <w:spacing w:after="0" w:line="20" w:lineRule="exact"/>
              <w:rPr>
                <w:sz w:val="1"/>
                <w:szCs w:val="1"/>
                <w:color w:val="auto"/>
              </w:rPr>
            </w:pPr>
          </w:p>
        </w:tc>
        <w:tc>
          <w:tcPr>
            <w:tcW w:w="940" w:type="dxa"/>
            <w:vAlign w:val="bottom"/>
            <w:tcBorders>
              <w:right w:val="single" w:sz="8" w:color="0000EE"/>
            </w:tcBorders>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80" w:type="dxa"/>
            <w:vAlign w:val="bottom"/>
            <w:gridSpan w:val="7"/>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96"/>
        </w:trPr>
        <w:tc>
          <w:tcPr>
            <w:tcW w:w="480" w:type="dxa"/>
            <w:vAlign w:val="bottom"/>
          </w:tcPr>
          <w:p>
            <w:pPr>
              <w:spacing w:after="0" w:line="196" w:lineRule="exact"/>
              <w:rPr>
                <w:rFonts w:ascii="Arial" w:cs="Arial" w:eastAsia="Arial" w:hAnsi="Arial"/>
                <w:sz w:val="18"/>
                <w:szCs w:val="18"/>
                <w:color w:val="0000EE"/>
                <w:w w:val="91"/>
              </w:rPr>
            </w:pPr>
            <w:hyperlink w:anchor="page39">
              <w:r>
                <w:rPr>
                  <w:rFonts w:ascii="Arial" w:cs="Arial" w:eastAsia="Arial" w:hAnsi="Arial"/>
                  <w:sz w:val="18"/>
                  <w:szCs w:val="18"/>
                  <w:color w:val="0000EE"/>
                  <w:w w:val="91"/>
                </w:rPr>
                <w:t>Item 1</w:t>
              </w:r>
            </w:hyperlink>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120" w:type="dxa"/>
            <w:vAlign w:val="bottom"/>
            <w:gridSpan w:val="11"/>
          </w:tcPr>
          <w:p>
            <w:pPr>
              <w:spacing w:after="0" w:line="196" w:lineRule="exact"/>
              <w:rPr>
                <w:rFonts w:ascii="Arial" w:cs="Arial" w:eastAsia="Arial" w:hAnsi="Arial"/>
                <w:sz w:val="18"/>
                <w:szCs w:val="18"/>
                <w:color w:val="0000EE"/>
              </w:rPr>
            </w:pPr>
            <w:hyperlink w:anchor="page39">
              <w:r>
                <w:rPr>
                  <w:rFonts w:ascii="Arial" w:cs="Arial" w:eastAsia="Arial" w:hAnsi="Arial"/>
                  <w:sz w:val="18"/>
                  <w:szCs w:val="18"/>
                  <w:color w:val="0000EE"/>
                </w:rPr>
                <w:t>Legal Proceedings</w:t>
              </w:r>
            </w:hyperlink>
          </w:p>
        </w:tc>
        <w:tc>
          <w:tcPr>
            <w:tcW w:w="1260" w:type="dxa"/>
            <w:vAlign w:val="bottom"/>
          </w:tcPr>
          <w:p>
            <w:pPr>
              <w:ind w:left="820"/>
              <w:spacing w:after="0" w:line="196" w:lineRule="exact"/>
              <w:rPr>
                <w:sz w:val="20"/>
                <w:szCs w:val="20"/>
                <w:color w:val="auto"/>
              </w:rPr>
            </w:pPr>
            <w:r>
              <w:rPr>
                <w:rFonts w:ascii="Arial" w:cs="Arial" w:eastAsia="Arial" w:hAnsi="Arial"/>
                <w:sz w:val="18"/>
                <w:szCs w:val="18"/>
                <w:color w:val="auto"/>
              </w:rPr>
              <w:t>38</w:t>
            </w:r>
          </w:p>
        </w:tc>
      </w:tr>
      <w:tr>
        <w:trPr>
          <w:trHeight w:val="20"/>
        </w:trPr>
        <w:tc>
          <w:tcPr>
            <w:tcW w:w="480" w:type="dxa"/>
            <w:vAlign w:val="bottom"/>
            <w:shd w:val="clear" w:color="auto" w:fill="0000EE"/>
          </w:tcPr>
          <w:p>
            <w:pPr>
              <w:spacing w:after="0" w:line="20" w:lineRule="exact"/>
              <w:rPr>
                <w:sz w:val="1"/>
                <w:szCs w:val="1"/>
                <w:color w:val="auto"/>
              </w:rPr>
            </w:pPr>
          </w:p>
        </w:tc>
        <w:tc>
          <w:tcPr>
            <w:tcW w:w="1120" w:type="dxa"/>
            <w:vAlign w:val="bottom"/>
            <w:tcBorders>
              <w:right w:val="single" w:sz="8" w:color="0000EE"/>
            </w:tcBorders>
            <w:gridSpan w:val="2"/>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5680" w:type="dxa"/>
            <w:vAlign w:val="bottom"/>
            <w:gridSpan w:val="7"/>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96"/>
        </w:trPr>
        <w:tc>
          <w:tcPr>
            <w:tcW w:w="480" w:type="dxa"/>
            <w:vAlign w:val="bottom"/>
          </w:tcPr>
          <w:p>
            <w:pPr>
              <w:spacing w:after="0" w:line="196" w:lineRule="exact"/>
              <w:rPr>
                <w:rFonts w:ascii="Arial" w:cs="Arial" w:eastAsia="Arial" w:hAnsi="Arial"/>
                <w:sz w:val="18"/>
                <w:szCs w:val="18"/>
                <w:color w:val="0000EE"/>
                <w:w w:val="91"/>
              </w:rPr>
            </w:pPr>
            <w:hyperlink w:anchor="page39">
              <w:r>
                <w:rPr>
                  <w:rFonts w:ascii="Arial" w:cs="Arial" w:eastAsia="Arial" w:hAnsi="Arial"/>
                  <w:sz w:val="18"/>
                  <w:szCs w:val="18"/>
                  <w:color w:val="0000EE"/>
                  <w:w w:val="91"/>
                </w:rPr>
                <w:t>Item 6</w:t>
              </w:r>
            </w:hyperlink>
          </w:p>
        </w:tc>
        <w:tc>
          <w:tcPr>
            <w:tcW w:w="1120" w:type="dxa"/>
            <w:vAlign w:val="bottom"/>
            <w:gridSpan w:val="2"/>
          </w:tcPr>
          <w:p>
            <w:pPr>
              <w:spacing w:after="0"/>
              <w:rPr>
                <w:sz w:val="17"/>
                <w:szCs w:val="17"/>
                <w:color w:val="auto"/>
              </w:rPr>
            </w:pPr>
          </w:p>
        </w:tc>
        <w:tc>
          <w:tcPr>
            <w:tcW w:w="8120" w:type="dxa"/>
            <w:vAlign w:val="bottom"/>
            <w:gridSpan w:val="11"/>
          </w:tcPr>
          <w:p>
            <w:pPr>
              <w:spacing w:after="0" w:line="196" w:lineRule="exact"/>
              <w:rPr>
                <w:rFonts w:ascii="Arial" w:cs="Arial" w:eastAsia="Arial" w:hAnsi="Arial"/>
                <w:sz w:val="18"/>
                <w:szCs w:val="18"/>
                <w:color w:val="0000EE"/>
              </w:rPr>
            </w:pPr>
            <w:hyperlink w:anchor="page39">
              <w:r>
                <w:rPr>
                  <w:rFonts w:ascii="Arial" w:cs="Arial" w:eastAsia="Arial" w:hAnsi="Arial"/>
                  <w:sz w:val="18"/>
                  <w:szCs w:val="18"/>
                  <w:color w:val="0000EE"/>
                </w:rPr>
                <w:t>Exhibits and Reports on Form 8-K</w:t>
              </w:r>
            </w:hyperlink>
          </w:p>
        </w:tc>
        <w:tc>
          <w:tcPr>
            <w:tcW w:w="1260" w:type="dxa"/>
            <w:vAlign w:val="bottom"/>
          </w:tcPr>
          <w:p>
            <w:pPr>
              <w:ind w:left="820"/>
              <w:spacing w:after="0" w:line="196" w:lineRule="exact"/>
              <w:rPr>
                <w:sz w:val="20"/>
                <w:szCs w:val="20"/>
                <w:color w:val="auto"/>
              </w:rPr>
            </w:pPr>
            <w:r>
              <w:rPr>
                <w:rFonts w:ascii="Arial" w:cs="Arial" w:eastAsia="Arial" w:hAnsi="Arial"/>
                <w:sz w:val="18"/>
                <w:szCs w:val="18"/>
                <w:color w:val="auto"/>
                <w:w w:val="91"/>
              </w:rPr>
              <w:t>38-39</w:t>
            </w:r>
          </w:p>
        </w:tc>
      </w:tr>
      <w:tr>
        <w:trPr>
          <w:trHeight w:val="20"/>
        </w:trPr>
        <w:tc>
          <w:tcPr>
            <w:tcW w:w="480" w:type="dxa"/>
            <w:vAlign w:val="bottom"/>
            <w:shd w:val="clear" w:color="auto" w:fill="0000EE"/>
          </w:tcPr>
          <w:p>
            <w:pPr>
              <w:spacing w:after="0" w:line="20" w:lineRule="exact"/>
              <w:rPr>
                <w:sz w:val="1"/>
                <w:szCs w:val="1"/>
                <w:color w:val="auto"/>
              </w:rPr>
            </w:pPr>
          </w:p>
        </w:tc>
        <w:tc>
          <w:tcPr>
            <w:tcW w:w="1120" w:type="dxa"/>
            <w:vAlign w:val="bottom"/>
            <w:tcBorders>
              <w:right w:val="single" w:sz="8" w:color="0000EE"/>
            </w:tcBorders>
            <w:gridSpan w:val="2"/>
          </w:tcPr>
          <w:p>
            <w:pPr>
              <w:spacing w:after="0" w:line="20" w:lineRule="exact"/>
              <w:rPr>
                <w:sz w:val="1"/>
                <w:szCs w:val="1"/>
                <w:color w:val="auto"/>
              </w:rPr>
            </w:pPr>
          </w:p>
        </w:tc>
        <w:tc>
          <w:tcPr>
            <w:tcW w:w="2440" w:type="dxa"/>
            <w:vAlign w:val="bottom"/>
            <w:gridSpan w:val="4"/>
            <w:shd w:val="clear" w:color="auto" w:fill="0000EE"/>
          </w:tcPr>
          <w:p>
            <w:pPr>
              <w:spacing w:after="0" w:line="20" w:lineRule="exact"/>
              <w:rPr>
                <w:sz w:val="1"/>
                <w:szCs w:val="1"/>
                <w:color w:val="auto"/>
              </w:rPr>
            </w:pPr>
          </w:p>
        </w:tc>
        <w:tc>
          <w:tcPr>
            <w:tcW w:w="5680" w:type="dxa"/>
            <w:vAlign w:val="bottom"/>
            <w:gridSpan w:val="7"/>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96"/>
        </w:trPr>
        <w:tc>
          <w:tcPr>
            <w:tcW w:w="1600" w:type="dxa"/>
            <w:vAlign w:val="bottom"/>
            <w:tcBorders>
              <w:bottom w:val="single" w:sz="8" w:color="0000EE"/>
            </w:tcBorders>
            <w:gridSpan w:val="3"/>
          </w:tcPr>
          <w:p>
            <w:pPr>
              <w:spacing w:after="0" w:line="196" w:lineRule="exact"/>
              <w:rPr>
                <w:rFonts w:ascii="Arial" w:cs="Arial" w:eastAsia="Arial" w:hAnsi="Arial"/>
                <w:sz w:val="18"/>
                <w:szCs w:val="18"/>
                <w:b w:val="1"/>
                <w:bCs w:val="1"/>
                <w:color w:val="0000EE"/>
                <w:w w:val="96"/>
              </w:rPr>
            </w:pPr>
            <w:hyperlink w:anchor="page41">
              <w:r>
                <w:rPr>
                  <w:rFonts w:ascii="Arial" w:cs="Arial" w:eastAsia="Arial" w:hAnsi="Arial"/>
                  <w:sz w:val="18"/>
                  <w:szCs w:val="18"/>
                  <w:b w:val="1"/>
                  <w:bCs w:val="1"/>
                  <w:color w:val="0000EE"/>
                  <w:w w:val="96"/>
                </w:rPr>
                <w:t>SIGNATURE PAGE</w:t>
              </w:r>
            </w:hyperlink>
          </w:p>
        </w:tc>
        <w:tc>
          <w:tcPr>
            <w:tcW w:w="8120" w:type="dxa"/>
            <w:vAlign w:val="bottom"/>
            <w:gridSpan w:val="11"/>
          </w:tcPr>
          <w:p>
            <w:pPr>
              <w:spacing w:after="0"/>
              <w:rPr>
                <w:sz w:val="17"/>
                <w:szCs w:val="17"/>
                <w:color w:val="auto"/>
              </w:rPr>
            </w:pPr>
          </w:p>
        </w:tc>
        <w:tc>
          <w:tcPr>
            <w:tcW w:w="1260" w:type="dxa"/>
            <w:vAlign w:val="bottom"/>
          </w:tcPr>
          <w:p>
            <w:pPr>
              <w:ind w:left="820"/>
              <w:spacing w:after="0" w:line="196" w:lineRule="exact"/>
              <w:rPr>
                <w:sz w:val="20"/>
                <w:szCs w:val="20"/>
                <w:color w:val="auto"/>
              </w:rPr>
            </w:pPr>
            <w:r>
              <w:rPr>
                <w:rFonts w:ascii="Arial" w:cs="Arial" w:eastAsia="Arial" w:hAnsi="Arial"/>
                <w:sz w:val="18"/>
                <w:szCs w:val="18"/>
                <w:color w:val="auto"/>
              </w:rPr>
              <w:t>40</w:t>
            </w:r>
          </w:p>
        </w:tc>
      </w:tr>
    </w:tbl>
    <w:p>
      <w:pPr>
        <w:spacing w:after="0" w:line="1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EXHIBIT 31-302 CERTIFICATION OF CEO AND CFO</w:t>
      </w:r>
    </w:p>
    <w:p>
      <w:pPr>
        <w:spacing w:after="0" w:line="15"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EXHIBIT 32-906 CERTIFICATION OF CEO AND CFO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399415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80"/>
          </w:cols>
          <w:pgMar w:left="240" w:top="108" w:right="67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BALANCE SHEETS AT MARCH 31, 2004 AND DECEMBER 31, 2003 (Unaudited)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 thousands, except share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2"/>
              </w:rPr>
              <w:t>March 31,</w:t>
            </w:r>
          </w:p>
        </w:tc>
        <w:tc>
          <w:tcPr>
            <w:tcW w:w="320" w:type="dxa"/>
            <w:vAlign w:val="bottom"/>
          </w:tcPr>
          <w:p>
            <w:pPr>
              <w:spacing w:after="0"/>
              <w:rPr>
                <w:sz w:val="14"/>
                <w:szCs w:val="14"/>
                <w:color w:val="auto"/>
              </w:rPr>
            </w:pPr>
          </w:p>
        </w:tc>
        <w:tc>
          <w:tcPr>
            <w:tcW w:w="1540" w:type="dxa"/>
            <w:vAlign w:val="bottom"/>
            <w:gridSpan w:val="3"/>
          </w:tcPr>
          <w:p>
            <w:pPr>
              <w:ind w:left="3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6"/>
        </w:trPr>
        <w:tc>
          <w:tcPr>
            <w:tcW w:w="8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40" w:type="dxa"/>
            <w:vAlign w:val="bottom"/>
          </w:tcPr>
          <w:p>
            <w:pPr>
              <w:jc w:val="right"/>
              <w:ind w:right="111"/>
              <w:spacing w:after="0"/>
              <w:rPr>
                <w:sz w:val="20"/>
                <w:szCs w:val="20"/>
                <w:color w:val="auto"/>
              </w:rPr>
            </w:pPr>
            <w:r>
              <w:rPr>
                <w:rFonts w:ascii="Arial" w:cs="Arial" w:eastAsia="Arial" w:hAnsi="Arial"/>
                <w:sz w:val="14"/>
                <w:szCs w:val="14"/>
                <w:b w:val="1"/>
                <w:bCs w:val="1"/>
                <w:color w:val="auto"/>
              </w:rPr>
              <w:t>2004</w:t>
            </w:r>
          </w:p>
        </w:tc>
        <w:tc>
          <w:tcPr>
            <w:tcW w:w="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60" w:type="dxa"/>
            <w:vAlign w:val="bottom"/>
          </w:tcPr>
          <w:p>
            <w:pPr>
              <w:jc w:val="right"/>
              <w:ind w:right="111"/>
              <w:spacing w:after="0"/>
              <w:rPr>
                <w:sz w:val="20"/>
                <w:szCs w:val="20"/>
                <w:color w:val="auto"/>
              </w:rPr>
            </w:pPr>
            <w:r>
              <w:rPr>
                <w:rFonts w:ascii="Arial" w:cs="Arial" w:eastAsia="Arial" w:hAnsi="Arial"/>
                <w:sz w:val="14"/>
                <w:szCs w:val="14"/>
                <w:b w:val="1"/>
                <w:bCs w:val="1"/>
                <w:color w:val="auto"/>
              </w:rPr>
              <w:t>2003</w:t>
            </w: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8120" w:type="dxa"/>
            <w:vAlign w:val="bottom"/>
          </w:tcPr>
          <w:p>
            <w:pPr>
              <w:spacing w:after="0"/>
              <w:rPr>
                <w:sz w:val="5"/>
                <w:szCs w:val="5"/>
                <w:color w:val="auto"/>
              </w:rPr>
            </w:pPr>
          </w:p>
        </w:tc>
        <w:tc>
          <w:tcPr>
            <w:tcW w:w="420" w:type="dxa"/>
            <w:vAlign w:val="bottom"/>
            <w:tcBorders>
              <w:bottom w:val="single" w:sz="8" w:color="808080"/>
            </w:tcBorders>
          </w:tcPr>
          <w:p>
            <w:pPr>
              <w:spacing w:after="0"/>
              <w:rPr>
                <w:sz w:val="5"/>
                <w:szCs w:val="5"/>
                <w:color w:val="auto"/>
              </w:rPr>
            </w:pPr>
          </w:p>
        </w:tc>
        <w:tc>
          <w:tcPr>
            <w:tcW w:w="640" w:type="dxa"/>
            <w:vAlign w:val="bottom"/>
            <w:tcBorders>
              <w:bottom w:val="single" w:sz="8" w:color="808080"/>
            </w:tcBorders>
          </w:tcPr>
          <w:p>
            <w:pPr>
              <w:spacing w:after="0"/>
              <w:rPr>
                <w:sz w:val="5"/>
                <w:szCs w:val="5"/>
                <w:color w:val="auto"/>
              </w:rPr>
            </w:pPr>
          </w:p>
        </w:tc>
        <w:tc>
          <w:tcPr>
            <w:tcW w:w="380" w:type="dxa"/>
            <w:vAlign w:val="bottom"/>
            <w:tcBorders>
              <w:bottom w:val="single" w:sz="8" w:color="808080"/>
            </w:tcBorders>
          </w:tcPr>
          <w:p>
            <w:pPr>
              <w:spacing w:after="0"/>
              <w:rPr>
                <w:sz w:val="5"/>
                <w:szCs w:val="5"/>
                <w:color w:val="auto"/>
              </w:rPr>
            </w:pPr>
          </w:p>
        </w:tc>
        <w:tc>
          <w:tcPr>
            <w:tcW w:w="320" w:type="dxa"/>
            <w:vAlign w:val="bottom"/>
          </w:tcPr>
          <w:p>
            <w:pPr>
              <w:spacing w:after="0"/>
              <w:rPr>
                <w:sz w:val="5"/>
                <w:szCs w:val="5"/>
                <w:color w:val="auto"/>
              </w:rPr>
            </w:pPr>
          </w:p>
        </w:tc>
        <w:tc>
          <w:tcPr>
            <w:tcW w:w="460" w:type="dxa"/>
            <w:vAlign w:val="bottom"/>
            <w:tcBorders>
              <w:bottom w:val="single" w:sz="8" w:color="808080"/>
            </w:tcBorders>
          </w:tcPr>
          <w:p>
            <w:pPr>
              <w:spacing w:after="0"/>
              <w:rPr>
                <w:sz w:val="5"/>
                <w:szCs w:val="5"/>
                <w:color w:val="auto"/>
              </w:rPr>
            </w:pPr>
          </w:p>
        </w:tc>
        <w:tc>
          <w:tcPr>
            <w:tcW w:w="660" w:type="dxa"/>
            <w:vAlign w:val="bottom"/>
            <w:tcBorders>
              <w:bottom w:val="single" w:sz="8" w:color="808080"/>
            </w:tcBorders>
          </w:tcPr>
          <w:p>
            <w:pPr>
              <w:spacing w:after="0"/>
              <w:rPr>
                <w:sz w:val="5"/>
                <w:szCs w:val="5"/>
                <w:color w:val="auto"/>
              </w:rPr>
            </w:pPr>
          </w:p>
        </w:tc>
        <w:tc>
          <w:tcPr>
            <w:tcW w:w="42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8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40" w:type="dxa"/>
            <w:vAlign w:val="bottom"/>
          </w:tcPr>
          <w:p>
            <w:pPr>
              <w:spacing w:after="0"/>
              <w:rPr>
                <w:sz w:val="5"/>
                <w:szCs w:val="5"/>
                <w:color w:val="auto"/>
              </w:rPr>
            </w:pPr>
          </w:p>
        </w:tc>
        <w:tc>
          <w:tcPr>
            <w:tcW w:w="3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60" w:type="dxa"/>
            <w:vAlign w:val="bottom"/>
          </w:tcPr>
          <w:p>
            <w:pPr>
              <w:spacing w:after="0"/>
              <w:rPr>
                <w:sz w:val="5"/>
                <w:szCs w:val="5"/>
                <w:color w:val="auto"/>
              </w:rPr>
            </w:pPr>
          </w:p>
        </w:tc>
        <w:tc>
          <w:tcPr>
            <w:tcW w:w="660" w:type="dxa"/>
            <w:vAlign w:val="bottom"/>
          </w:tcPr>
          <w:p>
            <w:pPr>
              <w:spacing w:after="0"/>
              <w:rPr>
                <w:sz w:val="5"/>
                <w:szCs w:val="5"/>
                <w:color w:val="auto"/>
              </w:rPr>
            </w:pPr>
          </w:p>
        </w:tc>
        <w:tc>
          <w:tcPr>
            <w:tcW w:w="4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8120" w:type="dxa"/>
            <w:vAlign w:val="bottom"/>
            <w:shd w:val="clear" w:color="auto" w:fill="EEEEEE"/>
          </w:tcPr>
          <w:p>
            <w:pPr>
              <w:ind w:left="3840"/>
              <w:spacing w:after="0"/>
              <w:rPr>
                <w:sz w:val="20"/>
                <w:szCs w:val="20"/>
                <w:color w:val="auto"/>
              </w:rPr>
            </w:pPr>
            <w:r>
              <w:rPr>
                <w:rFonts w:ascii="Arial" w:cs="Arial" w:eastAsia="Arial" w:hAnsi="Arial"/>
                <w:sz w:val="18"/>
                <w:szCs w:val="18"/>
                <w:b w:val="1"/>
                <w:bCs w:val="1"/>
                <w:color w:val="auto"/>
              </w:rPr>
              <w:t>ASSETS</w:t>
            </w:r>
          </w:p>
        </w:tc>
        <w:tc>
          <w:tcPr>
            <w:tcW w:w="420" w:type="dxa"/>
            <w:vAlign w:val="bottom"/>
            <w:tcBorders>
              <w:right w:val="single" w:sz="8" w:color="EEEEEE"/>
            </w:tcBorders>
            <w:shd w:val="clear" w:color="auto" w:fill="EEEEEE"/>
          </w:tcPr>
          <w:p>
            <w:pPr>
              <w:spacing w:after="0"/>
              <w:rPr>
                <w:sz w:val="18"/>
                <w:szCs w:val="18"/>
                <w:color w:val="auto"/>
              </w:rPr>
            </w:pPr>
          </w:p>
        </w:tc>
        <w:tc>
          <w:tcPr>
            <w:tcW w:w="640" w:type="dxa"/>
            <w:vAlign w:val="bottom"/>
            <w:tcBorders>
              <w:right w:val="single" w:sz="8" w:color="EEEEEE"/>
            </w:tcBorders>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660" w:type="dxa"/>
            <w:vAlign w:val="bottom"/>
            <w:tcBorders>
              <w:right w:val="single" w:sz="8" w:color="EEEEEE"/>
            </w:tcBorders>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20" w:type="dxa"/>
            <w:vAlign w:val="bottom"/>
          </w:tcPr>
          <w:p>
            <w:pPr>
              <w:spacing w:after="0"/>
              <w:rPr>
                <w:sz w:val="20"/>
                <w:szCs w:val="20"/>
                <w:color w:val="auto"/>
              </w:rPr>
            </w:pPr>
            <w:r>
              <w:rPr>
                <w:rFonts w:ascii="Arial" w:cs="Arial" w:eastAsia="Arial" w:hAnsi="Arial"/>
                <w:sz w:val="18"/>
                <w:szCs w:val="18"/>
                <w:color w:val="auto"/>
              </w:rPr>
              <w:t>Current assets</w:t>
            </w: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20" w:type="dxa"/>
            <w:vAlign w:val="bottom"/>
            <w:shd w:val="clear" w:color="auto" w:fill="EEEEEE"/>
          </w:tcPr>
          <w:p>
            <w:pPr>
              <w:ind w:left="140"/>
              <w:spacing w:after="0"/>
              <w:rPr>
                <w:sz w:val="20"/>
                <w:szCs w:val="20"/>
                <w:color w:val="auto"/>
              </w:rPr>
            </w:pPr>
            <w:r>
              <w:rPr>
                <w:rFonts w:ascii="Arial" w:cs="Arial" w:eastAsia="Arial" w:hAnsi="Arial"/>
                <w:sz w:val="18"/>
                <w:szCs w:val="18"/>
                <w:color w:val="auto"/>
              </w:rPr>
              <w:t>Cash and cash equivalents</w:t>
            </w: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92"/>
              </w:rPr>
              <w:t>174,034</w:t>
            </w:r>
          </w:p>
        </w:tc>
        <w:tc>
          <w:tcPr>
            <w:tcW w:w="380" w:type="dxa"/>
            <w:vAlign w:val="bottom"/>
            <w:shd w:val="clear" w:color="auto" w:fill="EEEEEE"/>
          </w:tcPr>
          <w:p>
            <w:pPr>
              <w:spacing w:after="0"/>
              <w:rPr>
                <w:sz w:val="18"/>
                <w:szCs w:val="18"/>
                <w:color w:val="auto"/>
              </w:rPr>
            </w:pPr>
          </w:p>
        </w:tc>
        <w:tc>
          <w:tcPr>
            <w:tcW w:w="780" w:type="dxa"/>
            <w:vAlign w:val="bottom"/>
            <w:tcBorders>
              <w:right w:val="single" w:sz="8" w:color="EEEEEE"/>
            </w:tcBorders>
            <w:gridSpan w:val="2"/>
            <w:shd w:val="clear" w:color="auto" w:fill="EEEEEE"/>
          </w:tcPr>
          <w:p>
            <w:pPr>
              <w:ind w:left="680"/>
              <w:spacing w:after="0"/>
              <w:rPr>
                <w:sz w:val="20"/>
                <w:szCs w:val="20"/>
                <w:color w:val="auto"/>
              </w:rPr>
            </w:pPr>
            <w:r>
              <w:rPr>
                <w:rFonts w:ascii="Arial" w:cs="Arial" w:eastAsia="Arial" w:hAnsi="Arial"/>
                <w:sz w:val="15"/>
                <w:szCs w:val="15"/>
                <w:color w:val="auto"/>
                <w:w w:val="71"/>
              </w:rPr>
              <w:t>$</w:t>
            </w:r>
          </w:p>
        </w:tc>
        <w:tc>
          <w:tcPr>
            <w:tcW w:w="6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95"/>
              </w:rPr>
              <w:t>118,285</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20" w:type="dxa"/>
            <w:vAlign w:val="bottom"/>
          </w:tcPr>
          <w:p>
            <w:pPr>
              <w:ind w:left="140"/>
              <w:spacing w:after="0"/>
              <w:rPr>
                <w:sz w:val="20"/>
                <w:szCs w:val="20"/>
                <w:color w:val="auto"/>
              </w:rPr>
            </w:pPr>
            <w:r>
              <w:rPr>
                <w:rFonts w:ascii="Arial" w:cs="Arial" w:eastAsia="Arial" w:hAnsi="Arial"/>
                <w:sz w:val="18"/>
                <w:szCs w:val="18"/>
                <w:color w:val="auto"/>
              </w:rPr>
              <w:t>Marketable securities</w:t>
            </w:r>
          </w:p>
        </w:tc>
        <w:tc>
          <w:tcPr>
            <w:tcW w:w="4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2"/>
              </w:rPr>
              <w:t>135,725</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164,576</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20" w:type="dxa"/>
            <w:vAlign w:val="bottom"/>
            <w:shd w:val="clear" w:color="auto" w:fill="EEEEEE"/>
          </w:tcPr>
          <w:p>
            <w:pPr>
              <w:ind w:left="140"/>
              <w:spacing w:after="0"/>
              <w:rPr>
                <w:sz w:val="20"/>
                <w:szCs w:val="20"/>
                <w:color w:val="auto"/>
              </w:rPr>
            </w:pPr>
            <w:r>
              <w:rPr>
                <w:rFonts w:ascii="Arial" w:cs="Arial" w:eastAsia="Arial" w:hAnsi="Arial"/>
                <w:sz w:val="18"/>
                <w:szCs w:val="18"/>
                <w:color w:val="auto"/>
              </w:rPr>
              <w:t>Restricted marketable securities</w:t>
            </w:r>
          </w:p>
        </w:tc>
        <w:tc>
          <w:tcPr>
            <w:tcW w:w="420" w:type="dxa"/>
            <w:vAlign w:val="bottom"/>
            <w:tcBorders>
              <w:right w:val="single" w:sz="8" w:color="EEEEEE"/>
            </w:tcBorders>
            <w:shd w:val="clear" w:color="auto" w:fill="EEEEEE"/>
          </w:tcPr>
          <w:p>
            <w:pPr>
              <w:spacing w:after="0"/>
              <w:rPr>
                <w:sz w:val="18"/>
                <w:szCs w:val="18"/>
                <w:color w:val="auto"/>
              </w:rPr>
            </w:pPr>
          </w:p>
        </w:tc>
        <w:tc>
          <w:tcPr>
            <w:tcW w:w="6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10,977</w:t>
            </w:r>
          </w:p>
        </w:tc>
        <w:tc>
          <w:tcPr>
            <w:tcW w:w="3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6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10,913</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20" w:type="dxa"/>
            <w:vAlign w:val="bottom"/>
          </w:tcPr>
          <w:p>
            <w:pPr>
              <w:ind w:left="140"/>
              <w:spacing w:after="0"/>
              <w:rPr>
                <w:sz w:val="20"/>
                <w:szCs w:val="20"/>
                <w:color w:val="auto"/>
              </w:rPr>
            </w:pPr>
            <w:r>
              <w:rPr>
                <w:rFonts w:ascii="Arial" w:cs="Arial" w:eastAsia="Arial" w:hAnsi="Arial"/>
                <w:sz w:val="18"/>
                <w:szCs w:val="18"/>
                <w:color w:val="auto"/>
              </w:rPr>
              <w:t>Accounts receivable</w:t>
            </w:r>
          </w:p>
        </w:tc>
        <w:tc>
          <w:tcPr>
            <w:tcW w:w="4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59,882</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15,529</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20" w:type="dxa"/>
            <w:vAlign w:val="bottom"/>
            <w:shd w:val="clear" w:color="auto" w:fill="EEEEEE"/>
          </w:tcPr>
          <w:p>
            <w:pPr>
              <w:ind w:left="140"/>
              <w:spacing w:after="0"/>
              <w:rPr>
                <w:sz w:val="20"/>
                <w:szCs w:val="20"/>
                <w:color w:val="auto"/>
              </w:rPr>
            </w:pPr>
            <w:r>
              <w:rPr>
                <w:rFonts w:ascii="Arial" w:cs="Arial" w:eastAsia="Arial" w:hAnsi="Arial"/>
                <w:sz w:val="18"/>
                <w:szCs w:val="18"/>
                <w:color w:val="auto"/>
              </w:rPr>
              <w:t>Prepaid expenses and other current assets</w:t>
            </w:r>
          </w:p>
        </w:tc>
        <w:tc>
          <w:tcPr>
            <w:tcW w:w="420" w:type="dxa"/>
            <w:vAlign w:val="bottom"/>
            <w:tcBorders>
              <w:right w:val="single" w:sz="8" w:color="EEEEEE"/>
            </w:tcBorders>
            <w:shd w:val="clear" w:color="auto" w:fill="EEEEEE"/>
          </w:tcPr>
          <w:p>
            <w:pPr>
              <w:spacing w:after="0"/>
              <w:rPr>
                <w:sz w:val="18"/>
                <w:szCs w:val="18"/>
                <w:color w:val="auto"/>
              </w:rPr>
            </w:pPr>
          </w:p>
        </w:tc>
        <w:tc>
          <w:tcPr>
            <w:tcW w:w="6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2,568</w:t>
            </w:r>
          </w:p>
        </w:tc>
        <w:tc>
          <w:tcPr>
            <w:tcW w:w="3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6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1,898</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120" w:type="dxa"/>
            <w:vAlign w:val="bottom"/>
          </w:tcPr>
          <w:p>
            <w:pPr>
              <w:ind w:left="140"/>
              <w:spacing w:after="0"/>
              <w:rPr>
                <w:sz w:val="20"/>
                <w:szCs w:val="20"/>
                <w:color w:val="auto"/>
              </w:rPr>
            </w:pPr>
            <w:r>
              <w:rPr>
                <w:rFonts w:ascii="Arial" w:cs="Arial" w:eastAsia="Arial" w:hAnsi="Arial"/>
                <w:sz w:val="18"/>
                <w:szCs w:val="18"/>
                <w:color w:val="auto"/>
              </w:rPr>
              <w:t>Inventory</w:t>
            </w:r>
          </w:p>
        </w:tc>
        <w:tc>
          <w:tcPr>
            <w:tcW w:w="420" w:type="dxa"/>
            <w:vAlign w:val="bottom"/>
          </w:tcPr>
          <w:p>
            <w:pPr>
              <w:spacing w:after="0"/>
              <w:rPr>
                <w:sz w:val="20"/>
                <w:szCs w:val="20"/>
                <w:color w:val="auto"/>
              </w:rPr>
            </w:pPr>
          </w:p>
        </w:tc>
        <w:tc>
          <w:tcPr>
            <w:tcW w:w="64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9,098</w:t>
            </w: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6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9,006</w:t>
            </w: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120" w:type="dxa"/>
            <w:vAlign w:val="bottom"/>
            <w:shd w:val="clear" w:color="auto" w:fill="EEEEEE"/>
          </w:tcPr>
          <w:p>
            <w:pPr>
              <w:ind w:left="280"/>
              <w:spacing w:after="0"/>
              <w:rPr>
                <w:sz w:val="20"/>
                <w:szCs w:val="20"/>
                <w:color w:val="auto"/>
              </w:rPr>
            </w:pPr>
            <w:r>
              <w:rPr>
                <w:rFonts w:ascii="Arial" w:cs="Arial" w:eastAsia="Arial" w:hAnsi="Arial"/>
                <w:sz w:val="18"/>
                <w:szCs w:val="18"/>
                <w:color w:val="auto"/>
              </w:rPr>
              <w:t>Total current assets</w:t>
            </w:r>
          </w:p>
        </w:tc>
        <w:tc>
          <w:tcPr>
            <w:tcW w:w="420" w:type="dxa"/>
            <w:vAlign w:val="bottom"/>
            <w:tcBorders>
              <w:right w:val="single" w:sz="8" w:color="EEEEEE"/>
            </w:tcBorders>
            <w:shd w:val="clear" w:color="auto" w:fill="EEEEEE"/>
          </w:tcPr>
          <w:p>
            <w:pPr>
              <w:spacing w:after="0"/>
              <w:rPr>
                <w:sz w:val="18"/>
                <w:szCs w:val="18"/>
                <w:color w:val="auto"/>
              </w:rPr>
            </w:pPr>
          </w:p>
        </w:tc>
        <w:tc>
          <w:tcPr>
            <w:tcW w:w="6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92"/>
              </w:rPr>
              <w:t>392,284</w:t>
            </w:r>
          </w:p>
        </w:tc>
        <w:tc>
          <w:tcPr>
            <w:tcW w:w="3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6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95"/>
              </w:rPr>
              <w:t>320,207</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20" w:type="dxa"/>
            <w:vAlign w:val="bottom"/>
          </w:tcPr>
          <w:p>
            <w:pPr>
              <w:spacing w:after="0"/>
              <w:rPr>
                <w:sz w:val="20"/>
                <w:szCs w:val="20"/>
                <w:color w:val="auto"/>
              </w:rPr>
            </w:pPr>
            <w:r>
              <w:rPr>
                <w:rFonts w:ascii="Arial" w:cs="Arial" w:eastAsia="Arial" w:hAnsi="Arial"/>
                <w:sz w:val="18"/>
                <w:szCs w:val="18"/>
                <w:color w:val="auto"/>
              </w:rPr>
              <w:t>Marketable securities</w:t>
            </w:r>
          </w:p>
        </w:tc>
        <w:tc>
          <w:tcPr>
            <w:tcW w:w="4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30,642</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72,792</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20" w:type="dxa"/>
            <w:vAlign w:val="bottom"/>
            <w:shd w:val="clear" w:color="auto" w:fill="EEEEEE"/>
          </w:tcPr>
          <w:p>
            <w:pPr>
              <w:spacing w:after="0"/>
              <w:rPr>
                <w:sz w:val="20"/>
                <w:szCs w:val="20"/>
                <w:color w:val="auto"/>
              </w:rPr>
            </w:pPr>
            <w:r>
              <w:rPr>
                <w:rFonts w:ascii="Arial" w:cs="Arial" w:eastAsia="Arial" w:hAnsi="Arial"/>
                <w:sz w:val="18"/>
                <w:szCs w:val="18"/>
                <w:color w:val="auto"/>
              </w:rPr>
              <w:t>Property, plant, and equipment, at cost, net of accumulated depreciation and amortization</w:t>
            </w:r>
          </w:p>
        </w:tc>
        <w:tc>
          <w:tcPr>
            <w:tcW w:w="420" w:type="dxa"/>
            <w:vAlign w:val="bottom"/>
            <w:tcBorders>
              <w:right w:val="single" w:sz="8" w:color="EEEEEE"/>
            </w:tcBorders>
            <w:shd w:val="clear" w:color="auto" w:fill="EEEEEE"/>
          </w:tcPr>
          <w:p>
            <w:pPr>
              <w:spacing w:after="0"/>
              <w:rPr>
                <w:sz w:val="18"/>
                <w:szCs w:val="18"/>
                <w:color w:val="auto"/>
              </w:rPr>
            </w:pPr>
          </w:p>
        </w:tc>
        <w:tc>
          <w:tcPr>
            <w:tcW w:w="6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77,616</w:t>
            </w:r>
          </w:p>
        </w:tc>
        <w:tc>
          <w:tcPr>
            <w:tcW w:w="3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6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80,723</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120" w:type="dxa"/>
            <w:vAlign w:val="bottom"/>
          </w:tcPr>
          <w:p>
            <w:pPr>
              <w:spacing w:after="0"/>
              <w:rPr>
                <w:sz w:val="20"/>
                <w:szCs w:val="20"/>
                <w:color w:val="auto"/>
              </w:rPr>
            </w:pPr>
            <w:r>
              <w:rPr>
                <w:rFonts w:ascii="Arial" w:cs="Arial" w:eastAsia="Arial" w:hAnsi="Arial"/>
                <w:sz w:val="18"/>
                <w:szCs w:val="18"/>
                <w:color w:val="auto"/>
              </w:rPr>
              <w:t>Other assets</w:t>
            </w:r>
          </w:p>
        </w:tc>
        <w:tc>
          <w:tcPr>
            <w:tcW w:w="420" w:type="dxa"/>
            <w:vAlign w:val="bottom"/>
          </w:tcPr>
          <w:p>
            <w:pPr>
              <w:spacing w:after="0"/>
              <w:rPr>
                <w:sz w:val="20"/>
                <w:szCs w:val="20"/>
                <w:color w:val="auto"/>
              </w:rPr>
            </w:pPr>
          </w:p>
        </w:tc>
        <w:tc>
          <w:tcPr>
            <w:tcW w:w="64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5,636</w:t>
            </w: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6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5,833</w:t>
            </w: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120" w:type="dxa"/>
            <w:vAlign w:val="bottom"/>
            <w:shd w:val="clear" w:color="auto" w:fill="EEEEEE"/>
          </w:tcPr>
          <w:p>
            <w:pPr>
              <w:ind w:left="280"/>
              <w:spacing w:after="0"/>
              <w:rPr>
                <w:sz w:val="20"/>
                <w:szCs w:val="20"/>
                <w:color w:val="auto"/>
              </w:rPr>
            </w:pPr>
            <w:r>
              <w:rPr>
                <w:rFonts w:ascii="Arial" w:cs="Arial" w:eastAsia="Arial" w:hAnsi="Arial"/>
                <w:sz w:val="18"/>
                <w:szCs w:val="18"/>
                <w:color w:val="auto"/>
              </w:rPr>
              <w:t>Total assets</w:t>
            </w: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92"/>
              </w:rPr>
              <w:t>506,178</w:t>
            </w:r>
          </w:p>
        </w:tc>
        <w:tc>
          <w:tcPr>
            <w:tcW w:w="380" w:type="dxa"/>
            <w:vAlign w:val="bottom"/>
            <w:shd w:val="clear" w:color="auto" w:fill="EEEEEE"/>
          </w:tcPr>
          <w:p>
            <w:pPr>
              <w:spacing w:after="0"/>
              <w:rPr>
                <w:sz w:val="18"/>
                <w:szCs w:val="18"/>
                <w:color w:val="auto"/>
              </w:rPr>
            </w:pPr>
          </w:p>
        </w:tc>
        <w:tc>
          <w:tcPr>
            <w:tcW w:w="780" w:type="dxa"/>
            <w:vAlign w:val="bottom"/>
            <w:tcBorders>
              <w:right w:val="single" w:sz="8" w:color="EEEEEE"/>
            </w:tcBorders>
            <w:gridSpan w:val="2"/>
            <w:shd w:val="clear" w:color="auto" w:fill="EEEEEE"/>
          </w:tcPr>
          <w:p>
            <w:pPr>
              <w:ind w:left="680"/>
              <w:spacing w:after="0"/>
              <w:rPr>
                <w:sz w:val="20"/>
                <w:szCs w:val="20"/>
                <w:color w:val="auto"/>
              </w:rPr>
            </w:pPr>
            <w:r>
              <w:rPr>
                <w:rFonts w:ascii="Arial" w:cs="Arial" w:eastAsia="Arial" w:hAnsi="Arial"/>
                <w:sz w:val="15"/>
                <w:szCs w:val="15"/>
                <w:color w:val="auto"/>
                <w:w w:val="71"/>
              </w:rPr>
              <w:t>$</w:t>
            </w:r>
          </w:p>
        </w:tc>
        <w:tc>
          <w:tcPr>
            <w:tcW w:w="6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95"/>
              </w:rPr>
              <w:t>479,555</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71"/>
        </w:trPr>
        <w:tc>
          <w:tcPr>
            <w:tcW w:w="8120" w:type="dxa"/>
            <w:vAlign w:val="bottom"/>
            <w:vMerge w:val="restart"/>
          </w:tcPr>
          <w:p>
            <w:pPr>
              <w:ind w:left="2200"/>
              <w:spacing w:after="0"/>
              <w:rPr>
                <w:sz w:val="20"/>
                <w:szCs w:val="20"/>
                <w:color w:val="auto"/>
              </w:rPr>
            </w:pPr>
            <w:r>
              <w:rPr>
                <w:rFonts w:ascii="Arial" w:cs="Arial" w:eastAsia="Arial" w:hAnsi="Arial"/>
                <w:sz w:val="18"/>
                <w:szCs w:val="18"/>
                <w:b w:val="1"/>
                <w:bCs w:val="1"/>
                <w:color w:val="auto"/>
              </w:rPr>
              <w:t>LIABILITIES and STOCKHOLDERS’ EQUITY</w:t>
            </w:r>
          </w:p>
        </w:tc>
        <w:tc>
          <w:tcPr>
            <w:tcW w:w="420" w:type="dxa"/>
            <w:vAlign w:val="bottom"/>
            <w:tcBorders>
              <w:right w:val="single" w:sz="8" w:color="808080"/>
            </w:tcBorders>
          </w:tcPr>
          <w:p>
            <w:pPr>
              <w:spacing w:after="0"/>
              <w:rPr>
                <w:sz w:val="6"/>
                <w:szCs w:val="6"/>
                <w:color w:val="auto"/>
              </w:rPr>
            </w:pPr>
          </w:p>
        </w:tc>
        <w:tc>
          <w:tcPr>
            <w:tcW w:w="640" w:type="dxa"/>
            <w:vAlign w:val="bottom"/>
            <w:tcBorders>
              <w:right w:val="single" w:sz="8" w:color="808080"/>
            </w:tcBorders>
            <w:shd w:val="clear" w:color="auto" w:fill="808080"/>
          </w:tcPr>
          <w:p>
            <w:pPr>
              <w:spacing w:after="0"/>
              <w:rPr>
                <w:sz w:val="6"/>
                <w:szCs w:val="6"/>
                <w:color w:val="auto"/>
              </w:rPr>
            </w:pPr>
          </w:p>
        </w:tc>
        <w:tc>
          <w:tcPr>
            <w:tcW w:w="3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60" w:type="dxa"/>
            <w:vAlign w:val="bottom"/>
            <w:tcBorders>
              <w:right w:val="single" w:sz="8" w:color="808080"/>
            </w:tcBorders>
          </w:tcPr>
          <w:p>
            <w:pPr>
              <w:spacing w:after="0"/>
              <w:rPr>
                <w:sz w:val="6"/>
                <w:szCs w:val="6"/>
                <w:color w:val="auto"/>
              </w:rPr>
            </w:pPr>
          </w:p>
        </w:tc>
        <w:tc>
          <w:tcPr>
            <w:tcW w:w="660" w:type="dxa"/>
            <w:vAlign w:val="bottom"/>
            <w:tcBorders>
              <w:right w:val="single" w:sz="8" w:color="808080"/>
            </w:tcBorders>
            <w:shd w:val="clear" w:color="auto" w:fill="808080"/>
          </w:tcPr>
          <w:p>
            <w:pPr>
              <w:spacing w:after="0"/>
              <w:rPr>
                <w:sz w:val="6"/>
                <w:szCs w:val="6"/>
                <w:color w:val="auto"/>
              </w:rPr>
            </w:pPr>
          </w:p>
        </w:tc>
        <w:tc>
          <w:tcPr>
            <w:tcW w:w="4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6"/>
        </w:trPr>
        <w:tc>
          <w:tcPr>
            <w:tcW w:w="8120" w:type="dxa"/>
            <w:vAlign w:val="bottom"/>
            <w:vMerge w:val="continue"/>
          </w:tcPr>
          <w:p>
            <w:pPr>
              <w:spacing w:after="0"/>
              <w:rPr>
                <w:sz w:val="19"/>
                <w:szCs w:val="19"/>
                <w:color w:val="auto"/>
              </w:rPr>
            </w:pPr>
          </w:p>
        </w:tc>
        <w:tc>
          <w:tcPr>
            <w:tcW w:w="4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120" w:type="dxa"/>
            <w:vAlign w:val="bottom"/>
            <w:shd w:val="clear" w:color="auto" w:fill="EEEEEE"/>
          </w:tcPr>
          <w:p>
            <w:pPr>
              <w:spacing w:after="0"/>
              <w:rPr>
                <w:sz w:val="20"/>
                <w:szCs w:val="20"/>
                <w:color w:val="auto"/>
              </w:rPr>
            </w:pPr>
            <w:r>
              <w:rPr>
                <w:rFonts w:ascii="Arial" w:cs="Arial" w:eastAsia="Arial" w:hAnsi="Arial"/>
                <w:sz w:val="18"/>
                <w:szCs w:val="18"/>
                <w:color w:val="auto"/>
              </w:rPr>
              <w:t>Current liabilities</w:t>
            </w:r>
          </w:p>
        </w:tc>
        <w:tc>
          <w:tcPr>
            <w:tcW w:w="420" w:type="dxa"/>
            <w:vAlign w:val="bottom"/>
            <w:tcBorders>
              <w:right w:val="single" w:sz="8" w:color="EEEEEE"/>
            </w:tcBorders>
            <w:shd w:val="clear" w:color="auto" w:fill="EEEEEE"/>
          </w:tcPr>
          <w:p>
            <w:pPr>
              <w:spacing w:after="0"/>
              <w:rPr>
                <w:sz w:val="18"/>
                <w:szCs w:val="18"/>
                <w:color w:val="auto"/>
              </w:rPr>
            </w:pPr>
          </w:p>
        </w:tc>
        <w:tc>
          <w:tcPr>
            <w:tcW w:w="640" w:type="dxa"/>
            <w:vAlign w:val="bottom"/>
            <w:tcBorders>
              <w:right w:val="single" w:sz="8" w:color="EEEEEE"/>
            </w:tcBorders>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660" w:type="dxa"/>
            <w:vAlign w:val="bottom"/>
            <w:tcBorders>
              <w:right w:val="single" w:sz="8" w:color="EEEEEE"/>
            </w:tcBorders>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20" w:type="dxa"/>
            <w:vAlign w:val="bottom"/>
          </w:tcPr>
          <w:p>
            <w:pPr>
              <w:ind w:left="140"/>
              <w:spacing w:after="0"/>
              <w:rPr>
                <w:sz w:val="20"/>
                <w:szCs w:val="20"/>
                <w:color w:val="auto"/>
              </w:rPr>
            </w:pPr>
            <w:r>
              <w:rPr>
                <w:rFonts w:ascii="Arial" w:cs="Arial" w:eastAsia="Arial" w:hAnsi="Arial"/>
                <w:sz w:val="18"/>
                <w:szCs w:val="18"/>
                <w:color w:val="auto"/>
              </w:rPr>
              <w:t>Accounts payable and accrued expenses</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18,947</w:t>
            </w:r>
          </w:p>
        </w:tc>
        <w:tc>
          <w:tcPr>
            <w:tcW w:w="380" w:type="dxa"/>
            <w:vAlign w:val="bottom"/>
          </w:tcPr>
          <w:p>
            <w:pPr>
              <w:spacing w:after="0"/>
              <w:rPr>
                <w:sz w:val="18"/>
                <w:szCs w:val="18"/>
                <w:color w:val="auto"/>
              </w:rPr>
            </w:pPr>
          </w:p>
        </w:tc>
        <w:tc>
          <w:tcPr>
            <w:tcW w:w="780" w:type="dxa"/>
            <w:vAlign w:val="bottom"/>
            <w:gridSpan w:val="2"/>
          </w:tcPr>
          <w:p>
            <w:pPr>
              <w:ind w:left="680"/>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18,933</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20" w:type="dxa"/>
            <w:vAlign w:val="bottom"/>
            <w:shd w:val="clear" w:color="auto" w:fill="EEEEEE"/>
          </w:tcPr>
          <w:p>
            <w:pPr>
              <w:ind w:left="140"/>
              <w:spacing w:after="0"/>
              <w:rPr>
                <w:sz w:val="20"/>
                <w:szCs w:val="20"/>
                <w:color w:val="auto"/>
              </w:rPr>
            </w:pPr>
            <w:r>
              <w:rPr>
                <w:rFonts w:ascii="Arial" w:cs="Arial" w:eastAsia="Arial" w:hAnsi="Arial"/>
                <w:sz w:val="18"/>
                <w:szCs w:val="18"/>
                <w:color w:val="auto"/>
              </w:rPr>
              <w:t>Deferred revenue, current portion</w:t>
            </w:r>
          </w:p>
        </w:tc>
        <w:tc>
          <w:tcPr>
            <w:tcW w:w="420" w:type="dxa"/>
            <w:vAlign w:val="bottom"/>
            <w:tcBorders>
              <w:right w:val="single" w:sz="8" w:color="EEEEEE"/>
            </w:tcBorders>
            <w:shd w:val="clear" w:color="auto" w:fill="EEEEEE"/>
          </w:tcPr>
          <w:p>
            <w:pPr>
              <w:spacing w:after="0"/>
              <w:rPr>
                <w:sz w:val="18"/>
                <w:szCs w:val="18"/>
                <w:color w:val="auto"/>
              </w:rPr>
            </w:pPr>
          </w:p>
        </w:tc>
        <w:tc>
          <w:tcPr>
            <w:tcW w:w="6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17,388</w:t>
            </w:r>
          </w:p>
        </w:tc>
        <w:tc>
          <w:tcPr>
            <w:tcW w:w="3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6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40,173</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120" w:type="dxa"/>
            <w:vAlign w:val="bottom"/>
          </w:tcPr>
          <w:p>
            <w:pPr>
              <w:ind w:left="140"/>
              <w:spacing w:after="0"/>
              <w:rPr>
                <w:sz w:val="20"/>
                <w:szCs w:val="20"/>
                <w:color w:val="auto"/>
              </w:rPr>
            </w:pPr>
            <w:r>
              <w:rPr>
                <w:rFonts w:ascii="Arial" w:cs="Arial" w:eastAsia="Arial" w:hAnsi="Arial"/>
                <w:sz w:val="18"/>
                <w:szCs w:val="18"/>
                <w:color w:val="auto"/>
              </w:rPr>
              <w:t>Loan payable to Novartis Pharma AG</w:t>
            </w:r>
          </w:p>
        </w:tc>
        <w:tc>
          <w:tcPr>
            <w:tcW w:w="420" w:type="dxa"/>
            <w:vAlign w:val="bottom"/>
          </w:tcPr>
          <w:p>
            <w:pPr>
              <w:spacing w:after="0"/>
              <w:rPr>
                <w:sz w:val="20"/>
                <w:szCs w:val="20"/>
                <w:color w:val="auto"/>
              </w:rPr>
            </w:pPr>
          </w:p>
        </w:tc>
        <w:tc>
          <w:tcPr>
            <w:tcW w:w="640" w:type="dxa"/>
            <w:vAlign w:val="bottom"/>
            <w:tcBorders>
              <w:bottom w:val="single" w:sz="8" w:color="808080"/>
            </w:tcBorders>
          </w:tcPr>
          <w:p>
            <w:pPr>
              <w:spacing w:after="0"/>
              <w:rPr>
                <w:sz w:val="20"/>
                <w:szCs w:val="20"/>
                <w:color w:val="auto"/>
              </w:rPr>
            </w:pP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6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13,817</w:t>
            </w: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120" w:type="dxa"/>
            <w:vAlign w:val="bottom"/>
            <w:shd w:val="clear" w:color="auto" w:fill="EEEEEE"/>
          </w:tcPr>
          <w:p>
            <w:pPr>
              <w:ind w:left="280"/>
              <w:spacing w:after="0"/>
              <w:rPr>
                <w:sz w:val="20"/>
                <w:szCs w:val="20"/>
                <w:color w:val="auto"/>
              </w:rPr>
            </w:pPr>
            <w:r>
              <w:rPr>
                <w:rFonts w:ascii="Arial" w:cs="Arial" w:eastAsia="Arial" w:hAnsi="Arial"/>
                <w:sz w:val="18"/>
                <w:szCs w:val="18"/>
                <w:color w:val="auto"/>
              </w:rPr>
              <w:t>Total current liabilities</w:t>
            </w:r>
          </w:p>
        </w:tc>
        <w:tc>
          <w:tcPr>
            <w:tcW w:w="420" w:type="dxa"/>
            <w:vAlign w:val="bottom"/>
            <w:tcBorders>
              <w:right w:val="single" w:sz="8" w:color="EEEEEE"/>
            </w:tcBorders>
            <w:shd w:val="clear" w:color="auto" w:fill="EEEEEE"/>
          </w:tcPr>
          <w:p>
            <w:pPr>
              <w:spacing w:after="0"/>
              <w:rPr>
                <w:sz w:val="18"/>
                <w:szCs w:val="18"/>
                <w:color w:val="auto"/>
              </w:rPr>
            </w:pPr>
          </w:p>
        </w:tc>
        <w:tc>
          <w:tcPr>
            <w:tcW w:w="6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36,335</w:t>
            </w:r>
          </w:p>
        </w:tc>
        <w:tc>
          <w:tcPr>
            <w:tcW w:w="3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6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72,923</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20" w:type="dxa"/>
            <w:vAlign w:val="bottom"/>
          </w:tcPr>
          <w:p>
            <w:pPr>
              <w:spacing w:after="0"/>
              <w:rPr>
                <w:sz w:val="20"/>
                <w:szCs w:val="20"/>
                <w:color w:val="auto"/>
              </w:rPr>
            </w:pPr>
            <w:r>
              <w:rPr>
                <w:rFonts w:ascii="Arial" w:cs="Arial" w:eastAsia="Arial" w:hAnsi="Arial"/>
                <w:sz w:val="18"/>
                <w:szCs w:val="18"/>
                <w:color w:val="auto"/>
              </w:rPr>
              <w:t>Deferred revenue</w:t>
            </w:r>
          </w:p>
        </w:tc>
        <w:tc>
          <w:tcPr>
            <w:tcW w:w="4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65,621</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68,830</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20" w:type="dxa"/>
            <w:vAlign w:val="bottom"/>
            <w:shd w:val="clear" w:color="auto" w:fill="EEEEEE"/>
          </w:tcPr>
          <w:p>
            <w:pPr>
              <w:spacing w:after="0"/>
              <w:rPr>
                <w:sz w:val="20"/>
                <w:szCs w:val="20"/>
                <w:color w:val="auto"/>
              </w:rPr>
            </w:pPr>
            <w:r>
              <w:rPr>
                <w:rFonts w:ascii="Arial" w:cs="Arial" w:eastAsia="Arial" w:hAnsi="Arial"/>
                <w:sz w:val="18"/>
                <w:szCs w:val="18"/>
                <w:color w:val="auto"/>
              </w:rPr>
              <w:t>Notes payable</w:t>
            </w:r>
          </w:p>
        </w:tc>
        <w:tc>
          <w:tcPr>
            <w:tcW w:w="420" w:type="dxa"/>
            <w:vAlign w:val="bottom"/>
            <w:tcBorders>
              <w:right w:val="single" w:sz="8" w:color="EEEEEE"/>
            </w:tcBorders>
            <w:shd w:val="clear" w:color="auto" w:fill="EEEEEE"/>
          </w:tcPr>
          <w:p>
            <w:pPr>
              <w:spacing w:after="0"/>
              <w:rPr>
                <w:sz w:val="18"/>
                <w:szCs w:val="18"/>
                <w:color w:val="auto"/>
              </w:rPr>
            </w:pPr>
          </w:p>
        </w:tc>
        <w:tc>
          <w:tcPr>
            <w:tcW w:w="6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92"/>
              </w:rPr>
              <w:t>200,000</w:t>
            </w:r>
          </w:p>
        </w:tc>
        <w:tc>
          <w:tcPr>
            <w:tcW w:w="3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6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95"/>
              </w:rPr>
              <w:t>200,000</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12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420" w:type="dxa"/>
            <w:vAlign w:val="bottom"/>
          </w:tcPr>
          <w:p>
            <w:pPr>
              <w:spacing w:after="0"/>
              <w:rPr>
                <w:sz w:val="20"/>
                <w:szCs w:val="20"/>
                <w:color w:val="auto"/>
              </w:rPr>
            </w:pPr>
          </w:p>
        </w:tc>
        <w:tc>
          <w:tcPr>
            <w:tcW w:w="64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116</w:t>
            </w: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6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159</w:t>
            </w: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120" w:type="dxa"/>
            <w:vAlign w:val="bottom"/>
            <w:shd w:val="clear" w:color="auto" w:fill="EEEEEE"/>
          </w:tcPr>
          <w:p>
            <w:pPr>
              <w:ind w:left="280"/>
              <w:spacing w:after="0"/>
              <w:rPr>
                <w:sz w:val="20"/>
                <w:szCs w:val="20"/>
                <w:color w:val="auto"/>
              </w:rPr>
            </w:pPr>
            <w:r>
              <w:rPr>
                <w:rFonts w:ascii="Arial" w:cs="Arial" w:eastAsia="Arial" w:hAnsi="Arial"/>
                <w:sz w:val="18"/>
                <w:szCs w:val="18"/>
                <w:color w:val="auto"/>
              </w:rPr>
              <w:t>Total liabilities</w:t>
            </w:r>
          </w:p>
        </w:tc>
        <w:tc>
          <w:tcPr>
            <w:tcW w:w="420" w:type="dxa"/>
            <w:vAlign w:val="bottom"/>
            <w:tcBorders>
              <w:right w:val="single" w:sz="8" w:color="EEEEEE"/>
            </w:tcBorders>
            <w:shd w:val="clear" w:color="auto" w:fill="EEEEEE"/>
          </w:tcPr>
          <w:p>
            <w:pPr>
              <w:spacing w:after="0"/>
              <w:rPr>
                <w:sz w:val="18"/>
                <w:szCs w:val="18"/>
                <w:color w:val="auto"/>
              </w:rPr>
            </w:pPr>
          </w:p>
        </w:tc>
        <w:tc>
          <w:tcPr>
            <w:tcW w:w="6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92"/>
              </w:rPr>
              <w:t>302,072</w:t>
            </w:r>
          </w:p>
        </w:tc>
        <w:tc>
          <w:tcPr>
            <w:tcW w:w="3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6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95"/>
              </w:rPr>
              <w:t>341,912</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120" w:type="dxa"/>
            <w:vAlign w:val="bottom"/>
            <w:vMerge w:val="restart"/>
          </w:tcPr>
          <w:p>
            <w:pPr>
              <w:spacing w:after="0"/>
              <w:rPr>
                <w:sz w:val="20"/>
                <w:szCs w:val="20"/>
                <w:color w:val="auto"/>
              </w:rPr>
            </w:pPr>
            <w:r>
              <w:rPr>
                <w:rFonts w:ascii="Arial" w:cs="Arial" w:eastAsia="Arial" w:hAnsi="Arial"/>
                <w:sz w:val="18"/>
                <w:szCs w:val="18"/>
                <w:color w:val="auto"/>
              </w:rPr>
              <w:t>Commitments and contingencies</w:t>
            </w:r>
          </w:p>
        </w:tc>
        <w:tc>
          <w:tcPr>
            <w:tcW w:w="420" w:type="dxa"/>
            <w:vAlign w:val="bottom"/>
          </w:tcPr>
          <w:p>
            <w:pPr>
              <w:spacing w:after="0" w:line="20" w:lineRule="exact"/>
              <w:rPr>
                <w:sz w:val="1"/>
                <w:szCs w:val="1"/>
                <w:color w:val="auto"/>
              </w:rPr>
            </w:pPr>
          </w:p>
        </w:tc>
        <w:tc>
          <w:tcPr>
            <w:tcW w:w="640" w:type="dxa"/>
            <w:vAlign w:val="bottom"/>
            <w:tcBorders>
              <w:bottom w:val="single" w:sz="8" w:color="808080"/>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Borders>
              <w:bottom w:val="single" w:sz="8" w:color="808080"/>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120" w:type="dxa"/>
            <w:vAlign w:val="bottom"/>
            <w:vMerge w:val="continue"/>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20" w:type="dxa"/>
            <w:vAlign w:val="bottom"/>
            <w:shd w:val="clear" w:color="auto" w:fill="EEEEEE"/>
          </w:tcPr>
          <w:p>
            <w:pPr>
              <w:spacing w:after="0"/>
              <w:rPr>
                <w:sz w:val="20"/>
                <w:szCs w:val="20"/>
                <w:color w:val="auto"/>
              </w:rPr>
            </w:pPr>
            <w:r>
              <w:rPr>
                <w:rFonts w:ascii="Arial" w:cs="Arial" w:eastAsia="Arial" w:hAnsi="Arial"/>
                <w:sz w:val="18"/>
                <w:szCs w:val="18"/>
                <w:color w:val="auto"/>
              </w:rPr>
              <w:t>Stockholders’ equity</w:t>
            </w:r>
          </w:p>
        </w:tc>
        <w:tc>
          <w:tcPr>
            <w:tcW w:w="420" w:type="dxa"/>
            <w:vAlign w:val="bottom"/>
            <w:tcBorders>
              <w:right w:val="single" w:sz="8" w:color="EEEEEE"/>
            </w:tcBorders>
            <w:shd w:val="clear" w:color="auto" w:fill="EEEEEE"/>
          </w:tcPr>
          <w:p>
            <w:pPr>
              <w:spacing w:after="0"/>
              <w:rPr>
                <w:sz w:val="18"/>
                <w:szCs w:val="18"/>
                <w:color w:val="auto"/>
              </w:rPr>
            </w:pPr>
          </w:p>
        </w:tc>
        <w:tc>
          <w:tcPr>
            <w:tcW w:w="640" w:type="dxa"/>
            <w:vAlign w:val="bottom"/>
            <w:tcBorders>
              <w:right w:val="single" w:sz="8" w:color="EEEEEE"/>
            </w:tcBorders>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660" w:type="dxa"/>
            <w:vAlign w:val="bottom"/>
            <w:tcBorders>
              <w:right w:val="single" w:sz="8" w:color="EEEEEE"/>
            </w:tcBorders>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20" w:type="dxa"/>
            <w:vAlign w:val="bottom"/>
          </w:tcPr>
          <w:p>
            <w:pPr>
              <w:ind w:left="140"/>
              <w:spacing w:after="0"/>
              <w:rPr>
                <w:sz w:val="20"/>
                <w:szCs w:val="20"/>
                <w:color w:val="auto"/>
              </w:rPr>
            </w:pPr>
            <w:r>
              <w:rPr>
                <w:rFonts w:ascii="Arial" w:cs="Arial" w:eastAsia="Arial" w:hAnsi="Arial"/>
                <w:sz w:val="18"/>
                <w:szCs w:val="18"/>
                <w:color w:val="auto"/>
              </w:rPr>
              <w:t>Preferred stock, $.01 par value; 30,000,000 shares authorized; issued and outstanding-none</w:t>
            </w: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120" w:type="dxa"/>
            <w:vAlign w:val="bottom"/>
            <w:shd w:val="clear" w:color="auto" w:fill="EEEEEE"/>
          </w:tcPr>
          <w:p>
            <w:pPr>
              <w:ind w:left="140"/>
              <w:spacing w:after="0" w:line="201" w:lineRule="exact"/>
              <w:rPr>
                <w:sz w:val="20"/>
                <w:szCs w:val="20"/>
                <w:color w:val="auto"/>
              </w:rPr>
            </w:pPr>
            <w:r>
              <w:rPr>
                <w:rFonts w:ascii="Arial" w:cs="Arial" w:eastAsia="Arial" w:hAnsi="Arial"/>
                <w:sz w:val="18"/>
                <w:szCs w:val="18"/>
                <w:color w:val="auto"/>
              </w:rPr>
              <w:t>Class A Stock, convertible, $.001 par value; 40,000,000 shares authorized;</w:t>
            </w:r>
          </w:p>
        </w:tc>
        <w:tc>
          <w:tcPr>
            <w:tcW w:w="420" w:type="dxa"/>
            <w:vAlign w:val="bottom"/>
            <w:tcBorders>
              <w:right w:val="single" w:sz="8" w:color="EEEEEE"/>
            </w:tcBorders>
            <w:shd w:val="clear" w:color="auto" w:fill="EEEEEE"/>
          </w:tcPr>
          <w:p>
            <w:pPr>
              <w:spacing w:after="0"/>
              <w:rPr>
                <w:sz w:val="17"/>
                <w:szCs w:val="17"/>
                <w:color w:val="auto"/>
              </w:rPr>
            </w:pPr>
          </w:p>
        </w:tc>
        <w:tc>
          <w:tcPr>
            <w:tcW w:w="640" w:type="dxa"/>
            <w:vAlign w:val="bottom"/>
            <w:tcBorders>
              <w:right w:val="single" w:sz="8" w:color="EEEEEE"/>
            </w:tcBorders>
            <w:shd w:val="clear" w:color="auto" w:fill="EEEEEE"/>
          </w:tcPr>
          <w:p>
            <w:pPr>
              <w:spacing w:after="0"/>
              <w:rPr>
                <w:sz w:val="17"/>
                <w:szCs w:val="17"/>
                <w:color w:val="auto"/>
              </w:rPr>
            </w:pPr>
          </w:p>
        </w:tc>
        <w:tc>
          <w:tcPr>
            <w:tcW w:w="38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460" w:type="dxa"/>
            <w:vAlign w:val="bottom"/>
            <w:tcBorders>
              <w:right w:val="single" w:sz="8" w:color="EEEEEE"/>
            </w:tcBorders>
            <w:shd w:val="clear" w:color="auto" w:fill="EEEEEE"/>
          </w:tcPr>
          <w:p>
            <w:pPr>
              <w:spacing w:after="0"/>
              <w:rPr>
                <w:sz w:val="17"/>
                <w:szCs w:val="17"/>
                <w:color w:val="auto"/>
              </w:rPr>
            </w:pPr>
          </w:p>
        </w:tc>
        <w:tc>
          <w:tcPr>
            <w:tcW w:w="660" w:type="dxa"/>
            <w:vAlign w:val="bottom"/>
            <w:tcBorders>
              <w:right w:val="single" w:sz="8" w:color="EEEEEE"/>
            </w:tcBorders>
            <w:shd w:val="clear" w:color="auto" w:fill="EEEEEE"/>
          </w:tcPr>
          <w:p>
            <w:pPr>
              <w:spacing w:after="0"/>
              <w:rPr>
                <w:sz w:val="17"/>
                <w:szCs w:val="17"/>
                <w:color w:val="auto"/>
              </w:rPr>
            </w:pPr>
          </w:p>
        </w:tc>
        <w:tc>
          <w:tcPr>
            <w:tcW w:w="42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120" w:type="dxa"/>
            <w:vAlign w:val="bottom"/>
            <w:shd w:val="clear" w:color="auto" w:fill="EEEEEE"/>
          </w:tcPr>
          <w:p>
            <w:pPr>
              <w:ind w:left="280"/>
              <w:spacing w:after="0"/>
              <w:rPr>
                <w:sz w:val="20"/>
                <w:szCs w:val="20"/>
                <w:color w:val="auto"/>
              </w:rPr>
            </w:pPr>
            <w:r>
              <w:rPr>
                <w:rFonts w:ascii="Arial" w:cs="Arial" w:eastAsia="Arial" w:hAnsi="Arial"/>
                <w:sz w:val="18"/>
                <w:szCs w:val="18"/>
                <w:color w:val="auto"/>
              </w:rPr>
              <w:t>2,365,873 shares issued and outstanding in 2004 and 2003</w:t>
            </w:r>
          </w:p>
        </w:tc>
        <w:tc>
          <w:tcPr>
            <w:tcW w:w="420" w:type="dxa"/>
            <w:vAlign w:val="bottom"/>
            <w:tcBorders>
              <w:right w:val="single" w:sz="8" w:color="EEEEEE"/>
            </w:tcBorders>
            <w:shd w:val="clear" w:color="auto" w:fill="EEEEEE"/>
          </w:tcPr>
          <w:p>
            <w:pPr>
              <w:spacing w:after="0"/>
              <w:rPr>
                <w:sz w:val="20"/>
                <w:szCs w:val="20"/>
                <w:color w:val="auto"/>
              </w:rPr>
            </w:pPr>
          </w:p>
        </w:tc>
        <w:tc>
          <w:tcPr>
            <w:tcW w:w="6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w:t>
            </w:r>
          </w:p>
        </w:tc>
        <w:tc>
          <w:tcPr>
            <w:tcW w:w="380" w:type="dxa"/>
            <w:vAlign w:val="bottom"/>
            <w:shd w:val="clear" w:color="auto" w:fill="EEEEEE"/>
          </w:tcPr>
          <w:p>
            <w:pPr>
              <w:spacing w:after="0"/>
              <w:rPr>
                <w:sz w:val="20"/>
                <w:szCs w:val="20"/>
                <w:color w:val="auto"/>
              </w:rPr>
            </w:pPr>
          </w:p>
        </w:tc>
        <w:tc>
          <w:tcPr>
            <w:tcW w:w="320" w:type="dxa"/>
            <w:vAlign w:val="bottom"/>
            <w:shd w:val="clear" w:color="auto" w:fill="EEEEEE"/>
          </w:tcPr>
          <w:p>
            <w:pPr>
              <w:spacing w:after="0"/>
              <w:rPr>
                <w:sz w:val="20"/>
                <w:szCs w:val="20"/>
                <w:color w:val="auto"/>
              </w:rPr>
            </w:pPr>
          </w:p>
        </w:tc>
        <w:tc>
          <w:tcPr>
            <w:tcW w:w="460" w:type="dxa"/>
            <w:vAlign w:val="bottom"/>
            <w:tcBorders>
              <w:right w:val="single" w:sz="8" w:color="EEEEEE"/>
            </w:tcBorders>
            <w:shd w:val="clear" w:color="auto" w:fill="EEEEEE"/>
          </w:tcPr>
          <w:p>
            <w:pPr>
              <w:spacing w:after="0"/>
              <w:rPr>
                <w:sz w:val="20"/>
                <w:szCs w:val="20"/>
                <w:color w:val="auto"/>
              </w:rPr>
            </w:pPr>
          </w:p>
        </w:tc>
        <w:tc>
          <w:tcPr>
            <w:tcW w:w="6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w:t>
            </w:r>
          </w:p>
        </w:tc>
        <w:tc>
          <w:tcPr>
            <w:tcW w:w="42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8120" w:type="dxa"/>
            <w:vAlign w:val="bottom"/>
          </w:tcPr>
          <w:p>
            <w:pPr>
              <w:ind w:left="140"/>
              <w:spacing w:after="0" w:line="201" w:lineRule="exact"/>
              <w:rPr>
                <w:sz w:val="20"/>
                <w:szCs w:val="20"/>
                <w:color w:val="auto"/>
              </w:rPr>
            </w:pPr>
            <w:r>
              <w:rPr>
                <w:rFonts w:ascii="Arial" w:cs="Arial" w:eastAsia="Arial" w:hAnsi="Arial"/>
                <w:sz w:val="18"/>
                <w:szCs w:val="18"/>
                <w:color w:val="auto"/>
              </w:rPr>
              <w:t>Common Stock, $.001 par value; 160,000,000 shares authorized;</w:t>
            </w:r>
          </w:p>
        </w:tc>
        <w:tc>
          <w:tcPr>
            <w:tcW w:w="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120" w:type="dxa"/>
            <w:vAlign w:val="bottom"/>
          </w:tcPr>
          <w:p>
            <w:pPr>
              <w:ind w:left="280"/>
              <w:spacing w:after="0"/>
              <w:rPr>
                <w:sz w:val="20"/>
                <w:szCs w:val="20"/>
                <w:color w:val="auto"/>
              </w:rPr>
            </w:pPr>
            <w:r>
              <w:rPr>
                <w:rFonts w:ascii="Arial" w:cs="Arial" w:eastAsia="Arial" w:hAnsi="Arial"/>
                <w:sz w:val="18"/>
                <w:szCs w:val="18"/>
                <w:color w:val="auto"/>
              </w:rPr>
              <w:t>53,270,395 shares issued and outstanding in 2004</w:t>
            </w: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120" w:type="dxa"/>
            <w:vAlign w:val="bottom"/>
          </w:tcPr>
          <w:p>
            <w:pPr>
              <w:ind w:left="280"/>
              <w:spacing w:after="0"/>
              <w:rPr>
                <w:sz w:val="20"/>
                <w:szCs w:val="20"/>
                <w:color w:val="auto"/>
              </w:rPr>
            </w:pPr>
            <w:r>
              <w:rPr>
                <w:rFonts w:ascii="Arial" w:cs="Arial" w:eastAsia="Arial" w:hAnsi="Arial"/>
                <w:sz w:val="18"/>
                <w:szCs w:val="18"/>
                <w:color w:val="auto"/>
              </w:rPr>
              <w:t>53,165,635 shares issued and outstanding in 2003</w:t>
            </w:r>
          </w:p>
        </w:tc>
        <w:tc>
          <w:tcPr>
            <w:tcW w:w="4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53</w:t>
            </w: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53</w:t>
            </w: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120" w:type="dxa"/>
            <w:vAlign w:val="bottom"/>
            <w:shd w:val="clear" w:color="auto" w:fill="EEEEEE"/>
          </w:tcPr>
          <w:p>
            <w:pPr>
              <w:ind w:left="140"/>
              <w:spacing w:after="0"/>
              <w:rPr>
                <w:sz w:val="20"/>
                <w:szCs w:val="20"/>
                <w:color w:val="auto"/>
              </w:rPr>
            </w:pPr>
            <w:r>
              <w:rPr>
                <w:rFonts w:ascii="Arial" w:cs="Arial" w:eastAsia="Arial" w:hAnsi="Arial"/>
                <w:sz w:val="18"/>
                <w:szCs w:val="18"/>
                <w:color w:val="auto"/>
              </w:rPr>
              <w:t>Additional paid-in capital</w:t>
            </w:r>
          </w:p>
        </w:tc>
        <w:tc>
          <w:tcPr>
            <w:tcW w:w="420" w:type="dxa"/>
            <w:vAlign w:val="bottom"/>
            <w:tcBorders>
              <w:right w:val="single" w:sz="8" w:color="EEEEEE"/>
            </w:tcBorders>
            <w:shd w:val="clear" w:color="auto" w:fill="EEEEEE"/>
          </w:tcPr>
          <w:p>
            <w:pPr>
              <w:spacing w:after="0"/>
              <w:rPr>
                <w:sz w:val="18"/>
                <w:szCs w:val="18"/>
                <w:color w:val="auto"/>
              </w:rPr>
            </w:pPr>
          </w:p>
        </w:tc>
        <w:tc>
          <w:tcPr>
            <w:tcW w:w="6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92"/>
              </w:rPr>
              <w:t>674,242</w:t>
            </w:r>
          </w:p>
        </w:tc>
        <w:tc>
          <w:tcPr>
            <w:tcW w:w="3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6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95"/>
              </w:rPr>
              <w:t>673,118</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20" w:type="dxa"/>
            <w:vAlign w:val="bottom"/>
          </w:tcPr>
          <w:p>
            <w:pPr>
              <w:ind w:left="140"/>
              <w:spacing w:after="0"/>
              <w:rPr>
                <w:sz w:val="20"/>
                <w:szCs w:val="20"/>
                <w:color w:val="auto"/>
              </w:rPr>
            </w:pPr>
            <w:r>
              <w:rPr>
                <w:rFonts w:ascii="Arial" w:cs="Arial" w:eastAsia="Arial" w:hAnsi="Arial"/>
                <w:sz w:val="18"/>
                <w:szCs w:val="18"/>
                <w:color w:val="auto"/>
              </w:rPr>
              <w:t>Unearned compensation</w:t>
            </w:r>
          </w:p>
        </w:tc>
        <w:tc>
          <w:tcPr>
            <w:tcW w:w="420" w:type="dxa"/>
            <w:vAlign w:val="bottom"/>
          </w:tcPr>
          <w:p>
            <w:pPr>
              <w:spacing w:after="0"/>
              <w:rPr>
                <w:sz w:val="18"/>
                <w:szCs w:val="18"/>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(3,363)</w:t>
            </w: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(4,101)</w:t>
            </w:r>
          </w:p>
        </w:tc>
        <w:tc>
          <w:tcPr>
            <w:tcW w:w="0" w:type="dxa"/>
            <w:vAlign w:val="bottom"/>
          </w:tcPr>
          <w:p>
            <w:pPr>
              <w:spacing w:after="0"/>
              <w:rPr>
                <w:sz w:val="1"/>
                <w:szCs w:val="1"/>
                <w:color w:val="auto"/>
              </w:rPr>
            </w:pPr>
          </w:p>
        </w:tc>
      </w:tr>
      <w:tr>
        <w:trPr>
          <w:trHeight w:val="216"/>
        </w:trPr>
        <w:tc>
          <w:tcPr>
            <w:tcW w:w="8120" w:type="dxa"/>
            <w:vAlign w:val="bottom"/>
            <w:shd w:val="clear" w:color="auto" w:fill="EEEEEE"/>
          </w:tcPr>
          <w:p>
            <w:pPr>
              <w:ind w:left="140"/>
              <w:spacing w:after="0"/>
              <w:rPr>
                <w:sz w:val="20"/>
                <w:szCs w:val="20"/>
                <w:color w:val="auto"/>
              </w:rPr>
            </w:pPr>
            <w:r>
              <w:rPr>
                <w:rFonts w:ascii="Arial" w:cs="Arial" w:eastAsia="Arial" w:hAnsi="Arial"/>
                <w:sz w:val="18"/>
                <w:szCs w:val="18"/>
                <w:color w:val="auto"/>
              </w:rPr>
              <w:t>Accumulated deficit</w:t>
            </w:r>
          </w:p>
        </w:tc>
        <w:tc>
          <w:tcPr>
            <w:tcW w:w="420" w:type="dxa"/>
            <w:vAlign w:val="bottom"/>
            <w:tcBorders>
              <w:right w:val="single" w:sz="8" w:color="EEEEEE"/>
            </w:tcBorders>
            <w:shd w:val="clear" w:color="auto" w:fill="EEEEEE"/>
          </w:tcPr>
          <w:p>
            <w:pPr>
              <w:spacing w:after="0"/>
              <w:rPr>
                <w:sz w:val="18"/>
                <w:szCs w:val="18"/>
                <w:color w:val="auto"/>
              </w:rPr>
            </w:pPr>
          </w:p>
        </w:tc>
        <w:tc>
          <w:tcPr>
            <w:tcW w:w="10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w w:val="85"/>
              </w:rPr>
              <w:t>(467,001)</w:t>
            </w:r>
          </w:p>
        </w:tc>
        <w:tc>
          <w:tcPr>
            <w:tcW w:w="32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108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w w:val="88"/>
              </w:rPr>
              <w:t>(531,533)</w:t>
            </w:r>
          </w:p>
        </w:tc>
        <w:tc>
          <w:tcPr>
            <w:tcW w:w="0" w:type="dxa"/>
            <w:vAlign w:val="bottom"/>
          </w:tcPr>
          <w:p>
            <w:pPr>
              <w:spacing w:after="0"/>
              <w:rPr>
                <w:sz w:val="1"/>
                <w:szCs w:val="1"/>
                <w:color w:val="auto"/>
              </w:rPr>
            </w:pPr>
          </w:p>
        </w:tc>
      </w:tr>
      <w:tr>
        <w:trPr>
          <w:trHeight w:val="237"/>
        </w:trPr>
        <w:tc>
          <w:tcPr>
            <w:tcW w:w="8120" w:type="dxa"/>
            <w:vAlign w:val="bottom"/>
          </w:tcPr>
          <w:p>
            <w:pPr>
              <w:ind w:left="140"/>
              <w:spacing w:after="0"/>
              <w:rPr>
                <w:sz w:val="20"/>
                <w:szCs w:val="20"/>
                <w:color w:val="auto"/>
              </w:rPr>
            </w:pPr>
            <w:r>
              <w:rPr>
                <w:rFonts w:ascii="Arial" w:cs="Arial" w:eastAsia="Arial" w:hAnsi="Arial"/>
                <w:sz w:val="18"/>
                <w:szCs w:val="18"/>
                <w:color w:val="auto"/>
              </w:rPr>
              <w:t>Accumulated other comprehensive income</w:t>
            </w:r>
          </w:p>
        </w:tc>
        <w:tc>
          <w:tcPr>
            <w:tcW w:w="420" w:type="dxa"/>
            <w:vAlign w:val="bottom"/>
          </w:tcPr>
          <w:p>
            <w:pPr>
              <w:spacing w:after="0"/>
              <w:rPr>
                <w:sz w:val="20"/>
                <w:szCs w:val="20"/>
                <w:color w:val="auto"/>
              </w:rPr>
            </w:pPr>
          </w:p>
        </w:tc>
        <w:tc>
          <w:tcPr>
            <w:tcW w:w="64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173</w:t>
            </w: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6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104</w:t>
            </w: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120" w:type="dxa"/>
            <w:vAlign w:val="bottom"/>
            <w:shd w:val="clear" w:color="auto" w:fill="EEEEEE"/>
          </w:tcPr>
          <w:p>
            <w:pPr>
              <w:ind w:left="280"/>
              <w:spacing w:after="0"/>
              <w:rPr>
                <w:sz w:val="20"/>
                <w:szCs w:val="20"/>
                <w:color w:val="auto"/>
              </w:rPr>
            </w:pPr>
            <w:r>
              <w:rPr>
                <w:rFonts w:ascii="Arial" w:cs="Arial" w:eastAsia="Arial" w:hAnsi="Arial"/>
                <w:sz w:val="18"/>
                <w:szCs w:val="18"/>
                <w:color w:val="auto"/>
              </w:rPr>
              <w:t>Total stockholders’ equity</w:t>
            </w:r>
          </w:p>
        </w:tc>
        <w:tc>
          <w:tcPr>
            <w:tcW w:w="420" w:type="dxa"/>
            <w:vAlign w:val="bottom"/>
            <w:tcBorders>
              <w:right w:val="single" w:sz="8" w:color="EEEEEE"/>
            </w:tcBorders>
            <w:shd w:val="clear" w:color="auto" w:fill="EEEEEE"/>
          </w:tcPr>
          <w:p>
            <w:pPr>
              <w:spacing w:after="0"/>
              <w:rPr>
                <w:sz w:val="18"/>
                <w:szCs w:val="18"/>
                <w:color w:val="auto"/>
              </w:rPr>
            </w:pPr>
          </w:p>
        </w:tc>
        <w:tc>
          <w:tcPr>
            <w:tcW w:w="6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92"/>
              </w:rPr>
              <w:t>204,106</w:t>
            </w:r>
          </w:p>
        </w:tc>
        <w:tc>
          <w:tcPr>
            <w:tcW w:w="3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6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95"/>
              </w:rPr>
              <w:t>137,643</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120" w:type="dxa"/>
            <w:vAlign w:val="bottom"/>
          </w:tcPr>
          <w:p>
            <w:pPr>
              <w:ind w:left="280"/>
              <w:spacing w:after="0"/>
              <w:rPr>
                <w:sz w:val="20"/>
                <w:szCs w:val="20"/>
                <w:color w:val="auto"/>
              </w:rPr>
            </w:pPr>
            <w:r>
              <w:rPr>
                <w:rFonts w:ascii="Arial" w:cs="Arial" w:eastAsia="Arial" w:hAnsi="Arial"/>
                <w:sz w:val="18"/>
                <w:szCs w:val="18"/>
                <w:color w:val="auto"/>
              </w:rPr>
              <w:t>Total liabilities and stockholders’ equity</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808080"/>
            </w:tcBorders>
          </w:tcPr>
          <w:p>
            <w:pPr>
              <w:jc w:val="right"/>
              <w:spacing w:after="0"/>
              <w:rPr>
                <w:sz w:val="20"/>
                <w:szCs w:val="20"/>
                <w:color w:val="auto"/>
              </w:rPr>
            </w:pPr>
            <w:r>
              <w:rPr>
                <w:rFonts w:ascii="Arial" w:cs="Arial" w:eastAsia="Arial" w:hAnsi="Arial"/>
                <w:sz w:val="18"/>
                <w:szCs w:val="18"/>
                <w:color w:val="auto"/>
                <w:w w:val="92"/>
              </w:rPr>
              <w:t>506,178</w:t>
            </w:r>
          </w:p>
        </w:tc>
        <w:tc>
          <w:tcPr>
            <w:tcW w:w="380" w:type="dxa"/>
            <w:vAlign w:val="bottom"/>
          </w:tcPr>
          <w:p>
            <w:pPr>
              <w:spacing w:after="0"/>
              <w:rPr>
                <w:sz w:val="19"/>
                <w:szCs w:val="19"/>
                <w:color w:val="auto"/>
              </w:rPr>
            </w:pPr>
          </w:p>
        </w:tc>
        <w:tc>
          <w:tcPr>
            <w:tcW w:w="780" w:type="dxa"/>
            <w:vAlign w:val="bottom"/>
            <w:gridSpan w:val="2"/>
          </w:tcPr>
          <w:p>
            <w:pPr>
              <w:ind w:left="680"/>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808080"/>
            </w:tcBorders>
          </w:tcPr>
          <w:p>
            <w:pPr>
              <w:jc w:val="right"/>
              <w:spacing w:after="0"/>
              <w:rPr>
                <w:sz w:val="20"/>
                <w:szCs w:val="20"/>
                <w:color w:val="auto"/>
              </w:rPr>
            </w:pPr>
            <w:r>
              <w:rPr>
                <w:rFonts w:ascii="Arial" w:cs="Arial" w:eastAsia="Arial" w:hAnsi="Arial"/>
                <w:sz w:val="18"/>
                <w:szCs w:val="18"/>
                <w:color w:val="auto"/>
                <w:w w:val="95"/>
              </w:rPr>
              <w:t>479,555</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5"/>
        </w:trPr>
        <w:tc>
          <w:tcPr>
            <w:tcW w:w="8120" w:type="dxa"/>
            <w:vAlign w:val="bottom"/>
          </w:tcPr>
          <w:p>
            <w:pPr>
              <w:spacing w:after="0"/>
              <w:rPr>
                <w:sz w:val="5"/>
                <w:szCs w:val="5"/>
                <w:color w:val="auto"/>
              </w:rPr>
            </w:pPr>
          </w:p>
        </w:tc>
        <w:tc>
          <w:tcPr>
            <w:tcW w:w="420" w:type="dxa"/>
            <w:vAlign w:val="bottom"/>
            <w:tcBorders>
              <w:right w:val="single" w:sz="8" w:color="808080"/>
            </w:tcBorders>
          </w:tcPr>
          <w:p>
            <w:pPr>
              <w:spacing w:after="0"/>
              <w:rPr>
                <w:sz w:val="5"/>
                <w:szCs w:val="5"/>
                <w:color w:val="auto"/>
              </w:rPr>
            </w:pPr>
          </w:p>
        </w:tc>
        <w:tc>
          <w:tcPr>
            <w:tcW w:w="640" w:type="dxa"/>
            <w:vAlign w:val="bottom"/>
            <w:tcBorders>
              <w:right w:val="single" w:sz="8" w:color="808080"/>
            </w:tcBorders>
            <w:shd w:val="clear" w:color="auto" w:fill="808080"/>
          </w:tcPr>
          <w:p>
            <w:pPr>
              <w:spacing w:after="0"/>
              <w:rPr>
                <w:sz w:val="5"/>
                <w:szCs w:val="5"/>
                <w:color w:val="auto"/>
              </w:rPr>
            </w:pPr>
          </w:p>
        </w:tc>
        <w:tc>
          <w:tcPr>
            <w:tcW w:w="3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60" w:type="dxa"/>
            <w:vAlign w:val="bottom"/>
            <w:tcBorders>
              <w:right w:val="single" w:sz="8" w:color="808080"/>
            </w:tcBorders>
          </w:tcPr>
          <w:p>
            <w:pPr>
              <w:spacing w:after="0"/>
              <w:rPr>
                <w:sz w:val="5"/>
                <w:szCs w:val="5"/>
                <w:color w:val="auto"/>
              </w:rPr>
            </w:pPr>
          </w:p>
        </w:tc>
        <w:tc>
          <w:tcPr>
            <w:tcW w:w="660" w:type="dxa"/>
            <w:vAlign w:val="bottom"/>
            <w:tcBorders>
              <w:right w:val="single" w:sz="8" w:color="808080"/>
            </w:tcBorders>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 financial statements.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STATEMENTS OF OPERATIONS (Unaudited)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 thousands, except per share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76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300" w:type="dxa"/>
            <w:vAlign w:val="bottom"/>
            <w:gridSpan w:val="6"/>
          </w:tcPr>
          <w:p>
            <w:pPr>
              <w:jc w:val="right"/>
              <w:ind w:right="90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660" w:type="dxa"/>
            <w:vAlign w:val="bottom"/>
          </w:tcPr>
          <w:p>
            <w:pPr>
              <w:spacing w:after="0"/>
              <w:rPr>
                <w:sz w:val="4"/>
                <w:szCs w:val="4"/>
                <w:color w:val="auto"/>
              </w:rPr>
            </w:pPr>
          </w:p>
        </w:tc>
        <w:tc>
          <w:tcPr>
            <w:tcW w:w="440" w:type="dxa"/>
            <w:vAlign w:val="bottom"/>
            <w:tcBorders>
              <w:bottom w:val="single" w:sz="8" w:color="808080"/>
            </w:tcBorders>
          </w:tcPr>
          <w:p>
            <w:pPr>
              <w:spacing w:after="0"/>
              <w:rPr>
                <w:sz w:val="4"/>
                <w:szCs w:val="4"/>
                <w:color w:val="auto"/>
              </w:rPr>
            </w:pPr>
          </w:p>
        </w:tc>
        <w:tc>
          <w:tcPr>
            <w:tcW w:w="500" w:type="dxa"/>
            <w:vAlign w:val="bottom"/>
            <w:tcBorders>
              <w:bottom w:val="single" w:sz="8" w:color="808080"/>
            </w:tcBorders>
          </w:tcPr>
          <w:p>
            <w:pPr>
              <w:spacing w:after="0"/>
              <w:rPr>
                <w:sz w:val="4"/>
                <w:szCs w:val="4"/>
                <w:color w:val="auto"/>
              </w:rPr>
            </w:pPr>
          </w:p>
        </w:tc>
        <w:tc>
          <w:tcPr>
            <w:tcW w:w="420" w:type="dxa"/>
            <w:vAlign w:val="bottom"/>
            <w:tcBorders>
              <w:bottom w:val="single" w:sz="8" w:color="808080"/>
            </w:tcBorders>
          </w:tcPr>
          <w:p>
            <w:pPr>
              <w:spacing w:after="0"/>
              <w:rPr>
                <w:sz w:val="4"/>
                <w:szCs w:val="4"/>
                <w:color w:val="auto"/>
              </w:rPr>
            </w:pPr>
          </w:p>
        </w:tc>
        <w:tc>
          <w:tcPr>
            <w:tcW w:w="560" w:type="dxa"/>
            <w:vAlign w:val="bottom"/>
            <w:tcBorders>
              <w:bottom w:val="single" w:sz="8" w:color="808080"/>
            </w:tcBorders>
          </w:tcPr>
          <w:p>
            <w:pPr>
              <w:spacing w:after="0"/>
              <w:rPr>
                <w:sz w:val="4"/>
                <w:szCs w:val="4"/>
                <w:color w:val="auto"/>
              </w:rPr>
            </w:pPr>
          </w:p>
        </w:tc>
        <w:tc>
          <w:tcPr>
            <w:tcW w:w="660" w:type="dxa"/>
            <w:vAlign w:val="bottom"/>
            <w:tcBorders>
              <w:bottom w:val="single" w:sz="8" w:color="808080"/>
            </w:tcBorders>
          </w:tcPr>
          <w:p>
            <w:pPr>
              <w:spacing w:after="0"/>
              <w:rPr>
                <w:sz w:val="4"/>
                <w:szCs w:val="4"/>
                <w:color w:val="auto"/>
              </w:rPr>
            </w:pPr>
          </w:p>
        </w:tc>
        <w:tc>
          <w:tcPr>
            <w:tcW w:w="500" w:type="dxa"/>
            <w:vAlign w:val="bottom"/>
            <w:tcBorders>
              <w:bottom w:val="single" w:sz="8" w:color="808080"/>
            </w:tcBorders>
          </w:tcPr>
          <w:p>
            <w:pPr>
              <w:spacing w:after="0"/>
              <w:rPr>
                <w:sz w:val="4"/>
                <w:szCs w:val="4"/>
                <w:color w:val="auto"/>
              </w:rPr>
            </w:pPr>
          </w:p>
        </w:tc>
        <w:tc>
          <w:tcPr>
            <w:tcW w:w="66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76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00" w:type="dxa"/>
            <w:vAlign w:val="bottom"/>
          </w:tcPr>
          <w:p>
            <w:pPr>
              <w:jc w:val="right"/>
              <w:ind w:right="32"/>
              <w:spacing w:after="0"/>
              <w:rPr>
                <w:sz w:val="20"/>
                <w:szCs w:val="20"/>
                <w:color w:val="auto"/>
              </w:rPr>
            </w:pPr>
            <w:r>
              <w:rPr>
                <w:rFonts w:ascii="Arial" w:cs="Arial" w:eastAsia="Arial" w:hAnsi="Arial"/>
                <w:sz w:val="14"/>
                <w:szCs w:val="14"/>
                <w:b w:val="1"/>
                <w:bCs w:val="1"/>
                <w:color w:val="auto"/>
              </w:rPr>
              <w:t>2004</w:t>
            </w:r>
          </w:p>
        </w:tc>
        <w:tc>
          <w:tcPr>
            <w:tcW w:w="4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00" w:type="dxa"/>
            <w:vAlign w:val="bottom"/>
          </w:tcPr>
          <w:p>
            <w:pPr>
              <w:jc w:val="right"/>
              <w:ind w:right="11"/>
              <w:spacing w:after="0"/>
              <w:rPr>
                <w:sz w:val="20"/>
                <w:szCs w:val="20"/>
                <w:color w:val="auto"/>
              </w:rPr>
            </w:pPr>
            <w:r>
              <w:rPr>
                <w:rFonts w:ascii="Arial" w:cs="Arial" w:eastAsia="Arial" w:hAnsi="Arial"/>
                <w:sz w:val="14"/>
                <w:szCs w:val="14"/>
                <w:b w:val="1"/>
                <w:bCs w:val="1"/>
                <w:color w:val="auto"/>
              </w:rPr>
              <w:t>2003</w:t>
            </w: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660" w:type="dxa"/>
            <w:vAlign w:val="bottom"/>
          </w:tcPr>
          <w:p>
            <w:pPr>
              <w:spacing w:after="0"/>
              <w:rPr>
                <w:sz w:val="4"/>
                <w:szCs w:val="4"/>
                <w:color w:val="auto"/>
              </w:rPr>
            </w:pPr>
          </w:p>
        </w:tc>
        <w:tc>
          <w:tcPr>
            <w:tcW w:w="440" w:type="dxa"/>
            <w:vAlign w:val="bottom"/>
            <w:tcBorders>
              <w:bottom w:val="single" w:sz="8" w:color="808080"/>
            </w:tcBorders>
          </w:tcPr>
          <w:p>
            <w:pPr>
              <w:spacing w:after="0"/>
              <w:rPr>
                <w:sz w:val="4"/>
                <w:szCs w:val="4"/>
                <w:color w:val="auto"/>
              </w:rPr>
            </w:pPr>
          </w:p>
        </w:tc>
        <w:tc>
          <w:tcPr>
            <w:tcW w:w="500" w:type="dxa"/>
            <w:vAlign w:val="bottom"/>
            <w:tcBorders>
              <w:bottom w:val="single" w:sz="8" w:color="808080"/>
            </w:tcBorders>
          </w:tcPr>
          <w:p>
            <w:pPr>
              <w:spacing w:after="0"/>
              <w:rPr>
                <w:sz w:val="4"/>
                <w:szCs w:val="4"/>
                <w:color w:val="auto"/>
              </w:rPr>
            </w:pPr>
          </w:p>
        </w:tc>
        <w:tc>
          <w:tcPr>
            <w:tcW w:w="420" w:type="dxa"/>
            <w:vAlign w:val="bottom"/>
            <w:tcBorders>
              <w:bottom w:val="single" w:sz="8" w:color="808080"/>
            </w:tcBorders>
          </w:tcPr>
          <w:p>
            <w:pPr>
              <w:spacing w:after="0"/>
              <w:rPr>
                <w:sz w:val="4"/>
                <w:szCs w:val="4"/>
                <w:color w:val="auto"/>
              </w:rPr>
            </w:pPr>
          </w:p>
        </w:tc>
        <w:tc>
          <w:tcPr>
            <w:tcW w:w="560" w:type="dxa"/>
            <w:vAlign w:val="bottom"/>
          </w:tcPr>
          <w:p>
            <w:pPr>
              <w:spacing w:after="0"/>
              <w:rPr>
                <w:sz w:val="4"/>
                <w:szCs w:val="4"/>
                <w:color w:val="auto"/>
              </w:rPr>
            </w:pPr>
          </w:p>
        </w:tc>
        <w:tc>
          <w:tcPr>
            <w:tcW w:w="660" w:type="dxa"/>
            <w:vAlign w:val="bottom"/>
            <w:tcBorders>
              <w:bottom w:val="single" w:sz="8" w:color="808080"/>
            </w:tcBorders>
          </w:tcPr>
          <w:p>
            <w:pPr>
              <w:spacing w:after="0"/>
              <w:rPr>
                <w:sz w:val="4"/>
                <w:szCs w:val="4"/>
                <w:color w:val="auto"/>
              </w:rPr>
            </w:pPr>
          </w:p>
        </w:tc>
        <w:tc>
          <w:tcPr>
            <w:tcW w:w="500" w:type="dxa"/>
            <w:vAlign w:val="bottom"/>
            <w:tcBorders>
              <w:bottom w:val="single" w:sz="8" w:color="808080"/>
            </w:tcBorders>
          </w:tcPr>
          <w:p>
            <w:pPr>
              <w:spacing w:after="0"/>
              <w:rPr>
                <w:sz w:val="4"/>
                <w:szCs w:val="4"/>
                <w:color w:val="auto"/>
              </w:rPr>
            </w:pPr>
          </w:p>
        </w:tc>
        <w:tc>
          <w:tcPr>
            <w:tcW w:w="66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7660" w:type="dxa"/>
            <w:vAlign w:val="bottom"/>
          </w:tcPr>
          <w:p>
            <w:pPr>
              <w:spacing w:after="0"/>
              <w:rPr>
                <w:sz w:val="6"/>
                <w:szCs w:val="6"/>
                <w:color w:val="auto"/>
              </w:rPr>
            </w:pPr>
          </w:p>
        </w:tc>
        <w:tc>
          <w:tcPr>
            <w:tcW w:w="440" w:type="dxa"/>
            <w:vAlign w:val="bottom"/>
          </w:tcPr>
          <w:p>
            <w:pPr>
              <w:spacing w:after="0"/>
              <w:rPr>
                <w:sz w:val="6"/>
                <w:szCs w:val="6"/>
                <w:color w:val="auto"/>
              </w:rPr>
            </w:pPr>
          </w:p>
        </w:tc>
        <w:tc>
          <w:tcPr>
            <w:tcW w:w="500" w:type="dxa"/>
            <w:vAlign w:val="bottom"/>
          </w:tcPr>
          <w:p>
            <w:pPr>
              <w:spacing w:after="0"/>
              <w:rPr>
                <w:sz w:val="6"/>
                <w:szCs w:val="6"/>
                <w:color w:val="auto"/>
              </w:rPr>
            </w:pPr>
          </w:p>
        </w:tc>
        <w:tc>
          <w:tcPr>
            <w:tcW w:w="420" w:type="dxa"/>
            <w:vAlign w:val="bottom"/>
          </w:tcPr>
          <w:p>
            <w:pPr>
              <w:spacing w:after="0"/>
              <w:rPr>
                <w:sz w:val="6"/>
                <w:szCs w:val="6"/>
                <w:color w:val="auto"/>
              </w:rPr>
            </w:pPr>
          </w:p>
        </w:tc>
        <w:tc>
          <w:tcPr>
            <w:tcW w:w="560" w:type="dxa"/>
            <w:vAlign w:val="bottom"/>
          </w:tcPr>
          <w:p>
            <w:pPr>
              <w:spacing w:after="0"/>
              <w:rPr>
                <w:sz w:val="6"/>
                <w:szCs w:val="6"/>
                <w:color w:val="auto"/>
              </w:rPr>
            </w:pPr>
          </w:p>
        </w:tc>
        <w:tc>
          <w:tcPr>
            <w:tcW w:w="660" w:type="dxa"/>
            <w:vAlign w:val="bottom"/>
          </w:tcPr>
          <w:p>
            <w:pPr>
              <w:spacing w:after="0"/>
              <w:rPr>
                <w:sz w:val="6"/>
                <w:szCs w:val="6"/>
                <w:color w:val="auto"/>
              </w:rPr>
            </w:pPr>
          </w:p>
        </w:tc>
        <w:tc>
          <w:tcPr>
            <w:tcW w:w="500" w:type="dxa"/>
            <w:vAlign w:val="bottom"/>
          </w:tcPr>
          <w:p>
            <w:pPr>
              <w:spacing w:after="0"/>
              <w:rPr>
                <w:sz w:val="6"/>
                <w:szCs w:val="6"/>
                <w:color w:val="auto"/>
              </w:rPr>
            </w:pPr>
          </w:p>
        </w:tc>
        <w:tc>
          <w:tcPr>
            <w:tcW w:w="6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60" w:type="dxa"/>
            <w:vAlign w:val="bottom"/>
            <w:shd w:val="clear" w:color="auto" w:fill="EEEEEE"/>
          </w:tcPr>
          <w:p>
            <w:pPr>
              <w:spacing w:after="0"/>
              <w:rPr>
                <w:sz w:val="20"/>
                <w:szCs w:val="20"/>
                <w:color w:val="auto"/>
              </w:rPr>
            </w:pPr>
            <w:r>
              <w:rPr>
                <w:rFonts w:ascii="Arial" w:cs="Arial" w:eastAsia="Arial" w:hAnsi="Arial"/>
                <w:sz w:val="18"/>
                <w:szCs w:val="18"/>
                <w:color w:val="auto"/>
              </w:rPr>
              <w:t>Revenues</w:t>
            </w:r>
          </w:p>
        </w:tc>
        <w:tc>
          <w:tcPr>
            <w:tcW w:w="440" w:type="dxa"/>
            <w:vAlign w:val="bottom"/>
            <w:tcBorders>
              <w:right w:val="single" w:sz="8" w:color="EEEEEE"/>
            </w:tcBorders>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ind w:left="120"/>
              <w:spacing w:after="0"/>
              <w:rPr>
                <w:sz w:val="20"/>
                <w:szCs w:val="20"/>
                <w:color w:val="auto"/>
              </w:rPr>
            </w:pPr>
            <w:r>
              <w:rPr>
                <w:rFonts w:ascii="Arial" w:cs="Arial" w:eastAsia="Arial" w:hAnsi="Arial"/>
                <w:sz w:val="18"/>
                <w:szCs w:val="18"/>
                <w:color w:val="auto"/>
              </w:rPr>
              <w:t>Contract research and development</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41,610</w:t>
            </w:r>
          </w:p>
        </w:tc>
        <w:tc>
          <w:tcPr>
            <w:tcW w:w="42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9,213</w:t>
            </w: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EEEEEE"/>
          </w:tcPr>
          <w:p>
            <w:pPr>
              <w:ind w:left="120"/>
              <w:spacing w:after="0"/>
              <w:rPr>
                <w:sz w:val="20"/>
                <w:szCs w:val="20"/>
                <w:color w:val="auto"/>
              </w:rPr>
            </w:pPr>
            <w:r>
              <w:rPr>
                <w:rFonts w:ascii="Arial" w:cs="Arial" w:eastAsia="Arial" w:hAnsi="Arial"/>
                <w:sz w:val="18"/>
                <w:szCs w:val="18"/>
                <w:color w:val="auto"/>
              </w:rPr>
              <w:t>Research progress payments</w:t>
            </w:r>
          </w:p>
        </w:tc>
        <w:tc>
          <w:tcPr>
            <w:tcW w:w="440" w:type="dxa"/>
            <w:vAlign w:val="bottom"/>
            <w:tcBorders>
              <w:right w:val="single" w:sz="8" w:color="EEEEEE"/>
            </w:tcBorders>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7"/>
              </w:rPr>
              <w:t>17,770</w:t>
            </w:r>
          </w:p>
        </w:tc>
        <w:tc>
          <w:tcPr>
            <w:tcW w:w="42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ind w:left="120"/>
              <w:spacing w:after="0"/>
              <w:rPr>
                <w:sz w:val="20"/>
                <w:szCs w:val="20"/>
                <w:color w:val="auto"/>
              </w:rPr>
            </w:pPr>
            <w:r>
              <w:rPr>
                <w:rFonts w:ascii="Arial" w:cs="Arial" w:eastAsia="Arial" w:hAnsi="Arial"/>
                <w:sz w:val="18"/>
                <w:szCs w:val="18"/>
                <w:color w:val="auto"/>
              </w:rPr>
              <w:t>Contract manufacturing</w:t>
            </w:r>
          </w:p>
        </w:tc>
        <w:tc>
          <w:tcPr>
            <w:tcW w:w="440" w:type="dxa"/>
            <w:vAlign w:val="bottom"/>
          </w:tcPr>
          <w:p>
            <w:pPr>
              <w:spacing w:after="0"/>
              <w:rPr>
                <w:sz w:val="18"/>
                <w:szCs w:val="18"/>
                <w:color w:val="auto"/>
              </w:rPr>
            </w:pPr>
          </w:p>
        </w:tc>
        <w:tc>
          <w:tcPr>
            <w:tcW w:w="50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2,610</w:t>
            </w:r>
          </w:p>
        </w:tc>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0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712</w:t>
            </w: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EEEEEE"/>
          </w:tcPr>
          <w:p>
            <w:pPr>
              <w:spacing w:after="0"/>
              <w:rPr>
                <w:sz w:val="18"/>
                <w:szCs w:val="18"/>
                <w:color w:val="auto"/>
              </w:rPr>
            </w:pPr>
          </w:p>
        </w:tc>
        <w:tc>
          <w:tcPr>
            <w:tcW w:w="440" w:type="dxa"/>
            <w:vAlign w:val="bottom"/>
            <w:tcBorders>
              <w:right w:val="single" w:sz="8" w:color="EEEEEE"/>
            </w:tcBorders>
            <w:shd w:val="clear" w:color="auto" w:fill="EEEEEE"/>
          </w:tcPr>
          <w:p>
            <w:pPr>
              <w:spacing w:after="0"/>
              <w:rPr>
                <w:sz w:val="18"/>
                <w:szCs w:val="18"/>
                <w:color w:val="auto"/>
              </w:rPr>
            </w:pPr>
          </w:p>
        </w:tc>
        <w:tc>
          <w:tcPr>
            <w:tcW w:w="50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w w:val="87"/>
              </w:rPr>
              <w:t>61,990</w:t>
            </w:r>
          </w:p>
        </w:tc>
        <w:tc>
          <w:tcPr>
            <w:tcW w:w="42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50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9,925</w:t>
            </w:r>
          </w:p>
        </w:tc>
        <w:tc>
          <w:tcPr>
            <w:tcW w:w="6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680" w:type="dxa"/>
            <w:vAlign w:val="bottom"/>
            <w:gridSpan w:val="2"/>
          </w:tcPr>
          <w:p>
            <w:pPr>
              <w:spacing w:after="0"/>
              <w:rPr>
                <w:sz w:val="20"/>
                <w:szCs w:val="20"/>
                <w:color w:val="auto"/>
              </w:rPr>
            </w:pPr>
            <w:r>
              <w:rPr>
                <w:rFonts w:ascii="Arial" w:cs="Arial" w:eastAsia="Arial" w:hAnsi="Arial"/>
                <w:sz w:val="18"/>
                <w:szCs w:val="18"/>
                <w:color w:val="auto"/>
              </w:rPr>
              <w:t>Expenses</w:t>
            </w:r>
          </w:p>
        </w:tc>
        <w:tc>
          <w:tcPr>
            <w:tcW w:w="4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EEEEEE"/>
          </w:tcPr>
          <w:p>
            <w:pPr>
              <w:ind w:left="120"/>
              <w:spacing w:after="0"/>
              <w:rPr>
                <w:sz w:val="20"/>
                <w:szCs w:val="20"/>
                <w:color w:val="auto"/>
              </w:rPr>
            </w:pPr>
            <w:r>
              <w:rPr>
                <w:rFonts w:ascii="Arial" w:cs="Arial" w:eastAsia="Arial" w:hAnsi="Arial"/>
                <w:sz w:val="18"/>
                <w:szCs w:val="18"/>
                <w:color w:val="auto"/>
              </w:rPr>
              <w:t>Research and development</w:t>
            </w:r>
          </w:p>
        </w:tc>
        <w:tc>
          <w:tcPr>
            <w:tcW w:w="440" w:type="dxa"/>
            <w:vAlign w:val="bottom"/>
            <w:tcBorders>
              <w:right w:val="single" w:sz="8" w:color="EEEEEE"/>
            </w:tcBorders>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7"/>
              </w:rPr>
              <w:t>32,181</w:t>
            </w:r>
          </w:p>
        </w:tc>
        <w:tc>
          <w:tcPr>
            <w:tcW w:w="42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7"/>
              </w:rPr>
              <w:t>34,390</w:t>
            </w:r>
          </w:p>
        </w:tc>
        <w:tc>
          <w:tcPr>
            <w:tcW w:w="6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ind w:left="120"/>
              <w:spacing w:after="0"/>
              <w:rPr>
                <w:sz w:val="20"/>
                <w:szCs w:val="20"/>
                <w:color w:val="auto"/>
              </w:rPr>
            </w:pPr>
            <w:r>
              <w:rPr>
                <w:rFonts w:ascii="Arial" w:cs="Arial" w:eastAsia="Arial" w:hAnsi="Arial"/>
                <w:sz w:val="18"/>
                <w:szCs w:val="18"/>
                <w:color w:val="auto"/>
              </w:rPr>
              <w:t>Contract manufacturing</w:t>
            </w:r>
          </w:p>
        </w:tc>
        <w:tc>
          <w:tcPr>
            <w:tcW w:w="4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2,225</w:t>
            </w:r>
          </w:p>
        </w:tc>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666</w:t>
            </w: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EEEEEE"/>
          </w:tcPr>
          <w:p>
            <w:pPr>
              <w:ind w:left="120"/>
              <w:spacing w:after="0"/>
              <w:rPr>
                <w:sz w:val="20"/>
                <w:szCs w:val="20"/>
                <w:color w:val="auto"/>
              </w:rPr>
            </w:pPr>
            <w:r>
              <w:rPr>
                <w:rFonts w:ascii="Arial" w:cs="Arial" w:eastAsia="Arial" w:hAnsi="Arial"/>
                <w:sz w:val="18"/>
                <w:szCs w:val="18"/>
                <w:color w:val="auto"/>
              </w:rPr>
              <w:t>General and administrative</w:t>
            </w:r>
          </w:p>
        </w:tc>
        <w:tc>
          <w:tcPr>
            <w:tcW w:w="440" w:type="dxa"/>
            <w:vAlign w:val="bottom"/>
            <w:tcBorders>
              <w:right w:val="single" w:sz="8" w:color="EEEEEE"/>
            </w:tcBorders>
            <w:shd w:val="clear" w:color="auto" w:fill="EEEEEE"/>
          </w:tcPr>
          <w:p>
            <w:pPr>
              <w:spacing w:after="0"/>
              <w:rPr>
                <w:sz w:val="18"/>
                <w:szCs w:val="18"/>
                <w:color w:val="auto"/>
              </w:rPr>
            </w:pPr>
          </w:p>
        </w:tc>
        <w:tc>
          <w:tcPr>
            <w:tcW w:w="50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3,790</w:t>
            </w:r>
          </w:p>
        </w:tc>
        <w:tc>
          <w:tcPr>
            <w:tcW w:w="42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50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3,459</w:t>
            </w:r>
          </w:p>
        </w:tc>
        <w:tc>
          <w:tcPr>
            <w:tcW w:w="6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6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0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w w:val="87"/>
              </w:rPr>
              <w:t>38,196</w:t>
            </w:r>
          </w:p>
        </w:tc>
        <w:tc>
          <w:tcPr>
            <w:tcW w:w="4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0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w w:val="87"/>
              </w:rPr>
              <w:t>38,515</w:t>
            </w: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60" w:type="dxa"/>
            <w:vAlign w:val="bottom"/>
            <w:shd w:val="clear" w:color="auto" w:fill="EEEEEE"/>
          </w:tcPr>
          <w:p>
            <w:pPr>
              <w:spacing w:after="0"/>
              <w:rPr>
                <w:sz w:val="20"/>
                <w:szCs w:val="20"/>
                <w:color w:val="auto"/>
              </w:rPr>
            </w:pPr>
            <w:r>
              <w:rPr>
                <w:rFonts w:ascii="Arial" w:cs="Arial" w:eastAsia="Arial" w:hAnsi="Arial"/>
                <w:sz w:val="18"/>
                <w:szCs w:val="18"/>
                <w:color w:val="auto"/>
              </w:rPr>
              <w:t>Income (loss) from operations</w:t>
            </w:r>
          </w:p>
        </w:tc>
        <w:tc>
          <w:tcPr>
            <w:tcW w:w="440" w:type="dxa"/>
            <w:vAlign w:val="bottom"/>
            <w:tcBorders>
              <w:right w:val="single" w:sz="8" w:color="EEEEEE"/>
            </w:tcBorders>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7"/>
              </w:rPr>
              <w:t>23,794</w:t>
            </w:r>
          </w:p>
        </w:tc>
        <w:tc>
          <w:tcPr>
            <w:tcW w:w="420" w:type="dxa"/>
            <w:vAlign w:val="bottom"/>
            <w:shd w:val="clear" w:color="auto" w:fill="EEEEEE"/>
          </w:tcPr>
          <w:p>
            <w:pPr>
              <w:spacing w:after="0"/>
              <w:rPr>
                <w:sz w:val="18"/>
                <w:szCs w:val="18"/>
                <w:color w:val="auto"/>
              </w:rPr>
            </w:pPr>
          </w:p>
        </w:tc>
        <w:tc>
          <w:tcPr>
            <w:tcW w:w="2380" w:type="dxa"/>
            <w:vAlign w:val="bottom"/>
            <w:gridSpan w:val="4"/>
            <w:shd w:val="clear" w:color="auto" w:fill="EEEEEE"/>
          </w:tcPr>
          <w:p>
            <w:pPr>
              <w:jc w:val="right"/>
              <w:ind w:right="600"/>
              <w:spacing w:after="0"/>
              <w:rPr>
                <w:sz w:val="20"/>
                <w:szCs w:val="20"/>
                <w:color w:val="auto"/>
              </w:rPr>
            </w:pPr>
            <w:r>
              <w:rPr>
                <w:rFonts w:ascii="Arial" w:cs="Arial" w:eastAsia="Arial" w:hAnsi="Arial"/>
                <w:sz w:val="18"/>
                <w:szCs w:val="18"/>
                <w:color w:val="auto"/>
              </w:rPr>
              <w:t>(28,590)</w:t>
            </w:r>
          </w:p>
        </w:tc>
        <w:tc>
          <w:tcPr>
            <w:tcW w:w="0" w:type="dxa"/>
            <w:vAlign w:val="bottom"/>
          </w:tcPr>
          <w:p>
            <w:pPr>
              <w:spacing w:after="0"/>
              <w:rPr>
                <w:sz w:val="1"/>
                <w:szCs w:val="1"/>
                <w:color w:val="auto"/>
              </w:rPr>
            </w:pPr>
          </w:p>
        </w:tc>
      </w:tr>
      <w:tr>
        <w:trPr>
          <w:trHeight w:val="237"/>
        </w:trPr>
        <w:tc>
          <w:tcPr>
            <w:tcW w:w="768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440" w:type="dxa"/>
            <w:vAlign w:val="bottom"/>
          </w:tcPr>
          <w:p>
            <w:pPr>
              <w:spacing w:after="0"/>
              <w:rPr>
                <w:sz w:val="20"/>
                <w:szCs w:val="20"/>
                <w:color w:val="auto"/>
              </w:rPr>
            </w:pPr>
          </w:p>
        </w:tc>
        <w:tc>
          <w:tcPr>
            <w:tcW w:w="500" w:type="dxa"/>
            <w:vAlign w:val="bottom"/>
            <w:tcBorders>
              <w:top w:val="single" w:sz="8" w:color="808080"/>
            </w:tcBorders>
          </w:tcPr>
          <w:p>
            <w:pPr>
              <w:spacing w:after="0"/>
              <w:rPr>
                <w:sz w:val="20"/>
                <w:szCs w:val="20"/>
                <w:color w:val="auto"/>
              </w:rPr>
            </w:pPr>
          </w:p>
        </w:tc>
        <w:tc>
          <w:tcPr>
            <w:tcW w:w="4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00" w:type="dxa"/>
            <w:vAlign w:val="bottom"/>
            <w:tcBorders>
              <w:top w:val="single" w:sz="8" w:color="808080"/>
            </w:tcBorders>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EEEEEE"/>
          </w:tcPr>
          <w:p>
            <w:pPr>
              <w:ind w:left="120"/>
              <w:spacing w:after="0"/>
              <w:rPr>
                <w:sz w:val="20"/>
                <w:szCs w:val="20"/>
                <w:color w:val="auto"/>
              </w:rPr>
            </w:pPr>
            <w:r>
              <w:rPr>
                <w:rFonts w:ascii="Arial" w:cs="Arial" w:eastAsia="Arial" w:hAnsi="Arial"/>
                <w:sz w:val="18"/>
                <w:szCs w:val="18"/>
                <w:color w:val="auto"/>
              </w:rPr>
              <w:t>Other contract income</w:t>
            </w:r>
          </w:p>
        </w:tc>
        <w:tc>
          <w:tcPr>
            <w:tcW w:w="440" w:type="dxa"/>
            <w:vAlign w:val="bottom"/>
            <w:tcBorders>
              <w:right w:val="single" w:sz="8" w:color="EEEEEE"/>
            </w:tcBorders>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7"/>
              </w:rPr>
              <w:t>42,750</w:t>
            </w:r>
          </w:p>
        </w:tc>
        <w:tc>
          <w:tcPr>
            <w:tcW w:w="42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ind w:left="120"/>
              <w:spacing w:after="0"/>
              <w:rPr>
                <w:sz w:val="20"/>
                <w:szCs w:val="20"/>
                <w:color w:val="auto"/>
              </w:rPr>
            </w:pPr>
            <w:r>
              <w:rPr>
                <w:rFonts w:ascii="Arial" w:cs="Arial" w:eastAsia="Arial" w:hAnsi="Arial"/>
                <w:sz w:val="18"/>
                <w:szCs w:val="18"/>
                <w:color w:val="auto"/>
              </w:rPr>
              <w:t>Investment income</w:t>
            </w:r>
          </w:p>
        </w:tc>
        <w:tc>
          <w:tcPr>
            <w:tcW w:w="4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1,124</w:t>
            </w:r>
          </w:p>
        </w:tc>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1,208</w:t>
            </w: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EEEEEE"/>
          </w:tcPr>
          <w:p>
            <w:pPr>
              <w:ind w:left="120"/>
              <w:spacing w:after="0"/>
              <w:rPr>
                <w:sz w:val="20"/>
                <w:szCs w:val="20"/>
                <w:color w:val="auto"/>
              </w:rPr>
            </w:pPr>
            <w:r>
              <w:rPr>
                <w:rFonts w:ascii="Arial" w:cs="Arial" w:eastAsia="Arial" w:hAnsi="Arial"/>
                <w:sz w:val="18"/>
                <w:szCs w:val="18"/>
                <w:color w:val="auto"/>
              </w:rPr>
              <w:t>Interest expense</w:t>
            </w:r>
          </w:p>
        </w:tc>
        <w:tc>
          <w:tcPr>
            <w:tcW w:w="440" w:type="dxa"/>
            <w:vAlign w:val="bottom"/>
            <w:tcBorders>
              <w:right w:val="single" w:sz="8" w:color="EEEEEE"/>
            </w:tcBorders>
            <w:shd w:val="clear" w:color="auto" w:fill="EEEEEE"/>
          </w:tcPr>
          <w:p>
            <w:pPr>
              <w:spacing w:after="0"/>
              <w:rPr>
                <w:sz w:val="18"/>
                <w:szCs w:val="18"/>
                <w:color w:val="auto"/>
              </w:rPr>
            </w:pPr>
          </w:p>
        </w:tc>
        <w:tc>
          <w:tcPr>
            <w:tcW w:w="92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w w:val="94"/>
              </w:rPr>
              <w:t>(3,136)</w:t>
            </w:r>
          </w:p>
        </w:tc>
        <w:tc>
          <w:tcPr>
            <w:tcW w:w="56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600"/>
              <w:spacing w:after="0"/>
              <w:rPr>
                <w:sz w:val="20"/>
                <w:szCs w:val="20"/>
                <w:color w:val="auto"/>
              </w:rPr>
            </w:pPr>
            <w:r>
              <w:rPr>
                <w:rFonts w:ascii="Arial" w:cs="Arial" w:eastAsia="Arial" w:hAnsi="Arial"/>
                <w:sz w:val="18"/>
                <w:szCs w:val="18"/>
                <w:color w:val="auto"/>
                <w:w w:val="94"/>
              </w:rPr>
              <w:t>(2,939)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shd w:val="clear" w:color="auto" w:fill="80808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0" w:type="dxa"/>
            <w:vAlign w:val="bottom"/>
            <w:shd w:val="clear" w:color="auto" w:fill="80808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76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40,738</w:t>
            </w:r>
          </w:p>
        </w:tc>
        <w:tc>
          <w:tcPr>
            <w:tcW w:w="4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160" w:type="dxa"/>
            <w:vAlign w:val="bottom"/>
            <w:gridSpan w:val="2"/>
          </w:tcPr>
          <w:p>
            <w:pPr>
              <w:jc w:val="right"/>
              <w:ind w:right="600"/>
              <w:spacing w:after="0"/>
              <w:rPr>
                <w:sz w:val="20"/>
                <w:szCs w:val="20"/>
                <w:color w:val="auto"/>
              </w:rPr>
            </w:pPr>
            <w:r>
              <w:rPr>
                <w:rFonts w:ascii="Arial" w:cs="Arial" w:eastAsia="Arial" w:hAnsi="Arial"/>
                <w:sz w:val="18"/>
                <w:szCs w:val="18"/>
                <w:color w:val="auto"/>
                <w:w w:val="94"/>
              </w:rPr>
              <w:t>(1,731)</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Borders>
              <w:top w:val="single" w:sz="8" w:color="808080"/>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0" w:type="dxa"/>
            <w:vAlign w:val="bottom"/>
            <w:tcBorders>
              <w:top w:val="single" w:sz="8" w:color="808080"/>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vMerge w:val="continue"/>
          </w:tcPr>
          <w:p>
            <w:pPr>
              <w:spacing w:after="0"/>
              <w:rPr>
                <w:sz w:val="18"/>
                <w:szCs w:val="18"/>
                <w:color w:val="auto"/>
              </w:rPr>
            </w:pPr>
          </w:p>
        </w:tc>
        <w:tc>
          <w:tcPr>
            <w:tcW w:w="7660" w:type="dxa"/>
            <w:vAlign w:val="bottom"/>
            <w:shd w:val="clear" w:color="auto" w:fill="EEEEEE"/>
          </w:tcPr>
          <w:p>
            <w:pPr>
              <w:spacing w:after="0"/>
              <w:rPr>
                <w:sz w:val="20"/>
                <w:szCs w:val="20"/>
                <w:color w:val="auto"/>
              </w:rPr>
            </w:pPr>
            <w:r>
              <w:rPr>
                <w:rFonts w:ascii="Arial" w:cs="Arial" w:eastAsia="Arial" w:hAnsi="Arial"/>
                <w:sz w:val="18"/>
                <w:szCs w:val="18"/>
                <w:color w:val="auto"/>
              </w:rPr>
              <w:t>Net income (loss)</w:t>
            </w:r>
          </w:p>
        </w:tc>
        <w:tc>
          <w:tcPr>
            <w:tcW w:w="4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7"/>
              </w:rPr>
              <w:t>64,532</w:t>
            </w:r>
          </w:p>
        </w:tc>
        <w:tc>
          <w:tcPr>
            <w:tcW w:w="420" w:type="dxa"/>
            <w:vAlign w:val="bottom"/>
            <w:shd w:val="clear" w:color="auto" w:fill="EEEEEE"/>
          </w:tcPr>
          <w:p>
            <w:pPr>
              <w:spacing w:after="0"/>
              <w:rPr>
                <w:sz w:val="18"/>
                <w:szCs w:val="18"/>
                <w:color w:val="auto"/>
              </w:rPr>
            </w:pPr>
          </w:p>
        </w:tc>
        <w:tc>
          <w:tcPr>
            <w:tcW w:w="2380" w:type="dxa"/>
            <w:vAlign w:val="bottom"/>
            <w:gridSpan w:val="4"/>
            <w:shd w:val="clear" w:color="auto" w:fill="EEEEEE"/>
          </w:tcPr>
          <w:p>
            <w:pPr>
              <w:jc w:val="right"/>
              <w:ind w:right="600"/>
              <w:spacing w:after="0"/>
              <w:rPr>
                <w:sz w:val="20"/>
                <w:szCs w:val="20"/>
                <w:color w:val="auto"/>
              </w:rPr>
            </w:pPr>
            <w:r>
              <w:rPr>
                <w:rFonts w:ascii="Arial" w:cs="Arial" w:eastAsia="Arial" w:hAnsi="Arial"/>
                <w:sz w:val="18"/>
                <w:szCs w:val="18"/>
                <w:color w:val="auto"/>
              </w:rPr>
              <w:t>($30,321)</w:t>
            </w: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7660" w:type="dxa"/>
            <w:vAlign w:val="bottom"/>
            <w:shd w:val="clear" w:color="auto" w:fill="EEEEEE"/>
          </w:tcPr>
          <w:p>
            <w:pPr>
              <w:spacing w:after="0"/>
              <w:rPr>
                <w:sz w:val="3"/>
                <w:szCs w:val="3"/>
                <w:color w:val="auto"/>
              </w:rPr>
            </w:pPr>
          </w:p>
        </w:tc>
        <w:tc>
          <w:tcPr>
            <w:tcW w:w="440" w:type="dxa"/>
            <w:vAlign w:val="bottom"/>
            <w:tcBorders>
              <w:right w:val="single" w:sz="8" w:color="808080"/>
            </w:tcBorders>
            <w:shd w:val="clear" w:color="auto" w:fill="EEEEEE"/>
          </w:tcPr>
          <w:p>
            <w:pPr>
              <w:spacing w:after="0"/>
              <w:rPr>
                <w:sz w:val="3"/>
                <w:szCs w:val="3"/>
                <w:color w:val="auto"/>
              </w:rPr>
            </w:pPr>
          </w:p>
        </w:tc>
        <w:tc>
          <w:tcPr>
            <w:tcW w:w="500" w:type="dxa"/>
            <w:vAlign w:val="bottom"/>
            <w:tcBorders>
              <w:bottom w:val="single" w:sz="8" w:color="808080"/>
            </w:tcBorders>
            <w:shd w:val="clear" w:color="auto" w:fill="808080"/>
          </w:tcPr>
          <w:p>
            <w:pPr>
              <w:spacing w:after="0"/>
              <w:rPr>
                <w:sz w:val="3"/>
                <w:szCs w:val="3"/>
                <w:color w:val="auto"/>
              </w:rPr>
            </w:pPr>
          </w:p>
        </w:tc>
        <w:tc>
          <w:tcPr>
            <w:tcW w:w="420" w:type="dxa"/>
            <w:vAlign w:val="bottom"/>
            <w:shd w:val="clear" w:color="auto" w:fill="EEEEEE"/>
          </w:tcPr>
          <w:p>
            <w:pPr>
              <w:spacing w:after="0"/>
              <w:rPr>
                <w:sz w:val="3"/>
                <w:szCs w:val="3"/>
                <w:color w:val="auto"/>
              </w:rPr>
            </w:pPr>
          </w:p>
        </w:tc>
        <w:tc>
          <w:tcPr>
            <w:tcW w:w="560" w:type="dxa"/>
            <w:vAlign w:val="bottom"/>
            <w:shd w:val="clear" w:color="auto" w:fill="EEEEEE"/>
          </w:tcPr>
          <w:p>
            <w:pPr>
              <w:spacing w:after="0"/>
              <w:rPr>
                <w:sz w:val="3"/>
                <w:szCs w:val="3"/>
                <w:color w:val="auto"/>
              </w:rPr>
            </w:pPr>
          </w:p>
        </w:tc>
        <w:tc>
          <w:tcPr>
            <w:tcW w:w="660" w:type="dxa"/>
            <w:vAlign w:val="bottom"/>
            <w:shd w:val="clear" w:color="auto" w:fill="EEEEEE"/>
          </w:tcPr>
          <w:p>
            <w:pPr>
              <w:spacing w:after="0"/>
              <w:rPr>
                <w:sz w:val="3"/>
                <w:szCs w:val="3"/>
                <w:color w:val="auto"/>
              </w:rPr>
            </w:pPr>
          </w:p>
        </w:tc>
        <w:tc>
          <w:tcPr>
            <w:tcW w:w="500" w:type="dxa"/>
            <w:vAlign w:val="bottom"/>
            <w:tcBorders>
              <w:bottom w:val="single" w:sz="8" w:color="808080"/>
            </w:tcBorders>
            <w:shd w:val="clear" w:color="auto" w:fill="808080"/>
          </w:tcPr>
          <w:p>
            <w:pPr>
              <w:spacing w:after="0"/>
              <w:rPr>
                <w:sz w:val="3"/>
                <w:szCs w:val="3"/>
                <w:color w:val="auto"/>
              </w:rPr>
            </w:pPr>
          </w:p>
        </w:tc>
        <w:tc>
          <w:tcPr>
            <w:tcW w:w="660" w:type="dxa"/>
            <w:vAlign w:val="bottom"/>
            <w:shd w:val="clear" w:color="auto" w:fill="EEEEEE"/>
          </w:tcPr>
          <w:p>
            <w:pPr>
              <w:spacing w:after="0"/>
              <w:rPr>
                <w:sz w:val="3"/>
                <w:szCs w:val="3"/>
                <w:color w:val="auto"/>
              </w:rPr>
            </w:pPr>
          </w:p>
        </w:tc>
        <w:tc>
          <w:tcPr>
            <w:tcW w:w="0" w:type="dxa"/>
            <w:vAlign w:val="bottom"/>
          </w:tcPr>
          <w:p>
            <w:pPr>
              <w:spacing w:after="0"/>
              <w:rPr>
                <w:sz w:val="1"/>
                <w:szCs w:val="1"/>
                <w:color w:val="auto"/>
              </w:rPr>
            </w:pPr>
          </w:p>
        </w:tc>
      </w:tr>
      <w:tr>
        <w:trPr>
          <w:trHeight w:val="240"/>
        </w:trPr>
        <w:tc>
          <w:tcPr>
            <w:tcW w:w="7680" w:type="dxa"/>
            <w:vAlign w:val="bottom"/>
            <w:gridSpan w:val="2"/>
          </w:tcPr>
          <w:p>
            <w:pPr>
              <w:spacing w:after="0"/>
              <w:rPr>
                <w:sz w:val="20"/>
                <w:szCs w:val="20"/>
                <w:color w:val="auto"/>
              </w:rPr>
            </w:pPr>
            <w:r>
              <w:rPr>
                <w:rFonts w:ascii="Arial" w:cs="Arial" w:eastAsia="Arial" w:hAnsi="Arial"/>
                <w:sz w:val="18"/>
                <w:szCs w:val="18"/>
                <w:color w:val="auto"/>
              </w:rPr>
              <w:t>Net income (loss) per share:</w:t>
            </w:r>
          </w:p>
        </w:tc>
        <w:tc>
          <w:tcPr>
            <w:tcW w:w="4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EEEEEE"/>
          </w:tcPr>
          <w:p>
            <w:pPr>
              <w:ind w:left="120"/>
              <w:spacing w:after="0"/>
              <w:rPr>
                <w:sz w:val="20"/>
                <w:szCs w:val="20"/>
                <w:color w:val="auto"/>
              </w:rPr>
            </w:pPr>
            <w:r>
              <w:rPr>
                <w:rFonts w:ascii="Arial" w:cs="Arial" w:eastAsia="Arial" w:hAnsi="Arial"/>
                <w:sz w:val="18"/>
                <w:szCs w:val="18"/>
                <w:color w:val="auto"/>
              </w:rPr>
              <w:t>Basic</w:t>
            </w:r>
          </w:p>
        </w:tc>
        <w:tc>
          <w:tcPr>
            <w:tcW w:w="4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1.17</w:t>
            </w:r>
          </w:p>
        </w:tc>
        <w:tc>
          <w:tcPr>
            <w:tcW w:w="42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EEEEEE"/>
          </w:tcPr>
          <w:p>
            <w:pPr>
              <w:jc w:val="right"/>
              <w:ind w:right="600"/>
              <w:spacing w:after="0"/>
              <w:rPr>
                <w:sz w:val="20"/>
                <w:szCs w:val="20"/>
                <w:color w:val="auto"/>
              </w:rPr>
            </w:pPr>
            <w:r>
              <w:rPr>
                <w:rFonts w:ascii="Arial" w:cs="Arial" w:eastAsia="Arial" w:hAnsi="Arial"/>
                <w:sz w:val="18"/>
                <w:szCs w:val="18"/>
                <w:color w:val="auto"/>
              </w:rPr>
              <w:t>0.68)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ind w:left="120"/>
              <w:spacing w:after="0"/>
              <w:rPr>
                <w:sz w:val="20"/>
                <w:szCs w:val="20"/>
                <w:color w:val="auto"/>
              </w:rPr>
            </w:pPr>
            <w:r>
              <w:rPr>
                <w:rFonts w:ascii="Arial" w:cs="Arial" w:eastAsia="Arial" w:hAnsi="Arial"/>
                <w:sz w:val="18"/>
                <w:szCs w:val="18"/>
                <w:color w:val="auto"/>
              </w:rPr>
              <w:t>Diluted</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1.06</w:t>
            </w:r>
          </w:p>
        </w:tc>
        <w:tc>
          <w:tcPr>
            <w:tcW w:w="42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600"/>
              <w:spacing w:after="0"/>
              <w:rPr>
                <w:sz w:val="20"/>
                <w:szCs w:val="20"/>
                <w:color w:val="auto"/>
              </w:rPr>
            </w:pPr>
            <w:r>
              <w:rPr>
                <w:rFonts w:ascii="Arial" w:cs="Arial" w:eastAsia="Arial" w:hAnsi="Arial"/>
                <w:sz w:val="18"/>
                <w:szCs w:val="18"/>
                <w:color w:val="auto"/>
              </w:rPr>
              <w:t>0.68)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EEEEEE"/>
          </w:tcPr>
          <w:p>
            <w:pPr>
              <w:spacing w:after="0"/>
              <w:rPr>
                <w:sz w:val="20"/>
                <w:szCs w:val="20"/>
                <w:color w:val="auto"/>
              </w:rPr>
            </w:pPr>
            <w:r>
              <w:rPr>
                <w:rFonts w:ascii="Arial" w:cs="Arial" w:eastAsia="Arial" w:hAnsi="Arial"/>
                <w:sz w:val="18"/>
                <w:szCs w:val="18"/>
                <w:color w:val="auto"/>
              </w:rPr>
              <w:t>Weighted average shares outstanding:</w:t>
            </w:r>
          </w:p>
        </w:tc>
        <w:tc>
          <w:tcPr>
            <w:tcW w:w="440" w:type="dxa"/>
            <w:vAlign w:val="bottom"/>
            <w:tcBorders>
              <w:right w:val="single" w:sz="8" w:color="EEEEEE"/>
            </w:tcBorders>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ind w:left="120"/>
              <w:spacing w:after="0"/>
              <w:rPr>
                <w:sz w:val="20"/>
                <w:szCs w:val="20"/>
                <w:color w:val="auto"/>
              </w:rPr>
            </w:pPr>
            <w:r>
              <w:rPr>
                <w:rFonts w:ascii="Arial" w:cs="Arial" w:eastAsia="Arial" w:hAnsi="Arial"/>
                <w:sz w:val="18"/>
                <w:szCs w:val="18"/>
                <w:color w:val="auto"/>
              </w:rPr>
              <w:t>Basic</w:t>
            </w:r>
          </w:p>
        </w:tc>
        <w:tc>
          <w:tcPr>
            <w:tcW w:w="4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55,283</w:t>
            </w:r>
          </w:p>
        </w:tc>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44,309</w:t>
            </w: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EEEEEE"/>
          </w:tcPr>
          <w:p>
            <w:pPr>
              <w:ind w:left="120"/>
              <w:spacing w:after="0"/>
              <w:rPr>
                <w:sz w:val="20"/>
                <w:szCs w:val="20"/>
                <w:color w:val="auto"/>
              </w:rPr>
            </w:pPr>
            <w:r>
              <w:rPr>
                <w:rFonts w:ascii="Arial" w:cs="Arial" w:eastAsia="Arial" w:hAnsi="Arial"/>
                <w:sz w:val="18"/>
                <w:szCs w:val="18"/>
                <w:color w:val="auto"/>
              </w:rPr>
              <w:t>Diluted</w:t>
            </w:r>
          </w:p>
        </w:tc>
        <w:tc>
          <w:tcPr>
            <w:tcW w:w="440" w:type="dxa"/>
            <w:vAlign w:val="bottom"/>
            <w:tcBorders>
              <w:right w:val="single" w:sz="8" w:color="EEEEEE"/>
            </w:tcBorders>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7"/>
              </w:rPr>
              <w:t>63,620</w:t>
            </w:r>
          </w:p>
        </w:tc>
        <w:tc>
          <w:tcPr>
            <w:tcW w:w="42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7"/>
              </w:rPr>
              <w:t>44,309</w:t>
            </w:r>
          </w:p>
        </w:tc>
        <w:tc>
          <w:tcPr>
            <w:tcW w:w="6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 financial statements.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198" w:lineRule="exact"/>
        <w:rPr>
          <w:sz w:val="20"/>
          <w:szCs w:val="20"/>
          <w:color w:val="auto"/>
        </w:rPr>
      </w:pPr>
    </w:p>
    <w:p>
      <w:pPr>
        <w:ind w:right="5500"/>
        <w:spacing w:after="0" w:line="266" w:lineRule="auto"/>
        <w:rPr>
          <w:sz w:val="20"/>
          <w:szCs w:val="20"/>
          <w:color w:val="auto"/>
        </w:rPr>
      </w:pPr>
      <w:r>
        <w:rPr>
          <w:rFonts w:ascii="Arial" w:cs="Arial" w:eastAsia="Arial" w:hAnsi="Arial"/>
          <w:sz w:val="18"/>
          <w:szCs w:val="18"/>
          <w:b w:val="1"/>
          <w:bCs w:val="1"/>
          <w:color w:val="auto"/>
        </w:rPr>
        <w:t xml:space="preserve">CONDENSED STATEMENT OF STOCKHOLDERS’ EQUITY (Unaudited) For the three months ended March 31, 2004 </w:t>
      </w:r>
      <w:r>
        <w:rPr>
          <w:rFonts w:ascii="Arial" w:cs="Arial" w:eastAsia="Arial" w:hAnsi="Arial"/>
          <w:sz w:val="18"/>
          <w:szCs w:val="18"/>
          <w:b w:val="1"/>
          <w:bCs w:val="1"/>
          <w:i w:val="1"/>
          <w:iCs w:val="1"/>
          <w:color w:val="auto"/>
        </w:rPr>
        <w:t>(In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gridSpan w:val="8"/>
          </w:tcPr>
          <w:p>
            <w:pPr>
              <w:ind w:left="60"/>
              <w:spacing w:after="0"/>
              <w:rPr>
                <w:sz w:val="20"/>
                <w:szCs w:val="20"/>
                <w:color w:val="auto"/>
              </w:rPr>
            </w:pPr>
            <w:r>
              <w:rPr>
                <w:rFonts w:ascii="Arial" w:cs="Arial" w:eastAsia="Arial" w:hAnsi="Arial"/>
                <w:sz w:val="14"/>
                <w:szCs w:val="14"/>
                <w:b w:val="1"/>
                <w:bCs w:val="1"/>
                <w:color w:val="auto"/>
              </w:rPr>
              <w:t>Class A Stock</w:t>
            </w:r>
          </w:p>
        </w:tc>
        <w:tc>
          <w:tcPr>
            <w:tcW w:w="100" w:type="dxa"/>
            <w:vAlign w:val="bottom"/>
          </w:tcPr>
          <w:p>
            <w:pPr>
              <w:spacing w:after="0"/>
              <w:rPr>
                <w:sz w:val="14"/>
                <w:szCs w:val="14"/>
                <w:color w:val="auto"/>
              </w:rPr>
            </w:pPr>
          </w:p>
        </w:tc>
        <w:tc>
          <w:tcPr>
            <w:tcW w:w="1220" w:type="dxa"/>
            <w:vAlign w:val="bottom"/>
            <w:gridSpan w:val="9"/>
          </w:tcPr>
          <w:p>
            <w:pPr>
              <w:ind w:left="80"/>
              <w:spacing w:after="0"/>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rPr>
              <w:t>Additional</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5760" w:type="dxa"/>
            <w:vAlign w:val="bottom"/>
          </w:tcPr>
          <w:p>
            <w:pPr>
              <w:spacing w:after="0"/>
              <w:rPr>
                <w:sz w:val="6"/>
                <w:szCs w:val="6"/>
                <w:color w:val="auto"/>
              </w:rPr>
            </w:pPr>
          </w:p>
        </w:tc>
        <w:tc>
          <w:tcPr>
            <w:tcW w:w="180" w:type="dxa"/>
            <w:vAlign w:val="bottom"/>
            <w:tcBorders>
              <w:bottom w:val="single" w:sz="8" w:color="808080"/>
            </w:tcBorders>
          </w:tcPr>
          <w:p>
            <w:pPr>
              <w:spacing w:after="0"/>
              <w:rPr>
                <w:sz w:val="6"/>
                <w:szCs w:val="6"/>
                <w:color w:val="auto"/>
              </w:rPr>
            </w:pPr>
          </w:p>
        </w:tc>
        <w:tc>
          <w:tcPr>
            <w:tcW w:w="420" w:type="dxa"/>
            <w:vAlign w:val="bottom"/>
            <w:tcBorders>
              <w:bottom w:val="single" w:sz="8" w:color="808080"/>
            </w:tcBorders>
          </w:tcPr>
          <w:p>
            <w:pPr>
              <w:spacing w:after="0"/>
              <w:rPr>
                <w:sz w:val="6"/>
                <w:szCs w:val="6"/>
                <w:color w:val="auto"/>
              </w:rPr>
            </w:pPr>
          </w:p>
        </w:tc>
        <w:tc>
          <w:tcPr>
            <w:tcW w:w="140" w:type="dxa"/>
            <w:vAlign w:val="bottom"/>
            <w:tcBorders>
              <w:bottom w:val="single" w:sz="8" w:color="808080"/>
            </w:tcBorders>
          </w:tcPr>
          <w:p>
            <w:pPr>
              <w:spacing w:after="0"/>
              <w:rPr>
                <w:sz w:val="6"/>
                <w:szCs w:val="6"/>
                <w:color w:val="auto"/>
              </w:rPr>
            </w:pPr>
          </w:p>
        </w:tc>
        <w:tc>
          <w:tcPr>
            <w:tcW w:w="100" w:type="dxa"/>
            <w:vAlign w:val="bottom"/>
            <w:tcBorders>
              <w:bottom w:val="single" w:sz="8" w:color="808080"/>
            </w:tcBorders>
          </w:tcPr>
          <w:p>
            <w:pPr>
              <w:spacing w:after="0"/>
              <w:rPr>
                <w:sz w:val="6"/>
                <w:szCs w:val="6"/>
                <w:color w:val="auto"/>
              </w:rPr>
            </w:pPr>
          </w:p>
        </w:tc>
        <w:tc>
          <w:tcPr>
            <w:tcW w:w="160" w:type="dxa"/>
            <w:vAlign w:val="bottom"/>
            <w:tcBorders>
              <w:bottom w:val="single" w:sz="8" w:color="808080"/>
            </w:tcBorders>
          </w:tcPr>
          <w:p>
            <w:pPr>
              <w:spacing w:after="0"/>
              <w:rPr>
                <w:sz w:val="6"/>
                <w:szCs w:val="6"/>
                <w:color w:val="auto"/>
              </w:rPr>
            </w:pPr>
          </w:p>
        </w:tc>
        <w:tc>
          <w:tcPr>
            <w:tcW w:w="160" w:type="dxa"/>
            <w:vAlign w:val="bottom"/>
            <w:tcBorders>
              <w:bottom w:val="single" w:sz="8" w:color="808080"/>
            </w:tcBorders>
          </w:tcPr>
          <w:p>
            <w:pPr>
              <w:spacing w:after="0"/>
              <w:rPr>
                <w:sz w:val="6"/>
                <w:szCs w:val="6"/>
                <w:color w:val="auto"/>
              </w:rPr>
            </w:pPr>
          </w:p>
        </w:tc>
        <w:tc>
          <w:tcPr>
            <w:tcW w:w="220" w:type="dxa"/>
            <w:vAlign w:val="bottom"/>
            <w:tcBorders>
              <w:bottom w:val="single" w:sz="8" w:color="808080"/>
            </w:tcBorders>
          </w:tcPr>
          <w:p>
            <w:pPr>
              <w:spacing w:after="0"/>
              <w:rPr>
                <w:sz w:val="6"/>
                <w:szCs w:val="6"/>
                <w:color w:val="auto"/>
              </w:rPr>
            </w:pPr>
          </w:p>
        </w:tc>
        <w:tc>
          <w:tcPr>
            <w:tcW w:w="1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bottom w:val="single" w:sz="8" w:color="808080"/>
            </w:tcBorders>
          </w:tcPr>
          <w:p>
            <w:pPr>
              <w:spacing w:after="0"/>
              <w:rPr>
                <w:sz w:val="6"/>
                <w:szCs w:val="6"/>
                <w:color w:val="auto"/>
              </w:rPr>
            </w:pPr>
          </w:p>
        </w:tc>
        <w:tc>
          <w:tcPr>
            <w:tcW w:w="140" w:type="dxa"/>
            <w:vAlign w:val="bottom"/>
            <w:tcBorders>
              <w:bottom w:val="single" w:sz="8" w:color="808080"/>
            </w:tcBorders>
          </w:tcPr>
          <w:p>
            <w:pPr>
              <w:spacing w:after="0"/>
              <w:rPr>
                <w:sz w:val="6"/>
                <w:szCs w:val="6"/>
                <w:color w:val="auto"/>
              </w:rPr>
            </w:pPr>
          </w:p>
        </w:tc>
        <w:tc>
          <w:tcPr>
            <w:tcW w:w="360" w:type="dxa"/>
            <w:vAlign w:val="bottom"/>
            <w:tcBorders>
              <w:bottom w:val="single" w:sz="8" w:color="808080"/>
            </w:tcBorders>
          </w:tcPr>
          <w:p>
            <w:pPr>
              <w:spacing w:after="0"/>
              <w:rPr>
                <w:sz w:val="6"/>
                <w:szCs w:val="6"/>
                <w:color w:val="auto"/>
              </w:rPr>
            </w:pPr>
          </w:p>
        </w:tc>
        <w:tc>
          <w:tcPr>
            <w:tcW w:w="80" w:type="dxa"/>
            <w:vAlign w:val="bottom"/>
            <w:tcBorders>
              <w:bottom w:val="single" w:sz="8" w:color="808080"/>
            </w:tcBorders>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160" w:type="dxa"/>
            <w:vAlign w:val="bottom"/>
            <w:tcBorders>
              <w:bottom w:val="single" w:sz="8" w:color="808080"/>
            </w:tcBorders>
          </w:tcPr>
          <w:p>
            <w:pPr>
              <w:spacing w:after="0"/>
              <w:rPr>
                <w:sz w:val="6"/>
                <w:szCs w:val="6"/>
                <w:color w:val="auto"/>
              </w:rPr>
            </w:pPr>
          </w:p>
        </w:tc>
        <w:tc>
          <w:tcPr>
            <w:tcW w:w="100" w:type="dxa"/>
            <w:vAlign w:val="bottom"/>
            <w:tcBorders>
              <w:bottom w:val="single" w:sz="8" w:color="808080"/>
            </w:tcBorders>
          </w:tcPr>
          <w:p>
            <w:pPr>
              <w:spacing w:after="0"/>
              <w:rPr>
                <w:sz w:val="6"/>
                <w:szCs w:val="6"/>
                <w:color w:val="auto"/>
              </w:rPr>
            </w:pPr>
          </w:p>
        </w:tc>
        <w:tc>
          <w:tcPr>
            <w:tcW w:w="180" w:type="dxa"/>
            <w:vAlign w:val="bottom"/>
            <w:tcBorders>
              <w:bottom w:val="single" w:sz="8" w:color="808080"/>
            </w:tcBorders>
          </w:tcPr>
          <w:p>
            <w:pPr>
              <w:spacing w:after="0"/>
              <w:rPr>
                <w:sz w:val="6"/>
                <w:szCs w:val="6"/>
                <w:color w:val="auto"/>
              </w:rPr>
            </w:pPr>
          </w:p>
        </w:tc>
        <w:tc>
          <w:tcPr>
            <w:tcW w:w="40" w:type="dxa"/>
            <w:vAlign w:val="bottom"/>
            <w:tcBorders>
              <w:bottom w:val="single" w:sz="8" w:color="808080"/>
            </w:tcBorders>
          </w:tcPr>
          <w:p>
            <w:pPr>
              <w:spacing w:after="0"/>
              <w:rPr>
                <w:sz w:val="6"/>
                <w:szCs w:val="6"/>
                <w:color w:val="auto"/>
              </w:rPr>
            </w:pPr>
          </w:p>
        </w:tc>
        <w:tc>
          <w:tcPr>
            <w:tcW w:w="140" w:type="dxa"/>
            <w:vAlign w:val="bottom"/>
            <w:tcBorders>
              <w:bottom w:val="single" w:sz="8" w:color="808080"/>
            </w:tcBorders>
          </w:tcPr>
          <w:p>
            <w:pPr>
              <w:spacing w:after="0"/>
              <w:rPr>
                <w:sz w:val="6"/>
                <w:szCs w:val="6"/>
                <w:color w:val="auto"/>
              </w:rPr>
            </w:pPr>
          </w:p>
        </w:tc>
        <w:tc>
          <w:tcPr>
            <w:tcW w:w="120" w:type="dxa"/>
            <w:vAlign w:val="bottom"/>
            <w:vMerge w:val="restart"/>
          </w:tcPr>
          <w:p>
            <w:pPr>
              <w:spacing w:after="0"/>
              <w:rPr>
                <w:sz w:val="6"/>
                <w:szCs w:val="6"/>
                <w:color w:val="auto"/>
              </w:rPr>
            </w:pPr>
          </w:p>
        </w:tc>
        <w:tc>
          <w:tcPr>
            <w:tcW w:w="120" w:type="dxa"/>
            <w:vAlign w:val="bottom"/>
            <w:vMerge w:val="restart"/>
          </w:tcPr>
          <w:p>
            <w:pPr>
              <w:spacing w:after="0"/>
              <w:rPr>
                <w:sz w:val="6"/>
                <w:szCs w:val="6"/>
                <w:color w:val="auto"/>
              </w:rPr>
            </w:pPr>
          </w:p>
        </w:tc>
        <w:tc>
          <w:tcPr>
            <w:tcW w:w="280" w:type="dxa"/>
            <w:vAlign w:val="bottom"/>
            <w:vMerge w:val="restart"/>
          </w:tcPr>
          <w:p>
            <w:pPr>
              <w:spacing w:after="0"/>
              <w:rPr>
                <w:sz w:val="6"/>
                <w:szCs w:val="6"/>
                <w:color w:val="auto"/>
              </w:rPr>
            </w:pPr>
          </w:p>
        </w:tc>
        <w:tc>
          <w:tcPr>
            <w:tcW w:w="840" w:type="dxa"/>
            <w:vAlign w:val="bottom"/>
            <w:gridSpan w:val="3"/>
            <w:vMerge w:val="restart"/>
          </w:tcPr>
          <w:p>
            <w:pPr>
              <w:ind w:left="60"/>
              <w:spacing w:after="0" w:line="149" w:lineRule="exact"/>
              <w:rPr>
                <w:sz w:val="20"/>
                <w:szCs w:val="20"/>
                <w:color w:val="auto"/>
              </w:rPr>
            </w:pPr>
            <w:r>
              <w:rPr>
                <w:rFonts w:ascii="Arial" w:cs="Arial" w:eastAsia="Arial" w:hAnsi="Arial"/>
                <w:sz w:val="14"/>
                <w:szCs w:val="14"/>
                <w:b w:val="1"/>
                <w:bCs w:val="1"/>
                <w:color w:val="auto"/>
              </w:rPr>
              <w:t>Paid-in</w:t>
            </w:r>
          </w:p>
        </w:tc>
        <w:tc>
          <w:tcPr>
            <w:tcW w:w="20" w:type="dxa"/>
            <w:vAlign w:val="bottom"/>
            <w:vMerge w:val="restart"/>
          </w:tcPr>
          <w:p>
            <w:pPr>
              <w:spacing w:after="0"/>
              <w:rPr>
                <w:sz w:val="6"/>
                <w:szCs w:val="6"/>
                <w:color w:val="auto"/>
              </w:rPr>
            </w:pPr>
          </w:p>
        </w:tc>
        <w:tc>
          <w:tcPr>
            <w:tcW w:w="200" w:type="dxa"/>
            <w:vAlign w:val="bottom"/>
            <w:vMerge w:val="restart"/>
          </w:tcPr>
          <w:p>
            <w:pPr>
              <w:spacing w:after="0"/>
              <w:rPr>
                <w:sz w:val="6"/>
                <w:szCs w:val="6"/>
                <w:color w:val="auto"/>
              </w:rPr>
            </w:pPr>
          </w:p>
        </w:tc>
        <w:tc>
          <w:tcPr>
            <w:tcW w:w="60" w:type="dxa"/>
            <w:vAlign w:val="bottom"/>
            <w:vMerge w:val="restart"/>
          </w:tcPr>
          <w:p>
            <w:pPr>
              <w:spacing w:after="0"/>
              <w:rPr>
                <w:sz w:val="6"/>
                <w:szCs w:val="6"/>
                <w:color w:val="auto"/>
              </w:rPr>
            </w:pPr>
          </w:p>
        </w:tc>
        <w:tc>
          <w:tcPr>
            <w:tcW w:w="1120" w:type="dxa"/>
            <w:vAlign w:val="bottom"/>
            <w:gridSpan w:val="4"/>
            <w:vMerge w:val="restart"/>
          </w:tcPr>
          <w:p>
            <w:pPr>
              <w:ind w:left="220"/>
              <w:spacing w:after="0" w:line="149" w:lineRule="exact"/>
              <w:rPr>
                <w:sz w:val="20"/>
                <w:szCs w:val="20"/>
                <w:color w:val="auto"/>
              </w:rPr>
            </w:pPr>
            <w:r>
              <w:rPr>
                <w:rFonts w:ascii="Arial" w:cs="Arial" w:eastAsia="Arial" w:hAnsi="Arial"/>
                <w:sz w:val="14"/>
                <w:szCs w:val="14"/>
                <w:b w:val="1"/>
                <w:bCs w:val="1"/>
                <w:color w:val="auto"/>
              </w:rPr>
              <w:t>Unearned</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5760" w:type="dxa"/>
            <w:vAlign w:val="bottom"/>
          </w:tcPr>
          <w:p>
            <w:pPr>
              <w:spacing w:after="0"/>
              <w:rPr>
                <w:sz w:val="4"/>
                <w:szCs w:val="4"/>
                <w:color w:val="auto"/>
              </w:rPr>
            </w:pPr>
          </w:p>
        </w:tc>
        <w:tc>
          <w:tcPr>
            <w:tcW w:w="6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w w:val="85"/>
              </w:rPr>
              <w:t>Shares</w:t>
            </w: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gridSpan w:val="5"/>
            <w:vMerge w:val="restart"/>
          </w:tcPr>
          <w:p>
            <w:pPr>
              <w:jc w:val="center"/>
              <w:ind w:right="220"/>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Pr>
          <w:p>
            <w:pPr>
              <w:spacing w:after="0"/>
              <w:rPr>
                <w:sz w:val="4"/>
                <w:szCs w:val="4"/>
                <w:color w:val="auto"/>
              </w:rPr>
            </w:pPr>
          </w:p>
        </w:tc>
        <w:tc>
          <w:tcPr>
            <w:tcW w:w="580" w:type="dxa"/>
            <w:vAlign w:val="bottom"/>
            <w:gridSpan w:val="3"/>
            <w:vMerge w:val="restart"/>
          </w:tcPr>
          <w:p>
            <w:pPr>
              <w:jc w:val="right"/>
              <w:ind w:right="120"/>
              <w:spacing w:after="0"/>
              <w:rPr>
                <w:sz w:val="20"/>
                <w:szCs w:val="20"/>
                <w:color w:val="auto"/>
              </w:rPr>
            </w:pPr>
            <w:r>
              <w:rPr>
                <w:rFonts w:ascii="Arial" w:cs="Arial" w:eastAsia="Arial" w:hAnsi="Arial"/>
                <w:sz w:val="14"/>
                <w:szCs w:val="14"/>
                <w:b w:val="1"/>
                <w:bCs w:val="1"/>
                <w:color w:val="auto"/>
                <w:w w:val="94"/>
              </w:rPr>
              <w:t>Shares</w:t>
            </w: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460" w:type="dxa"/>
            <w:vAlign w:val="bottom"/>
            <w:gridSpan w:val="4"/>
            <w:vMerge w:val="restart"/>
          </w:tcPr>
          <w:p>
            <w:pPr>
              <w:spacing w:after="0"/>
              <w:rPr>
                <w:sz w:val="20"/>
                <w:szCs w:val="20"/>
                <w:color w:val="auto"/>
              </w:rPr>
            </w:pPr>
            <w:r>
              <w:rPr>
                <w:rFonts w:ascii="Arial" w:cs="Arial" w:eastAsia="Arial" w:hAnsi="Arial"/>
                <w:sz w:val="14"/>
                <w:szCs w:val="14"/>
                <w:b w:val="1"/>
                <w:bCs w:val="1"/>
                <w:color w:val="auto"/>
                <w:w w:val="83"/>
              </w:rPr>
              <w:t>Amount</w:t>
            </w:r>
          </w:p>
        </w:tc>
        <w:tc>
          <w:tcPr>
            <w:tcW w:w="120" w:type="dxa"/>
            <w:vAlign w:val="bottom"/>
            <w:vMerge w:val="continue"/>
          </w:tcPr>
          <w:p>
            <w:pPr>
              <w:spacing w:after="0"/>
              <w:rPr>
                <w:sz w:val="4"/>
                <w:szCs w:val="4"/>
                <w:color w:val="auto"/>
              </w:rPr>
            </w:pPr>
          </w:p>
        </w:tc>
        <w:tc>
          <w:tcPr>
            <w:tcW w:w="120" w:type="dxa"/>
            <w:vAlign w:val="bottom"/>
            <w:vMerge w:val="continue"/>
          </w:tcPr>
          <w:p>
            <w:pPr>
              <w:spacing w:after="0"/>
              <w:rPr>
                <w:sz w:val="4"/>
                <w:szCs w:val="4"/>
                <w:color w:val="auto"/>
              </w:rPr>
            </w:pPr>
          </w:p>
        </w:tc>
        <w:tc>
          <w:tcPr>
            <w:tcW w:w="280" w:type="dxa"/>
            <w:vAlign w:val="bottom"/>
            <w:vMerge w:val="continue"/>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200" w:type="dxa"/>
            <w:vAlign w:val="bottom"/>
            <w:vMerge w:val="continue"/>
          </w:tcPr>
          <w:p>
            <w:pPr>
              <w:spacing w:after="0"/>
              <w:rPr>
                <w:sz w:val="4"/>
                <w:szCs w:val="4"/>
                <w:color w:val="auto"/>
              </w:rPr>
            </w:pPr>
          </w:p>
        </w:tc>
        <w:tc>
          <w:tcPr>
            <w:tcW w:w="60" w:type="dxa"/>
            <w:vAlign w:val="bottom"/>
            <w:vMerge w:val="continue"/>
          </w:tcPr>
          <w:p>
            <w:pPr>
              <w:spacing w:after="0"/>
              <w:rPr>
                <w:sz w:val="4"/>
                <w:szCs w:val="4"/>
                <w:color w:val="auto"/>
              </w:rPr>
            </w:pPr>
          </w:p>
        </w:tc>
        <w:tc>
          <w:tcPr>
            <w:tcW w:w="112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760" w:type="dxa"/>
            <w:vAlign w:val="bottom"/>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5"/>
            <w:vMerge w:val="continue"/>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gridSpan w:val="4"/>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gridSpan w:val="3"/>
          </w:tcPr>
          <w:p>
            <w:pPr>
              <w:ind w:left="60"/>
              <w:spacing w:after="0"/>
              <w:rPr>
                <w:sz w:val="20"/>
                <w:szCs w:val="20"/>
                <w:color w:val="auto"/>
              </w:rPr>
            </w:pPr>
            <w:r>
              <w:rPr>
                <w:rFonts w:ascii="Arial" w:cs="Arial" w:eastAsia="Arial" w:hAnsi="Arial"/>
                <w:sz w:val="14"/>
                <w:szCs w:val="14"/>
                <w:b w:val="1"/>
                <w:bCs w:val="1"/>
                <w:color w:val="auto"/>
              </w:rPr>
              <w:t>Capital</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20" w:type="dxa"/>
            <w:vAlign w:val="bottom"/>
            <w:gridSpan w:val="4"/>
          </w:tcPr>
          <w:p>
            <w:pPr>
              <w:ind w:left="80"/>
              <w:spacing w:after="0"/>
              <w:rPr>
                <w:sz w:val="20"/>
                <w:szCs w:val="20"/>
                <w:color w:val="auto"/>
              </w:rPr>
            </w:pPr>
            <w:r>
              <w:rPr>
                <w:rFonts w:ascii="Arial" w:cs="Arial" w:eastAsia="Arial" w:hAnsi="Arial"/>
                <w:sz w:val="14"/>
                <w:szCs w:val="14"/>
                <w:b w:val="1"/>
                <w:bCs w:val="1"/>
                <w:color w:val="auto"/>
              </w:rPr>
              <w:t>Compensation</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5760" w:type="dxa"/>
            <w:vAlign w:val="bottom"/>
          </w:tcPr>
          <w:p>
            <w:pPr>
              <w:spacing w:after="0"/>
              <w:rPr>
                <w:sz w:val="4"/>
                <w:szCs w:val="4"/>
                <w:color w:val="auto"/>
              </w:rPr>
            </w:pPr>
          </w:p>
        </w:tc>
        <w:tc>
          <w:tcPr>
            <w:tcW w:w="180" w:type="dxa"/>
            <w:vAlign w:val="bottom"/>
            <w:tcBorders>
              <w:bottom w:val="single" w:sz="8" w:color="808080"/>
            </w:tcBorders>
          </w:tcPr>
          <w:p>
            <w:pPr>
              <w:spacing w:after="0"/>
              <w:rPr>
                <w:sz w:val="4"/>
                <w:szCs w:val="4"/>
                <w:color w:val="auto"/>
              </w:rPr>
            </w:pPr>
          </w:p>
        </w:tc>
        <w:tc>
          <w:tcPr>
            <w:tcW w:w="420" w:type="dxa"/>
            <w:vAlign w:val="bottom"/>
            <w:tcBorders>
              <w:bottom w:val="single" w:sz="8" w:color="808080"/>
            </w:tcBorders>
          </w:tcPr>
          <w:p>
            <w:pPr>
              <w:spacing w:after="0"/>
              <w:rPr>
                <w:sz w:val="4"/>
                <w:szCs w:val="4"/>
                <w:color w:val="auto"/>
              </w:rPr>
            </w:pPr>
          </w:p>
        </w:tc>
        <w:tc>
          <w:tcPr>
            <w:tcW w:w="140" w:type="dxa"/>
            <w:vAlign w:val="bottom"/>
            <w:tcBorders>
              <w:bottom w:val="single" w:sz="8" w:color="808080"/>
            </w:tcBorders>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Borders>
              <w:bottom w:val="single" w:sz="8" w:color="808080"/>
            </w:tcBorders>
          </w:tcPr>
          <w:p>
            <w:pPr>
              <w:spacing w:after="0"/>
              <w:rPr>
                <w:sz w:val="4"/>
                <w:szCs w:val="4"/>
                <w:color w:val="auto"/>
              </w:rPr>
            </w:pPr>
          </w:p>
        </w:tc>
        <w:tc>
          <w:tcPr>
            <w:tcW w:w="160" w:type="dxa"/>
            <w:vAlign w:val="bottom"/>
            <w:tcBorders>
              <w:bottom w:val="single" w:sz="8" w:color="808080"/>
            </w:tcBorders>
          </w:tcPr>
          <w:p>
            <w:pPr>
              <w:spacing w:after="0"/>
              <w:rPr>
                <w:sz w:val="4"/>
                <w:szCs w:val="4"/>
                <w:color w:val="auto"/>
              </w:rPr>
            </w:pPr>
          </w:p>
        </w:tc>
        <w:tc>
          <w:tcPr>
            <w:tcW w:w="220" w:type="dxa"/>
            <w:vAlign w:val="bottom"/>
            <w:tcBorders>
              <w:bottom w:val="single" w:sz="8" w:color="808080"/>
            </w:tcBorders>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140" w:type="dxa"/>
            <w:vAlign w:val="bottom"/>
            <w:tcBorders>
              <w:bottom w:val="single" w:sz="8" w:color="808080"/>
            </w:tcBorders>
          </w:tcPr>
          <w:p>
            <w:pPr>
              <w:spacing w:after="0"/>
              <w:rPr>
                <w:sz w:val="4"/>
                <w:szCs w:val="4"/>
                <w:color w:val="auto"/>
              </w:rPr>
            </w:pPr>
          </w:p>
        </w:tc>
        <w:tc>
          <w:tcPr>
            <w:tcW w:w="360" w:type="dxa"/>
            <w:vAlign w:val="bottom"/>
            <w:tcBorders>
              <w:bottom w:val="single" w:sz="8" w:color="808080"/>
            </w:tcBorders>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180" w:type="dxa"/>
            <w:vAlign w:val="bottom"/>
            <w:tcBorders>
              <w:bottom w:val="single" w:sz="8" w:color="808080"/>
            </w:tcBorders>
          </w:tcPr>
          <w:p>
            <w:pPr>
              <w:spacing w:after="0"/>
              <w:rPr>
                <w:sz w:val="4"/>
                <w:szCs w:val="4"/>
                <w:color w:val="auto"/>
              </w:rPr>
            </w:pPr>
          </w:p>
        </w:tc>
        <w:tc>
          <w:tcPr>
            <w:tcW w:w="40" w:type="dxa"/>
            <w:vAlign w:val="bottom"/>
            <w:tcBorders>
              <w:bottom w:val="single" w:sz="8" w:color="808080"/>
            </w:tcBorders>
          </w:tcPr>
          <w:p>
            <w:pPr>
              <w:spacing w:after="0"/>
              <w:rPr>
                <w:sz w:val="4"/>
                <w:szCs w:val="4"/>
                <w:color w:val="auto"/>
              </w:rPr>
            </w:pPr>
          </w:p>
        </w:tc>
        <w:tc>
          <w:tcPr>
            <w:tcW w:w="140" w:type="dxa"/>
            <w:vAlign w:val="bottom"/>
            <w:tcBorders>
              <w:bottom w:val="single" w:sz="8" w:color="808080"/>
            </w:tcBorders>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520" w:type="dxa"/>
            <w:vAlign w:val="bottom"/>
            <w:tcBorders>
              <w:bottom w:val="single" w:sz="8" w:color="808080"/>
            </w:tcBorders>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 w:type="dxa"/>
            <w:vAlign w:val="bottom"/>
            <w:tcBorders>
              <w:bottom w:val="single" w:sz="8" w:color="808080"/>
            </w:tcBorders>
          </w:tcPr>
          <w:p>
            <w:pPr>
              <w:spacing w:after="0"/>
              <w:rPr>
                <w:sz w:val="4"/>
                <w:szCs w:val="4"/>
                <w:color w:val="auto"/>
              </w:rPr>
            </w:pPr>
          </w:p>
        </w:tc>
        <w:tc>
          <w:tcPr>
            <w:tcW w:w="320" w:type="dxa"/>
            <w:vAlign w:val="bottom"/>
            <w:tcBorders>
              <w:bottom w:val="single" w:sz="8" w:color="808080"/>
            </w:tcBorders>
          </w:tcPr>
          <w:p>
            <w:pPr>
              <w:spacing w:after="0"/>
              <w:rPr>
                <w:sz w:val="4"/>
                <w:szCs w:val="4"/>
                <w:color w:val="auto"/>
              </w:rPr>
            </w:pPr>
          </w:p>
        </w:tc>
        <w:tc>
          <w:tcPr>
            <w:tcW w:w="420" w:type="dxa"/>
            <w:vAlign w:val="bottom"/>
            <w:tcBorders>
              <w:bottom w:val="single" w:sz="8" w:color="808080"/>
            </w:tcBorders>
          </w:tcPr>
          <w:p>
            <w:pPr>
              <w:spacing w:after="0"/>
              <w:rPr>
                <w:sz w:val="4"/>
                <w:szCs w:val="4"/>
                <w:color w:val="auto"/>
              </w:rPr>
            </w:pPr>
          </w:p>
        </w:tc>
        <w:tc>
          <w:tcPr>
            <w:tcW w:w="60" w:type="dxa"/>
            <w:vAlign w:val="bottom"/>
            <w:tcBorders>
              <w:bottom w:val="single" w:sz="8" w:color="808080"/>
            </w:tcBorders>
          </w:tcPr>
          <w:p>
            <w:pPr>
              <w:spacing w:after="0"/>
              <w:rPr>
                <w:sz w:val="4"/>
                <w:szCs w:val="4"/>
                <w:color w:val="auto"/>
              </w:rPr>
            </w:pPr>
          </w:p>
        </w:tc>
        <w:tc>
          <w:tcPr>
            <w:tcW w:w="32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5760" w:type="dxa"/>
            <w:vAlign w:val="bottom"/>
          </w:tcPr>
          <w:p>
            <w:pPr>
              <w:spacing w:after="0"/>
              <w:rPr>
                <w:sz w:val="6"/>
                <w:szCs w:val="6"/>
                <w:color w:val="auto"/>
              </w:rPr>
            </w:pPr>
          </w:p>
        </w:tc>
        <w:tc>
          <w:tcPr>
            <w:tcW w:w="180" w:type="dxa"/>
            <w:vAlign w:val="bottom"/>
          </w:tcPr>
          <w:p>
            <w:pPr>
              <w:spacing w:after="0"/>
              <w:rPr>
                <w:sz w:val="6"/>
                <w:szCs w:val="6"/>
                <w:color w:val="auto"/>
              </w:rPr>
            </w:pPr>
          </w:p>
        </w:tc>
        <w:tc>
          <w:tcPr>
            <w:tcW w:w="4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36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52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0" w:type="dxa"/>
            <w:vAlign w:val="bottom"/>
          </w:tcPr>
          <w:p>
            <w:pPr>
              <w:spacing w:after="0"/>
              <w:rPr>
                <w:sz w:val="6"/>
                <w:szCs w:val="6"/>
                <w:color w:val="auto"/>
              </w:rPr>
            </w:pPr>
          </w:p>
        </w:tc>
        <w:tc>
          <w:tcPr>
            <w:tcW w:w="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shd w:val="clear" w:color="auto" w:fill="EEEEEE"/>
          </w:tcPr>
          <w:p>
            <w:pPr>
              <w:spacing w:after="0"/>
              <w:rPr>
                <w:sz w:val="20"/>
                <w:szCs w:val="20"/>
                <w:color w:val="auto"/>
              </w:rPr>
            </w:pPr>
            <w:r>
              <w:rPr>
                <w:rFonts w:ascii="Arial" w:cs="Arial" w:eastAsia="Arial" w:hAnsi="Arial"/>
                <w:sz w:val="18"/>
                <w:szCs w:val="18"/>
                <w:color w:val="auto"/>
              </w:rPr>
              <w:t>Balance, December 31, 2003</w:t>
            </w:r>
          </w:p>
        </w:tc>
        <w:tc>
          <w:tcPr>
            <w:tcW w:w="600" w:type="dxa"/>
            <w:vAlign w:val="bottom"/>
            <w:tcBorders>
              <w:right w:val="single" w:sz="8" w:color="EEEEEE"/>
            </w:tcBorders>
            <w:gridSpan w:val="2"/>
            <w:shd w:val="clear" w:color="auto" w:fill="EEEEEE"/>
          </w:tcPr>
          <w:p>
            <w:pPr>
              <w:ind w:left="180"/>
              <w:spacing w:after="0"/>
              <w:rPr>
                <w:sz w:val="20"/>
                <w:szCs w:val="20"/>
                <w:color w:val="auto"/>
              </w:rPr>
            </w:pPr>
            <w:r>
              <w:rPr>
                <w:rFonts w:ascii="Arial" w:cs="Arial" w:eastAsia="Arial" w:hAnsi="Arial"/>
                <w:sz w:val="18"/>
                <w:szCs w:val="18"/>
                <w:color w:val="auto"/>
                <w:w w:val="84"/>
              </w:rPr>
              <w:t>2,366</w:t>
            </w:r>
          </w:p>
        </w:tc>
        <w:tc>
          <w:tcPr>
            <w:tcW w:w="780" w:type="dxa"/>
            <w:vAlign w:val="bottom"/>
            <w:tcBorders>
              <w:right w:val="single" w:sz="8" w:color="EEEEEE"/>
            </w:tcBorders>
            <w:gridSpan w:val="5"/>
            <w:shd w:val="clear" w:color="auto" w:fill="EEEEEE"/>
          </w:tcPr>
          <w:p>
            <w:pPr>
              <w:jc w:val="center"/>
              <w:spacing w:after="0"/>
              <w:rPr>
                <w:sz w:val="20"/>
                <w:szCs w:val="20"/>
                <w:color w:val="auto"/>
              </w:rPr>
            </w:pPr>
            <w:r>
              <w:rPr>
                <w:rFonts w:ascii="Arial" w:cs="Arial" w:eastAsia="Arial" w:hAnsi="Arial"/>
                <w:sz w:val="18"/>
                <w:szCs w:val="18"/>
                <w:color w:val="auto"/>
              </w:rPr>
              <w:t>$ 2</w:t>
            </w:r>
          </w:p>
        </w:tc>
        <w:tc>
          <w:tcPr>
            <w:tcW w:w="1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60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53,166</w:t>
            </w:r>
          </w:p>
        </w:tc>
        <w:tc>
          <w:tcPr>
            <w:tcW w:w="80" w:type="dxa"/>
            <w:vAlign w:val="bottom"/>
            <w:shd w:val="clear" w:color="auto" w:fill="EEEEEE"/>
          </w:tcPr>
          <w:p>
            <w:pPr>
              <w:spacing w:after="0"/>
              <w:rPr>
                <w:sz w:val="18"/>
                <w:szCs w:val="18"/>
                <w:color w:val="auto"/>
              </w:rPr>
            </w:pPr>
          </w:p>
        </w:tc>
        <w:tc>
          <w:tcPr>
            <w:tcW w:w="500" w:type="dxa"/>
            <w:vAlign w:val="bottom"/>
            <w:gridSpan w:val="5"/>
            <w:shd w:val="clear" w:color="auto" w:fill="EEEEEE"/>
          </w:tcPr>
          <w:p>
            <w:pPr>
              <w:jc w:val="right"/>
              <w:ind w:right="40"/>
              <w:spacing w:after="0"/>
              <w:rPr>
                <w:sz w:val="20"/>
                <w:szCs w:val="20"/>
                <w:color w:val="auto"/>
              </w:rPr>
            </w:pPr>
            <w:r>
              <w:rPr>
                <w:rFonts w:ascii="Arial" w:cs="Arial" w:eastAsia="Arial" w:hAnsi="Arial"/>
                <w:sz w:val="18"/>
                <w:szCs w:val="18"/>
                <w:color w:val="auto"/>
              </w:rPr>
              <w:t>$53</w:t>
            </w:r>
          </w:p>
        </w:tc>
        <w:tc>
          <w:tcPr>
            <w:tcW w:w="140" w:type="dxa"/>
            <w:vAlign w:val="bottom"/>
            <w:shd w:val="clear" w:color="auto" w:fill="EEEEEE"/>
          </w:tcPr>
          <w:p>
            <w:pPr>
              <w:spacing w:after="0"/>
              <w:rPr>
                <w:sz w:val="18"/>
                <w:szCs w:val="18"/>
                <w:color w:val="auto"/>
              </w:rPr>
            </w:pPr>
          </w:p>
        </w:tc>
        <w:tc>
          <w:tcPr>
            <w:tcW w:w="1120" w:type="dxa"/>
            <w:vAlign w:val="bottom"/>
            <w:gridSpan w:val="5"/>
            <w:shd w:val="clear" w:color="auto" w:fill="EEEEEE"/>
          </w:tcPr>
          <w:p>
            <w:pPr>
              <w:jc w:val="right"/>
              <w:spacing w:after="0"/>
              <w:rPr>
                <w:sz w:val="20"/>
                <w:szCs w:val="20"/>
                <w:color w:val="auto"/>
              </w:rPr>
            </w:pPr>
            <w:r>
              <w:rPr>
                <w:rFonts w:ascii="Arial" w:cs="Arial" w:eastAsia="Arial" w:hAnsi="Arial"/>
                <w:sz w:val="18"/>
                <w:szCs w:val="18"/>
                <w:color w:val="auto"/>
              </w:rPr>
              <w:t>$673,118</w:t>
            </w:r>
          </w:p>
        </w:tc>
        <w:tc>
          <w:tcPr>
            <w:tcW w:w="240" w:type="dxa"/>
            <w:vAlign w:val="bottom"/>
            <w:shd w:val="clear" w:color="auto" w:fill="EEEEEE"/>
          </w:tcPr>
          <w:p>
            <w:pPr>
              <w:spacing w:after="0"/>
              <w:rPr>
                <w:sz w:val="18"/>
                <w:szCs w:val="18"/>
                <w:color w:val="auto"/>
              </w:rPr>
            </w:pPr>
          </w:p>
        </w:tc>
        <w:tc>
          <w:tcPr>
            <w:tcW w:w="1080" w:type="dxa"/>
            <w:vAlign w:val="bottom"/>
            <w:gridSpan w:val="6"/>
            <w:shd w:val="clear" w:color="auto" w:fill="EEEEEE"/>
          </w:tcPr>
          <w:p>
            <w:pPr>
              <w:jc w:val="right"/>
              <w:ind w:right="20"/>
              <w:spacing w:after="0"/>
              <w:rPr>
                <w:sz w:val="20"/>
                <w:szCs w:val="20"/>
                <w:color w:val="auto"/>
              </w:rPr>
            </w:pPr>
            <w:r>
              <w:rPr>
                <w:rFonts w:ascii="Arial" w:cs="Arial" w:eastAsia="Arial" w:hAnsi="Arial"/>
                <w:sz w:val="18"/>
                <w:szCs w:val="18"/>
                <w:color w:val="auto"/>
              </w:rPr>
              <w:t>($4,101)</w:t>
            </w:r>
          </w:p>
        </w:tc>
        <w:tc>
          <w:tcPr>
            <w:tcW w:w="32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Issuance of Common Stock in connection with exercise of stock options</w:t>
            </w: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45</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5"/>
          </w:tcPr>
          <w:p>
            <w:pPr>
              <w:jc w:val="right"/>
              <w:spacing w:after="0"/>
              <w:rPr>
                <w:sz w:val="20"/>
                <w:szCs w:val="20"/>
                <w:color w:val="auto"/>
              </w:rPr>
            </w:pPr>
            <w:r>
              <w:rPr>
                <w:rFonts w:ascii="Arial" w:cs="Arial" w:eastAsia="Arial" w:hAnsi="Arial"/>
                <w:sz w:val="18"/>
                <w:szCs w:val="18"/>
                <w:color w:val="auto"/>
              </w:rPr>
              <w:t>274</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76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w w:val="98"/>
              </w:rPr>
              <w:t>Forfeitures of restricted Common Stock under Long-Term Incentive Plan,</w:t>
            </w:r>
          </w:p>
        </w:tc>
        <w:tc>
          <w:tcPr>
            <w:tcW w:w="180" w:type="dxa"/>
            <w:vAlign w:val="bottom"/>
            <w:tcBorders>
              <w:right w:val="single" w:sz="8" w:color="EEEEEE"/>
            </w:tcBorders>
            <w:shd w:val="clear" w:color="auto" w:fill="EEEEEE"/>
          </w:tcPr>
          <w:p>
            <w:pPr>
              <w:spacing w:after="0"/>
              <w:rPr>
                <w:sz w:val="17"/>
                <w:szCs w:val="17"/>
                <w:color w:val="auto"/>
              </w:rPr>
            </w:pPr>
          </w:p>
        </w:tc>
        <w:tc>
          <w:tcPr>
            <w:tcW w:w="420" w:type="dxa"/>
            <w:vAlign w:val="bottom"/>
            <w:tcBorders>
              <w:right w:val="single" w:sz="8" w:color="EEEEEE"/>
            </w:tcBorders>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00" w:type="dxa"/>
            <w:vAlign w:val="bottom"/>
            <w:tcBorders>
              <w:right w:val="single" w:sz="8" w:color="EEEEEE"/>
            </w:tcBorders>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220" w:type="dxa"/>
            <w:vAlign w:val="bottom"/>
            <w:tcBorders>
              <w:right w:val="single" w:sz="8" w:color="EEEEEE"/>
            </w:tcBorders>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360" w:type="dxa"/>
            <w:vAlign w:val="bottom"/>
            <w:tcBorders>
              <w:right w:val="single" w:sz="8" w:color="EEEEEE"/>
            </w:tcBorders>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160" w:type="dxa"/>
            <w:vAlign w:val="bottom"/>
            <w:tcBorders>
              <w:right w:val="single" w:sz="8" w:color="EEEEEE"/>
            </w:tcBorders>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4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280" w:type="dxa"/>
            <w:vAlign w:val="bottom"/>
            <w:tcBorders>
              <w:right w:val="single" w:sz="8" w:color="EEEEEE"/>
            </w:tcBorders>
            <w:shd w:val="clear" w:color="auto" w:fill="EEEEEE"/>
          </w:tcPr>
          <w:p>
            <w:pPr>
              <w:spacing w:after="0"/>
              <w:rPr>
                <w:sz w:val="17"/>
                <w:szCs w:val="17"/>
                <w:color w:val="auto"/>
              </w:rPr>
            </w:pPr>
          </w:p>
        </w:tc>
        <w:tc>
          <w:tcPr>
            <w:tcW w:w="52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60" w:type="dxa"/>
            <w:vAlign w:val="bottom"/>
            <w:shd w:val="clear" w:color="auto" w:fill="EEEEEE"/>
          </w:tcPr>
          <w:p>
            <w:pPr>
              <w:spacing w:after="0"/>
              <w:rPr>
                <w:sz w:val="17"/>
                <w:szCs w:val="17"/>
                <w:color w:val="auto"/>
              </w:rPr>
            </w:pPr>
          </w:p>
        </w:tc>
        <w:tc>
          <w:tcPr>
            <w:tcW w:w="320" w:type="dxa"/>
            <w:vAlign w:val="bottom"/>
            <w:tcBorders>
              <w:right w:val="single" w:sz="8" w:color="EEEEEE"/>
            </w:tcBorders>
            <w:shd w:val="clear" w:color="auto" w:fill="EEEEEE"/>
          </w:tcPr>
          <w:p>
            <w:pPr>
              <w:spacing w:after="0"/>
              <w:rPr>
                <w:sz w:val="17"/>
                <w:szCs w:val="17"/>
                <w:color w:val="auto"/>
              </w:rPr>
            </w:pPr>
          </w:p>
        </w:tc>
        <w:tc>
          <w:tcPr>
            <w:tcW w:w="420" w:type="dxa"/>
            <w:vAlign w:val="bottom"/>
            <w:tcBorders>
              <w:right w:val="single" w:sz="8" w:color="EEEEEE"/>
            </w:tcBorders>
            <w:shd w:val="clear" w:color="auto" w:fill="EEEEEE"/>
          </w:tcPr>
          <w:p>
            <w:pPr>
              <w:spacing w:after="0"/>
              <w:rPr>
                <w:sz w:val="17"/>
                <w:szCs w:val="17"/>
                <w:color w:val="auto"/>
              </w:rPr>
            </w:pPr>
          </w:p>
        </w:tc>
        <w:tc>
          <w:tcPr>
            <w:tcW w:w="60" w:type="dxa"/>
            <w:vAlign w:val="bottom"/>
            <w:shd w:val="clear" w:color="auto" w:fill="EEEEEE"/>
          </w:tcPr>
          <w:p>
            <w:pPr>
              <w:spacing w:after="0"/>
              <w:rPr>
                <w:sz w:val="17"/>
                <w:szCs w:val="17"/>
                <w:color w:val="auto"/>
              </w:rPr>
            </w:pPr>
          </w:p>
        </w:tc>
        <w:tc>
          <w:tcPr>
            <w:tcW w:w="320" w:type="dxa"/>
            <w:vAlign w:val="bottom"/>
            <w:tcBorders>
              <w:left w:val="single" w:sz="8" w:color="EEEEEE"/>
            </w:tcBorders>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760" w:type="dxa"/>
            <w:vAlign w:val="bottom"/>
            <w:shd w:val="clear" w:color="auto" w:fill="EEEEEE"/>
          </w:tcPr>
          <w:p>
            <w:pPr>
              <w:ind w:left="120"/>
              <w:spacing w:after="0"/>
              <w:rPr>
                <w:sz w:val="20"/>
                <w:szCs w:val="20"/>
                <w:color w:val="auto"/>
              </w:rPr>
            </w:pPr>
            <w:r>
              <w:rPr>
                <w:rFonts w:ascii="Arial" w:cs="Arial" w:eastAsia="Arial" w:hAnsi="Arial"/>
                <w:sz w:val="18"/>
                <w:szCs w:val="18"/>
                <w:color w:val="auto"/>
              </w:rPr>
              <w:t>net of issuances</w:t>
            </w:r>
          </w:p>
        </w:tc>
        <w:tc>
          <w:tcPr>
            <w:tcW w:w="180" w:type="dxa"/>
            <w:vAlign w:val="bottom"/>
            <w:tcBorders>
              <w:right w:val="single" w:sz="8" w:color="EEEEEE"/>
            </w:tcBorders>
            <w:shd w:val="clear" w:color="auto" w:fill="EEEEEE"/>
          </w:tcPr>
          <w:p>
            <w:pPr>
              <w:spacing w:after="0"/>
              <w:rPr>
                <w:sz w:val="20"/>
                <w:szCs w:val="20"/>
                <w:color w:val="auto"/>
              </w:rPr>
            </w:pPr>
          </w:p>
        </w:tc>
        <w:tc>
          <w:tcPr>
            <w:tcW w:w="420" w:type="dxa"/>
            <w:vAlign w:val="bottom"/>
            <w:tcBorders>
              <w:right w:val="single" w:sz="8" w:color="EEEEEE"/>
            </w:tcBorders>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100" w:type="dxa"/>
            <w:vAlign w:val="bottom"/>
            <w:tcBorders>
              <w:right w:val="single" w:sz="8" w:color="EEEEEE"/>
            </w:tcBorders>
            <w:shd w:val="clear" w:color="auto" w:fill="EEEEEE"/>
          </w:tcPr>
          <w:p>
            <w:pPr>
              <w:spacing w:after="0"/>
              <w:rPr>
                <w:sz w:val="20"/>
                <w:szCs w:val="20"/>
                <w:color w:val="auto"/>
              </w:rPr>
            </w:pPr>
          </w:p>
        </w:tc>
        <w:tc>
          <w:tcPr>
            <w:tcW w:w="160" w:type="dxa"/>
            <w:vAlign w:val="bottom"/>
            <w:shd w:val="clear" w:color="auto" w:fill="EEEEEE"/>
          </w:tcPr>
          <w:p>
            <w:pPr>
              <w:spacing w:after="0"/>
              <w:rPr>
                <w:sz w:val="20"/>
                <w:szCs w:val="20"/>
                <w:color w:val="auto"/>
              </w:rPr>
            </w:pPr>
          </w:p>
        </w:tc>
        <w:tc>
          <w:tcPr>
            <w:tcW w:w="160" w:type="dxa"/>
            <w:vAlign w:val="bottom"/>
            <w:shd w:val="clear" w:color="auto" w:fill="EEEEEE"/>
          </w:tcPr>
          <w:p>
            <w:pPr>
              <w:spacing w:after="0"/>
              <w:rPr>
                <w:sz w:val="20"/>
                <w:szCs w:val="20"/>
                <w:color w:val="auto"/>
              </w:rPr>
            </w:pPr>
          </w:p>
        </w:tc>
        <w:tc>
          <w:tcPr>
            <w:tcW w:w="220" w:type="dxa"/>
            <w:vAlign w:val="bottom"/>
            <w:tcBorders>
              <w:right w:val="single" w:sz="8" w:color="EEEEEE"/>
            </w:tcBorders>
            <w:shd w:val="clear" w:color="auto" w:fill="EEEEEE"/>
          </w:tcPr>
          <w:p>
            <w:pPr>
              <w:spacing w:after="0"/>
              <w:rPr>
                <w:sz w:val="20"/>
                <w:szCs w:val="20"/>
                <w:color w:val="auto"/>
              </w:rPr>
            </w:pPr>
          </w:p>
        </w:tc>
        <w:tc>
          <w:tcPr>
            <w:tcW w:w="160" w:type="dxa"/>
            <w:vAlign w:val="bottom"/>
            <w:shd w:val="clear" w:color="auto" w:fill="EEEEEE"/>
          </w:tcPr>
          <w:p>
            <w:pPr>
              <w:spacing w:after="0"/>
              <w:rPr>
                <w:sz w:val="20"/>
                <w:szCs w:val="20"/>
                <w:color w:val="auto"/>
              </w:rPr>
            </w:pPr>
          </w:p>
        </w:tc>
        <w:tc>
          <w:tcPr>
            <w:tcW w:w="20" w:type="dxa"/>
            <w:vAlign w:val="bottom"/>
            <w:shd w:val="clear" w:color="auto" w:fill="EEEEEE"/>
          </w:tcPr>
          <w:p>
            <w:pPr>
              <w:spacing w:after="0"/>
              <w:rPr>
                <w:sz w:val="20"/>
                <w:szCs w:val="20"/>
                <w:color w:val="auto"/>
              </w:rPr>
            </w:pPr>
          </w:p>
        </w:tc>
        <w:tc>
          <w:tcPr>
            <w:tcW w:w="680" w:type="dxa"/>
            <w:vAlign w:val="bottom"/>
            <w:gridSpan w:val="4"/>
            <w:shd w:val="clear" w:color="auto" w:fill="EEEEEE"/>
          </w:tcPr>
          <w:p>
            <w:pPr>
              <w:jc w:val="right"/>
              <w:ind w:right="20"/>
              <w:spacing w:after="0"/>
              <w:rPr>
                <w:sz w:val="20"/>
                <w:szCs w:val="20"/>
                <w:color w:val="auto"/>
              </w:rPr>
            </w:pPr>
            <w:r>
              <w:rPr>
                <w:rFonts w:ascii="Arial" w:cs="Arial" w:eastAsia="Arial" w:hAnsi="Arial"/>
                <w:sz w:val="18"/>
                <w:szCs w:val="18"/>
                <w:color w:val="auto"/>
              </w:rPr>
              <w:t>(5)</w:t>
            </w:r>
          </w:p>
        </w:tc>
        <w:tc>
          <w:tcPr>
            <w:tcW w:w="20" w:type="dxa"/>
            <w:vAlign w:val="bottom"/>
            <w:shd w:val="clear" w:color="auto" w:fill="EEEEEE"/>
          </w:tcPr>
          <w:p>
            <w:pPr>
              <w:spacing w:after="0"/>
              <w:rPr>
                <w:sz w:val="20"/>
                <w:szCs w:val="20"/>
                <w:color w:val="auto"/>
              </w:rPr>
            </w:pPr>
          </w:p>
        </w:tc>
        <w:tc>
          <w:tcPr>
            <w:tcW w:w="160" w:type="dxa"/>
            <w:vAlign w:val="bottom"/>
            <w:tcBorders>
              <w:right w:val="single" w:sz="8" w:color="EEEEEE"/>
            </w:tcBorders>
            <w:shd w:val="clear" w:color="auto" w:fill="EEEEEE"/>
          </w:tcPr>
          <w:p>
            <w:pPr>
              <w:spacing w:after="0"/>
              <w:rPr>
                <w:sz w:val="20"/>
                <w:szCs w:val="20"/>
                <w:color w:val="auto"/>
              </w:rPr>
            </w:pPr>
          </w:p>
        </w:tc>
        <w:tc>
          <w:tcPr>
            <w:tcW w:w="100" w:type="dxa"/>
            <w:vAlign w:val="bottom"/>
            <w:shd w:val="clear" w:color="auto" w:fill="EEEEEE"/>
          </w:tcPr>
          <w:p>
            <w:pPr>
              <w:spacing w:after="0"/>
              <w:rPr>
                <w:sz w:val="20"/>
                <w:szCs w:val="20"/>
                <w:color w:val="auto"/>
              </w:rPr>
            </w:pPr>
          </w:p>
        </w:tc>
        <w:tc>
          <w:tcPr>
            <w:tcW w:w="180" w:type="dxa"/>
            <w:vAlign w:val="bottom"/>
            <w:shd w:val="clear" w:color="auto" w:fill="EEEEEE"/>
          </w:tcPr>
          <w:p>
            <w:pPr>
              <w:spacing w:after="0"/>
              <w:rPr>
                <w:sz w:val="20"/>
                <w:szCs w:val="20"/>
                <w:color w:val="auto"/>
              </w:rPr>
            </w:pPr>
          </w:p>
        </w:tc>
        <w:tc>
          <w:tcPr>
            <w:tcW w:w="4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1360" w:type="dxa"/>
            <w:vAlign w:val="bottom"/>
            <w:gridSpan w:val="6"/>
            <w:shd w:val="clear" w:color="auto" w:fill="EEEEEE"/>
          </w:tcPr>
          <w:p>
            <w:pPr>
              <w:jc w:val="right"/>
              <w:ind w:right="180"/>
              <w:spacing w:after="0"/>
              <w:rPr>
                <w:sz w:val="20"/>
                <w:szCs w:val="20"/>
                <w:color w:val="auto"/>
              </w:rPr>
            </w:pPr>
            <w:r>
              <w:rPr>
                <w:rFonts w:ascii="Arial" w:cs="Arial" w:eastAsia="Arial" w:hAnsi="Arial"/>
                <w:sz w:val="18"/>
                <w:szCs w:val="18"/>
                <w:color w:val="auto"/>
              </w:rPr>
              <w:t>(67)</w:t>
            </w:r>
          </w:p>
        </w:tc>
        <w:tc>
          <w:tcPr>
            <w:tcW w:w="1020" w:type="dxa"/>
            <w:vAlign w:val="bottom"/>
            <w:tcBorders>
              <w:right w:val="single" w:sz="8" w:color="EEEEEE"/>
            </w:tcBorders>
            <w:gridSpan w:val="5"/>
            <w:shd w:val="clear" w:color="auto" w:fill="EEEEEE"/>
          </w:tcPr>
          <w:p>
            <w:pPr>
              <w:jc w:val="right"/>
              <w:spacing w:after="0"/>
              <w:rPr>
                <w:sz w:val="20"/>
                <w:szCs w:val="20"/>
                <w:color w:val="auto"/>
              </w:rPr>
            </w:pPr>
            <w:r>
              <w:rPr>
                <w:rFonts w:ascii="Arial" w:cs="Arial" w:eastAsia="Arial" w:hAnsi="Arial"/>
                <w:sz w:val="18"/>
                <w:szCs w:val="18"/>
                <w:color w:val="auto"/>
              </w:rPr>
              <w:t>67</w:t>
            </w:r>
          </w:p>
        </w:tc>
        <w:tc>
          <w:tcPr>
            <w:tcW w:w="60" w:type="dxa"/>
            <w:vAlign w:val="bottom"/>
            <w:shd w:val="clear" w:color="auto" w:fill="EEEEEE"/>
          </w:tcPr>
          <w:p>
            <w:pPr>
              <w:spacing w:after="0"/>
              <w:rPr>
                <w:sz w:val="20"/>
                <w:szCs w:val="20"/>
                <w:color w:val="auto"/>
              </w:rPr>
            </w:pPr>
          </w:p>
        </w:tc>
        <w:tc>
          <w:tcPr>
            <w:tcW w:w="320" w:type="dxa"/>
            <w:vAlign w:val="bottom"/>
            <w:tcBorders>
              <w:left w:val="single" w:sz="8" w:color="EEEEEE"/>
            </w:tcBorders>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760" w:type="dxa"/>
            <w:vAlign w:val="bottom"/>
          </w:tcPr>
          <w:p>
            <w:pPr>
              <w:spacing w:after="0" w:line="201" w:lineRule="exact"/>
              <w:rPr>
                <w:sz w:val="20"/>
                <w:szCs w:val="20"/>
                <w:color w:val="auto"/>
              </w:rPr>
            </w:pPr>
            <w:r>
              <w:rPr>
                <w:rFonts w:ascii="Arial" w:cs="Arial" w:eastAsia="Arial" w:hAnsi="Arial"/>
                <w:sz w:val="18"/>
                <w:szCs w:val="18"/>
                <w:color w:val="auto"/>
                <w:w w:val="99"/>
              </w:rPr>
              <w:t>Issuance of Common Stock in connection with Company 401(k) Savings</w:t>
            </w: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760" w:type="dxa"/>
            <w:vAlign w:val="bottom"/>
          </w:tcPr>
          <w:p>
            <w:pPr>
              <w:ind w:left="120"/>
              <w:spacing w:after="0"/>
              <w:rPr>
                <w:sz w:val="20"/>
                <w:szCs w:val="20"/>
                <w:color w:val="auto"/>
              </w:rPr>
            </w:pPr>
            <w:r>
              <w:rPr>
                <w:rFonts w:ascii="Arial" w:cs="Arial" w:eastAsia="Arial" w:hAnsi="Arial"/>
                <w:sz w:val="18"/>
                <w:szCs w:val="18"/>
                <w:color w:val="auto"/>
              </w:rPr>
              <w:t>Plan contribution</w:t>
            </w: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64</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5"/>
          </w:tcPr>
          <w:p>
            <w:pPr>
              <w:jc w:val="right"/>
              <w:spacing w:after="0"/>
              <w:rPr>
                <w:sz w:val="20"/>
                <w:szCs w:val="20"/>
                <w:color w:val="auto"/>
              </w:rPr>
            </w:pPr>
            <w:r>
              <w:rPr>
                <w:rFonts w:ascii="Arial" w:cs="Arial" w:eastAsia="Arial" w:hAnsi="Arial"/>
                <w:sz w:val="18"/>
                <w:szCs w:val="18"/>
                <w:color w:val="auto"/>
              </w:rPr>
              <w:t>917</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EEEEEE"/>
          </w:tcPr>
          <w:p>
            <w:pPr>
              <w:spacing w:after="0"/>
              <w:rPr>
                <w:sz w:val="20"/>
                <w:szCs w:val="20"/>
                <w:color w:val="auto"/>
              </w:rPr>
            </w:pPr>
            <w:r>
              <w:rPr>
                <w:rFonts w:ascii="Arial" w:cs="Arial" w:eastAsia="Arial" w:hAnsi="Arial"/>
                <w:sz w:val="18"/>
                <w:szCs w:val="18"/>
                <w:color w:val="auto"/>
              </w:rPr>
              <w:t>Amortization of unearned compensation</w:t>
            </w:r>
          </w:p>
        </w:tc>
        <w:tc>
          <w:tcPr>
            <w:tcW w:w="180" w:type="dxa"/>
            <w:vAlign w:val="bottom"/>
            <w:tcBorders>
              <w:right w:val="single" w:sz="8" w:color="EEEEEE"/>
            </w:tcBorders>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00" w:type="dxa"/>
            <w:vAlign w:val="bottom"/>
            <w:tcBorders>
              <w:right w:val="single" w:sz="8" w:color="EEEEEE"/>
            </w:tcBorders>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360" w:type="dxa"/>
            <w:vAlign w:val="bottom"/>
            <w:tcBorders>
              <w:right w:val="single" w:sz="8" w:color="EEEEEE"/>
            </w:tcBorders>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60" w:type="dxa"/>
            <w:vAlign w:val="bottom"/>
            <w:tcBorders>
              <w:right w:val="single" w:sz="8" w:color="EEEEEE"/>
            </w:tcBorders>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020" w:type="dxa"/>
            <w:vAlign w:val="bottom"/>
            <w:tcBorders>
              <w:right w:val="single" w:sz="8" w:color="EEEEEE"/>
            </w:tcBorders>
            <w:gridSpan w:val="5"/>
            <w:shd w:val="clear" w:color="auto" w:fill="EEEEEE"/>
          </w:tcPr>
          <w:p>
            <w:pPr>
              <w:jc w:val="right"/>
              <w:spacing w:after="0"/>
              <w:rPr>
                <w:sz w:val="20"/>
                <w:szCs w:val="20"/>
                <w:color w:val="auto"/>
              </w:rPr>
            </w:pPr>
            <w:r>
              <w:rPr>
                <w:rFonts w:ascii="Arial" w:cs="Arial" w:eastAsia="Arial" w:hAnsi="Arial"/>
                <w:sz w:val="18"/>
                <w:szCs w:val="18"/>
                <w:color w:val="auto"/>
              </w:rPr>
              <w:t>671</w:t>
            </w:r>
          </w:p>
        </w:tc>
        <w:tc>
          <w:tcPr>
            <w:tcW w:w="60" w:type="dxa"/>
            <w:vAlign w:val="bottom"/>
            <w:shd w:val="clear" w:color="auto" w:fill="EEEEEE"/>
          </w:tcPr>
          <w:p>
            <w:pPr>
              <w:spacing w:after="0"/>
              <w:rPr>
                <w:sz w:val="18"/>
                <w:szCs w:val="18"/>
                <w:color w:val="auto"/>
              </w:rPr>
            </w:pPr>
          </w:p>
        </w:tc>
        <w:tc>
          <w:tcPr>
            <w:tcW w:w="32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Net income</w:t>
            </w: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EEEEEE"/>
          </w:tcPr>
          <w:p>
            <w:pPr>
              <w:spacing w:after="0"/>
              <w:rPr>
                <w:sz w:val="20"/>
                <w:szCs w:val="20"/>
                <w:color w:val="auto"/>
              </w:rPr>
            </w:pPr>
            <w:r>
              <w:rPr>
                <w:rFonts w:ascii="Arial" w:cs="Arial" w:eastAsia="Arial" w:hAnsi="Arial"/>
                <w:sz w:val="18"/>
                <w:szCs w:val="18"/>
                <w:color w:val="auto"/>
              </w:rPr>
              <w:t>Change in net unrealized gain on marketable securities</w:t>
            </w:r>
          </w:p>
        </w:tc>
        <w:tc>
          <w:tcPr>
            <w:tcW w:w="180" w:type="dxa"/>
            <w:vAlign w:val="bottom"/>
            <w:tcBorders>
              <w:right w:val="single" w:sz="8" w:color="EEEEEE"/>
            </w:tcBorders>
            <w:shd w:val="clear" w:color="auto" w:fill="EEEEEE"/>
          </w:tcPr>
          <w:p>
            <w:pPr>
              <w:spacing w:after="0"/>
              <w:rPr>
                <w:sz w:val="18"/>
                <w:szCs w:val="18"/>
                <w:color w:val="auto"/>
              </w:rPr>
            </w:pPr>
          </w:p>
        </w:tc>
        <w:tc>
          <w:tcPr>
            <w:tcW w:w="420" w:type="dxa"/>
            <w:vAlign w:val="bottom"/>
            <w:tcBorders>
              <w:bottom w:val="single" w:sz="8" w:color="808080"/>
              <w:right w:val="single" w:sz="8" w:color="EEEEEE"/>
            </w:tcBorders>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00" w:type="dxa"/>
            <w:vAlign w:val="bottom"/>
            <w:tcBorders>
              <w:right w:val="single" w:sz="8" w:color="EEEEEE"/>
            </w:tcBorders>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tcBorders>
              <w:bottom w:val="single" w:sz="8" w:color="808080"/>
            </w:tcBorders>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40" w:type="dxa"/>
            <w:vAlign w:val="bottom"/>
            <w:tcBorders>
              <w:bottom w:val="single" w:sz="8" w:color="808080"/>
            </w:tcBorders>
            <w:shd w:val="clear" w:color="auto" w:fill="EEEEEE"/>
          </w:tcPr>
          <w:p>
            <w:pPr>
              <w:spacing w:after="0"/>
              <w:rPr>
                <w:sz w:val="18"/>
                <w:szCs w:val="18"/>
                <w:color w:val="auto"/>
              </w:rPr>
            </w:pPr>
          </w:p>
        </w:tc>
        <w:tc>
          <w:tcPr>
            <w:tcW w:w="360" w:type="dxa"/>
            <w:vAlign w:val="bottom"/>
            <w:tcBorders>
              <w:bottom w:val="single" w:sz="8" w:color="808080"/>
              <w:right w:val="single" w:sz="8" w:color="EEEEEE"/>
            </w:tcBorders>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60" w:type="dxa"/>
            <w:vAlign w:val="bottom"/>
            <w:tcBorders>
              <w:right w:val="single" w:sz="8" w:color="EEEEEE"/>
            </w:tcBorders>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80" w:type="dxa"/>
            <w:vAlign w:val="bottom"/>
            <w:tcBorders>
              <w:bottom w:val="single" w:sz="8" w:color="808080"/>
            </w:tcBorders>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520" w:type="dxa"/>
            <w:vAlign w:val="bottom"/>
            <w:tcBorders>
              <w:bottom w:val="single" w:sz="8" w:color="808080"/>
            </w:tcBorders>
            <w:shd w:val="clear" w:color="auto" w:fill="EEEEEE"/>
          </w:tcPr>
          <w:p>
            <w:pPr>
              <w:spacing w:after="0"/>
              <w:rPr>
                <w:sz w:val="18"/>
                <w:szCs w:val="18"/>
                <w:color w:val="auto"/>
              </w:rPr>
            </w:pPr>
          </w:p>
        </w:tc>
        <w:tc>
          <w:tcPr>
            <w:tcW w:w="80" w:type="dxa"/>
            <w:vAlign w:val="bottom"/>
            <w:tcBorders>
              <w:bottom w:val="single" w:sz="8" w:color="808080"/>
            </w:tcBorders>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420" w:type="dxa"/>
            <w:vAlign w:val="bottom"/>
            <w:tcBorders>
              <w:bottom w:val="single" w:sz="8" w:color="808080"/>
              <w:right w:val="single" w:sz="8" w:color="EEEEEE"/>
            </w:tcBorders>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32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5760" w:type="dxa"/>
            <w:vAlign w:val="bottom"/>
          </w:tcPr>
          <w:p>
            <w:pPr>
              <w:ind w:left="120"/>
              <w:spacing w:after="0"/>
              <w:rPr>
                <w:sz w:val="20"/>
                <w:szCs w:val="20"/>
                <w:color w:val="auto"/>
              </w:rPr>
            </w:pPr>
            <w:r>
              <w:rPr>
                <w:rFonts w:ascii="Arial" w:cs="Arial" w:eastAsia="Arial" w:hAnsi="Arial"/>
                <w:sz w:val="18"/>
                <w:szCs w:val="18"/>
                <w:color w:val="auto"/>
              </w:rPr>
              <w:t>Balance, March 31, 2004</w:t>
            </w:r>
          </w:p>
        </w:tc>
        <w:tc>
          <w:tcPr>
            <w:tcW w:w="600" w:type="dxa"/>
            <w:vAlign w:val="bottom"/>
            <w:gridSpan w:val="2"/>
          </w:tcPr>
          <w:p>
            <w:pPr>
              <w:ind w:left="180"/>
              <w:spacing w:after="0"/>
              <w:rPr>
                <w:sz w:val="20"/>
                <w:szCs w:val="20"/>
                <w:color w:val="auto"/>
              </w:rPr>
            </w:pPr>
            <w:r>
              <w:rPr>
                <w:rFonts w:ascii="Arial" w:cs="Arial" w:eastAsia="Arial" w:hAnsi="Arial"/>
                <w:sz w:val="18"/>
                <w:szCs w:val="18"/>
                <w:color w:val="auto"/>
                <w:w w:val="84"/>
              </w:rPr>
              <w:t>2,366</w:t>
            </w:r>
          </w:p>
        </w:tc>
        <w:tc>
          <w:tcPr>
            <w:tcW w:w="780" w:type="dxa"/>
            <w:vAlign w:val="bottom"/>
            <w:gridSpan w:val="5"/>
          </w:tcPr>
          <w:p>
            <w:pPr>
              <w:jc w:val="center"/>
              <w:spacing w:after="0"/>
              <w:rPr>
                <w:sz w:val="20"/>
                <w:szCs w:val="20"/>
                <w:color w:val="auto"/>
              </w:rPr>
            </w:pPr>
            <w:r>
              <w:rPr>
                <w:rFonts w:ascii="Arial" w:cs="Arial" w:eastAsia="Arial" w:hAnsi="Arial"/>
                <w:sz w:val="18"/>
                <w:szCs w:val="18"/>
                <w:color w:val="auto"/>
              </w:rPr>
              <w:t>$ 2</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53,270</w:t>
            </w:r>
          </w:p>
        </w:tc>
        <w:tc>
          <w:tcPr>
            <w:tcW w:w="80" w:type="dxa"/>
            <w:vAlign w:val="bottom"/>
          </w:tcPr>
          <w:p>
            <w:pPr>
              <w:spacing w:after="0"/>
              <w:rPr>
                <w:sz w:val="20"/>
                <w:szCs w:val="20"/>
                <w:color w:val="auto"/>
              </w:rPr>
            </w:pPr>
          </w:p>
        </w:tc>
        <w:tc>
          <w:tcPr>
            <w:tcW w:w="500" w:type="dxa"/>
            <w:vAlign w:val="bottom"/>
            <w:gridSpan w:val="5"/>
          </w:tcPr>
          <w:p>
            <w:pPr>
              <w:jc w:val="right"/>
              <w:ind w:right="40"/>
              <w:spacing w:after="0"/>
              <w:rPr>
                <w:sz w:val="20"/>
                <w:szCs w:val="20"/>
                <w:color w:val="auto"/>
              </w:rPr>
            </w:pPr>
            <w:r>
              <w:rPr>
                <w:rFonts w:ascii="Arial" w:cs="Arial" w:eastAsia="Arial" w:hAnsi="Arial"/>
                <w:sz w:val="18"/>
                <w:szCs w:val="18"/>
                <w:color w:val="auto"/>
              </w:rPr>
              <w:t>$53</w:t>
            </w:r>
          </w:p>
        </w:tc>
        <w:tc>
          <w:tcPr>
            <w:tcW w:w="140" w:type="dxa"/>
            <w:vAlign w:val="bottom"/>
          </w:tcPr>
          <w:p>
            <w:pPr>
              <w:spacing w:after="0"/>
              <w:rPr>
                <w:sz w:val="20"/>
                <w:szCs w:val="20"/>
                <w:color w:val="auto"/>
              </w:rPr>
            </w:pPr>
          </w:p>
        </w:tc>
        <w:tc>
          <w:tcPr>
            <w:tcW w:w="1120" w:type="dxa"/>
            <w:vAlign w:val="bottom"/>
            <w:gridSpan w:val="5"/>
          </w:tcPr>
          <w:p>
            <w:pPr>
              <w:jc w:val="right"/>
              <w:spacing w:after="0"/>
              <w:rPr>
                <w:sz w:val="20"/>
                <w:szCs w:val="20"/>
                <w:color w:val="auto"/>
              </w:rPr>
            </w:pPr>
            <w:r>
              <w:rPr>
                <w:rFonts w:ascii="Arial" w:cs="Arial" w:eastAsia="Arial" w:hAnsi="Arial"/>
                <w:sz w:val="18"/>
                <w:szCs w:val="18"/>
                <w:color w:val="auto"/>
              </w:rPr>
              <w:t>$674,242</w:t>
            </w:r>
          </w:p>
        </w:tc>
        <w:tc>
          <w:tcPr>
            <w:tcW w:w="240" w:type="dxa"/>
            <w:vAlign w:val="bottom"/>
          </w:tcPr>
          <w:p>
            <w:pPr>
              <w:spacing w:after="0"/>
              <w:rPr>
                <w:sz w:val="20"/>
                <w:szCs w:val="20"/>
                <w:color w:val="auto"/>
              </w:rPr>
            </w:pPr>
          </w:p>
        </w:tc>
        <w:tc>
          <w:tcPr>
            <w:tcW w:w="1080" w:type="dxa"/>
            <w:vAlign w:val="bottom"/>
            <w:gridSpan w:val="6"/>
          </w:tcPr>
          <w:p>
            <w:pPr>
              <w:jc w:val="right"/>
              <w:ind w:right="20"/>
              <w:spacing w:after="0"/>
              <w:rPr>
                <w:sz w:val="20"/>
                <w:szCs w:val="20"/>
                <w:color w:val="auto"/>
              </w:rPr>
            </w:pPr>
            <w:r>
              <w:rPr>
                <w:rFonts w:ascii="Arial" w:cs="Arial" w:eastAsia="Arial" w:hAnsi="Arial"/>
                <w:sz w:val="18"/>
                <w:szCs w:val="18"/>
                <w:color w:val="auto"/>
              </w:rPr>
              <w:t>($3,363)</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760" w:type="dxa"/>
            <w:vAlign w:val="bottom"/>
          </w:tcPr>
          <w:p>
            <w:pPr>
              <w:spacing w:after="0"/>
              <w:rPr>
                <w:sz w:val="5"/>
                <w:szCs w:val="5"/>
                <w:color w:val="auto"/>
              </w:rPr>
            </w:pPr>
          </w:p>
        </w:tc>
        <w:tc>
          <w:tcPr>
            <w:tcW w:w="180" w:type="dxa"/>
            <w:vAlign w:val="bottom"/>
            <w:tcBorders>
              <w:right w:val="single" w:sz="8" w:color="808080"/>
            </w:tcBorders>
          </w:tcPr>
          <w:p>
            <w:pPr>
              <w:spacing w:after="0"/>
              <w:rPr>
                <w:sz w:val="5"/>
                <w:szCs w:val="5"/>
                <w:color w:val="auto"/>
              </w:rPr>
            </w:pPr>
          </w:p>
        </w:tc>
        <w:tc>
          <w:tcPr>
            <w:tcW w:w="420" w:type="dxa"/>
            <w:vAlign w:val="bottom"/>
            <w:tcBorders>
              <w:right w:val="single" w:sz="8" w:color="808080"/>
            </w:tcBorders>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360" w:type="dxa"/>
            <w:vAlign w:val="bottom"/>
            <w:tcBorders>
              <w:right w:val="single" w:sz="8" w:color="808080"/>
            </w:tcBorders>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52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Borders>
              <w:right w:val="single" w:sz="8" w:color="808080"/>
            </w:tcBorders>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3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7"/>
        </w:trPr>
        <w:tc>
          <w:tcPr>
            <w:tcW w:w="20" w:type="dxa"/>
            <w:vAlign w:val="bottom"/>
          </w:tcPr>
          <w:p>
            <w:pPr>
              <w:spacing w:after="0"/>
              <w:rPr>
                <w:sz w:val="24"/>
                <w:szCs w:val="24"/>
                <w:color w:val="auto"/>
              </w:rPr>
            </w:pPr>
          </w:p>
        </w:tc>
        <w:tc>
          <w:tcPr>
            <w:tcW w:w="5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40" w:type="dxa"/>
            <w:vAlign w:val="bottom"/>
            <w:gridSpan w:val="10"/>
          </w:tcPr>
          <w:p>
            <w:pPr>
              <w:ind w:left="220"/>
              <w:spacing w:after="0"/>
              <w:rPr>
                <w:sz w:val="20"/>
                <w:szCs w:val="20"/>
                <w:color w:val="auto"/>
              </w:rPr>
            </w:pPr>
            <w:r>
              <w:rPr>
                <w:rFonts w:ascii="Arial" w:cs="Arial" w:eastAsia="Arial" w:hAnsi="Arial"/>
                <w:sz w:val="18"/>
                <w:szCs w:val="18"/>
                <w:color w:val="auto"/>
                <w:w w:val="93"/>
              </w:rPr>
              <w:t>[Additional columns below]</w:t>
            </w:r>
          </w:p>
        </w:tc>
        <w:tc>
          <w:tcPr>
            <w:tcW w:w="0" w:type="dxa"/>
            <w:vAlign w:val="bottom"/>
          </w:tcPr>
          <w:p>
            <w:pPr>
              <w:spacing w:after="0"/>
              <w:rPr>
                <w:sz w:val="1"/>
                <w:szCs w:val="1"/>
                <w:color w:val="auto"/>
              </w:rPr>
            </w:pPr>
          </w:p>
        </w:tc>
      </w:tr>
      <w:tr>
        <w:trPr>
          <w:trHeight w:val="405"/>
        </w:trPr>
        <w:tc>
          <w:tcPr>
            <w:tcW w:w="5780" w:type="dxa"/>
            <w:vAlign w:val="bottom"/>
            <w:gridSpan w:val="2"/>
          </w:tcPr>
          <w:p>
            <w:pPr>
              <w:spacing w:after="0"/>
              <w:rPr>
                <w:sz w:val="20"/>
                <w:szCs w:val="20"/>
                <w:color w:val="auto"/>
              </w:rPr>
            </w:pPr>
            <w:r>
              <w:rPr>
                <w:rFonts w:ascii="Arial" w:cs="Arial" w:eastAsia="Arial" w:hAnsi="Arial"/>
                <w:sz w:val="18"/>
                <w:szCs w:val="18"/>
                <w:color w:val="auto"/>
              </w:rPr>
              <w:t>[Continued from above table, first column(s) repeated]</w:t>
            </w: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8"/>
        </w:trPr>
        <w:tc>
          <w:tcPr>
            <w:tcW w:w="20" w:type="dxa"/>
            <w:vAlign w:val="bottom"/>
          </w:tcPr>
          <w:p>
            <w:pPr>
              <w:spacing w:after="0"/>
              <w:rPr>
                <w:sz w:val="24"/>
                <w:szCs w:val="24"/>
                <w:color w:val="auto"/>
              </w:rPr>
            </w:pPr>
          </w:p>
        </w:tc>
        <w:tc>
          <w:tcPr>
            <w:tcW w:w="5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gridSpan w:val="8"/>
          </w:tcPr>
          <w:p>
            <w:pPr>
              <w:jc w:val="center"/>
              <w:ind w:right="140"/>
              <w:spacing w:after="0"/>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60" w:type="dxa"/>
            <w:vAlign w:val="bottom"/>
            <w:gridSpan w:val="7"/>
            <w:vMerge w:val="restart"/>
          </w:tcPr>
          <w:p>
            <w:pPr>
              <w:jc w:val="center"/>
              <w:ind w:right="40"/>
              <w:spacing w:after="0"/>
              <w:rPr>
                <w:sz w:val="20"/>
                <w:szCs w:val="20"/>
                <w:color w:val="auto"/>
              </w:rPr>
            </w:pPr>
            <w:r>
              <w:rPr>
                <w:rFonts w:ascii="Arial" w:cs="Arial" w:eastAsia="Arial" w:hAnsi="Arial"/>
                <w:sz w:val="14"/>
                <w:szCs w:val="14"/>
                <w:b w:val="1"/>
                <w:bCs w:val="1"/>
                <w:color w:val="auto"/>
                <w:w w:val="90"/>
              </w:rPr>
              <w:t>Accumulated</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8"/>
          </w:tcPr>
          <w:p>
            <w:pPr>
              <w:jc w:val="center"/>
              <w:ind w:right="140"/>
              <w:spacing w:after="0" w:line="149" w:lineRule="exact"/>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20" w:type="dxa"/>
            <w:vAlign w:val="bottom"/>
            <w:gridSpan w:val="4"/>
            <w:vMerge w:val="restart"/>
          </w:tcPr>
          <w:p>
            <w:pPr>
              <w:ind w:left="80"/>
              <w:spacing w:after="0"/>
              <w:rPr>
                <w:sz w:val="20"/>
                <w:szCs w:val="20"/>
                <w:color w:val="auto"/>
              </w:rPr>
            </w:pPr>
            <w:r>
              <w:rPr>
                <w:rFonts w:ascii="Arial" w:cs="Arial" w:eastAsia="Arial" w:hAnsi="Arial"/>
                <w:sz w:val="14"/>
                <w:szCs w:val="14"/>
                <w:b w:val="1"/>
                <w:bCs w:val="1"/>
                <w:color w:val="auto"/>
                <w:w w:val="97"/>
              </w:rPr>
              <w:t>Comprehensive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60" w:type="dxa"/>
            <w:vAlign w:val="bottom"/>
            <w:gridSpan w:val="7"/>
            <w:vMerge w:val="continue"/>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9"/>
          </w:tcPr>
          <w:p>
            <w:pPr>
              <w:jc w:val="center"/>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4"/>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Stockholders’</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2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3"/>
              </w:rPr>
              <w:t>Deficit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8"/>
          </w:tcPr>
          <w:p>
            <w:pPr>
              <w:jc w:val="center"/>
              <w:ind w:right="140"/>
              <w:spacing w:after="0"/>
              <w:rPr>
                <w:sz w:val="20"/>
                <w:szCs w:val="20"/>
                <w:color w:val="auto"/>
              </w:rPr>
            </w:pPr>
            <w:r>
              <w:rPr>
                <w:rFonts w:ascii="Arial" w:cs="Arial" w:eastAsia="Arial" w:hAnsi="Arial"/>
                <w:sz w:val="14"/>
                <w:szCs w:val="14"/>
                <w:b w:val="1"/>
                <w:bCs w:val="1"/>
                <w:color w:val="auto"/>
                <w:w w:val="93"/>
              </w:rPr>
              <w:t>Income</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8"/>
              </w:rPr>
              <w:t>Equity</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gridSpan w:val="3"/>
          </w:tcPr>
          <w:p>
            <w:pPr>
              <w:ind w:left="20"/>
              <w:spacing w:after="0"/>
              <w:rPr>
                <w:sz w:val="20"/>
                <w:szCs w:val="20"/>
                <w:color w:val="auto"/>
              </w:rPr>
            </w:pPr>
            <w:r>
              <w:rPr>
                <w:rFonts w:ascii="Arial" w:cs="Arial" w:eastAsia="Arial" w:hAnsi="Arial"/>
                <w:sz w:val="14"/>
                <w:szCs w:val="14"/>
                <w:b w:val="1"/>
                <w:bCs w:val="1"/>
                <w:color w:val="auto"/>
              </w:rPr>
              <w:t>Income</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5760" w:type="dxa"/>
            <w:vAlign w:val="bottom"/>
          </w:tcPr>
          <w:p>
            <w:pPr>
              <w:spacing w:after="0"/>
              <w:rPr>
                <w:sz w:val="4"/>
                <w:szCs w:val="4"/>
                <w:color w:val="auto"/>
              </w:rPr>
            </w:pPr>
          </w:p>
        </w:tc>
        <w:tc>
          <w:tcPr>
            <w:tcW w:w="180" w:type="dxa"/>
            <w:vAlign w:val="bottom"/>
          </w:tcPr>
          <w:p>
            <w:pPr>
              <w:spacing w:after="0"/>
              <w:rPr>
                <w:sz w:val="4"/>
                <w:szCs w:val="4"/>
                <w:color w:val="auto"/>
              </w:rPr>
            </w:pPr>
          </w:p>
        </w:tc>
        <w:tc>
          <w:tcPr>
            <w:tcW w:w="420" w:type="dxa"/>
            <w:vAlign w:val="bottom"/>
          </w:tcPr>
          <w:p>
            <w:pPr>
              <w:spacing w:after="0"/>
              <w:rPr>
                <w:sz w:val="4"/>
                <w:szCs w:val="4"/>
                <w:color w:val="auto"/>
              </w:rPr>
            </w:pPr>
          </w:p>
        </w:tc>
        <w:tc>
          <w:tcPr>
            <w:tcW w:w="240" w:type="dxa"/>
            <w:vAlign w:val="bottom"/>
            <w:tcBorders>
              <w:bottom w:val="single" w:sz="8" w:color="808080"/>
            </w:tcBorders>
            <w:gridSpan w:val="2"/>
          </w:tcPr>
          <w:p>
            <w:pPr>
              <w:spacing w:after="0"/>
              <w:rPr>
                <w:sz w:val="4"/>
                <w:szCs w:val="4"/>
                <w:color w:val="auto"/>
              </w:rPr>
            </w:pPr>
          </w:p>
        </w:tc>
        <w:tc>
          <w:tcPr>
            <w:tcW w:w="540" w:type="dxa"/>
            <w:vAlign w:val="bottom"/>
            <w:tcBorders>
              <w:bottom w:val="single" w:sz="8" w:color="808080"/>
            </w:tcBorders>
            <w:gridSpan w:val="3"/>
          </w:tcPr>
          <w:p>
            <w:pPr>
              <w:spacing w:after="0"/>
              <w:rPr>
                <w:sz w:val="4"/>
                <w:szCs w:val="4"/>
                <w:color w:val="auto"/>
              </w:rPr>
            </w:pPr>
          </w:p>
        </w:tc>
        <w:tc>
          <w:tcPr>
            <w:tcW w:w="160" w:type="dxa"/>
            <w:vAlign w:val="bottom"/>
            <w:tcBorders>
              <w:bottom w:val="single" w:sz="8" w:color="808080"/>
            </w:tcBorders>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gridSpan w:val="2"/>
          </w:tcPr>
          <w:p>
            <w:pPr>
              <w:spacing w:after="0"/>
              <w:rPr>
                <w:sz w:val="4"/>
                <w:szCs w:val="4"/>
                <w:color w:val="auto"/>
              </w:rPr>
            </w:pPr>
          </w:p>
        </w:tc>
        <w:tc>
          <w:tcPr>
            <w:tcW w:w="360" w:type="dxa"/>
            <w:vAlign w:val="bottom"/>
            <w:tcBorders>
              <w:bottom w:val="single" w:sz="8" w:color="808080"/>
            </w:tcBorders>
          </w:tcPr>
          <w:p>
            <w:pPr>
              <w:spacing w:after="0"/>
              <w:rPr>
                <w:sz w:val="4"/>
                <w:szCs w:val="4"/>
                <w:color w:val="auto"/>
              </w:rPr>
            </w:pPr>
          </w:p>
        </w:tc>
        <w:tc>
          <w:tcPr>
            <w:tcW w:w="260" w:type="dxa"/>
            <w:vAlign w:val="bottom"/>
            <w:tcBorders>
              <w:bottom w:val="single" w:sz="8" w:color="808080"/>
            </w:tcBorders>
            <w:gridSpan w:val="3"/>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180" w:type="dxa"/>
            <w:vAlign w:val="bottom"/>
            <w:tcBorders>
              <w:bottom w:val="single" w:sz="8" w:color="808080"/>
            </w:tcBorders>
          </w:tcPr>
          <w:p>
            <w:pPr>
              <w:spacing w:after="0"/>
              <w:rPr>
                <w:sz w:val="4"/>
                <w:szCs w:val="4"/>
                <w:color w:val="auto"/>
              </w:rPr>
            </w:pPr>
          </w:p>
        </w:tc>
        <w:tc>
          <w:tcPr>
            <w:tcW w:w="40" w:type="dxa"/>
            <w:vAlign w:val="bottom"/>
            <w:tcBorders>
              <w:bottom w:val="single" w:sz="8" w:color="808080"/>
            </w:tcBorders>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Borders>
              <w:bottom w:val="single" w:sz="8" w:color="808080"/>
            </w:tcBorders>
            <w:gridSpan w:val="2"/>
          </w:tcPr>
          <w:p>
            <w:pPr>
              <w:spacing w:after="0"/>
              <w:rPr>
                <w:sz w:val="4"/>
                <w:szCs w:val="4"/>
                <w:color w:val="auto"/>
              </w:rPr>
            </w:pPr>
          </w:p>
        </w:tc>
        <w:tc>
          <w:tcPr>
            <w:tcW w:w="520" w:type="dxa"/>
            <w:vAlign w:val="bottom"/>
            <w:tcBorders>
              <w:bottom w:val="single" w:sz="8" w:color="808080"/>
            </w:tcBorders>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200" w:type="dxa"/>
            <w:vAlign w:val="bottom"/>
          </w:tcPr>
          <w:p>
            <w:pPr>
              <w:spacing w:after="0"/>
              <w:rPr>
                <w:sz w:val="4"/>
                <w:szCs w:val="4"/>
                <w:color w:val="auto"/>
              </w:rPr>
            </w:pPr>
          </w:p>
        </w:tc>
        <w:tc>
          <w:tcPr>
            <w:tcW w:w="60" w:type="dxa"/>
            <w:vAlign w:val="bottom"/>
          </w:tcPr>
          <w:p>
            <w:pPr>
              <w:spacing w:after="0"/>
              <w:rPr>
                <w:sz w:val="4"/>
                <w:szCs w:val="4"/>
                <w:color w:val="auto"/>
              </w:rPr>
            </w:pPr>
          </w:p>
        </w:tc>
        <w:tc>
          <w:tcPr>
            <w:tcW w:w="320" w:type="dxa"/>
            <w:vAlign w:val="bottom"/>
            <w:tcBorders>
              <w:bottom w:val="single" w:sz="8" w:color="808080"/>
            </w:tcBorders>
          </w:tcPr>
          <w:p>
            <w:pPr>
              <w:spacing w:after="0"/>
              <w:rPr>
                <w:sz w:val="4"/>
                <w:szCs w:val="4"/>
                <w:color w:val="auto"/>
              </w:rPr>
            </w:pPr>
          </w:p>
        </w:tc>
        <w:tc>
          <w:tcPr>
            <w:tcW w:w="420" w:type="dxa"/>
            <w:vAlign w:val="bottom"/>
            <w:tcBorders>
              <w:bottom w:val="single" w:sz="8" w:color="808080"/>
            </w:tcBorders>
          </w:tcPr>
          <w:p>
            <w:pPr>
              <w:spacing w:after="0"/>
              <w:rPr>
                <w:sz w:val="4"/>
                <w:szCs w:val="4"/>
                <w:color w:val="auto"/>
              </w:rPr>
            </w:pPr>
          </w:p>
        </w:tc>
        <w:tc>
          <w:tcPr>
            <w:tcW w:w="60" w:type="dxa"/>
            <w:vAlign w:val="bottom"/>
            <w:tcBorders>
              <w:bottom w:val="single" w:sz="8" w:color="808080"/>
            </w:tcBorders>
          </w:tcPr>
          <w:p>
            <w:pPr>
              <w:spacing w:after="0"/>
              <w:rPr>
                <w:sz w:val="4"/>
                <w:szCs w:val="4"/>
                <w:color w:val="auto"/>
              </w:rPr>
            </w:pPr>
          </w:p>
        </w:tc>
        <w:tc>
          <w:tcPr>
            <w:tcW w:w="32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5760" w:type="dxa"/>
            <w:vAlign w:val="bottom"/>
          </w:tcPr>
          <w:p>
            <w:pPr>
              <w:spacing w:after="0"/>
              <w:rPr>
                <w:sz w:val="6"/>
                <w:szCs w:val="6"/>
                <w:color w:val="auto"/>
              </w:rPr>
            </w:pPr>
          </w:p>
        </w:tc>
        <w:tc>
          <w:tcPr>
            <w:tcW w:w="180" w:type="dxa"/>
            <w:vAlign w:val="bottom"/>
          </w:tcPr>
          <w:p>
            <w:pPr>
              <w:spacing w:after="0"/>
              <w:rPr>
                <w:sz w:val="6"/>
                <w:szCs w:val="6"/>
                <w:color w:val="auto"/>
              </w:rPr>
            </w:pPr>
          </w:p>
        </w:tc>
        <w:tc>
          <w:tcPr>
            <w:tcW w:w="4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36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52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0" w:type="dxa"/>
            <w:vAlign w:val="bottom"/>
          </w:tcPr>
          <w:p>
            <w:pPr>
              <w:spacing w:after="0"/>
              <w:rPr>
                <w:sz w:val="6"/>
                <w:szCs w:val="6"/>
                <w:color w:val="auto"/>
              </w:rPr>
            </w:pPr>
          </w:p>
        </w:tc>
        <w:tc>
          <w:tcPr>
            <w:tcW w:w="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shd w:val="clear" w:color="auto" w:fill="EEEEEE"/>
          </w:tcPr>
          <w:p>
            <w:pPr>
              <w:spacing w:after="0"/>
              <w:rPr>
                <w:sz w:val="20"/>
                <w:szCs w:val="20"/>
                <w:color w:val="auto"/>
              </w:rPr>
            </w:pPr>
            <w:r>
              <w:rPr>
                <w:rFonts w:ascii="Arial" w:cs="Arial" w:eastAsia="Arial" w:hAnsi="Arial"/>
                <w:sz w:val="18"/>
                <w:szCs w:val="18"/>
                <w:color w:val="auto"/>
              </w:rPr>
              <w:t>Balance, December 31, 2003</w:t>
            </w:r>
          </w:p>
        </w:tc>
        <w:tc>
          <w:tcPr>
            <w:tcW w:w="180" w:type="dxa"/>
            <w:vAlign w:val="bottom"/>
            <w:tcBorders>
              <w:right w:val="single" w:sz="8" w:color="EEEEEE"/>
            </w:tcBorders>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940" w:type="dxa"/>
            <w:vAlign w:val="bottom"/>
            <w:gridSpan w:val="6"/>
            <w:shd w:val="clear" w:color="auto" w:fill="EEEEEE"/>
          </w:tcPr>
          <w:p>
            <w:pPr>
              <w:jc w:val="center"/>
              <w:ind w:right="80"/>
              <w:spacing w:after="0"/>
              <w:rPr>
                <w:sz w:val="20"/>
                <w:szCs w:val="20"/>
                <w:color w:val="auto"/>
              </w:rPr>
            </w:pPr>
            <w:r>
              <w:rPr>
                <w:rFonts w:ascii="Arial" w:cs="Arial" w:eastAsia="Arial" w:hAnsi="Arial"/>
                <w:sz w:val="18"/>
                <w:szCs w:val="18"/>
                <w:color w:val="auto"/>
                <w:w w:val="94"/>
              </w:rPr>
              <w:t>($531,533)</w:t>
            </w:r>
          </w:p>
        </w:tc>
        <w:tc>
          <w:tcPr>
            <w:tcW w:w="20" w:type="dxa"/>
            <w:vAlign w:val="bottom"/>
            <w:shd w:val="clear" w:color="auto" w:fill="EEEEEE"/>
          </w:tcPr>
          <w:p>
            <w:pPr>
              <w:spacing w:after="0"/>
              <w:rPr>
                <w:sz w:val="18"/>
                <w:szCs w:val="18"/>
                <w:color w:val="auto"/>
              </w:rPr>
            </w:pPr>
          </w:p>
        </w:tc>
        <w:tc>
          <w:tcPr>
            <w:tcW w:w="860" w:type="dxa"/>
            <w:vAlign w:val="bottom"/>
            <w:tcBorders>
              <w:right w:val="single" w:sz="8" w:color="EEEEEE"/>
            </w:tcBorders>
            <w:gridSpan w:val="6"/>
            <w:shd w:val="clear" w:color="auto" w:fill="EEEEEE"/>
          </w:tcPr>
          <w:p>
            <w:pPr>
              <w:jc w:val="right"/>
              <w:spacing w:after="0"/>
              <w:rPr>
                <w:sz w:val="20"/>
                <w:szCs w:val="20"/>
                <w:color w:val="auto"/>
              </w:rPr>
            </w:pPr>
            <w:r>
              <w:rPr>
                <w:rFonts w:ascii="Arial" w:cs="Arial" w:eastAsia="Arial" w:hAnsi="Arial"/>
                <w:sz w:val="18"/>
                <w:szCs w:val="18"/>
                <w:color w:val="auto"/>
              </w:rPr>
              <w:t>$ 104</w:t>
            </w:r>
          </w:p>
        </w:tc>
        <w:tc>
          <w:tcPr>
            <w:tcW w:w="1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04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$137,643</w:t>
            </w:r>
          </w:p>
        </w:tc>
        <w:tc>
          <w:tcPr>
            <w:tcW w:w="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32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Issuance of Common Stock in connection with exercise of stock options</w:t>
            </w: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4"/>
          </w:tcPr>
          <w:p>
            <w:pPr>
              <w:jc w:val="right"/>
              <w:spacing w:after="0"/>
              <w:rPr>
                <w:sz w:val="20"/>
                <w:szCs w:val="20"/>
                <w:color w:val="auto"/>
              </w:rPr>
            </w:pPr>
            <w:r>
              <w:rPr>
                <w:rFonts w:ascii="Arial" w:cs="Arial" w:eastAsia="Arial" w:hAnsi="Arial"/>
                <w:sz w:val="18"/>
                <w:szCs w:val="18"/>
                <w:color w:val="auto"/>
              </w:rPr>
              <w:t>274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76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w w:val="91"/>
              </w:rPr>
              <w:t>Forfeitures of restricted Common Stock under Long-Term Incentive Plan, net of</w:t>
            </w:r>
          </w:p>
        </w:tc>
        <w:tc>
          <w:tcPr>
            <w:tcW w:w="180" w:type="dxa"/>
            <w:vAlign w:val="bottom"/>
            <w:tcBorders>
              <w:right w:val="single" w:sz="8" w:color="EEEEEE"/>
            </w:tcBorders>
            <w:shd w:val="clear" w:color="auto" w:fill="EEEEEE"/>
          </w:tcPr>
          <w:p>
            <w:pPr>
              <w:spacing w:after="0"/>
              <w:rPr>
                <w:sz w:val="17"/>
                <w:szCs w:val="17"/>
                <w:color w:val="auto"/>
              </w:rPr>
            </w:pPr>
          </w:p>
        </w:tc>
        <w:tc>
          <w:tcPr>
            <w:tcW w:w="420" w:type="dxa"/>
            <w:vAlign w:val="bottom"/>
            <w:tcBorders>
              <w:right w:val="single" w:sz="8" w:color="EEEEEE"/>
            </w:tcBorders>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00" w:type="dxa"/>
            <w:vAlign w:val="bottom"/>
            <w:tcBorders>
              <w:right w:val="single" w:sz="8" w:color="EEEEEE"/>
            </w:tcBorders>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220" w:type="dxa"/>
            <w:vAlign w:val="bottom"/>
            <w:tcBorders>
              <w:right w:val="single" w:sz="8" w:color="EEEEEE"/>
            </w:tcBorders>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360" w:type="dxa"/>
            <w:vAlign w:val="bottom"/>
            <w:tcBorders>
              <w:right w:val="single" w:sz="8" w:color="EEEEEE"/>
            </w:tcBorders>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160" w:type="dxa"/>
            <w:vAlign w:val="bottom"/>
            <w:tcBorders>
              <w:right w:val="single" w:sz="8" w:color="EEEEEE"/>
            </w:tcBorders>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4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280" w:type="dxa"/>
            <w:vAlign w:val="bottom"/>
            <w:tcBorders>
              <w:right w:val="single" w:sz="8" w:color="EEEEEE"/>
            </w:tcBorders>
            <w:shd w:val="clear" w:color="auto" w:fill="EEEEEE"/>
          </w:tcPr>
          <w:p>
            <w:pPr>
              <w:spacing w:after="0"/>
              <w:rPr>
                <w:sz w:val="17"/>
                <w:szCs w:val="17"/>
                <w:color w:val="auto"/>
              </w:rPr>
            </w:pPr>
          </w:p>
        </w:tc>
        <w:tc>
          <w:tcPr>
            <w:tcW w:w="52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60" w:type="dxa"/>
            <w:vAlign w:val="bottom"/>
            <w:shd w:val="clear" w:color="auto" w:fill="EEEEEE"/>
          </w:tcPr>
          <w:p>
            <w:pPr>
              <w:spacing w:after="0"/>
              <w:rPr>
                <w:sz w:val="17"/>
                <w:szCs w:val="17"/>
                <w:color w:val="auto"/>
              </w:rPr>
            </w:pPr>
          </w:p>
        </w:tc>
        <w:tc>
          <w:tcPr>
            <w:tcW w:w="320" w:type="dxa"/>
            <w:vAlign w:val="bottom"/>
            <w:tcBorders>
              <w:right w:val="single" w:sz="8" w:color="EEEEEE"/>
            </w:tcBorders>
            <w:shd w:val="clear" w:color="auto" w:fill="EEEEEE"/>
          </w:tcPr>
          <w:p>
            <w:pPr>
              <w:spacing w:after="0"/>
              <w:rPr>
                <w:sz w:val="17"/>
                <w:szCs w:val="17"/>
                <w:color w:val="auto"/>
              </w:rPr>
            </w:pPr>
          </w:p>
        </w:tc>
        <w:tc>
          <w:tcPr>
            <w:tcW w:w="420" w:type="dxa"/>
            <w:vAlign w:val="bottom"/>
            <w:tcBorders>
              <w:right w:val="single" w:sz="8" w:color="EEEEEE"/>
            </w:tcBorders>
            <w:shd w:val="clear" w:color="auto" w:fill="EEEEEE"/>
          </w:tcPr>
          <w:p>
            <w:pPr>
              <w:spacing w:after="0"/>
              <w:rPr>
                <w:sz w:val="17"/>
                <w:szCs w:val="17"/>
                <w:color w:val="auto"/>
              </w:rPr>
            </w:pPr>
          </w:p>
        </w:tc>
        <w:tc>
          <w:tcPr>
            <w:tcW w:w="60" w:type="dxa"/>
            <w:vAlign w:val="bottom"/>
            <w:shd w:val="clear" w:color="auto" w:fill="EEEEEE"/>
          </w:tcPr>
          <w:p>
            <w:pPr>
              <w:spacing w:after="0"/>
              <w:rPr>
                <w:sz w:val="17"/>
                <w:szCs w:val="17"/>
                <w:color w:val="auto"/>
              </w:rPr>
            </w:pPr>
          </w:p>
        </w:tc>
        <w:tc>
          <w:tcPr>
            <w:tcW w:w="320" w:type="dxa"/>
            <w:vAlign w:val="bottom"/>
            <w:tcBorders>
              <w:left w:val="single" w:sz="8" w:color="EEEEEE"/>
            </w:tcBorders>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760" w:type="dxa"/>
            <w:vAlign w:val="bottom"/>
            <w:shd w:val="clear" w:color="auto" w:fill="EEEEEE"/>
          </w:tcPr>
          <w:p>
            <w:pPr>
              <w:ind w:left="120"/>
              <w:spacing w:after="0"/>
              <w:rPr>
                <w:sz w:val="20"/>
                <w:szCs w:val="20"/>
                <w:color w:val="auto"/>
              </w:rPr>
            </w:pPr>
            <w:r>
              <w:rPr>
                <w:rFonts w:ascii="Arial" w:cs="Arial" w:eastAsia="Arial" w:hAnsi="Arial"/>
                <w:sz w:val="18"/>
                <w:szCs w:val="18"/>
                <w:color w:val="auto"/>
              </w:rPr>
              <w:t>issuances</w:t>
            </w:r>
          </w:p>
        </w:tc>
        <w:tc>
          <w:tcPr>
            <w:tcW w:w="180" w:type="dxa"/>
            <w:vAlign w:val="bottom"/>
            <w:tcBorders>
              <w:right w:val="single" w:sz="8" w:color="EEEEEE"/>
            </w:tcBorders>
            <w:shd w:val="clear" w:color="auto" w:fill="EEEEEE"/>
          </w:tcPr>
          <w:p>
            <w:pPr>
              <w:spacing w:after="0"/>
              <w:rPr>
                <w:sz w:val="20"/>
                <w:szCs w:val="20"/>
                <w:color w:val="auto"/>
              </w:rPr>
            </w:pPr>
          </w:p>
        </w:tc>
        <w:tc>
          <w:tcPr>
            <w:tcW w:w="420" w:type="dxa"/>
            <w:vAlign w:val="bottom"/>
            <w:tcBorders>
              <w:right w:val="single" w:sz="8" w:color="EEEEEE"/>
            </w:tcBorders>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100" w:type="dxa"/>
            <w:vAlign w:val="bottom"/>
            <w:tcBorders>
              <w:right w:val="single" w:sz="8" w:color="EEEEEE"/>
            </w:tcBorders>
            <w:shd w:val="clear" w:color="auto" w:fill="EEEEEE"/>
          </w:tcPr>
          <w:p>
            <w:pPr>
              <w:spacing w:after="0"/>
              <w:rPr>
                <w:sz w:val="20"/>
                <w:szCs w:val="20"/>
                <w:color w:val="auto"/>
              </w:rPr>
            </w:pPr>
          </w:p>
        </w:tc>
        <w:tc>
          <w:tcPr>
            <w:tcW w:w="160" w:type="dxa"/>
            <w:vAlign w:val="bottom"/>
            <w:shd w:val="clear" w:color="auto" w:fill="EEEEEE"/>
          </w:tcPr>
          <w:p>
            <w:pPr>
              <w:spacing w:after="0"/>
              <w:rPr>
                <w:sz w:val="20"/>
                <w:szCs w:val="20"/>
                <w:color w:val="auto"/>
              </w:rPr>
            </w:pPr>
          </w:p>
        </w:tc>
        <w:tc>
          <w:tcPr>
            <w:tcW w:w="160" w:type="dxa"/>
            <w:vAlign w:val="bottom"/>
            <w:shd w:val="clear" w:color="auto" w:fill="EEEEEE"/>
          </w:tcPr>
          <w:p>
            <w:pPr>
              <w:spacing w:after="0"/>
              <w:rPr>
                <w:sz w:val="20"/>
                <w:szCs w:val="20"/>
                <w:color w:val="auto"/>
              </w:rPr>
            </w:pPr>
          </w:p>
        </w:tc>
        <w:tc>
          <w:tcPr>
            <w:tcW w:w="220" w:type="dxa"/>
            <w:vAlign w:val="bottom"/>
            <w:tcBorders>
              <w:right w:val="single" w:sz="8" w:color="EEEEEE"/>
            </w:tcBorders>
            <w:shd w:val="clear" w:color="auto" w:fill="EEEEEE"/>
          </w:tcPr>
          <w:p>
            <w:pPr>
              <w:spacing w:after="0"/>
              <w:rPr>
                <w:sz w:val="20"/>
                <w:szCs w:val="20"/>
                <w:color w:val="auto"/>
              </w:rPr>
            </w:pPr>
          </w:p>
        </w:tc>
        <w:tc>
          <w:tcPr>
            <w:tcW w:w="160" w:type="dxa"/>
            <w:vAlign w:val="bottom"/>
            <w:shd w:val="clear" w:color="auto" w:fill="EEEEEE"/>
          </w:tcPr>
          <w:p>
            <w:pPr>
              <w:spacing w:after="0"/>
              <w:rPr>
                <w:sz w:val="20"/>
                <w:szCs w:val="20"/>
                <w:color w:val="auto"/>
              </w:rPr>
            </w:pPr>
          </w:p>
        </w:tc>
        <w:tc>
          <w:tcPr>
            <w:tcW w:w="20" w:type="dxa"/>
            <w:vAlign w:val="bottom"/>
            <w:shd w:val="clear" w:color="auto" w:fill="EEEEEE"/>
          </w:tcPr>
          <w:p>
            <w:pPr>
              <w:spacing w:after="0"/>
              <w:rPr>
                <w:sz w:val="20"/>
                <w:szCs w:val="20"/>
                <w:color w:val="auto"/>
              </w:rPr>
            </w:pPr>
          </w:p>
        </w:tc>
        <w:tc>
          <w:tcPr>
            <w:tcW w:w="10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360" w:type="dxa"/>
            <w:vAlign w:val="bottom"/>
            <w:tcBorders>
              <w:right w:val="single" w:sz="8" w:color="EEEEEE"/>
            </w:tcBorders>
            <w:shd w:val="clear" w:color="auto" w:fill="EEEEEE"/>
          </w:tcPr>
          <w:p>
            <w:pPr>
              <w:spacing w:after="0"/>
              <w:rPr>
                <w:sz w:val="20"/>
                <w:szCs w:val="20"/>
                <w:color w:val="auto"/>
              </w:rPr>
            </w:pPr>
          </w:p>
        </w:tc>
        <w:tc>
          <w:tcPr>
            <w:tcW w:w="80" w:type="dxa"/>
            <w:vAlign w:val="bottom"/>
            <w:shd w:val="clear" w:color="auto" w:fill="EEEEEE"/>
          </w:tcPr>
          <w:p>
            <w:pPr>
              <w:spacing w:after="0"/>
              <w:rPr>
                <w:sz w:val="20"/>
                <w:szCs w:val="20"/>
                <w:color w:val="auto"/>
              </w:rPr>
            </w:pPr>
          </w:p>
        </w:tc>
        <w:tc>
          <w:tcPr>
            <w:tcW w:w="20" w:type="dxa"/>
            <w:vAlign w:val="bottom"/>
            <w:shd w:val="clear" w:color="auto" w:fill="EEEEEE"/>
          </w:tcPr>
          <w:p>
            <w:pPr>
              <w:spacing w:after="0"/>
              <w:rPr>
                <w:sz w:val="20"/>
                <w:szCs w:val="20"/>
                <w:color w:val="auto"/>
              </w:rPr>
            </w:pPr>
          </w:p>
        </w:tc>
        <w:tc>
          <w:tcPr>
            <w:tcW w:w="160" w:type="dxa"/>
            <w:vAlign w:val="bottom"/>
            <w:tcBorders>
              <w:right w:val="single" w:sz="8" w:color="EEEEEE"/>
            </w:tcBorders>
            <w:shd w:val="clear" w:color="auto" w:fill="EEEEEE"/>
          </w:tcPr>
          <w:p>
            <w:pPr>
              <w:spacing w:after="0"/>
              <w:rPr>
                <w:sz w:val="20"/>
                <w:szCs w:val="20"/>
                <w:color w:val="auto"/>
              </w:rPr>
            </w:pPr>
          </w:p>
        </w:tc>
        <w:tc>
          <w:tcPr>
            <w:tcW w:w="100" w:type="dxa"/>
            <w:vAlign w:val="bottom"/>
            <w:shd w:val="clear" w:color="auto" w:fill="EEEEEE"/>
          </w:tcPr>
          <w:p>
            <w:pPr>
              <w:spacing w:after="0"/>
              <w:rPr>
                <w:sz w:val="20"/>
                <w:szCs w:val="20"/>
                <w:color w:val="auto"/>
              </w:rPr>
            </w:pPr>
          </w:p>
        </w:tc>
        <w:tc>
          <w:tcPr>
            <w:tcW w:w="180" w:type="dxa"/>
            <w:vAlign w:val="bottom"/>
            <w:shd w:val="clear" w:color="auto" w:fill="EEEEEE"/>
          </w:tcPr>
          <w:p>
            <w:pPr>
              <w:spacing w:after="0"/>
              <w:rPr>
                <w:sz w:val="20"/>
                <w:szCs w:val="20"/>
                <w:color w:val="auto"/>
              </w:rPr>
            </w:pPr>
          </w:p>
        </w:tc>
        <w:tc>
          <w:tcPr>
            <w:tcW w:w="4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120" w:type="dxa"/>
            <w:vAlign w:val="bottom"/>
            <w:shd w:val="clear" w:color="auto" w:fill="EEEEEE"/>
          </w:tcPr>
          <w:p>
            <w:pPr>
              <w:spacing w:after="0"/>
              <w:rPr>
                <w:sz w:val="20"/>
                <w:szCs w:val="20"/>
                <w:color w:val="auto"/>
              </w:rPr>
            </w:pPr>
          </w:p>
        </w:tc>
        <w:tc>
          <w:tcPr>
            <w:tcW w:w="120" w:type="dxa"/>
            <w:vAlign w:val="bottom"/>
            <w:shd w:val="clear" w:color="auto" w:fill="EEEEEE"/>
          </w:tcPr>
          <w:p>
            <w:pPr>
              <w:spacing w:after="0"/>
              <w:rPr>
                <w:sz w:val="20"/>
                <w:szCs w:val="20"/>
                <w:color w:val="auto"/>
              </w:rPr>
            </w:pPr>
          </w:p>
        </w:tc>
        <w:tc>
          <w:tcPr>
            <w:tcW w:w="280" w:type="dxa"/>
            <w:vAlign w:val="bottom"/>
            <w:tcBorders>
              <w:right w:val="single" w:sz="8" w:color="EEEEEE"/>
            </w:tcBorders>
            <w:shd w:val="clear" w:color="auto" w:fill="EEEEEE"/>
          </w:tcPr>
          <w:p>
            <w:pPr>
              <w:spacing w:after="0"/>
              <w:rPr>
                <w:sz w:val="20"/>
                <w:szCs w:val="20"/>
                <w:color w:val="auto"/>
              </w:rPr>
            </w:pPr>
          </w:p>
        </w:tc>
        <w:tc>
          <w:tcPr>
            <w:tcW w:w="520" w:type="dxa"/>
            <w:vAlign w:val="bottom"/>
            <w:shd w:val="clear" w:color="auto" w:fill="EEEEEE"/>
          </w:tcPr>
          <w:p>
            <w:pPr>
              <w:spacing w:after="0"/>
              <w:rPr>
                <w:sz w:val="20"/>
                <w:szCs w:val="20"/>
                <w:color w:val="auto"/>
              </w:rPr>
            </w:pPr>
          </w:p>
        </w:tc>
        <w:tc>
          <w:tcPr>
            <w:tcW w:w="80" w:type="dxa"/>
            <w:vAlign w:val="bottom"/>
            <w:shd w:val="clear" w:color="auto" w:fill="EEEEEE"/>
          </w:tcPr>
          <w:p>
            <w:pPr>
              <w:spacing w:after="0"/>
              <w:rPr>
                <w:sz w:val="20"/>
                <w:szCs w:val="20"/>
                <w:color w:val="auto"/>
              </w:rPr>
            </w:pPr>
          </w:p>
        </w:tc>
        <w:tc>
          <w:tcPr>
            <w:tcW w:w="240" w:type="dxa"/>
            <w:vAlign w:val="bottom"/>
            <w:shd w:val="clear" w:color="auto" w:fill="EEEEEE"/>
          </w:tcPr>
          <w:p>
            <w:pPr>
              <w:spacing w:after="0"/>
              <w:rPr>
                <w:sz w:val="20"/>
                <w:szCs w:val="20"/>
                <w:color w:val="auto"/>
              </w:rPr>
            </w:pPr>
          </w:p>
        </w:tc>
        <w:tc>
          <w:tcPr>
            <w:tcW w:w="20" w:type="dxa"/>
            <w:vAlign w:val="bottom"/>
            <w:shd w:val="clear" w:color="auto" w:fill="EEEEEE"/>
          </w:tcPr>
          <w:p>
            <w:pPr>
              <w:spacing w:after="0"/>
              <w:rPr>
                <w:sz w:val="20"/>
                <w:szCs w:val="20"/>
                <w:color w:val="auto"/>
              </w:rPr>
            </w:pPr>
          </w:p>
        </w:tc>
        <w:tc>
          <w:tcPr>
            <w:tcW w:w="200" w:type="dxa"/>
            <w:vAlign w:val="bottom"/>
            <w:shd w:val="clear" w:color="auto" w:fill="EEEEEE"/>
          </w:tcPr>
          <w:p>
            <w:pPr>
              <w:spacing w:after="0"/>
              <w:rPr>
                <w:sz w:val="20"/>
                <w:szCs w:val="20"/>
                <w:color w:val="auto"/>
              </w:rPr>
            </w:pPr>
          </w:p>
        </w:tc>
        <w:tc>
          <w:tcPr>
            <w:tcW w:w="60" w:type="dxa"/>
            <w:vAlign w:val="bottom"/>
            <w:shd w:val="clear" w:color="auto" w:fill="EEEEEE"/>
          </w:tcPr>
          <w:p>
            <w:pPr>
              <w:spacing w:after="0"/>
              <w:rPr>
                <w:sz w:val="20"/>
                <w:szCs w:val="20"/>
                <w:color w:val="auto"/>
              </w:rPr>
            </w:pPr>
          </w:p>
        </w:tc>
        <w:tc>
          <w:tcPr>
            <w:tcW w:w="320" w:type="dxa"/>
            <w:vAlign w:val="bottom"/>
            <w:tcBorders>
              <w:right w:val="single" w:sz="8" w:color="EEEEEE"/>
            </w:tcBorders>
            <w:shd w:val="clear" w:color="auto" w:fill="EEEEEE"/>
          </w:tcPr>
          <w:p>
            <w:pPr>
              <w:spacing w:after="0"/>
              <w:rPr>
                <w:sz w:val="20"/>
                <w:szCs w:val="20"/>
                <w:color w:val="auto"/>
              </w:rPr>
            </w:pPr>
          </w:p>
        </w:tc>
        <w:tc>
          <w:tcPr>
            <w:tcW w:w="420" w:type="dxa"/>
            <w:vAlign w:val="bottom"/>
            <w:tcBorders>
              <w:right w:val="single" w:sz="8" w:color="EEEEEE"/>
            </w:tcBorders>
            <w:shd w:val="clear" w:color="auto" w:fill="EEEEEE"/>
          </w:tcPr>
          <w:p>
            <w:pPr>
              <w:spacing w:after="0"/>
              <w:rPr>
                <w:sz w:val="20"/>
                <w:szCs w:val="20"/>
                <w:color w:val="auto"/>
              </w:rPr>
            </w:pPr>
          </w:p>
        </w:tc>
        <w:tc>
          <w:tcPr>
            <w:tcW w:w="60" w:type="dxa"/>
            <w:vAlign w:val="bottom"/>
            <w:shd w:val="clear" w:color="auto" w:fill="EEEEEE"/>
          </w:tcPr>
          <w:p>
            <w:pPr>
              <w:spacing w:after="0"/>
              <w:rPr>
                <w:sz w:val="20"/>
                <w:szCs w:val="20"/>
                <w:color w:val="auto"/>
              </w:rPr>
            </w:pPr>
          </w:p>
        </w:tc>
        <w:tc>
          <w:tcPr>
            <w:tcW w:w="320" w:type="dxa"/>
            <w:vAlign w:val="bottom"/>
            <w:tcBorders>
              <w:left w:val="single" w:sz="8" w:color="EEEEEE"/>
            </w:tcBorders>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760" w:type="dxa"/>
            <w:vAlign w:val="bottom"/>
          </w:tcPr>
          <w:p>
            <w:pPr>
              <w:spacing w:after="0" w:line="201" w:lineRule="exact"/>
              <w:rPr>
                <w:sz w:val="20"/>
                <w:szCs w:val="20"/>
                <w:color w:val="auto"/>
              </w:rPr>
            </w:pPr>
            <w:r>
              <w:rPr>
                <w:rFonts w:ascii="Arial" w:cs="Arial" w:eastAsia="Arial" w:hAnsi="Arial"/>
                <w:sz w:val="18"/>
                <w:szCs w:val="18"/>
                <w:color w:val="auto"/>
                <w:w w:val="93"/>
              </w:rPr>
              <w:t>Issuance of Common Stock in connection with Company 401(k) Savings Plan</w:t>
            </w: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760" w:type="dxa"/>
            <w:vAlign w:val="bottom"/>
          </w:tcPr>
          <w:p>
            <w:pPr>
              <w:ind w:left="120"/>
              <w:spacing w:after="0"/>
              <w:rPr>
                <w:sz w:val="20"/>
                <w:szCs w:val="20"/>
                <w:color w:val="auto"/>
              </w:rPr>
            </w:pPr>
            <w:r>
              <w:rPr>
                <w:rFonts w:ascii="Arial" w:cs="Arial" w:eastAsia="Arial" w:hAnsi="Arial"/>
                <w:sz w:val="18"/>
                <w:szCs w:val="18"/>
                <w:color w:val="auto"/>
              </w:rPr>
              <w:t>contribution</w:t>
            </w: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4"/>
          </w:tcPr>
          <w:p>
            <w:pPr>
              <w:jc w:val="right"/>
              <w:spacing w:after="0"/>
              <w:rPr>
                <w:sz w:val="20"/>
                <w:szCs w:val="20"/>
                <w:color w:val="auto"/>
              </w:rPr>
            </w:pPr>
            <w:r>
              <w:rPr>
                <w:rFonts w:ascii="Arial" w:cs="Arial" w:eastAsia="Arial" w:hAnsi="Arial"/>
                <w:sz w:val="18"/>
                <w:szCs w:val="18"/>
                <w:color w:val="auto"/>
              </w:rPr>
              <w:t>917</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EEEEEE"/>
          </w:tcPr>
          <w:p>
            <w:pPr>
              <w:spacing w:after="0"/>
              <w:rPr>
                <w:sz w:val="20"/>
                <w:szCs w:val="20"/>
                <w:color w:val="auto"/>
              </w:rPr>
            </w:pPr>
            <w:r>
              <w:rPr>
                <w:rFonts w:ascii="Arial" w:cs="Arial" w:eastAsia="Arial" w:hAnsi="Arial"/>
                <w:sz w:val="18"/>
                <w:szCs w:val="18"/>
                <w:color w:val="auto"/>
              </w:rPr>
              <w:t>Amortization of unearned compensation</w:t>
            </w:r>
          </w:p>
        </w:tc>
        <w:tc>
          <w:tcPr>
            <w:tcW w:w="180" w:type="dxa"/>
            <w:vAlign w:val="bottom"/>
            <w:tcBorders>
              <w:right w:val="single" w:sz="8" w:color="EEEEEE"/>
            </w:tcBorders>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00" w:type="dxa"/>
            <w:vAlign w:val="bottom"/>
            <w:tcBorders>
              <w:right w:val="single" w:sz="8" w:color="EEEEEE"/>
            </w:tcBorders>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360" w:type="dxa"/>
            <w:vAlign w:val="bottom"/>
            <w:tcBorders>
              <w:right w:val="single" w:sz="8" w:color="EEEEEE"/>
            </w:tcBorders>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60" w:type="dxa"/>
            <w:vAlign w:val="bottom"/>
            <w:tcBorders>
              <w:right w:val="single" w:sz="8" w:color="EEEEEE"/>
            </w:tcBorders>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04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671</w:t>
            </w:r>
          </w:p>
        </w:tc>
        <w:tc>
          <w:tcPr>
            <w:tcW w:w="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32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Net income</w:t>
            </w: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gridSpan w:val="5"/>
          </w:tcPr>
          <w:p>
            <w:pPr>
              <w:jc w:val="right"/>
              <w:spacing w:after="0"/>
              <w:rPr>
                <w:sz w:val="20"/>
                <w:szCs w:val="20"/>
                <w:color w:val="auto"/>
              </w:rPr>
            </w:pPr>
            <w:r>
              <w:rPr>
                <w:rFonts w:ascii="Arial" w:cs="Arial" w:eastAsia="Arial" w:hAnsi="Arial"/>
                <w:sz w:val="18"/>
                <w:szCs w:val="18"/>
                <w:color w:val="auto"/>
              </w:rPr>
              <w:t>64,532</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4"/>
          </w:tcPr>
          <w:p>
            <w:pPr>
              <w:jc w:val="right"/>
              <w:spacing w:after="0"/>
              <w:rPr>
                <w:sz w:val="20"/>
                <w:szCs w:val="20"/>
                <w:color w:val="auto"/>
              </w:rPr>
            </w:pPr>
            <w:r>
              <w:rPr>
                <w:rFonts w:ascii="Arial" w:cs="Arial" w:eastAsia="Arial" w:hAnsi="Arial"/>
                <w:sz w:val="18"/>
                <w:szCs w:val="18"/>
                <w:color w:val="auto"/>
              </w:rPr>
              <w:t>64,532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6"/>
          </w:tcPr>
          <w:p>
            <w:pPr>
              <w:jc w:val="right"/>
              <w:spacing w:after="0"/>
              <w:rPr>
                <w:sz w:val="20"/>
                <w:szCs w:val="20"/>
                <w:color w:val="auto"/>
              </w:rPr>
            </w:pPr>
            <w:r>
              <w:rPr>
                <w:rFonts w:ascii="Arial" w:cs="Arial" w:eastAsia="Arial" w:hAnsi="Arial"/>
                <w:sz w:val="18"/>
                <w:szCs w:val="18"/>
                <w:color w:val="auto"/>
              </w:rPr>
              <w:t>$64,532</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EEEEEE"/>
          </w:tcPr>
          <w:p>
            <w:pPr>
              <w:spacing w:after="0"/>
              <w:rPr>
                <w:sz w:val="20"/>
                <w:szCs w:val="20"/>
                <w:color w:val="auto"/>
              </w:rPr>
            </w:pPr>
            <w:r>
              <w:rPr>
                <w:rFonts w:ascii="Arial" w:cs="Arial" w:eastAsia="Arial" w:hAnsi="Arial"/>
                <w:sz w:val="18"/>
                <w:szCs w:val="18"/>
                <w:color w:val="auto"/>
              </w:rPr>
              <w:t>Change in net unrealized gain on marketable securities</w:t>
            </w:r>
          </w:p>
        </w:tc>
        <w:tc>
          <w:tcPr>
            <w:tcW w:w="180" w:type="dxa"/>
            <w:vAlign w:val="bottom"/>
            <w:tcBorders>
              <w:right w:val="single" w:sz="8" w:color="EEEEEE"/>
            </w:tcBorders>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00" w:type="dxa"/>
            <w:vAlign w:val="bottom"/>
            <w:tcBorders>
              <w:right w:val="single" w:sz="8" w:color="EEEEEE"/>
            </w:tcBorders>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360" w:type="dxa"/>
            <w:vAlign w:val="bottom"/>
            <w:tcBorders>
              <w:right w:val="single" w:sz="8" w:color="EEEEEE"/>
            </w:tcBorders>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8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w w:val="79"/>
              </w:rPr>
              <w:t>69</w:t>
            </w:r>
          </w:p>
        </w:tc>
        <w:tc>
          <w:tcPr>
            <w:tcW w:w="1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520" w:type="dxa"/>
            <w:vAlign w:val="bottom"/>
            <w:tcBorders>
              <w:right w:val="single" w:sz="8" w:color="EEEEEE"/>
            </w:tcBorders>
            <w:gridSpan w:val="3"/>
            <w:shd w:val="clear" w:color="auto" w:fill="EEEEEE"/>
          </w:tcPr>
          <w:p>
            <w:pPr>
              <w:spacing w:after="0"/>
              <w:rPr>
                <w:sz w:val="18"/>
                <w:szCs w:val="18"/>
                <w:color w:val="auto"/>
              </w:rPr>
            </w:pPr>
          </w:p>
        </w:tc>
        <w:tc>
          <w:tcPr>
            <w:tcW w:w="5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69</w:t>
            </w:r>
          </w:p>
        </w:tc>
        <w:tc>
          <w:tcPr>
            <w:tcW w:w="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600" w:type="dxa"/>
            <w:vAlign w:val="bottom"/>
            <w:tcBorders>
              <w:right w:val="single" w:sz="8" w:color="EEEEEE"/>
            </w:tcBorders>
            <w:gridSpan w:val="4"/>
            <w:shd w:val="clear" w:color="auto" w:fill="EEEEEE"/>
          </w:tcPr>
          <w:p>
            <w:pPr>
              <w:spacing w:after="0"/>
              <w:rPr>
                <w:sz w:val="18"/>
                <w:szCs w:val="18"/>
                <w:color w:val="auto"/>
              </w:rPr>
            </w:pPr>
          </w:p>
        </w:tc>
        <w:tc>
          <w:tcPr>
            <w:tcW w:w="4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69</w:t>
            </w:r>
          </w:p>
        </w:tc>
        <w:tc>
          <w:tcPr>
            <w:tcW w:w="32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Borders>
              <w:right w:val="single" w:sz="8" w:color="808080"/>
            </w:tcBorders>
            <w:gridSpan w:val="2"/>
          </w:tcPr>
          <w:p>
            <w:pPr>
              <w:spacing w:after="0" w:line="20" w:lineRule="exact"/>
              <w:rPr>
                <w:sz w:val="1"/>
                <w:szCs w:val="1"/>
                <w:color w:val="auto"/>
              </w:rPr>
            </w:pPr>
          </w:p>
        </w:tc>
        <w:tc>
          <w:tcPr>
            <w:tcW w:w="540" w:type="dxa"/>
            <w:vAlign w:val="bottom"/>
            <w:tcBorders>
              <w:right w:val="single" w:sz="8" w:color="808080"/>
            </w:tcBorders>
            <w:gridSpan w:val="3"/>
            <w:shd w:val="clear" w:color="auto" w:fill="80808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Borders>
              <w:right w:val="single" w:sz="8" w:color="808080"/>
            </w:tcBorders>
            <w:gridSpan w:val="3"/>
          </w:tcPr>
          <w:p>
            <w:pPr>
              <w:spacing w:after="0" w:line="20" w:lineRule="exact"/>
              <w:rPr>
                <w:sz w:val="1"/>
                <w:szCs w:val="1"/>
                <w:color w:val="auto"/>
              </w:rPr>
            </w:pPr>
          </w:p>
        </w:tc>
        <w:tc>
          <w:tcPr>
            <w:tcW w:w="260" w:type="dxa"/>
            <w:vAlign w:val="bottom"/>
            <w:tcBorders>
              <w:right w:val="single" w:sz="8" w:color="808080"/>
            </w:tcBorders>
            <w:gridSpan w:val="3"/>
            <w:shd w:val="clear" w:color="auto" w:fill="80808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right w:val="single" w:sz="8" w:color="808080"/>
            </w:tcBorders>
            <w:gridSpan w:val="3"/>
          </w:tcPr>
          <w:p>
            <w:pPr>
              <w:spacing w:after="0" w:line="20" w:lineRule="exact"/>
              <w:rPr>
                <w:sz w:val="1"/>
                <w:szCs w:val="1"/>
                <w:color w:val="auto"/>
              </w:rPr>
            </w:pPr>
          </w:p>
        </w:tc>
        <w:tc>
          <w:tcPr>
            <w:tcW w:w="520" w:type="dxa"/>
            <w:vAlign w:val="bottom"/>
            <w:shd w:val="clear" w:color="auto" w:fill="80808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right w:val="single" w:sz="8" w:color="808080"/>
            </w:tcBorders>
            <w:gridSpan w:val="4"/>
          </w:tcPr>
          <w:p>
            <w:pPr>
              <w:spacing w:after="0" w:line="20" w:lineRule="exact"/>
              <w:rPr>
                <w:sz w:val="1"/>
                <w:szCs w:val="1"/>
                <w:color w:val="auto"/>
              </w:rPr>
            </w:pPr>
          </w:p>
        </w:tc>
        <w:tc>
          <w:tcPr>
            <w:tcW w:w="480" w:type="dxa"/>
            <w:vAlign w:val="bottom"/>
            <w:gridSpan w:val="2"/>
            <w:shd w:val="clear" w:color="auto" w:fill="80808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0" w:type="dxa"/>
            <w:vAlign w:val="bottom"/>
          </w:tcPr>
          <w:p>
            <w:pPr>
              <w:spacing w:after="0"/>
              <w:rPr>
                <w:sz w:val="20"/>
                <w:szCs w:val="20"/>
                <w:color w:val="auto"/>
              </w:rPr>
            </w:pPr>
          </w:p>
        </w:tc>
        <w:tc>
          <w:tcPr>
            <w:tcW w:w="5760" w:type="dxa"/>
            <w:vAlign w:val="bottom"/>
          </w:tcPr>
          <w:p>
            <w:pPr>
              <w:ind w:left="120"/>
              <w:spacing w:after="0"/>
              <w:rPr>
                <w:sz w:val="20"/>
                <w:szCs w:val="20"/>
                <w:color w:val="auto"/>
              </w:rPr>
            </w:pPr>
            <w:r>
              <w:rPr>
                <w:rFonts w:ascii="Arial" w:cs="Arial" w:eastAsia="Arial" w:hAnsi="Arial"/>
                <w:sz w:val="18"/>
                <w:szCs w:val="18"/>
                <w:color w:val="auto"/>
              </w:rPr>
              <w:t>Balance, March 31, 2004</w:t>
            </w: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gridSpan w:val="6"/>
          </w:tcPr>
          <w:p>
            <w:pPr>
              <w:jc w:val="center"/>
              <w:ind w:right="80"/>
              <w:spacing w:after="0"/>
              <w:rPr>
                <w:sz w:val="20"/>
                <w:szCs w:val="20"/>
                <w:color w:val="auto"/>
              </w:rPr>
            </w:pPr>
            <w:r>
              <w:rPr>
                <w:rFonts w:ascii="Arial" w:cs="Arial" w:eastAsia="Arial" w:hAnsi="Arial"/>
                <w:sz w:val="18"/>
                <w:szCs w:val="18"/>
                <w:color w:val="auto"/>
                <w:w w:val="94"/>
              </w:rPr>
              <w:t>($467,001)</w:t>
            </w:r>
          </w:p>
        </w:tc>
        <w:tc>
          <w:tcPr>
            <w:tcW w:w="20" w:type="dxa"/>
            <w:vAlign w:val="bottom"/>
          </w:tcPr>
          <w:p>
            <w:pPr>
              <w:spacing w:after="0"/>
              <w:rPr>
                <w:sz w:val="20"/>
                <w:szCs w:val="20"/>
                <w:color w:val="auto"/>
              </w:rPr>
            </w:pPr>
          </w:p>
        </w:tc>
        <w:tc>
          <w:tcPr>
            <w:tcW w:w="860" w:type="dxa"/>
            <w:vAlign w:val="bottom"/>
            <w:gridSpan w:val="6"/>
          </w:tcPr>
          <w:p>
            <w:pPr>
              <w:jc w:val="right"/>
              <w:spacing w:after="0"/>
              <w:rPr>
                <w:sz w:val="20"/>
                <w:szCs w:val="20"/>
                <w:color w:val="auto"/>
              </w:rPr>
            </w:pPr>
            <w:r>
              <w:rPr>
                <w:rFonts w:ascii="Arial" w:cs="Arial" w:eastAsia="Arial" w:hAnsi="Arial"/>
                <w:sz w:val="18"/>
                <w:szCs w:val="18"/>
                <w:color w:val="auto"/>
              </w:rPr>
              <w:t>$ 173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4"/>
          </w:tcPr>
          <w:p>
            <w:pPr>
              <w:jc w:val="right"/>
              <w:spacing w:after="0"/>
              <w:rPr>
                <w:sz w:val="20"/>
                <w:szCs w:val="20"/>
                <w:color w:val="auto"/>
              </w:rPr>
            </w:pPr>
            <w:r>
              <w:rPr>
                <w:rFonts w:ascii="Arial" w:cs="Arial" w:eastAsia="Arial" w:hAnsi="Arial"/>
                <w:sz w:val="18"/>
                <w:szCs w:val="18"/>
                <w:color w:val="auto"/>
              </w:rPr>
              <w:t>$204,106</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gridSpan w:val="6"/>
          </w:tcPr>
          <w:p>
            <w:pPr>
              <w:jc w:val="right"/>
              <w:spacing w:after="0"/>
              <w:rPr>
                <w:sz w:val="20"/>
                <w:szCs w:val="20"/>
                <w:color w:val="auto"/>
              </w:rPr>
            </w:pPr>
            <w:r>
              <w:rPr>
                <w:rFonts w:ascii="Arial" w:cs="Arial" w:eastAsia="Arial" w:hAnsi="Arial"/>
                <w:sz w:val="18"/>
                <w:szCs w:val="18"/>
                <w:color w:val="auto"/>
              </w:rPr>
              <w:t>$64,601</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7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Borders>
              <w:right w:val="single" w:sz="8" w:color="808080"/>
            </w:tcBorders>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220" w:type="dxa"/>
            <w:vAlign w:val="bottom"/>
            <w:tcBorders>
              <w:right w:val="single" w:sz="8" w:color="808080"/>
            </w:tcBorders>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360" w:type="dxa"/>
            <w:vAlign w:val="bottom"/>
            <w:tcBorders>
              <w:right w:val="single" w:sz="8" w:color="808080"/>
            </w:tcBorders>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16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Borders>
              <w:right w:val="single" w:sz="8" w:color="808080"/>
            </w:tcBorders>
          </w:tcPr>
          <w:p>
            <w:pPr>
              <w:spacing w:after="0"/>
              <w:rPr>
                <w:sz w:val="5"/>
                <w:szCs w:val="5"/>
                <w:color w:val="auto"/>
              </w:rPr>
            </w:pPr>
          </w:p>
        </w:tc>
        <w:tc>
          <w:tcPr>
            <w:tcW w:w="520" w:type="dxa"/>
            <w:vAlign w:val="bottom"/>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320" w:type="dxa"/>
            <w:vAlign w:val="bottom"/>
            <w:tcBorders>
              <w:right w:val="single" w:sz="8" w:color="808080"/>
            </w:tcBorders>
          </w:tcPr>
          <w:p>
            <w:pPr>
              <w:spacing w:after="0"/>
              <w:rPr>
                <w:sz w:val="5"/>
                <w:szCs w:val="5"/>
                <w:color w:val="auto"/>
              </w:rPr>
            </w:pPr>
          </w:p>
        </w:tc>
        <w:tc>
          <w:tcPr>
            <w:tcW w:w="420" w:type="dxa"/>
            <w:vAlign w:val="bottom"/>
            <w:tcBorders>
              <w:right w:val="single" w:sz="8" w:color="808080"/>
            </w:tcBorders>
            <w:shd w:val="clear" w:color="auto" w:fill="808080"/>
          </w:tcPr>
          <w:p>
            <w:pPr>
              <w:spacing w:after="0"/>
              <w:rPr>
                <w:sz w:val="5"/>
                <w:szCs w:val="5"/>
                <w:color w:val="auto"/>
              </w:rPr>
            </w:pPr>
          </w:p>
        </w:tc>
        <w:tc>
          <w:tcPr>
            <w:tcW w:w="60" w:type="dxa"/>
            <w:vAlign w:val="bottom"/>
            <w:shd w:val="clear" w:color="auto" w:fill="808080"/>
          </w:tcPr>
          <w:p>
            <w:pPr>
              <w:spacing w:after="0"/>
              <w:rPr>
                <w:sz w:val="5"/>
                <w:szCs w:val="5"/>
                <w:color w:val="auto"/>
              </w:rPr>
            </w:pPr>
          </w:p>
        </w:tc>
        <w:tc>
          <w:tcPr>
            <w:tcW w:w="320" w:type="dxa"/>
            <w:vAlign w:val="bottom"/>
            <w:tcBorders>
              <w:left w:val="single" w:sz="8" w:color="808080"/>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-2970530</wp:posOffset>
            </wp:positionV>
            <wp:extent cx="10731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07315" cy="3873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-2970530</wp:posOffset>
            </wp:positionV>
            <wp:extent cx="12446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4460" cy="38735"/>
                    </a:xfrm>
                    <a:prstGeom prst="rect">
                      <a:avLst/>
                    </a:prstGeom>
                    <a:noFill/>
                  </pic:spPr>
                </pic:pic>
              </a:graphicData>
            </a:graphic>
          </wp:anchor>
        </w:drawing>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 financial statements.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STATEMENTS OF CASH FLOWS (Unaudited)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8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860" w:type="dxa"/>
            <w:vAlign w:val="bottom"/>
            <w:gridSpan w:val="6"/>
          </w:tcPr>
          <w:p>
            <w:pPr>
              <w:jc w:val="right"/>
              <w:ind w:right="70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8100" w:type="dxa"/>
            <w:vAlign w:val="bottom"/>
          </w:tcPr>
          <w:p>
            <w:pPr>
              <w:spacing w:after="0"/>
              <w:rPr>
                <w:sz w:val="4"/>
                <w:szCs w:val="4"/>
                <w:color w:val="auto"/>
              </w:rPr>
            </w:pPr>
          </w:p>
        </w:tc>
        <w:tc>
          <w:tcPr>
            <w:tcW w:w="440" w:type="dxa"/>
            <w:vAlign w:val="bottom"/>
            <w:tcBorders>
              <w:bottom w:val="single" w:sz="8" w:color="808080"/>
            </w:tcBorders>
          </w:tcPr>
          <w:p>
            <w:pPr>
              <w:spacing w:after="0"/>
              <w:rPr>
                <w:sz w:val="4"/>
                <w:szCs w:val="4"/>
                <w:color w:val="auto"/>
              </w:rPr>
            </w:pPr>
          </w:p>
        </w:tc>
        <w:tc>
          <w:tcPr>
            <w:tcW w:w="600" w:type="dxa"/>
            <w:vAlign w:val="bottom"/>
            <w:tcBorders>
              <w:bottom w:val="single" w:sz="8" w:color="808080"/>
            </w:tcBorders>
          </w:tcPr>
          <w:p>
            <w:pPr>
              <w:spacing w:after="0"/>
              <w:rPr>
                <w:sz w:val="4"/>
                <w:szCs w:val="4"/>
                <w:color w:val="auto"/>
              </w:rPr>
            </w:pPr>
          </w:p>
        </w:tc>
        <w:tc>
          <w:tcPr>
            <w:tcW w:w="440" w:type="dxa"/>
            <w:vAlign w:val="bottom"/>
            <w:tcBorders>
              <w:bottom w:val="single" w:sz="8" w:color="808080"/>
            </w:tcBorders>
          </w:tcPr>
          <w:p>
            <w:pPr>
              <w:spacing w:after="0"/>
              <w:rPr>
                <w:sz w:val="4"/>
                <w:szCs w:val="4"/>
                <w:color w:val="auto"/>
              </w:rPr>
            </w:pPr>
          </w:p>
        </w:tc>
        <w:tc>
          <w:tcPr>
            <w:tcW w:w="340" w:type="dxa"/>
            <w:vAlign w:val="bottom"/>
            <w:tcBorders>
              <w:bottom w:val="single" w:sz="8" w:color="808080"/>
            </w:tcBorders>
          </w:tcPr>
          <w:p>
            <w:pPr>
              <w:spacing w:after="0"/>
              <w:rPr>
                <w:sz w:val="4"/>
                <w:szCs w:val="4"/>
                <w:color w:val="auto"/>
              </w:rPr>
            </w:pPr>
          </w:p>
        </w:tc>
        <w:tc>
          <w:tcPr>
            <w:tcW w:w="440" w:type="dxa"/>
            <w:vAlign w:val="bottom"/>
            <w:tcBorders>
              <w:bottom w:val="single" w:sz="8" w:color="808080"/>
            </w:tcBorders>
          </w:tcPr>
          <w:p>
            <w:pPr>
              <w:spacing w:after="0"/>
              <w:rPr>
                <w:sz w:val="4"/>
                <w:szCs w:val="4"/>
                <w:color w:val="auto"/>
              </w:rPr>
            </w:pPr>
          </w:p>
        </w:tc>
        <w:tc>
          <w:tcPr>
            <w:tcW w:w="600" w:type="dxa"/>
            <w:vAlign w:val="bottom"/>
            <w:tcBorders>
              <w:bottom w:val="single" w:sz="8" w:color="808080"/>
            </w:tcBorders>
          </w:tcPr>
          <w:p>
            <w:pPr>
              <w:spacing w:after="0"/>
              <w:rPr>
                <w:sz w:val="4"/>
                <w:szCs w:val="4"/>
                <w:color w:val="auto"/>
              </w:rPr>
            </w:pPr>
          </w:p>
        </w:tc>
        <w:tc>
          <w:tcPr>
            <w:tcW w:w="44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8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0" w:type="dxa"/>
            <w:vAlign w:val="bottom"/>
          </w:tcPr>
          <w:p>
            <w:pPr>
              <w:jc w:val="right"/>
              <w:ind w:right="71"/>
              <w:spacing w:after="0"/>
              <w:rPr>
                <w:sz w:val="20"/>
                <w:szCs w:val="20"/>
                <w:color w:val="auto"/>
              </w:rPr>
            </w:pPr>
            <w:r>
              <w:rPr>
                <w:rFonts w:ascii="Arial" w:cs="Arial" w:eastAsia="Arial" w:hAnsi="Arial"/>
                <w:sz w:val="14"/>
                <w:szCs w:val="14"/>
                <w:b w:val="1"/>
                <w:bCs w:val="1"/>
                <w:color w:val="auto"/>
              </w:rPr>
              <w:t>2004</w:t>
            </w: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0" w:type="dxa"/>
            <w:vAlign w:val="bottom"/>
          </w:tcPr>
          <w:p>
            <w:pPr>
              <w:jc w:val="right"/>
              <w:ind w:right="71"/>
              <w:spacing w:after="0"/>
              <w:rPr>
                <w:sz w:val="20"/>
                <w:szCs w:val="20"/>
                <w:color w:val="auto"/>
              </w:rPr>
            </w:pPr>
            <w:r>
              <w:rPr>
                <w:rFonts w:ascii="Arial" w:cs="Arial" w:eastAsia="Arial" w:hAnsi="Arial"/>
                <w:sz w:val="14"/>
                <w:szCs w:val="14"/>
                <w:b w:val="1"/>
                <w:bCs w:val="1"/>
                <w:color w:val="auto"/>
              </w:rPr>
              <w:t>2003</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8100" w:type="dxa"/>
            <w:vAlign w:val="bottom"/>
          </w:tcPr>
          <w:p>
            <w:pPr>
              <w:spacing w:after="0"/>
              <w:rPr>
                <w:sz w:val="4"/>
                <w:szCs w:val="4"/>
                <w:color w:val="auto"/>
              </w:rPr>
            </w:pPr>
          </w:p>
        </w:tc>
        <w:tc>
          <w:tcPr>
            <w:tcW w:w="440" w:type="dxa"/>
            <w:vAlign w:val="bottom"/>
            <w:tcBorders>
              <w:bottom w:val="single" w:sz="8" w:color="808080"/>
            </w:tcBorders>
          </w:tcPr>
          <w:p>
            <w:pPr>
              <w:spacing w:after="0"/>
              <w:rPr>
                <w:sz w:val="4"/>
                <w:szCs w:val="4"/>
                <w:color w:val="auto"/>
              </w:rPr>
            </w:pPr>
          </w:p>
        </w:tc>
        <w:tc>
          <w:tcPr>
            <w:tcW w:w="600" w:type="dxa"/>
            <w:vAlign w:val="bottom"/>
            <w:tcBorders>
              <w:bottom w:val="single" w:sz="8" w:color="808080"/>
            </w:tcBorders>
          </w:tcPr>
          <w:p>
            <w:pPr>
              <w:spacing w:after="0"/>
              <w:rPr>
                <w:sz w:val="4"/>
                <w:szCs w:val="4"/>
                <w:color w:val="auto"/>
              </w:rPr>
            </w:pPr>
          </w:p>
        </w:tc>
        <w:tc>
          <w:tcPr>
            <w:tcW w:w="440" w:type="dxa"/>
            <w:vAlign w:val="bottom"/>
            <w:tcBorders>
              <w:bottom w:val="single" w:sz="8" w:color="808080"/>
            </w:tcBorders>
          </w:tcPr>
          <w:p>
            <w:pPr>
              <w:spacing w:after="0"/>
              <w:rPr>
                <w:sz w:val="4"/>
                <w:szCs w:val="4"/>
                <w:color w:val="auto"/>
              </w:rPr>
            </w:pPr>
          </w:p>
        </w:tc>
        <w:tc>
          <w:tcPr>
            <w:tcW w:w="340" w:type="dxa"/>
            <w:vAlign w:val="bottom"/>
          </w:tcPr>
          <w:p>
            <w:pPr>
              <w:spacing w:after="0"/>
              <w:rPr>
                <w:sz w:val="4"/>
                <w:szCs w:val="4"/>
                <w:color w:val="auto"/>
              </w:rPr>
            </w:pPr>
          </w:p>
        </w:tc>
        <w:tc>
          <w:tcPr>
            <w:tcW w:w="440" w:type="dxa"/>
            <w:vAlign w:val="bottom"/>
            <w:tcBorders>
              <w:bottom w:val="single" w:sz="8" w:color="808080"/>
            </w:tcBorders>
          </w:tcPr>
          <w:p>
            <w:pPr>
              <w:spacing w:after="0"/>
              <w:rPr>
                <w:sz w:val="4"/>
                <w:szCs w:val="4"/>
                <w:color w:val="auto"/>
              </w:rPr>
            </w:pPr>
          </w:p>
        </w:tc>
        <w:tc>
          <w:tcPr>
            <w:tcW w:w="600" w:type="dxa"/>
            <w:vAlign w:val="bottom"/>
            <w:tcBorders>
              <w:bottom w:val="single" w:sz="8" w:color="808080"/>
            </w:tcBorders>
          </w:tcPr>
          <w:p>
            <w:pPr>
              <w:spacing w:after="0"/>
              <w:rPr>
                <w:sz w:val="4"/>
                <w:szCs w:val="4"/>
                <w:color w:val="auto"/>
              </w:rPr>
            </w:pPr>
          </w:p>
        </w:tc>
        <w:tc>
          <w:tcPr>
            <w:tcW w:w="44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8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00" w:type="dxa"/>
            <w:vAlign w:val="bottom"/>
          </w:tcPr>
          <w:p>
            <w:pPr>
              <w:spacing w:after="0"/>
              <w:rPr>
                <w:sz w:val="6"/>
                <w:szCs w:val="6"/>
                <w:color w:val="auto"/>
              </w:rPr>
            </w:pPr>
          </w:p>
        </w:tc>
        <w:tc>
          <w:tcPr>
            <w:tcW w:w="440" w:type="dxa"/>
            <w:vAlign w:val="bottom"/>
          </w:tcPr>
          <w:p>
            <w:pPr>
              <w:spacing w:after="0"/>
              <w:rPr>
                <w:sz w:val="6"/>
                <w:szCs w:val="6"/>
                <w:color w:val="auto"/>
              </w:rPr>
            </w:pPr>
          </w:p>
        </w:tc>
        <w:tc>
          <w:tcPr>
            <w:tcW w:w="340" w:type="dxa"/>
            <w:vAlign w:val="bottom"/>
          </w:tcPr>
          <w:p>
            <w:pPr>
              <w:spacing w:after="0"/>
              <w:rPr>
                <w:sz w:val="6"/>
                <w:szCs w:val="6"/>
                <w:color w:val="auto"/>
              </w:rPr>
            </w:pPr>
          </w:p>
        </w:tc>
        <w:tc>
          <w:tcPr>
            <w:tcW w:w="440" w:type="dxa"/>
            <w:vAlign w:val="bottom"/>
          </w:tcPr>
          <w:p>
            <w:pPr>
              <w:spacing w:after="0"/>
              <w:rPr>
                <w:sz w:val="6"/>
                <w:szCs w:val="6"/>
                <w:color w:val="auto"/>
              </w:rPr>
            </w:pPr>
          </w:p>
        </w:tc>
        <w:tc>
          <w:tcPr>
            <w:tcW w:w="600" w:type="dxa"/>
            <w:vAlign w:val="bottom"/>
          </w:tcPr>
          <w:p>
            <w:pPr>
              <w:spacing w:after="0"/>
              <w:rPr>
                <w:sz w:val="6"/>
                <w:szCs w:val="6"/>
                <w:color w:val="auto"/>
              </w:rPr>
            </w:pPr>
          </w:p>
        </w:tc>
        <w:tc>
          <w:tcPr>
            <w:tcW w:w="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shd w:val="clear" w:color="auto" w:fill="EEEEEE"/>
          </w:tcPr>
          <w:p>
            <w:pPr>
              <w:spacing w:after="0"/>
              <w:rPr>
                <w:sz w:val="20"/>
                <w:szCs w:val="20"/>
                <w:color w:val="auto"/>
              </w:rPr>
            </w:pPr>
            <w:r>
              <w:rPr>
                <w:rFonts w:ascii="Arial" w:cs="Arial" w:eastAsia="Arial" w:hAnsi="Arial"/>
                <w:sz w:val="18"/>
                <w:szCs w:val="18"/>
                <w:color w:val="auto"/>
              </w:rPr>
              <w:t>Cash flows from operating activities</w:t>
            </w:r>
          </w:p>
        </w:tc>
        <w:tc>
          <w:tcPr>
            <w:tcW w:w="44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20"/>
              <w:spacing w:after="0"/>
              <w:rPr>
                <w:sz w:val="20"/>
                <w:szCs w:val="20"/>
                <w:color w:val="auto"/>
              </w:rPr>
            </w:pPr>
            <w:r>
              <w:rPr>
                <w:rFonts w:ascii="Arial" w:cs="Arial" w:eastAsia="Arial" w:hAnsi="Arial"/>
                <w:sz w:val="18"/>
                <w:szCs w:val="18"/>
                <w:color w:val="auto"/>
              </w:rPr>
              <w:t>Net income (loss)</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64,532</w:t>
            </w:r>
          </w:p>
        </w:tc>
        <w:tc>
          <w:tcPr>
            <w:tcW w:w="44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30,321)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Borders>
              <w:top w:val="single" w:sz="8" w:color="808080"/>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Borders>
              <w:top w:val="single" w:sz="8" w:color="808080"/>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EEEEEE"/>
          </w:tcPr>
          <w:p>
            <w:pPr>
              <w:ind w:left="120"/>
              <w:spacing w:after="0"/>
              <w:rPr>
                <w:sz w:val="20"/>
                <w:szCs w:val="20"/>
                <w:color w:val="auto"/>
              </w:rPr>
            </w:pPr>
            <w:r>
              <w:rPr>
                <w:rFonts w:ascii="Arial" w:cs="Arial" w:eastAsia="Arial" w:hAnsi="Arial"/>
                <w:sz w:val="18"/>
                <w:szCs w:val="18"/>
                <w:color w:val="auto"/>
              </w:rPr>
              <w:t>Adjustments to reconcile net income (loss) to net cash (used in) provided by operating activities</w:t>
            </w:r>
          </w:p>
        </w:tc>
        <w:tc>
          <w:tcPr>
            <w:tcW w:w="44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260"/>
              <w:spacing w:after="0"/>
              <w:rPr>
                <w:sz w:val="20"/>
                <w:szCs w:val="20"/>
                <w:color w:val="auto"/>
              </w:rPr>
            </w:pPr>
            <w:r>
              <w:rPr>
                <w:rFonts w:ascii="Arial" w:cs="Arial" w:eastAsia="Arial" w:hAnsi="Arial"/>
                <w:sz w:val="18"/>
                <w:szCs w:val="18"/>
                <w:color w:val="auto"/>
              </w:rPr>
              <w:t>Depreciation and amortization</w:t>
            </w:r>
          </w:p>
        </w:tc>
        <w:tc>
          <w:tcPr>
            <w:tcW w:w="4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3,773</w:t>
            </w: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2,288</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EEEEEE"/>
          </w:tcPr>
          <w:p>
            <w:pPr>
              <w:ind w:left="260"/>
              <w:spacing w:after="0"/>
              <w:rPr>
                <w:sz w:val="20"/>
                <w:szCs w:val="20"/>
                <w:color w:val="auto"/>
              </w:rPr>
            </w:pPr>
            <w:r>
              <w:rPr>
                <w:rFonts w:ascii="Arial" w:cs="Arial" w:eastAsia="Arial" w:hAnsi="Arial"/>
                <w:sz w:val="18"/>
                <w:szCs w:val="18"/>
                <w:color w:val="auto"/>
              </w:rPr>
              <w:t>Non-cash compensation expense</w:t>
            </w:r>
          </w:p>
        </w:tc>
        <w:tc>
          <w:tcPr>
            <w:tcW w:w="440" w:type="dxa"/>
            <w:vAlign w:val="bottom"/>
            <w:shd w:val="clear" w:color="auto" w:fill="EEEEEE"/>
          </w:tcPr>
          <w:p>
            <w:pPr>
              <w:spacing w:after="0"/>
              <w:rPr>
                <w:sz w:val="18"/>
                <w:szCs w:val="18"/>
                <w:color w:val="auto"/>
              </w:rPr>
            </w:pPr>
          </w:p>
        </w:tc>
        <w:tc>
          <w:tcPr>
            <w:tcW w:w="6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671</w:t>
            </w:r>
          </w:p>
        </w:tc>
        <w:tc>
          <w:tcPr>
            <w:tcW w:w="4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6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587</w:t>
            </w:r>
          </w:p>
        </w:tc>
        <w:tc>
          <w:tcPr>
            <w:tcW w:w="4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260"/>
              <w:spacing w:after="0"/>
              <w:rPr>
                <w:sz w:val="20"/>
                <w:szCs w:val="20"/>
                <w:color w:val="auto"/>
              </w:rPr>
            </w:pPr>
            <w:r>
              <w:rPr>
                <w:rFonts w:ascii="Arial" w:cs="Arial" w:eastAsia="Arial" w:hAnsi="Arial"/>
                <w:sz w:val="18"/>
                <w:szCs w:val="18"/>
                <w:color w:val="auto"/>
              </w:rPr>
              <w:t>Non-cash expense related to a license agreement</w:t>
            </w:r>
          </w:p>
        </w:tc>
        <w:tc>
          <w:tcPr>
            <w:tcW w:w="4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w:t>
            </w: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EEEEEE"/>
          </w:tcPr>
          <w:p>
            <w:pPr>
              <w:ind w:left="260"/>
              <w:spacing w:after="0"/>
              <w:rPr>
                <w:sz w:val="20"/>
                <w:szCs w:val="20"/>
                <w:color w:val="auto"/>
              </w:rPr>
            </w:pPr>
            <w:r>
              <w:rPr>
                <w:rFonts w:ascii="Arial" w:cs="Arial" w:eastAsia="Arial" w:hAnsi="Arial"/>
                <w:sz w:val="18"/>
                <w:szCs w:val="18"/>
                <w:color w:val="auto"/>
              </w:rPr>
              <w:t>Forgiveness of loan payable to Novartis Pharma AG, inclusive of accrued interest</w:t>
            </w:r>
          </w:p>
        </w:tc>
        <w:tc>
          <w:tcPr>
            <w:tcW w:w="440" w:type="dxa"/>
            <w:vAlign w:val="bottom"/>
            <w:shd w:val="clear" w:color="auto" w:fill="EEEEEE"/>
          </w:tcPr>
          <w:p>
            <w:pPr>
              <w:spacing w:after="0"/>
              <w:rPr>
                <w:sz w:val="18"/>
                <w:szCs w:val="18"/>
                <w:color w:val="auto"/>
              </w:rPr>
            </w:pPr>
          </w:p>
        </w:tc>
        <w:tc>
          <w:tcPr>
            <w:tcW w:w="104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w w:val="95"/>
              </w:rPr>
              <w:t>(17,770)</w:t>
            </w:r>
          </w:p>
        </w:tc>
        <w:tc>
          <w:tcPr>
            <w:tcW w:w="34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260"/>
              <w:spacing w:after="0"/>
              <w:rPr>
                <w:sz w:val="20"/>
                <w:szCs w:val="20"/>
                <w:color w:val="auto"/>
              </w:rPr>
            </w:pPr>
            <w:r>
              <w:rPr>
                <w:rFonts w:ascii="Arial" w:cs="Arial" w:eastAsia="Arial" w:hAnsi="Arial"/>
                <w:sz w:val="18"/>
                <w:szCs w:val="18"/>
                <w:color w:val="auto"/>
              </w:rPr>
              <w:t>Changes in assets and liabilities</w:t>
            </w: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EEEEEE"/>
          </w:tcPr>
          <w:p>
            <w:pPr>
              <w:ind w:left="400"/>
              <w:spacing w:after="0"/>
              <w:rPr>
                <w:sz w:val="20"/>
                <w:szCs w:val="20"/>
                <w:color w:val="auto"/>
              </w:rPr>
            </w:pPr>
            <w:r>
              <w:rPr>
                <w:rFonts w:ascii="Arial" w:cs="Arial" w:eastAsia="Arial" w:hAnsi="Arial"/>
                <w:sz w:val="18"/>
                <w:szCs w:val="18"/>
                <w:color w:val="auto"/>
              </w:rPr>
              <w:t>Increase in accounts receivable</w:t>
            </w:r>
          </w:p>
        </w:tc>
        <w:tc>
          <w:tcPr>
            <w:tcW w:w="440" w:type="dxa"/>
            <w:vAlign w:val="bottom"/>
            <w:shd w:val="clear" w:color="auto" w:fill="EEEEEE"/>
          </w:tcPr>
          <w:p>
            <w:pPr>
              <w:spacing w:after="0"/>
              <w:rPr>
                <w:sz w:val="18"/>
                <w:szCs w:val="18"/>
                <w:color w:val="auto"/>
              </w:rPr>
            </w:pPr>
          </w:p>
        </w:tc>
        <w:tc>
          <w:tcPr>
            <w:tcW w:w="104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w w:val="95"/>
              </w:rPr>
              <w:t>(44,353)</w:t>
            </w:r>
          </w:p>
        </w:tc>
        <w:tc>
          <w:tcPr>
            <w:tcW w:w="34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104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rPr>
              <w:t>(3,221)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400"/>
              <w:spacing w:after="0"/>
              <w:rPr>
                <w:sz w:val="20"/>
                <w:szCs w:val="20"/>
                <w:color w:val="auto"/>
              </w:rPr>
            </w:pPr>
            <w:r>
              <w:rPr>
                <w:rFonts w:ascii="Arial" w:cs="Arial" w:eastAsia="Arial" w:hAnsi="Arial"/>
                <w:sz w:val="18"/>
                <w:szCs w:val="18"/>
                <w:color w:val="auto"/>
              </w:rPr>
              <w:t>(Increase) decrease in prepaid expenses and other assets</w:t>
            </w:r>
          </w:p>
        </w:tc>
        <w:tc>
          <w:tcPr>
            <w:tcW w:w="44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(943)</w:t>
            </w: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1,032</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EEEEEE"/>
          </w:tcPr>
          <w:p>
            <w:pPr>
              <w:ind w:left="400"/>
              <w:spacing w:after="0"/>
              <w:rPr>
                <w:sz w:val="20"/>
                <w:szCs w:val="20"/>
                <w:color w:val="auto"/>
              </w:rPr>
            </w:pPr>
            <w:r>
              <w:rPr>
                <w:rFonts w:ascii="Arial" w:cs="Arial" w:eastAsia="Arial" w:hAnsi="Arial"/>
                <w:sz w:val="18"/>
                <w:szCs w:val="18"/>
                <w:color w:val="auto"/>
              </w:rPr>
              <w:t>Decrease (increase) in inventory</w:t>
            </w:r>
          </w:p>
        </w:tc>
        <w:tc>
          <w:tcPr>
            <w:tcW w:w="440" w:type="dxa"/>
            <w:vAlign w:val="bottom"/>
            <w:shd w:val="clear" w:color="auto" w:fill="EEEEEE"/>
          </w:tcPr>
          <w:p>
            <w:pPr>
              <w:spacing w:after="0"/>
              <w:rPr>
                <w:sz w:val="18"/>
                <w:szCs w:val="18"/>
                <w:color w:val="auto"/>
              </w:rPr>
            </w:pPr>
          </w:p>
        </w:tc>
        <w:tc>
          <w:tcPr>
            <w:tcW w:w="6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188</w:t>
            </w:r>
          </w:p>
        </w:tc>
        <w:tc>
          <w:tcPr>
            <w:tcW w:w="4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104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rPr>
              <w:t>(1,324)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400"/>
              <w:spacing w:after="0"/>
              <w:rPr>
                <w:sz w:val="20"/>
                <w:szCs w:val="20"/>
                <w:color w:val="auto"/>
              </w:rPr>
            </w:pPr>
            <w:r>
              <w:rPr>
                <w:rFonts w:ascii="Arial" w:cs="Arial" w:eastAsia="Arial" w:hAnsi="Arial"/>
                <w:sz w:val="18"/>
                <w:szCs w:val="18"/>
                <w:color w:val="auto"/>
              </w:rPr>
              <w:t>(Decrease) increase in deferred revenue</w:t>
            </w:r>
          </w:p>
        </w:tc>
        <w:tc>
          <w:tcPr>
            <w:tcW w:w="44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w w:val="95"/>
              </w:rPr>
              <w:t>(25,994)</w:t>
            </w: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24,641</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EEEEEE"/>
          </w:tcPr>
          <w:p>
            <w:pPr>
              <w:ind w:left="400"/>
              <w:spacing w:after="0"/>
              <w:rPr>
                <w:sz w:val="20"/>
                <w:szCs w:val="20"/>
                <w:color w:val="auto"/>
              </w:rPr>
            </w:pPr>
            <w:r>
              <w:rPr>
                <w:rFonts w:ascii="Arial" w:cs="Arial" w:eastAsia="Arial" w:hAnsi="Arial"/>
                <w:sz w:val="18"/>
                <w:szCs w:val="18"/>
                <w:color w:val="auto"/>
              </w:rPr>
              <w:t>Increase in accounts payable, accrued expenses, and other liabilities</w:t>
            </w:r>
          </w:p>
        </w:tc>
        <w:tc>
          <w:tcPr>
            <w:tcW w:w="440" w:type="dxa"/>
            <w:vAlign w:val="bottom"/>
            <w:shd w:val="clear" w:color="auto" w:fill="EEEEEE"/>
          </w:tcPr>
          <w:p>
            <w:pPr>
              <w:spacing w:after="0"/>
              <w:rPr>
                <w:sz w:val="18"/>
                <w:szCs w:val="18"/>
                <w:color w:val="auto"/>
              </w:rPr>
            </w:pPr>
          </w:p>
        </w:tc>
        <w:tc>
          <w:tcPr>
            <w:tcW w:w="60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1,301</w:t>
            </w:r>
          </w:p>
        </w:tc>
        <w:tc>
          <w:tcPr>
            <w:tcW w:w="4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60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7,511</w:t>
            </w:r>
          </w:p>
        </w:tc>
        <w:tc>
          <w:tcPr>
            <w:tcW w:w="4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100" w:type="dxa"/>
            <w:vAlign w:val="bottom"/>
          </w:tcPr>
          <w:p>
            <w:pPr>
              <w:ind w:left="800"/>
              <w:spacing w:after="0"/>
              <w:rPr>
                <w:sz w:val="20"/>
                <w:szCs w:val="20"/>
                <w:color w:val="auto"/>
              </w:rPr>
            </w:pPr>
            <w:r>
              <w:rPr>
                <w:rFonts w:ascii="Arial" w:cs="Arial" w:eastAsia="Arial" w:hAnsi="Arial"/>
                <w:sz w:val="18"/>
                <w:szCs w:val="18"/>
                <w:color w:val="auto"/>
              </w:rPr>
              <w:t>Total adjustments</w:t>
            </w:r>
          </w:p>
        </w:tc>
        <w:tc>
          <w:tcPr>
            <w:tcW w:w="440" w:type="dxa"/>
            <w:vAlign w:val="bottom"/>
          </w:tcPr>
          <w:p>
            <w:pPr>
              <w:spacing w:after="0"/>
              <w:rPr>
                <w:sz w:val="20"/>
                <w:szCs w:val="20"/>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w w:val="95"/>
              </w:rPr>
              <w:t>(83,114)</w:t>
            </w:r>
          </w:p>
        </w:tc>
        <w:tc>
          <w:tcPr>
            <w:tcW w:w="3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31,514</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Borders>
              <w:top w:val="single" w:sz="8" w:color="808080"/>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Borders>
              <w:top w:val="single" w:sz="8" w:color="808080"/>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EEEEEE"/>
          </w:tcPr>
          <w:p>
            <w:pPr>
              <w:ind w:left="800"/>
              <w:spacing w:after="0"/>
              <w:rPr>
                <w:sz w:val="20"/>
                <w:szCs w:val="20"/>
                <w:color w:val="auto"/>
              </w:rPr>
            </w:pPr>
            <w:r>
              <w:rPr>
                <w:rFonts w:ascii="Arial" w:cs="Arial" w:eastAsia="Arial" w:hAnsi="Arial"/>
                <w:sz w:val="18"/>
                <w:szCs w:val="18"/>
                <w:color w:val="auto"/>
              </w:rPr>
              <w:t>Net cash (used in) provided by operating activities</w:t>
            </w:r>
          </w:p>
        </w:tc>
        <w:tc>
          <w:tcPr>
            <w:tcW w:w="440" w:type="dxa"/>
            <w:vAlign w:val="bottom"/>
            <w:shd w:val="clear" w:color="auto" w:fill="EEEEEE"/>
          </w:tcPr>
          <w:p>
            <w:pPr>
              <w:spacing w:after="0"/>
              <w:rPr>
                <w:sz w:val="18"/>
                <w:szCs w:val="18"/>
                <w:color w:val="auto"/>
              </w:rPr>
            </w:pPr>
          </w:p>
        </w:tc>
        <w:tc>
          <w:tcPr>
            <w:tcW w:w="104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w w:val="95"/>
              </w:rPr>
              <w:t>(18,582)</w:t>
            </w:r>
          </w:p>
        </w:tc>
        <w:tc>
          <w:tcPr>
            <w:tcW w:w="34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6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1,193</w:t>
            </w:r>
          </w:p>
        </w:tc>
        <w:tc>
          <w:tcPr>
            <w:tcW w:w="4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12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440" w:type="dxa"/>
            <w:vAlign w:val="bottom"/>
          </w:tcPr>
          <w:p>
            <w:pPr>
              <w:spacing w:after="0"/>
              <w:rPr>
                <w:sz w:val="20"/>
                <w:szCs w:val="20"/>
                <w:color w:val="auto"/>
              </w:rPr>
            </w:pPr>
          </w:p>
        </w:tc>
        <w:tc>
          <w:tcPr>
            <w:tcW w:w="600" w:type="dxa"/>
            <w:vAlign w:val="bottom"/>
            <w:tcBorders>
              <w:top w:val="single" w:sz="8" w:color="808080"/>
            </w:tcBorders>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0" w:type="dxa"/>
            <w:vAlign w:val="bottom"/>
            <w:tcBorders>
              <w:top w:val="single" w:sz="8" w:color="808080"/>
            </w:tcBorders>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EEEEEE"/>
          </w:tcPr>
          <w:p>
            <w:pPr>
              <w:ind w:left="120"/>
              <w:spacing w:after="0"/>
              <w:rPr>
                <w:sz w:val="20"/>
                <w:szCs w:val="20"/>
                <w:color w:val="auto"/>
              </w:rPr>
            </w:pPr>
            <w:r>
              <w:rPr>
                <w:rFonts w:ascii="Arial" w:cs="Arial" w:eastAsia="Arial" w:hAnsi="Arial"/>
                <w:sz w:val="18"/>
                <w:szCs w:val="18"/>
                <w:color w:val="auto"/>
              </w:rPr>
              <w:t>Purchases of marketable securities</w:t>
            </w:r>
          </w:p>
        </w:tc>
        <w:tc>
          <w:tcPr>
            <w:tcW w:w="44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104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rPr>
              <w:t>(5,566)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20"/>
              <w:spacing w:after="0"/>
              <w:rPr>
                <w:sz w:val="20"/>
                <w:szCs w:val="20"/>
                <w:color w:val="auto"/>
              </w:rPr>
            </w:pPr>
            <w:r>
              <w:rPr>
                <w:rFonts w:ascii="Arial" w:cs="Arial" w:eastAsia="Arial" w:hAnsi="Arial"/>
                <w:sz w:val="18"/>
                <w:szCs w:val="18"/>
                <w:color w:val="auto"/>
              </w:rPr>
              <w:t>Purchases of restricted marketable securities</w:t>
            </w:r>
          </w:p>
        </w:tc>
        <w:tc>
          <w:tcPr>
            <w:tcW w:w="44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(5,500)</w:t>
            </w: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(5,500)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EEEEEE"/>
          </w:tcPr>
          <w:p>
            <w:pPr>
              <w:ind w:left="120"/>
              <w:spacing w:after="0"/>
              <w:rPr>
                <w:sz w:val="20"/>
                <w:szCs w:val="20"/>
                <w:color w:val="auto"/>
              </w:rPr>
            </w:pPr>
            <w:r>
              <w:rPr>
                <w:rFonts w:ascii="Arial" w:cs="Arial" w:eastAsia="Arial" w:hAnsi="Arial"/>
                <w:sz w:val="18"/>
                <w:szCs w:val="18"/>
                <w:color w:val="auto"/>
              </w:rPr>
              <w:t>Sales or maturities of marketable securities</w:t>
            </w:r>
          </w:p>
        </w:tc>
        <w:tc>
          <w:tcPr>
            <w:tcW w:w="440" w:type="dxa"/>
            <w:vAlign w:val="bottom"/>
            <w:shd w:val="clear" w:color="auto" w:fill="EEEEEE"/>
          </w:tcPr>
          <w:p>
            <w:pPr>
              <w:spacing w:after="0"/>
              <w:rPr>
                <w:sz w:val="18"/>
                <w:szCs w:val="18"/>
                <w:color w:val="auto"/>
              </w:rPr>
            </w:pPr>
          </w:p>
        </w:tc>
        <w:tc>
          <w:tcPr>
            <w:tcW w:w="6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71,215</w:t>
            </w:r>
          </w:p>
        </w:tc>
        <w:tc>
          <w:tcPr>
            <w:tcW w:w="4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6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87,389</w:t>
            </w:r>
          </w:p>
        </w:tc>
        <w:tc>
          <w:tcPr>
            <w:tcW w:w="4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20"/>
              <w:spacing w:after="0"/>
              <w:rPr>
                <w:sz w:val="20"/>
                <w:szCs w:val="20"/>
                <w:color w:val="auto"/>
              </w:rPr>
            </w:pPr>
            <w:r>
              <w:rPr>
                <w:rFonts w:ascii="Arial" w:cs="Arial" w:eastAsia="Arial" w:hAnsi="Arial"/>
                <w:sz w:val="18"/>
                <w:szCs w:val="18"/>
                <w:color w:val="auto"/>
              </w:rPr>
              <w:t>Maturities of restricted marketable securities</w:t>
            </w:r>
          </w:p>
        </w:tc>
        <w:tc>
          <w:tcPr>
            <w:tcW w:w="4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5,500</w:t>
            </w: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5,500</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EEEEEE"/>
          </w:tcPr>
          <w:p>
            <w:pPr>
              <w:ind w:left="120"/>
              <w:spacing w:after="0"/>
              <w:rPr>
                <w:sz w:val="20"/>
                <w:szCs w:val="20"/>
                <w:color w:val="auto"/>
              </w:rPr>
            </w:pPr>
            <w:r>
              <w:rPr>
                <w:rFonts w:ascii="Arial" w:cs="Arial" w:eastAsia="Arial" w:hAnsi="Arial"/>
                <w:sz w:val="18"/>
                <w:szCs w:val="18"/>
                <w:color w:val="auto"/>
              </w:rPr>
              <w:t>Capital expenditures</w:t>
            </w:r>
          </w:p>
        </w:tc>
        <w:tc>
          <w:tcPr>
            <w:tcW w:w="440" w:type="dxa"/>
            <w:vAlign w:val="bottom"/>
            <w:shd w:val="clear" w:color="auto" w:fill="EEEEEE"/>
          </w:tcPr>
          <w:p>
            <w:pPr>
              <w:spacing w:after="0"/>
              <w:rPr>
                <w:sz w:val="18"/>
                <w:szCs w:val="18"/>
                <w:color w:val="auto"/>
              </w:rPr>
            </w:pPr>
          </w:p>
        </w:tc>
        <w:tc>
          <w:tcPr>
            <w:tcW w:w="104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rPr>
              <w:t>(985)</w:t>
            </w:r>
          </w:p>
        </w:tc>
        <w:tc>
          <w:tcPr>
            <w:tcW w:w="34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104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w w:val="95"/>
              </w:rPr>
              <w:t>(20,004)</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100" w:type="dxa"/>
            <w:vAlign w:val="bottom"/>
          </w:tcPr>
          <w:p>
            <w:pPr>
              <w:ind w:left="800"/>
              <w:spacing w:after="0"/>
              <w:rPr>
                <w:sz w:val="20"/>
                <w:szCs w:val="20"/>
                <w:color w:val="auto"/>
              </w:rPr>
            </w:pPr>
            <w:r>
              <w:rPr>
                <w:rFonts w:ascii="Arial" w:cs="Arial" w:eastAsia="Arial" w:hAnsi="Arial"/>
                <w:sz w:val="18"/>
                <w:szCs w:val="18"/>
                <w:color w:val="auto"/>
              </w:rPr>
              <w:t>Net cash provided by investing activities</w:t>
            </w:r>
          </w:p>
        </w:tc>
        <w:tc>
          <w:tcPr>
            <w:tcW w:w="440" w:type="dxa"/>
            <w:vAlign w:val="bottom"/>
          </w:tcPr>
          <w:p>
            <w:pPr>
              <w:spacing w:after="0"/>
              <w:rPr>
                <w:sz w:val="20"/>
                <w:szCs w:val="20"/>
                <w:color w:val="auto"/>
              </w:rPr>
            </w:pPr>
          </w:p>
        </w:tc>
        <w:tc>
          <w:tcPr>
            <w:tcW w:w="600" w:type="dxa"/>
            <w:vAlign w:val="bottom"/>
            <w:tcBorders>
              <w:top w:val="single" w:sz="8" w:color="808080"/>
              <w:bottom w:val="single" w:sz="8" w:color="808080"/>
            </w:tcBorders>
          </w:tcPr>
          <w:p>
            <w:pPr>
              <w:jc w:val="right"/>
              <w:spacing w:after="0"/>
              <w:rPr>
                <w:sz w:val="20"/>
                <w:szCs w:val="20"/>
                <w:color w:val="auto"/>
              </w:rPr>
            </w:pPr>
            <w:r>
              <w:rPr>
                <w:rFonts w:ascii="Arial" w:cs="Arial" w:eastAsia="Arial" w:hAnsi="Arial"/>
                <w:sz w:val="18"/>
                <w:szCs w:val="18"/>
                <w:color w:val="auto"/>
              </w:rPr>
              <w:t>70,230</w:t>
            </w: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0" w:type="dxa"/>
            <w:vAlign w:val="bottom"/>
            <w:tcBorders>
              <w:top w:val="single" w:sz="8" w:color="808080"/>
              <w:bottom w:val="single" w:sz="8" w:color="808080"/>
            </w:tcBorders>
          </w:tcPr>
          <w:p>
            <w:pPr>
              <w:jc w:val="right"/>
              <w:spacing w:after="0"/>
              <w:rPr>
                <w:sz w:val="20"/>
                <w:szCs w:val="20"/>
                <w:color w:val="auto"/>
              </w:rPr>
            </w:pPr>
            <w:r>
              <w:rPr>
                <w:rFonts w:ascii="Arial" w:cs="Arial" w:eastAsia="Arial" w:hAnsi="Arial"/>
                <w:sz w:val="18"/>
                <w:szCs w:val="18"/>
                <w:color w:val="auto"/>
              </w:rPr>
              <w:t>61,819</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shd w:val="clear" w:color="auto" w:fill="EEEEEE"/>
          </w:tcPr>
          <w:p>
            <w:pPr>
              <w:spacing w:after="0"/>
              <w:rPr>
                <w:sz w:val="20"/>
                <w:szCs w:val="20"/>
                <w:color w:val="auto"/>
              </w:rPr>
            </w:pPr>
            <w:r>
              <w:rPr>
                <w:rFonts w:ascii="Arial" w:cs="Arial" w:eastAsia="Arial" w:hAnsi="Arial"/>
                <w:sz w:val="18"/>
                <w:szCs w:val="18"/>
                <w:color w:val="auto"/>
              </w:rPr>
              <w:t>Cash flows from financing activities</w:t>
            </w:r>
          </w:p>
        </w:tc>
        <w:tc>
          <w:tcPr>
            <w:tcW w:w="44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20"/>
              <w:spacing w:after="0"/>
              <w:rPr>
                <w:sz w:val="20"/>
                <w:szCs w:val="20"/>
                <w:color w:val="auto"/>
              </w:rPr>
            </w:pPr>
            <w:r>
              <w:rPr>
                <w:rFonts w:ascii="Arial" w:cs="Arial" w:eastAsia="Arial" w:hAnsi="Arial"/>
                <w:sz w:val="18"/>
                <w:szCs w:val="18"/>
                <w:color w:val="auto"/>
              </w:rPr>
              <w:t>Net proceeds from the issuance of stock</w:t>
            </w:r>
          </w:p>
        </w:tc>
        <w:tc>
          <w:tcPr>
            <w:tcW w:w="4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274</w:t>
            </w: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48,586</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EEEEEE"/>
          </w:tcPr>
          <w:p>
            <w:pPr>
              <w:ind w:left="120"/>
              <w:spacing w:after="0"/>
              <w:rPr>
                <w:sz w:val="20"/>
                <w:szCs w:val="20"/>
                <w:color w:val="auto"/>
              </w:rPr>
            </w:pPr>
            <w:r>
              <w:rPr>
                <w:rFonts w:ascii="Arial" w:cs="Arial" w:eastAsia="Arial" w:hAnsi="Arial"/>
                <w:sz w:val="18"/>
                <w:szCs w:val="18"/>
                <w:color w:val="auto"/>
              </w:rPr>
              <w:t>Borrowings under loan payable</w:t>
            </w:r>
          </w:p>
        </w:tc>
        <w:tc>
          <w:tcPr>
            <w:tcW w:w="440" w:type="dxa"/>
            <w:vAlign w:val="bottom"/>
            <w:shd w:val="clear" w:color="auto" w:fill="EEEEEE"/>
          </w:tcPr>
          <w:p>
            <w:pPr>
              <w:spacing w:after="0"/>
              <w:rPr>
                <w:sz w:val="18"/>
                <w:szCs w:val="18"/>
                <w:color w:val="auto"/>
              </w:rPr>
            </w:pPr>
          </w:p>
        </w:tc>
        <w:tc>
          <w:tcPr>
            <w:tcW w:w="6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3,827</w:t>
            </w:r>
          </w:p>
        </w:tc>
        <w:tc>
          <w:tcPr>
            <w:tcW w:w="4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20"/>
              <w:spacing w:after="0"/>
              <w:rPr>
                <w:sz w:val="20"/>
                <w:szCs w:val="20"/>
                <w:color w:val="auto"/>
              </w:rPr>
            </w:pPr>
            <w:r>
              <w:rPr>
                <w:rFonts w:ascii="Arial" w:cs="Arial" w:eastAsia="Arial" w:hAnsi="Arial"/>
                <w:sz w:val="18"/>
                <w:szCs w:val="18"/>
                <w:color w:val="auto"/>
              </w:rPr>
              <w:t>Capital lease payments</w:t>
            </w:r>
          </w:p>
        </w:tc>
        <w:tc>
          <w:tcPr>
            <w:tcW w:w="440" w:type="dxa"/>
            <w:vAlign w:val="bottom"/>
          </w:tcPr>
          <w:p>
            <w:pPr>
              <w:spacing w:after="0"/>
              <w:rPr>
                <w:sz w:val="18"/>
                <w:szCs w:val="18"/>
                <w:color w:val="auto"/>
              </w:rPr>
            </w:pPr>
          </w:p>
        </w:tc>
        <w:tc>
          <w:tcPr>
            <w:tcW w:w="600" w:type="dxa"/>
            <w:vAlign w:val="bottom"/>
            <w:tcBorders>
              <w:bottom w:val="single" w:sz="8" w:color="808080"/>
            </w:tcBorders>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(89)</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EEEEEE"/>
          </w:tcPr>
          <w:p>
            <w:pPr>
              <w:ind w:left="800"/>
              <w:spacing w:after="0"/>
              <w:rPr>
                <w:sz w:val="20"/>
                <w:szCs w:val="20"/>
                <w:color w:val="auto"/>
              </w:rPr>
            </w:pPr>
            <w:r>
              <w:rPr>
                <w:rFonts w:ascii="Arial" w:cs="Arial" w:eastAsia="Arial" w:hAnsi="Arial"/>
                <w:sz w:val="18"/>
                <w:szCs w:val="18"/>
                <w:color w:val="auto"/>
              </w:rPr>
              <w:t>Net cash provided by financing activities</w:t>
            </w:r>
          </w:p>
        </w:tc>
        <w:tc>
          <w:tcPr>
            <w:tcW w:w="440" w:type="dxa"/>
            <w:vAlign w:val="bottom"/>
            <w:shd w:val="clear" w:color="auto" w:fill="EEEEEE"/>
          </w:tcPr>
          <w:p>
            <w:pPr>
              <w:spacing w:after="0"/>
              <w:rPr>
                <w:sz w:val="18"/>
                <w:szCs w:val="18"/>
                <w:color w:val="auto"/>
              </w:rPr>
            </w:pPr>
          </w:p>
        </w:tc>
        <w:tc>
          <w:tcPr>
            <w:tcW w:w="60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4,101</w:t>
            </w:r>
          </w:p>
        </w:tc>
        <w:tc>
          <w:tcPr>
            <w:tcW w:w="4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60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48,497</w:t>
            </w:r>
          </w:p>
        </w:tc>
        <w:tc>
          <w:tcPr>
            <w:tcW w:w="4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100" w:type="dxa"/>
            <w:vAlign w:val="bottom"/>
          </w:tcPr>
          <w:p>
            <w:pPr>
              <w:ind w:left="800"/>
              <w:spacing w:after="0"/>
              <w:rPr>
                <w:sz w:val="20"/>
                <w:szCs w:val="20"/>
                <w:color w:val="auto"/>
              </w:rPr>
            </w:pPr>
            <w:r>
              <w:rPr>
                <w:rFonts w:ascii="Arial" w:cs="Arial" w:eastAsia="Arial" w:hAnsi="Arial"/>
                <w:sz w:val="18"/>
                <w:szCs w:val="18"/>
                <w:color w:val="auto"/>
              </w:rPr>
              <w:t>Net increase in cash and cash equivalents</w:t>
            </w:r>
          </w:p>
        </w:tc>
        <w:tc>
          <w:tcPr>
            <w:tcW w:w="440" w:type="dxa"/>
            <w:vAlign w:val="bottom"/>
          </w:tcPr>
          <w:p>
            <w:pPr>
              <w:spacing w:after="0"/>
              <w:rPr>
                <w:sz w:val="20"/>
                <w:szCs w:val="20"/>
                <w:color w:val="auto"/>
              </w:rPr>
            </w:pPr>
          </w:p>
        </w:tc>
        <w:tc>
          <w:tcPr>
            <w:tcW w:w="60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55,749</w:t>
            </w: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w w:val="89"/>
              </w:rPr>
              <w:t>111,509</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shd w:val="clear" w:color="auto" w:fill="EEEEEE"/>
          </w:tcPr>
          <w:p>
            <w:pPr>
              <w:spacing w:after="0"/>
              <w:rPr>
                <w:sz w:val="20"/>
                <w:szCs w:val="20"/>
                <w:color w:val="auto"/>
              </w:rPr>
            </w:pPr>
            <w:r>
              <w:rPr>
                <w:rFonts w:ascii="Arial" w:cs="Arial" w:eastAsia="Arial" w:hAnsi="Arial"/>
                <w:sz w:val="18"/>
                <w:szCs w:val="18"/>
                <w:color w:val="auto"/>
              </w:rPr>
              <w:t>Cash and cash equivalents at beginning of period</w:t>
            </w:r>
          </w:p>
        </w:tc>
        <w:tc>
          <w:tcPr>
            <w:tcW w:w="440" w:type="dxa"/>
            <w:vAlign w:val="bottom"/>
            <w:shd w:val="clear" w:color="auto" w:fill="EEEEEE"/>
          </w:tcPr>
          <w:p>
            <w:pPr>
              <w:spacing w:after="0"/>
              <w:rPr>
                <w:sz w:val="18"/>
                <w:szCs w:val="18"/>
                <w:color w:val="auto"/>
              </w:rPr>
            </w:pPr>
          </w:p>
        </w:tc>
        <w:tc>
          <w:tcPr>
            <w:tcW w:w="60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w w:val="89"/>
              </w:rPr>
              <w:t>118,285</w:t>
            </w:r>
          </w:p>
        </w:tc>
        <w:tc>
          <w:tcPr>
            <w:tcW w:w="4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60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80,077</w:t>
            </w:r>
          </w:p>
        </w:tc>
        <w:tc>
          <w:tcPr>
            <w:tcW w:w="4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8100" w:type="dxa"/>
            <w:vAlign w:val="bottom"/>
          </w:tcPr>
          <w:p>
            <w:pPr>
              <w:ind w:left="800"/>
              <w:spacing w:after="0"/>
              <w:rPr>
                <w:sz w:val="20"/>
                <w:szCs w:val="20"/>
                <w:color w:val="auto"/>
              </w:rPr>
            </w:pPr>
            <w:r>
              <w:rPr>
                <w:rFonts w:ascii="Arial" w:cs="Arial" w:eastAsia="Arial" w:hAnsi="Arial"/>
                <w:sz w:val="18"/>
                <w:szCs w:val="18"/>
                <w:color w:val="auto"/>
              </w:rPr>
              <w:t>Cash and cash equivalents at end of period</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174,034</w:t>
            </w:r>
          </w:p>
        </w:tc>
        <w:tc>
          <w:tcPr>
            <w:tcW w:w="44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191,586</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81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440" w:type="dxa"/>
            <w:vAlign w:val="bottom"/>
          </w:tcPr>
          <w:p>
            <w:pPr>
              <w:spacing w:after="0"/>
              <w:rPr>
                <w:sz w:val="5"/>
                <w:szCs w:val="5"/>
                <w:color w:val="auto"/>
              </w:rPr>
            </w:pPr>
          </w:p>
        </w:tc>
        <w:tc>
          <w:tcPr>
            <w:tcW w:w="340" w:type="dxa"/>
            <w:vAlign w:val="bottom"/>
          </w:tcPr>
          <w:p>
            <w:pPr>
              <w:spacing w:after="0"/>
              <w:rPr>
                <w:sz w:val="5"/>
                <w:szCs w:val="5"/>
                <w:color w:val="auto"/>
              </w:rPr>
            </w:pPr>
          </w:p>
        </w:tc>
        <w:tc>
          <w:tcPr>
            <w:tcW w:w="440" w:type="dxa"/>
            <w:vAlign w:val="bottom"/>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4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 financial statements.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07" w:lineRule="exact"/>
        <w:rPr>
          <w:sz w:val="20"/>
          <w:szCs w:val="20"/>
          <w:color w:val="auto"/>
        </w:rPr>
      </w:pPr>
    </w:p>
    <w:p>
      <w:pPr>
        <w:ind w:left="260" w:hanging="252"/>
        <w:spacing w:after="0"/>
        <w:tabs>
          <w:tab w:leader="none" w:pos="2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Interim Financial Statements</w:t>
      </w:r>
    </w:p>
    <w:p>
      <w:pPr>
        <w:spacing w:after="0" w:line="229" w:lineRule="exact"/>
        <w:rPr>
          <w:rFonts w:ascii="Arial" w:cs="Arial" w:eastAsia="Arial" w:hAnsi="Arial"/>
          <w:sz w:val="18"/>
          <w:szCs w:val="18"/>
          <w:b w:val="1"/>
          <w:bCs w:val="1"/>
          <w:color w:val="auto"/>
        </w:rPr>
      </w:pPr>
    </w:p>
    <w:p>
      <w:pPr>
        <w:ind w:left="260"/>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The interim Condensed Financial Statements of Regeneron Pharmaceuticals, Inc. (“Regeneron” or the “Company”) have been prepared in accordance with the instructions to Form 10-Q and Article 10 of Regulation S-X. Accordingly, they do not include all information and disclosures necessary for a presentation of the Company’s financial position, results of operations, and cash flows in conformity with generally accepted accounting principles. In the opinion of management, these financial statements reflect all adjustments, consisting only of normal recurring accruals, necessary for a fair presentation of the Company’s financial position, results of operations, and cash flows for such periods. The results of operations for any interim periods are not necessarily indicative of the results for the full year. The December 31, 2003 Condensed Balance Sheet data were derived from audited financial statements, but do not include all disclosures required by generally accepted accounting principles. These financial statements should be read in conjunction with the financial statements and notes thereto contained in the Company’s Annual Report on Form 10-K for the year ended December 31, 2003.</w:t>
      </w:r>
    </w:p>
    <w:p>
      <w:pPr>
        <w:spacing w:after="0" w:line="193" w:lineRule="exact"/>
        <w:rPr>
          <w:rFonts w:ascii="Arial" w:cs="Arial" w:eastAsia="Arial" w:hAnsi="Arial"/>
          <w:sz w:val="18"/>
          <w:szCs w:val="18"/>
          <w:b w:val="1"/>
          <w:bCs w:val="1"/>
          <w:color w:val="auto"/>
        </w:rPr>
      </w:pPr>
    </w:p>
    <w:p>
      <w:pPr>
        <w:ind w:left="260" w:hanging="252"/>
        <w:spacing w:after="0"/>
        <w:tabs>
          <w:tab w:leader="none" w:pos="2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Per Share Data</w:t>
      </w:r>
    </w:p>
    <w:p>
      <w:pPr>
        <w:spacing w:after="0" w:line="229" w:lineRule="exact"/>
        <w:rPr>
          <w:rFonts w:ascii="Arial" w:cs="Arial" w:eastAsia="Arial" w:hAnsi="Arial"/>
          <w:sz w:val="18"/>
          <w:szCs w:val="18"/>
          <w:b w:val="1"/>
          <w:bCs w:val="1"/>
          <w:color w:val="auto"/>
        </w:rPr>
      </w:pPr>
    </w:p>
    <w:p>
      <w:pPr>
        <w:ind w:left="260" w:right="140"/>
        <w:spacing w:after="0" w:line="286" w:lineRule="auto"/>
        <w:rPr>
          <w:rFonts w:ascii="Arial" w:cs="Arial" w:eastAsia="Arial" w:hAnsi="Arial"/>
          <w:sz w:val="18"/>
          <w:szCs w:val="18"/>
          <w:b w:val="1"/>
          <w:bCs w:val="1"/>
          <w:color w:val="auto"/>
        </w:rPr>
      </w:pPr>
      <w:r>
        <w:rPr>
          <w:rFonts w:ascii="Arial" w:cs="Arial" w:eastAsia="Arial" w:hAnsi="Arial"/>
          <w:sz w:val="16"/>
          <w:szCs w:val="16"/>
          <w:color w:val="auto"/>
        </w:rPr>
        <w:t>The Company’s basic net income (loss) per share amounts have been computed by dividing net income or loss by the weighted average number of shares of Common Stock and Class A Stock outstanding. Diluted net income per share is based upon the weighted average number of shares of Common Stock and Class A Stock and the common stock equivalents outstanding when dilutive. Common stock equivalents include: (i) outstanding stock options and restricted stock awards under the Company’s Long-Term Incentive Plans, which are included under the treasury stock method when dilutive, and</w:t>
      </w:r>
    </w:p>
    <w:p>
      <w:pPr>
        <w:spacing w:after="0" w:line="1" w:lineRule="exact"/>
        <w:rPr>
          <w:rFonts w:ascii="Arial" w:cs="Arial" w:eastAsia="Arial" w:hAnsi="Arial"/>
          <w:sz w:val="18"/>
          <w:szCs w:val="18"/>
          <w:b w:val="1"/>
          <w:bCs w:val="1"/>
          <w:color w:val="auto"/>
        </w:rPr>
      </w:pPr>
    </w:p>
    <w:p>
      <w:pPr>
        <w:jc w:val="both"/>
        <w:ind w:left="260" w:right="26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(ii) Common Stock to be issued under the assumed conversion of the Company’s outstanding convertible senior subordinated notes, which are included under the if-converted method when dilutive. For the three months ended March 31, 2003, the Company reported a net loss and, therefore, no common stock equivalents were included in the computation of diluted net loss per share, since such inclusion would have been antidilutive. The calculations of basic and diluted net income (loss) per share are as follows:</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8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92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8140" w:type="dxa"/>
            <w:vAlign w:val="bottom"/>
          </w:tcPr>
          <w:p>
            <w:pPr>
              <w:spacing w:after="0"/>
              <w:rPr>
                <w:sz w:val="4"/>
                <w:szCs w:val="4"/>
                <w:color w:val="auto"/>
              </w:rPr>
            </w:pPr>
          </w:p>
        </w:tc>
        <w:tc>
          <w:tcPr>
            <w:tcW w:w="340" w:type="dxa"/>
            <w:vAlign w:val="bottom"/>
            <w:tcBorders>
              <w:bottom w:val="single" w:sz="8" w:color="808080"/>
            </w:tcBorders>
          </w:tcPr>
          <w:p>
            <w:pPr>
              <w:spacing w:after="0"/>
              <w:rPr>
                <w:sz w:val="4"/>
                <w:szCs w:val="4"/>
                <w:color w:val="auto"/>
              </w:rPr>
            </w:pPr>
          </w:p>
        </w:tc>
        <w:tc>
          <w:tcPr>
            <w:tcW w:w="500" w:type="dxa"/>
            <w:vAlign w:val="bottom"/>
            <w:tcBorders>
              <w:bottom w:val="single" w:sz="8" w:color="808080"/>
            </w:tcBorders>
          </w:tcPr>
          <w:p>
            <w:pPr>
              <w:spacing w:after="0"/>
              <w:rPr>
                <w:sz w:val="4"/>
                <w:szCs w:val="4"/>
                <w:color w:val="auto"/>
              </w:rPr>
            </w:pPr>
          </w:p>
        </w:tc>
        <w:tc>
          <w:tcPr>
            <w:tcW w:w="340" w:type="dxa"/>
            <w:vAlign w:val="bottom"/>
            <w:tcBorders>
              <w:bottom w:val="single" w:sz="8" w:color="808080"/>
            </w:tcBorders>
          </w:tcPr>
          <w:p>
            <w:pPr>
              <w:spacing w:after="0"/>
              <w:rPr>
                <w:sz w:val="4"/>
                <w:szCs w:val="4"/>
                <w:color w:val="auto"/>
              </w:rPr>
            </w:pPr>
          </w:p>
        </w:tc>
        <w:tc>
          <w:tcPr>
            <w:tcW w:w="560" w:type="dxa"/>
            <w:vAlign w:val="bottom"/>
            <w:tcBorders>
              <w:bottom w:val="single" w:sz="8" w:color="808080"/>
            </w:tcBorders>
          </w:tcPr>
          <w:p>
            <w:pPr>
              <w:spacing w:after="0"/>
              <w:rPr>
                <w:sz w:val="4"/>
                <w:szCs w:val="4"/>
                <w:color w:val="auto"/>
              </w:rPr>
            </w:pPr>
          </w:p>
        </w:tc>
        <w:tc>
          <w:tcPr>
            <w:tcW w:w="460" w:type="dxa"/>
            <w:vAlign w:val="bottom"/>
            <w:tcBorders>
              <w:bottom w:val="single" w:sz="8" w:color="808080"/>
            </w:tcBorders>
          </w:tcPr>
          <w:p>
            <w:pPr>
              <w:spacing w:after="0"/>
              <w:rPr>
                <w:sz w:val="4"/>
                <w:szCs w:val="4"/>
                <w:color w:val="auto"/>
              </w:rPr>
            </w:pPr>
          </w:p>
        </w:tc>
        <w:tc>
          <w:tcPr>
            <w:tcW w:w="500" w:type="dxa"/>
            <w:vAlign w:val="bottom"/>
            <w:tcBorders>
              <w:bottom w:val="single" w:sz="8" w:color="808080"/>
            </w:tcBorders>
          </w:tcPr>
          <w:p>
            <w:pPr>
              <w:spacing w:after="0"/>
              <w:rPr>
                <w:sz w:val="4"/>
                <w:szCs w:val="4"/>
                <w:color w:val="auto"/>
              </w:rPr>
            </w:pPr>
          </w:p>
        </w:tc>
        <w:tc>
          <w:tcPr>
            <w:tcW w:w="56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8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tcPr>
          <w:p>
            <w:pPr>
              <w:jc w:val="right"/>
              <w:ind w:right="13"/>
              <w:spacing w:after="0"/>
              <w:rPr>
                <w:sz w:val="20"/>
                <w:szCs w:val="20"/>
                <w:color w:val="auto"/>
              </w:rPr>
            </w:pPr>
            <w:r>
              <w:rPr>
                <w:rFonts w:ascii="Arial" w:cs="Arial" w:eastAsia="Arial" w:hAnsi="Arial"/>
                <w:sz w:val="14"/>
                <w:szCs w:val="14"/>
                <w:b w:val="1"/>
                <w:bCs w:val="1"/>
                <w:color w:val="auto"/>
              </w:rPr>
              <w:t>2004</w:t>
            </w:r>
          </w:p>
        </w:tc>
        <w:tc>
          <w:tcPr>
            <w:tcW w:w="3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2003</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8140" w:type="dxa"/>
            <w:vAlign w:val="bottom"/>
          </w:tcPr>
          <w:p>
            <w:pPr>
              <w:spacing w:after="0"/>
              <w:rPr>
                <w:sz w:val="4"/>
                <w:szCs w:val="4"/>
                <w:color w:val="auto"/>
              </w:rPr>
            </w:pPr>
          </w:p>
        </w:tc>
        <w:tc>
          <w:tcPr>
            <w:tcW w:w="340" w:type="dxa"/>
            <w:vAlign w:val="bottom"/>
            <w:tcBorders>
              <w:bottom w:val="single" w:sz="8" w:color="808080"/>
            </w:tcBorders>
          </w:tcPr>
          <w:p>
            <w:pPr>
              <w:spacing w:after="0"/>
              <w:rPr>
                <w:sz w:val="4"/>
                <w:szCs w:val="4"/>
                <w:color w:val="auto"/>
              </w:rPr>
            </w:pPr>
          </w:p>
        </w:tc>
        <w:tc>
          <w:tcPr>
            <w:tcW w:w="500" w:type="dxa"/>
            <w:vAlign w:val="bottom"/>
            <w:tcBorders>
              <w:bottom w:val="single" w:sz="8" w:color="808080"/>
            </w:tcBorders>
          </w:tcPr>
          <w:p>
            <w:pPr>
              <w:spacing w:after="0"/>
              <w:rPr>
                <w:sz w:val="4"/>
                <w:szCs w:val="4"/>
                <w:color w:val="auto"/>
              </w:rPr>
            </w:pPr>
          </w:p>
        </w:tc>
        <w:tc>
          <w:tcPr>
            <w:tcW w:w="340" w:type="dxa"/>
            <w:vAlign w:val="bottom"/>
            <w:tcBorders>
              <w:bottom w:val="single" w:sz="8" w:color="808080"/>
            </w:tcBorders>
          </w:tcPr>
          <w:p>
            <w:pPr>
              <w:spacing w:after="0"/>
              <w:rPr>
                <w:sz w:val="4"/>
                <w:szCs w:val="4"/>
                <w:color w:val="auto"/>
              </w:rPr>
            </w:pPr>
          </w:p>
        </w:tc>
        <w:tc>
          <w:tcPr>
            <w:tcW w:w="560" w:type="dxa"/>
            <w:vAlign w:val="bottom"/>
          </w:tcPr>
          <w:p>
            <w:pPr>
              <w:spacing w:after="0"/>
              <w:rPr>
                <w:sz w:val="4"/>
                <w:szCs w:val="4"/>
                <w:color w:val="auto"/>
              </w:rPr>
            </w:pPr>
          </w:p>
        </w:tc>
        <w:tc>
          <w:tcPr>
            <w:tcW w:w="460" w:type="dxa"/>
            <w:vAlign w:val="bottom"/>
            <w:tcBorders>
              <w:bottom w:val="single" w:sz="8" w:color="808080"/>
            </w:tcBorders>
          </w:tcPr>
          <w:p>
            <w:pPr>
              <w:spacing w:after="0"/>
              <w:rPr>
                <w:sz w:val="4"/>
                <w:szCs w:val="4"/>
                <w:color w:val="auto"/>
              </w:rPr>
            </w:pPr>
          </w:p>
        </w:tc>
        <w:tc>
          <w:tcPr>
            <w:tcW w:w="500" w:type="dxa"/>
            <w:vAlign w:val="bottom"/>
            <w:tcBorders>
              <w:bottom w:val="single" w:sz="8" w:color="808080"/>
            </w:tcBorders>
          </w:tcPr>
          <w:p>
            <w:pPr>
              <w:spacing w:after="0"/>
              <w:rPr>
                <w:sz w:val="4"/>
                <w:szCs w:val="4"/>
                <w:color w:val="auto"/>
              </w:rPr>
            </w:pPr>
          </w:p>
        </w:tc>
        <w:tc>
          <w:tcPr>
            <w:tcW w:w="56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8140" w:type="dxa"/>
            <w:vAlign w:val="bottom"/>
          </w:tcPr>
          <w:p>
            <w:pPr>
              <w:spacing w:after="0"/>
              <w:rPr>
                <w:sz w:val="6"/>
                <w:szCs w:val="6"/>
                <w:color w:val="auto"/>
              </w:rPr>
            </w:pPr>
          </w:p>
        </w:tc>
        <w:tc>
          <w:tcPr>
            <w:tcW w:w="340" w:type="dxa"/>
            <w:vAlign w:val="bottom"/>
          </w:tcPr>
          <w:p>
            <w:pPr>
              <w:spacing w:after="0"/>
              <w:rPr>
                <w:sz w:val="6"/>
                <w:szCs w:val="6"/>
                <w:color w:val="auto"/>
              </w:rPr>
            </w:pPr>
          </w:p>
        </w:tc>
        <w:tc>
          <w:tcPr>
            <w:tcW w:w="500" w:type="dxa"/>
            <w:vAlign w:val="bottom"/>
          </w:tcPr>
          <w:p>
            <w:pPr>
              <w:spacing w:after="0"/>
              <w:rPr>
                <w:sz w:val="6"/>
                <w:szCs w:val="6"/>
                <w:color w:val="auto"/>
              </w:rPr>
            </w:pPr>
          </w:p>
        </w:tc>
        <w:tc>
          <w:tcPr>
            <w:tcW w:w="340" w:type="dxa"/>
            <w:vAlign w:val="bottom"/>
          </w:tcPr>
          <w:p>
            <w:pPr>
              <w:spacing w:after="0"/>
              <w:rPr>
                <w:sz w:val="6"/>
                <w:szCs w:val="6"/>
                <w:color w:val="auto"/>
              </w:rPr>
            </w:pPr>
          </w:p>
        </w:tc>
        <w:tc>
          <w:tcPr>
            <w:tcW w:w="560" w:type="dxa"/>
            <w:vAlign w:val="bottom"/>
          </w:tcPr>
          <w:p>
            <w:pPr>
              <w:spacing w:after="0"/>
              <w:rPr>
                <w:sz w:val="6"/>
                <w:szCs w:val="6"/>
                <w:color w:val="auto"/>
              </w:rPr>
            </w:pPr>
          </w:p>
        </w:tc>
        <w:tc>
          <w:tcPr>
            <w:tcW w:w="460" w:type="dxa"/>
            <w:vAlign w:val="bottom"/>
          </w:tcPr>
          <w:p>
            <w:pPr>
              <w:spacing w:after="0"/>
              <w:rPr>
                <w:sz w:val="6"/>
                <w:szCs w:val="6"/>
                <w:color w:val="auto"/>
              </w:rPr>
            </w:pPr>
          </w:p>
        </w:tc>
        <w:tc>
          <w:tcPr>
            <w:tcW w:w="500" w:type="dxa"/>
            <w:vAlign w:val="bottom"/>
          </w:tcPr>
          <w:p>
            <w:pPr>
              <w:spacing w:after="0"/>
              <w:rPr>
                <w:sz w:val="6"/>
                <w:szCs w:val="6"/>
                <w:color w:val="auto"/>
              </w:rPr>
            </w:pPr>
          </w:p>
        </w:tc>
        <w:tc>
          <w:tcPr>
            <w:tcW w:w="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40" w:type="dxa"/>
            <w:vAlign w:val="bottom"/>
            <w:shd w:val="clear" w:color="auto" w:fill="EEEEEE"/>
          </w:tcPr>
          <w:p>
            <w:pPr>
              <w:spacing w:after="0"/>
              <w:rPr>
                <w:sz w:val="20"/>
                <w:szCs w:val="20"/>
                <w:color w:val="auto"/>
              </w:rPr>
            </w:pPr>
            <w:r>
              <w:rPr>
                <w:rFonts w:ascii="Arial" w:cs="Arial" w:eastAsia="Arial" w:hAnsi="Arial"/>
                <w:sz w:val="18"/>
                <w:szCs w:val="18"/>
                <w:color w:val="auto"/>
              </w:rPr>
              <w:t>Income (loss) (Numerator):</w:t>
            </w:r>
          </w:p>
        </w:tc>
        <w:tc>
          <w:tcPr>
            <w:tcW w:w="34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ind w:left="120"/>
              <w:spacing w:after="0"/>
              <w:rPr>
                <w:sz w:val="20"/>
                <w:szCs w:val="20"/>
                <w:color w:val="auto"/>
              </w:rPr>
            </w:pPr>
            <w:r>
              <w:rPr>
                <w:rFonts w:ascii="Arial" w:cs="Arial" w:eastAsia="Arial" w:hAnsi="Arial"/>
                <w:sz w:val="18"/>
                <w:szCs w:val="18"/>
                <w:color w:val="auto"/>
              </w:rPr>
              <w:t>Net income (loss) for basic per share calculations</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64,532</w:t>
            </w:r>
          </w:p>
        </w:tc>
        <w:tc>
          <w:tcPr>
            <w:tcW w:w="34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w w:val="88"/>
              </w:rPr>
              <w:t>30,321)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EEEEEE"/>
          </w:tcPr>
          <w:p>
            <w:pPr>
              <w:ind w:left="120"/>
              <w:spacing w:after="0"/>
              <w:rPr>
                <w:sz w:val="20"/>
                <w:szCs w:val="20"/>
                <w:color w:val="auto"/>
              </w:rPr>
            </w:pPr>
            <w:r>
              <w:rPr>
                <w:rFonts w:ascii="Arial" w:cs="Arial" w:eastAsia="Arial" w:hAnsi="Arial"/>
                <w:sz w:val="18"/>
                <w:szCs w:val="18"/>
                <w:color w:val="auto"/>
              </w:rPr>
              <w:t>Adjustment for interest expense on Convertible Notes</w:t>
            </w:r>
          </w:p>
        </w:tc>
        <w:tc>
          <w:tcPr>
            <w:tcW w:w="340" w:type="dxa"/>
            <w:vAlign w:val="bottom"/>
            <w:shd w:val="clear" w:color="auto" w:fill="EEEEEE"/>
          </w:tcPr>
          <w:p>
            <w:pPr>
              <w:spacing w:after="0"/>
              <w:rPr>
                <w:sz w:val="18"/>
                <w:szCs w:val="18"/>
                <w:color w:val="auto"/>
              </w:rPr>
            </w:pPr>
          </w:p>
        </w:tc>
        <w:tc>
          <w:tcPr>
            <w:tcW w:w="50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2,750</w:t>
            </w:r>
          </w:p>
        </w:tc>
        <w:tc>
          <w:tcPr>
            <w:tcW w:w="34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500" w:type="dxa"/>
            <w:vAlign w:val="bottom"/>
            <w:tcBorders>
              <w:bottom w:val="single" w:sz="8" w:color="808080"/>
            </w:tcBorders>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8140" w:type="dxa"/>
            <w:vAlign w:val="bottom"/>
          </w:tcPr>
          <w:p>
            <w:pPr>
              <w:ind w:left="260"/>
              <w:spacing w:after="0"/>
              <w:rPr>
                <w:sz w:val="20"/>
                <w:szCs w:val="20"/>
                <w:color w:val="auto"/>
              </w:rPr>
            </w:pPr>
            <w:r>
              <w:rPr>
                <w:rFonts w:ascii="Arial" w:cs="Arial" w:eastAsia="Arial" w:hAnsi="Arial"/>
                <w:sz w:val="18"/>
                <w:szCs w:val="18"/>
                <w:color w:val="auto"/>
              </w:rPr>
              <w:t>Adjusted net income (loss) for diluted per share calculations</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67,282</w:t>
            </w:r>
          </w:p>
        </w:tc>
        <w:tc>
          <w:tcPr>
            <w:tcW w:w="34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w w:val="88"/>
              </w:rPr>
              <w:t>30,321)</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8140" w:type="dxa"/>
            <w:vAlign w:val="bottom"/>
          </w:tcPr>
          <w:p>
            <w:pPr>
              <w:spacing w:after="0"/>
              <w:rPr>
                <w:sz w:val="5"/>
                <w:szCs w:val="5"/>
                <w:color w:val="auto"/>
              </w:rPr>
            </w:pPr>
          </w:p>
        </w:tc>
        <w:tc>
          <w:tcPr>
            <w:tcW w:w="34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560" w:type="dxa"/>
            <w:vAlign w:val="bottom"/>
          </w:tcPr>
          <w:p>
            <w:pPr>
              <w:spacing w:after="0"/>
              <w:rPr>
                <w:sz w:val="5"/>
                <w:szCs w:val="5"/>
                <w:color w:val="auto"/>
              </w:rPr>
            </w:pPr>
          </w:p>
        </w:tc>
        <w:tc>
          <w:tcPr>
            <w:tcW w:w="460" w:type="dxa"/>
            <w:vAlign w:val="bottom"/>
            <w:tcBorders>
              <w:right w:val="single" w:sz="8" w:color="808080"/>
            </w:tcBorders>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5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8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560" w:type="dxa"/>
            <w:vAlign w:val="bottom"/>
          </w:tcPr>
          <w:p>
            <w:pPr>
              <w:spacing w:after="0"/>
              <w:rPr>
                <w:sz w:val="2"/>
                <w:szCs w:val="2"/>
                <w:color w:val="auto"/>
              </w:rPr>
            </w:pPr>
          </w:p>
        </w:tc>
        <w:tc>
          <w:tcPr>
            <w:tcW w:w="460" w:type="dxa"/>
            <w:vAlign w:val="bottom"/>
          </w:tcPr>
          <w:p>
            <w:pPr>
              <w:spacing w:after="0"/>
              <w:rPr>
                <w:sz w:val="2"/>
                <w:szCs w:val="2"/>
                <w:color w:val="auto"/>
              </w:rPr>
            </w:pPr>
          </w:p>
        </w:tc>
        <w:tc>
          <w:tcPr>
            <w:tcW w:w="5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40" w:type="dxa"/>
            <w:vAlign w:val="bottom"/>
            <w:shd w:val="clear" w:color="auto" w:fill="EEEEEE"/>
          </w:tcPr>
          <w:p>
            <w:pPr>
              <w:spacing w:after="0"/>
              <w:rPr>
                <w:sz w:val="20"/>
                <w:szCs w:val="20"/>
                <w:color w:val="auto"/>
              </w:rPr>
            </w:pPr>
            <w:r>
              <w:rPr>
                <w:rFonts w:ascii="Arial" w:cs="Arial" w:eastAsia="Arial" w:hAnsi="Arial"/>
                <w:sz w:val="18"/>
                <w:szCs w:val="18"/>
                <w:color w:val="auto"/>
              </w:rPr>
              <w:t>Shares (Denominator):</w:t>
            </w:r>
          </w:p>
        </w:tc>
        <w:tc>
          <w:tcPr>
            <w:tcW w:w="34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ind w:left="120"/>
              <w:spacing w:after="0"/>
              <w:rPr>
                <w:sz w:val="20"/>
                <w:szCs w:val="20"/>
                <w:color w:val="auto"/>
              </w:rPr>
            </w:pPr>
            <w:r>
              <w:rPr>
                <w:rFonts w:ascii="Arial" w:cs="Arial" w:eastAsia="Arial" w:hAnsi="Arial"/>
                <w:sz w:val="18"/>
                <w:szCs w:val="18"/>
                <w:color w:val="auto"/>
              </w:rPr>
              <w:t>Weighted-average shares for basic per share calculations</w:t>
            </w:r>
          </w:p>
        </w:tc>
        <w:tc>
          <w:tcPr>
            <w:tcW w:w="3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55,283</w:t>
            </w: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44,309</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EEEEEE"/>
          </w:tcPr>
          <w:p>
            <w:pPr>
              <w:ind w:left="120"/>
              <w:spacing w:after="0"/>
              <w:rPr>
                <w:sz w:val="20"/>
                <w:szCs w:val="20"/>
                <w:color w:val="auto"/>
              </w:rPr>
            </w:pPr>
            <w:r>
              <w:rPr>
                <w:rFonts w:ascii="Arial" w:cs="Arial" w:eastAsia="Arial" w:hAnsi="Arial"/>
                <w:sz w:val="18"/>
                <w:szCs w:val="18"/>
                <w:color w:val="auto"/>
              </w:rPr>
              <w:t>Effect of stock options</w:t>
            </w:r>
          </w:p>
        </w:tc>
        <w:tc>
          <w:tcPr>
            <w:tcW w:w="34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1,663</w:t>
            </w:r>
          </w:p>
        </w:tc>
        <w:tc>
          <w:tcPr>
            <w:tcW w:w="34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ind w:left="120"/>
              <w:spacing w:after="0"/>
              <w:rPr>
                <w:sz w:val="20"/>
                <w:szCs w:val="20"/>
                <w:color w:val="auto"/>
              </w:rPr>
            </w:pPr>
            <w:r>
              <w:rPr>
                <w:rFonts w:ascii="Arial" w:cs="Arial" w:eastAsia="Arial" w:hAnsi="Arial"/>
                <w:sz w:val="18"/>
                <w:szCs w:val="18"/>
                <w:color w:val="auto"/>
              </w:rPr>
              <w:t>Effect of restricted stock awards</w:t>
            </w:r>
          </w:p>
        </w:tc>
        <w:tc>
          <w:tcPr>
            <w:tcW w:w="3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63</w:t>
            </w: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EEEEEE"/>
          </w:tcPr>
          <w:p>
            <w:pPr>
              <w:ind w:left="120"/>
              <w:spacing w:after="0"/>
              <w:rPr>
                <w:sz w:val="20"/>
                <w:szCs w:val="20"/>
                <w:color w:val="auto"/>
              </w:rPr>
            </w:pPr>
            <w:r>
              <w:rPr>
                <w:rFonts w:ascii="Arial" w:cs="Arial" w:eastAsia="Arial" w:hAnsi="Arial"/>
                <w:sz w:val="18"/>
                <w:szCs w:val="18"/>
                <w:color w:val="auto"/>
              </w:rPr>
              <w:t>Effect of convertible notes</w:t>
            </w:r>
          </w:p>
        </w:tc>
        <w:tc>
          <w:tcPr>
            <w:tcW w:w="340" w:type="dxa"/>
            <w:vAlign w:val="bottom"/>
            <w:shd w:val="clear" w:color="auto" w:fill="EEEEEE"/>
          </w:tcPr>
          <w:p>
            <w:pPr>
              <w:spacing w:after="0"/>
              <w:rPr>
                <w:sz w:val="18"/>
                <w:szCs w:val="18"/>
                <w:color w:val="auto"/>
              </w:rPr>
            </w:pPr>
          </w:p>
        </w:tc>
        <w:tc>
          <w:tcPr>
            <w:tcW w:w="50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6,611</w:t>
            </w:r>
          </w:p>
        </w:tc>
        <w:tc>
          <w:tcPr>
            <w:tcW w:w="34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500" w:type="dxa"/>
            <w:vAlign w:val="bottom"/>
            <w:tcBorders>
              <w:bottom w:val="single" w:sz="8" w:color="808080"/>
            </w:tcBorders>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8140" w:type="dxa"/>
            <w:vAlign w:val="bottom"/>
          </w:tcPr>
          <w:p>
            <w:pPr>
              <w:ind w:left="260"/>
              <w:spacing w:after="0"/>
              <w:rPr>
                <w:sz w:val="20"/>
                <w:szCs w:val="20"/>
                <w:color w:val="auto"/>
              </w:rPr>
            </w:pPr>
            <w:r>
              <w:rPr>
                <w:rFonts w:ascii="Arial" w:cs="Arial" w:eastAsia="Arial" w:hAnsi="Arial"/>
                <w:sz w:val="18"/>
                <w:szCs w:val="18"/>
                <w:color w:val="auto"/>
              </w:rPr>
              <w:t>Adjusted weighted-average shares for diluted per share calculations</w:t>
            </w:r>
          </w:p>
        </w:tc>
        <w:tc>
          <w:tcPr>
            <w:tcW w:w="3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63,620</w:t>
            </w:r>
          </w:p>
        </w:tc>
        <w:tc>
          <w:tcPr>
            <w:tcW w:w="3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44,309</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8140" w:type="dxa"/>
            <w:vAlign w:val="bottom"/>
          </w:tcPr>
          <w:p>
            <w:pPr>
              <w:spacing w:after="0"/>
              <w:rPr>
                <w:sz w:val="5"/>
                <w:szCs w:val="5"/>
                <w:color w:val="auto"/>
              </w:rPr>
            </w:pPr>
          </w:p>
        </w:tc>
        <w:tc>
          <w:tcPr>
            <w:tcW w:w="34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560" w:type="dxa"/>
            <w:vAlign w:val="bottom"/>
          </w:tcPr>
          <w:p>
            <w:pPr>
              <w:spacing w:after="0"/>
              <w:rPr>
                <w:sz w:val="5"/>
                <w:szCs w:val="5"/>
                <w:color w:val="auto"/>
              </w:rPr>
            </w:pPr>
          </w:p>
        </w:tc>
        <w:tc>
          <w:tcPr>
            <w:tcW w:w="460" w:type="dxa"/>
            <w:vAlign w:val="bottom"/>
            <w:tcBorders>
              <w:right w:val="single" w:sz="8" w:color="808080"/>
            </w:tcBorders>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5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8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560" w:type="dxa"/>
            <w:vAlign w:val="bottom"/>
          </w:tcPr>
          <w:p>
            <w:pPr>
              <w:spacing w:after="0"/>
              <w:rPr>
                <w:sz w:val="2"/>
                <w:szCs w:val="2"/>
                <w:color w:val="auto"/>
              </w:rPr>
            </w:pPr>
          </w:p>
        </w:tc>
        <w:tc>
          <w:tcPr>
            <w:tcW w:w="460" w:type="dxa"/>
            <w:vAlign w:val="bottom"/>
          </w:tcPr>
          <w:p>
            <w:pPr>
              <w:spacing w:after="0"/>
              <w:rPr>
                <w:sz w:val="2"/>
                <w:szCs w:val="2"/>
                <w:color w:val="auto"/>
              </w:rPr>
            </w:pPr>
          </w:p>
        </w:tc>
        <w:tc>
          <w:tcPr>
            <w:tcW w:w="5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EEEEEE"/>
          </w:tcPr>
          <w:p>
            <w:pPr>
              <w:ind w:left="260"/>
              <w:spacing w:after="0"/>
              <w:rPr>
                <w:sz w:val="20"/>
                <w:szCs w:val="20"/>
                <w:color w:val="auto"/>
              </w:rPr>
            </w:pPr>
            <w:r>
              <w:rPr>
                <w:rFonts w:ascii="Arial" w:cs="Arial" w:eastAsia="Arial" w:hAnsi="Arial"/>
                <w:sz w:val="18"/>
                <w:szCs w:val="18"/>
                <w:color w:val="auto"/>
              </w:rPr>
              <w:t>Basic net income (loss) per share</w:t>
            </w:r>
          </w:p>
        </w:tc>
        <w:tc>
          <w:tcPr>
            <w:tcW w:w="3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1.17</w:t>
            </w:r>
          </w:p>
        </w:tc>
        <w:tc>
          <w:tcPr>
            <w:tcW w:w="340" w:type="dxa"/>
            <w:vAlign w:val="bottom"/>
            <w:shd w:val="clear" w:color="auto" w:fill="EEEEEE"/>
          </w:tcPr>
          <w:p>
            <w:pPr>
              <w:spacing w:after="0"/>
              <w:rPr>
                <w:sz w:val="18"/>
                <w:szCs w:val="18"/>
                <w:color w:val="auto"/>
              </w:rPr>
            </w:pPr>
          </w:p>
        </w:tc>
        <w:tc>
          <w:tcPr>
            <w:tcW w:w="102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EEEEEE"/>
          </w:tcPr>
          <w:p>
            <w:pPr>
              <w:jc w:val="right"/>
              <w:ind w:right="500"/>
              <w:spacing w:after="0"/>
              <w:rPr>
                <w:sz w:val="20"/>
                <w:szCs w:val="20"/>
                <w:color w:val="auto"/>
              </w:rPr>
            </w:pPr>
            <w:r>
              <w:rPr>
                <w:rFonts w:ascii="Arial" w:cs="Arial" w:eastAsia="Arial" w:hAnsi="Arial"/>
                <w:sz w:val="18"/>
                <w:szCs w:val="18"/>
                <w:color w:val="auto"/>
              </w:rPr>
              <w:t>0.68)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140" w:type="dxa"/>
            <w:vAlign w:val="bottom"/>
          </w:tcPr>
          <w:p>
            <w:pPr>
              <w:ind w:left="260"/>
              <w:spacing w:after="0"/>
              <w:rPr>
                <w:sz w:val="20"/>
                <w:szCs w:val="20"/>
                <w:color w:val="auto"/>
              </w:rPr>
            </w:pPr>
            <w:r>
              <w:rPr>
                <w:rFonts w:ascii="Arial" w:cs="Arial" w:eastAsia="Arial" w:hAnsi="Arial"/>
                <w:sz w:val="18"/>
                <w:szCs w:val="18"/>
                <w:color w:val="auto"/>
              </w:rPr>
              <w:t>Diluted net income (loss) per share</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1.06</w:t>
            </w:r>
          </w:p>
        </w:tc>
        <w:tc>
          <w:tcPr>
            <w:tcW w:w="34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0.68)</w:t>
            </w:r>
          </w:p>
        </w:tc>
        <w:tc>
          <w:tcPr>
            <w:tcW w:w="0" w:type="dxa"/>
            <w:vAlign w:val="bottom"/>
          </w:tcPr>
          <w:p>
            <w:pPr>
              <w:spacing w:after="0"/>
              <w:rPr>
                <w:sz w:val="1"/>
                <w:szCs w:val="1"/>
                <w:color w:val="auto"/>
              </w:rPr>
            </w:pPr>
          </w:p>
        </w:tc>
      </w:tr>
    </w:tbl>
    <w:p>
      <w:pPr>
        <w:spacing w:after="0" w:line="147" w:lineRule="exact"/>
        <w:rPr>
          <w:sz w:val="20"/>
          <w:szCs w:val="20"/>
          <w:color w:val="auto"/>
        </w:rPr>
      </w:pPr>
    </w:p>
    <w:p>
      <w:pPr>
        <w:spacing w:after="0"/>
        <w:rPr>
          <w:sz w:val="20"/>
          <w:szCs w:val="20"/>
          <w:color w:val="auto"/>
        </w:rPr>
      </w:pPr>
      <w:r>
        <w:rPr>
          <w:rFonts w:ascii="Arial" w:cs="Arial" w:eastAsia="Arial" w:hAnsi="Arial"/>
          <w:sz w:val="16"/>
          <w:szCs w:val="16"/>
          <w:color w:val="auto"/>
        </w:rPr>
        <w:t>Shares issuable upon the exercise of stock options, vesting of restricted stock awards, and conversion of convertible debt, which have been excluded from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March 31, 2004 and 2003 diluted per share amounts because their effect would have been antidilutive, include the following:</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432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80" w:type="dxa"/>
            <w:vAlign w:val="bottom"/>
            <w:gridSpan w:val="4"/>
          </w:tcPr>
          <w:p>
            <w:pPr>
              <w:jc w:val="right"/>
              <w:ind w:right="593"/>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4320" w:type="dxa"/>
            <w:vAlign w:val="bottom"/>
          </w:tcPr>
          <w:p>
            <w:pPr>
              <w:spacing w:after="0"/>
              <w:rPr>
                <w:sz w:val="5"/>
                <w:szCs w:val="5"/>
                <w:color w:val="auto"/>
              </w:rPr>
            </w:pPr>
          </w:p>
        </w:tc>
        <w:tc>
          <w:tcPr>
            <w:tcW w:w="3820" w:type="dxa"/>
            <w:vAlign w:val="bottom"/>
          </w:tcPr>
          <w:p>
            <w:pPr>
              <w:spacing w:after="0"/>
              <w:rPr>
                <w:sz w:val="5"/>
                <w:szCs w:val="5"/>
                <w:color w:val="auto"/>
              </w:rPr>
            </w:pPr>
          </w:p>
        </w:tc>
        <w:tc>
          <w:tcPr>
            <w:tcW w:w="280" w:type="dxa"/>
            <w:vAlign w:val="bottom"/>
            <w:tcBorders>
              <w:bottom w:val="single" w:sz="8" w:color="808080"/>
            </w:tcBorders>
          </w:tcPr>
          <w:p>
            <w:pPr>
              <w:spacing w:after="0"/>
              <w:rPr>
                <w:sz w:val="5"/>
                <w:szCs w:val="5"/>
                <w:color w:val="auto"/>
              </w:rPr>
            </w:pPr>
          </w:p>
        </w:tc>
        <w:tc>
          <w:tcPr>
            <w:tcW w:w="900" w:type="dxa"/>
            <w:vAlign w:val="bottom"/>
            <w:tcBorders>
              <w:bottom w:val="single" w:sz="8" w:color="808080"/>
            </w:tcBorders>
          </w:tcPr>
          <w:p>
            <w:pPr>
              <w:spacing w:after="0"/>
              <w:rPr>
                <w:sz w:val="5"/>
                <w:szCs w:val="5"/>
                <w:color w:val="auto"/>
              </w:rPr>
            </w:pPr>
          </w:p>
        </w:tc>
        <w:tc>
          <w:tcPr>
            <w:tcW w:w="560" w:type="dxa"/>
            <w:vAlign w:val="bottom"/>
            <w:tcBorders>
              <w:bottom w:val="single" w:sz="8" w:color="808080"/>
            </w:tcBorders>
          </w:tcPr>
          <w:p>
            <w:pPr>
              <w:spacing w:after="0"/>
              <w:rPr>
                <w:sz w:val="5"/>
                <w:szCs w:val="5"/>
                <w:color w:val="auto"/>
              </w:rPr>
            </w:pPr>
          </w:p>
        </w:tc>
        <w:tc>
          <w:tcPr>
            <w:tcW w:w="460" w:type="dxa"/>
            <w:vAlign w:val="bottom"/>
            <w:tcBorders>
              <w:bottom w:val="single" w:sz="8" w:color="808080"/>
            </w:tcBorders>
          </w:tcPr>
          <w:p>
            <w:pPr>
              <w:spacing w:after="0"/>
              <w:rPr>
                <w:sz w:val="5"/>
                <w:szCs w:val="5"/>
                <w:color w:val="auto"/>
              </w:rPr>
            </w:pPr>
          </w:p>
        </w:tc>
        <w:tc>
          <w:tcPr>
            <w:tcW w:w="106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3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ind w:right="379"/>
              <w:spacing w:after="0"/>
              <w:rPr>
                <w:sz w:val="20"/>
                <w:szCs w:val="20"/>
                <w:color w:val="auto"/>
              </w:rPr>
            </w:pPr>
            <w:r>
              <w:rPr>
                <w:rFonts w:ascii="Arial" w:cs="Arial" w:eastAsia="Arial" w:hAnsi="Arial"/>
                <w:sz w:val="14"/>
                <w:szCs w:val="14"/>
                <w:b w:val="1"/>
                <w:bCs w:val="1"/>
                <w:color w:val="auto"/>
              </w:rPr>
              <w:t>2004</w:t>
            </w:r>
          </w:p>
        </w:tc>
        <w:tc>
          <w:tcPr>
            <w:tcW w:w="5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tcPr>
          <w:p>
            <w:pPr>
              <w:jc w:val="right"/>
              <w:ind w:right="533"/>
              <w:spacing w:after="0"/>
              <w:rPr>
                <w:sz w:val="20"/>
                <w:szCs w:val="20"/>
                <w:color w:val="auto"/>
              </w:rPr>
            </w:pPr>
            <w:r>
              <w:rPr>
                <w:rFonts w:ascii="Arial" w:cs="Arial" w:eastAsia="Arial" w:hAnsi="Arial"/>
                <w:sz w:val="14"/>
                <w:szCs w:val="14"/>
                <w:b w:val="1"/>
                <w:bCs w:val="1"/>
                <w:color w:val="auto"/>
              </w:rPr>
              <w:t>2003</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4320" w:type="dxa"/>
            <w:vAlign w:val="bottom"/>
          </w:tcPr>
          <w:p>
            <w:pPr>
              <w:spacing w:after="0"/>
              <w:rPr>
                <w:sz w:val="5"/>
                <w:szCs w:val="5"/>
                <w:color w:val="auto"/>
              </w:rPr>
            </w:pPr>
          </w:p>
        </w:tc>
        <w:tc>
          <w:tcPr>
            <w:tcW w:w="3820" w:type="dxa"/>
            <w:vAlign w:val="bottom"/>
          </w:tcPr>
          <w:p>
            <w:pPr>
              <w:spacing w:after="0"/>
              <w:rPr>
                <w:sz w:val="5"/>
                <w:szCs w:val="5"/>
                <w:color w:val="auto"/>
              </w:rPr>
            </w:pPr>
          </w:p>
        </w:tc>
        <w:tc>
          <w:tcPr>
            <w:tcW w:w="280" w:type="dxa"/>
            <w:vAlign w:val="bottom"/>
            <w:tcBorders>
              <w:bottom w:val="single" w:sz="8" w:color="808080"/>
            </w:tcBorders>
          </w:tcPr>
          <w:p>
            <w:pPr>
              <w:spacing w:after="0"/>
              <w:rPr>
                <w:sz w:val="5"/>
                <w:szCs w:val="5"/>
                <w:color w:val="auto"/>
              </w:rPr>
            </w:pPr>
          </w:p>
        </w:tc>
        <w:tc>
          <w:tcPr>
            <w:tcW w:w="900" w:type="dxa"/>
            <w:vAlign w:val="bottom"/>
            <w:tcBorders>
              <w:bottom w:val="single" w:sz="8" w:color="808080"/>
            </w:tcBorders>
          </w:tcPr>
          <w:p>
            <w:pPr>
              <w:spacing w:after="0"/>
              <w:rPr>
                <w:sz w:val="5"/>
                <w:szCs w:val="5"/>
                <w:color w:val="auto"/>
              </w:rPr>
            </w:pPr>
          </w:p>
        </w:tc>
        <w:tc>
          <w:tcPr>
            <w:tcW w:w="560" w:type="dxa"/>
            <w:vAlign w:val="bottom"/>
          </w:tcPr>
          <w:p>
            <w:pPr>
              <w:spacing w:after="0"/>
              <w:rPr>
                <w:sz w:val="5"/>
                <w:szCs w:val="5"/>
                <w:color w:val="auto"/>
              </w:rPr>
            </w:pPr>
          </w:p>
        </w:tc>
        <w:tc>
          <w:tcPr>
            <w:tcW w:w="460" w:type="dxa"/>
            <w:vAlign w:val="bottom"/>
            <w:tcBorders>
              <w:bottom w:val="single" w:sz="8" w:color="808080"/>
            </w:tcBorders>
          </w:tcPr>
          <w:p>
            <w:pPr>
              <w:spacing w:after="0"/>
              <w:rPr>
                <w:sz w:val="5"/>
                <w:szCs w:val="5"/>
                <w:color w:val="auto"/>
              </w:rPr>
            </w:pPr>
          </w:p>
        </w:tc>
        <w:tc>
          <w:tcPr>
            <w:tcW w:w="106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4320" w:type="dxa"/>
            <w:vAlign w:val="bottom"/>
          </w:tcPr>
          <w:p>
            <w:pPr>
              <w:spacing w:after="0"/>
              <w:rPr>
                <w:sz w:val="5"/>
                <w:szCs w:val="5"/>
                <w:color w:val="auto"/>
              </w:rPr>
            </w:pPr>
          </w:p>
        </w:tc>
        <w:tc>
          <w:tcPr>
            <w:tcW w:w="3820" w:type="dxa"/>
            <w:vAlign w:val="bottom"/>
          </w:tcPr>
          <w:p>
            <w:pPr>
              <w:spacing w:after="0"/>
              <w:rPr>
                <w:sz w:val="5"/>
                <w:szCs w:val="5"/>
                <w:color w:val="auto"/>
              </w:rPr>
            </w:pPr>
          </w:p>
        </w:tc>
        <w:tc>
          <w:tcPr>
            <w:tcW w:w="280" w:type="dxa"/>
            <w:vAlign w:val="bottom"/>
          </w:tcPr>
          <w:p>
            <w:pPr>
              <w:spacing w:after="0"/>
              <w:rPr>
                <w:sz w:val="5"/>
                <w:szCs w:val="5"/>
                <w:color w:val="auto"/>
              </w:rPr>
            </w:pPr>
          </w:p>
        </w:tc>
        <w:tc>
          <w:tcPr>
            <w:tcW w:w="900" w:type="dxa"/>
            <w:vAlign w:val="bottom"/>
          </w:tcPr>
          <w:p>
            <w:pPr>
              <w:spacing w:after="0"/>
              <w:rPr>
                <w:sz w:val="5"/>
                <w:szCs w:val="5"/>
                <w:color w:val="auto"/>
              </w:rPr>
            </w:pPr>
          </w:p>
        </w:tc>
        <w:tc>
          <w:tcPr>
            <w:tcW w:w="560" w:type="dxa"/>
            <w:vAlign w:val="bottom"/>
          </w:tcPr>
          <w:p>
            <w:pPr>
              <w:spacing w:after="0"/>
              <w:rPr>
                <w:sz w:val="5"/>
                <w:szCs w:val="5"/>
                <w:color w:val="auto"/>
              </w:rPr>
            </w:pPr>
          </w:p>
        </w:tc>
        <w:tc>
          <w:tcPr>
            <w:tcW w:w="4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20" w:type="dxa"/>
            <w:vAlign w:val="bottom"/>
            <w:shd w:val="clear" w:color="auto" w:fill="EEEEEE"/>
          </w:tcPr>
          <w:p>
            <w:pPr>
              <w:spacing w:after="0"/>
              <w:rPr>
                <w:sz w:val="20"/>
                <w:szCs w:val="20"/>
                <w:color w:val="auto"/>
              </w:rPr>
            </w:pPr>
            <w:r>
              <w:rPr>
                <w:rFonts w:ascii="Arial" w:cs="Arial" w:eastAsia="Arial" w:hAnsi="Arial"/>
                <w:sz w:val="18"/>
                <w:szCs w:val="18"/>
                <w:color w:val="auto"/>
              </w:rPr>
              <w:t>Stock Options:</w:t>
            </w:r>
          </w:p>
        </w:tc>
        <w:tc>
          <w:tcPr>
            <w:tcW w:w="38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ind w:left="120"/>
              <w:spacing w:after="0"/>
              <w:rPr>
                <w:sz w:val="20"/>
                <w:szCs w:val="20"/>
                <w:color w:val="auto"/>
              </w:rPr>
            </w:pPr>
            <w:r>
              <w:rPr>
                <w:rFonts w:ascii="Arial" w:cs="Arial" w:eastAsia="Arial" w:hAnsi="Arial"/>
                <w:sz w:val="18"/>
                <w:szCs w:val="18"/>
                <w:color w:val="auto"/>
              </w:rPr>
              <w:t>Weighted average number, in thousands</w:t>
            </w:r>
          </w:p>
        </w:tc>
        <w:tc>
          <w:tcPr>
            <w:tcW w:w="3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ind w:right="359"/>
              <w:spacing w:after="0"/>
              <w:rPr>
                <w:sz w:val="20"/>
                <w:szCs w:val="20"/>
                <w:color w:val="auto"/>
              </w:rPr>
            </w:pPr>
            <w:r>
              <w:rPr>
                <w:rFonts w:ascii="Arial" w:cs="Arial" w:eastAsia="Arial" w:hAnsi="Arial"/>
                <w:sz w:val="18"/>
                <w:szCs w:val="18"/>
                <w:color w:val="auto"/>
                <w:w w:val="97"/>
              </w:rPr>
              <w:t>7,423</w:t>
            </w:r>
          </w:p>
        </w:tc>
        <w:tc>
          <w:tcPr>
            <w:tcW w:w="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60" w:type="dxa"/>
            <w:vAlign w:val="bottom"/>
          </w:tcPr>
          <w:p>
            <w:pPr>
              <w:jc w:val="right"/>
              <w:ind w:right="473"/>
              <w:spacing w:after="0"/>
              <w:rPr>
                <w:sz w:val="20"/>
                <w:szCs w:val="20"/>
                <w:color w:val="auto"/>
              </w:rPr>
            </w:pPr>
            <w:r>
              <w:rPr>
                <w:rFonts w:ascii="Arial" w:cs="Arial" w:eastAsia="Arial" w:hAnsi="Arial"/>
                <w:sz w:val="18"/>
                <w:szCs w:val="18"/>
                <w:color w:val="auto"/>
                <w:w w:val="87"/>
              </w:rPr>
              <w:t>11,534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EEEEEE"/>
          </w:tcPr>
          <w:p>
            <w:pPr>
              <w:ind w:left="120"/>
              <w:spacing w:after="0"/>
              <w:rPr>
                <w:sz w:val="20"/>
                <w:szCs w:val="20"/>
                <w:color w:val="auto"/>
              </w:rPr>
            </w:pPr>
            <w:r>
              <w:rPr>
                <w:rFonts w:ascii="Arial" w:cs="Arial" w:eastAsia="Arial" w:hAnsi="Arial"/>
                <w:sz w:val="18"/>
                <w:szCs w:val="18"/>
                <w:color w:val="auto"/>
              </w:rPr>
              <w:t>Weighted average exercise price</w:t>
            </w:r>
          </w:p>
        </w:tc>
        <w:tc>
          <w:tcPr>
            <w:tcW w:w="410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shd w:val="clear" w:color="auto" w:fill="EEEEEE"/>
          </w:tcPr>
          <w:p>
            <w:pPr>
              <w:jc w:val="right"/>
              <w:ind w:right="359"/>
              <w:spacing w:after="0"/>
              <w:rPr>
                <w:sz w:val="20"/>
                <w:szCs w:val="20"/>
                <w:color w:val="auto"/>
              </w:rPr>
            </w:pPr>
            <w:r>
              <w:rPr>
                <w:rFonts w:ascii="Arial" w:cs="Arial" w:eastAsia="Arial" w:hAnsi="Arial"/>
                <w:sz w:val="18"/>
                <w:szCs w:val="18"/>
                <w:color w:val="auto"/>
                <w:w w:val="97"/>
              </w:rPr>
              <w:t>27.98</w:t>
            </w:r>
          </w:p>
        </w:tc>
        <w:tc>
          <w:tcPr>
            <w:tcW w:w="10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EEEEEE"/>
          </w:tcPr>
          <w:p>
            <w:pPr>
              <w:jc w:val="right"/>
              <w:ind w:right="473"/>
              <w:spacing w:after="0"/>
              <w:rPr>
                <w:sz w:val="20"/>
                <w:szCs w:val="20"/>
                <w:color w:val="auto"/>
              </w:rPr>
            </w:pPr>
            <w:r>
              <w:rPr>
                <w:rFonts w:ascii="Arial" w:cs="Arial" w:eastAsia="Arial" w:hAnsi="Arial"/>
                <w:sz w:val="18"/>
                <w:szCs w:val="18"/>
                <w:color w:val="auto"/>
              </w:rPr>
              <w:t>21.30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Restricted Stock:</w:t>
            </w:r>
          </w:p>
        </w:tc>
        <w:tc>
          <w:tcPr>
            <w:tcW w:w="3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EEEEEE"/>
          </w:tcPr>
          <w:p>
            <w:pPr>
              <w:ind w:left="120"/>
              <w:spacing w:after="0"/>
              <w:rPr>
                <w:sz w:val="20"/>
                <w:szCs w:val="20"/>
                <w:color w:val="auto"/>
              </w:rPr>
            </w:pPr>
            <w:r>
              <w:rPr>
                <w:rFonts w:ascii="Arial" w:cs="Arial" w:eastAsia="Arial" w:hAnsi="Arial"/>
                <w:sz w:val="18"/>
                <w:szCs w:val="18"/>
                <w:color w:val="auto"/>
              </w:rPr>
              <w:t>Weighted average number, in thousands</w:t>
            </w:r>
          </w:p>
        </w:tc>
        <w:tc>
          <w:tcPr>
            <w:tcW w:w="38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1060" w:type="dxa"/>
            <w:vAlign w:val="bottom"/>
            <w:shd w:val="clear" w:color="auto" w:fill="EEEEEE"/>
          </w:tcPr>
          <w:p>
            <w:pPr>
              <w:jc w:val="right"/>
              <w:ind w:right="473"/>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Convertible Debt:</w:t>
            </w:r>
          </w:p>
        </w:tc>
        <w:tc>
          <w:tcPr>
            <w:tcW w:w="3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EEEEEE"/>
          </w:tcPr>
          <w:p>
            <w:pPr>
              <w:ind w:left="120"/>
              <w:spacing w:after="0"/>
              <w:rPr>
                <w:sz w:val="20"/>
                <w:szCs w:val="20"/>
                <w:color w:val="auto"/>
              </w:rPr>
            </w:pPr>
            <w:r>
              <w:rPr>
                <w:rFonts w:ascii="Arial" w:cs="Arial" w:eastAsia="Arial" w:hAnsi="Arial"/>
                <w:sz w:val="18"/>
                <w:szCs w:val="18"/>
                <w:color w:val="auto"/>
              </w:rPr>
              <w:t>Weighted average number, in thousands</w:t>
            </w:r>
          </w:p>
        </w:tc>
        <w:tc>
          <w:tcPr>
            <w:tcW w:w="38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1060" w:type="dxa"/>
            <w:vAlign w:val="bottom"/>
            <w:shd w:val="clear" w:color="auto" w:fill="EEEEEE"/>
          </w:tcPr>
          <w:p>
            <w:pPr>
              <w:jc w:val="right"/>
              <w:ind w:right="473"/>
              <w:spacing w:after="0"/>
              <w:rPr>
                <w:sz w:val="20"/>
                <w:szCs w:val="20"/>
                <w:color w:val="auto"/>
              </w:rPr>
            </w:pPr>
            <w:r>
              <w:rPr>
                <w:rFonts w:ascii="Arial" w:cs="Arial" w:eastAsia="Arial" w:hAnsi="Arial"/>
                <w:sz w:val="18"/>
                <w:szCs w:val="18"/>
                <w:color w:val="auto"/>
              </w:rPr>
              <w:t>6,611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20" w:type="dxa"/>
            <w:vAlign w:val="bottom"/>
          </w:tcPr>
          <w:p>
            <w:pPr>
              <w:ind w:left="120"/>
              <w:spacing w:after="0"/>
              <w:rPr>
                <w:sz w:val="20"/>
                <w:szCs w:val="20"/>
                <w:color w:val="auto"/>
              </w:rPr>
            </w:pPr>
            <w:r>
              <w:rPr>
                <w:rFonts w:ascii="Arial" w:cs="Arial" w:eastAsia="Arial" w:hAnsi="Arial"/>
                <w:sz w:val="18"/>
                <w:szCs w:val="18"/>
                <w:color w:val="auto"/>
              </w:rPr>
              <w:t>Conversion price</w:t>
            </w:r>
          </w:p>
        </w:tc>
        <w:tc>
          <w:tcPr>
            <w:tcW w:w="3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473"/>
              <w:spacing w:after="0"/>
              <w:rPr>
                <w:sz w:val="20"/>
                <w:szCs w:val="20"/>
                <w:color w:val="auto"/>
              </w:rPr>
            </w:pPr>
            <w:r>
              <w:rPr>
                <w:rFonts w:ascii="Arial" w:cs="Arial" w:eastAsia="Arial" w:hAnsi="Arial"/>
                <w:sz w:val="18"/>
                <w:szCs w:val="18"/>
                <w:color w:val="auto"/>
              </w:rPr>
              <w:t>30.25</w:t>
            </w:r>
          </w:p>
        </w:tc>
        <w:tc>
          <w:tcPr>
            <w:tcW w:w="0" w:type="dxa"/>
            <w:vAlign w:val="bottom"/>
          </w:tcPr>
          <w:p>
            <w:pPr>
              <w:spacing w:after="0"/>
              <w:rPr>
                <w:sz w:val="1"/>
                <w:szCs w:val="1"/>
                <w:color w:val="auto"/>
              </w:rPr>
            </w:pPr>
          </w:p>
        </w:tc>
      </w:tr>
      <w:tr>
        <w:trPr>
          <w:trHeight w:val="391"/>
        </w:trPr>
        <w:tc>
          <w:tcPr>
            <w:tcW w:w="2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3820" w:type="dxa"/>
            <w:vAlign w:val="bottom"/>
          </w:tcPr>
          <w:p>
            <w:pPr>
              <w:jc w:val="right"/>
              <w:ind w:right="2310"/>
              <w:spacing w:after="0"/>
              <w:rPr>
                <w:sz w:val="20"/>
                <w:szCs w:val="20"/>
                <w:color w:val="auto"/>
              </w:rPr>
            </w:pPr>
            <w:r>
              <w:rPr>
                <w:rFonts w:ascii="Arial" w:cs="Arial" w:eastAsia="Arial" w:hAnsi="Arial"/>
                <w:sz w:val="18"/>
                <w:szCs w:val="18"/>
                <w:color w:val="auto"/>
              </w:rPr>
              <w:t>8</w:t>
            </w: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320" w:type="dxa"/>
            <w:vAlign w:val="bottom"/>
            <w:tcBorders>
              <w:bottom w:val="single" w:sz="8" w:color="808080"/>
            </w:tcBorders>
          </w:tcPr>
          <w:p>
            <w:pPr>
              <w:spacing w:after="0"/>
              <w:rPr>
                <w:sz w:val="19"/>
                <w:szCs w:val="19"/>
                <w:color w:val="auto"/>
              </w:rPr>
            </w:pPr>
          </w:p>
        </w:tc>
        <w:tc>
          <w:tcPr>
            <w:tcW w:w="382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10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07" w:lineRule="exact"/>
        <w:rPr>
          <w:sz w:val="20"/>
          <w:szCs w:val="20"/>
          <w:color w:val="auto"/>
        </w:rPr>
      </w:pPr>
    </w:p>
    <w:p>
      <w:pPr>
        <w:ind w:left="260" w:hanging="252"/>
        <w:spacing w:after="0"/>
        <w:tabs>
          <w:tab w:leader="none" w:pos="2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Employee Compensation</w:t>
      </w:r>
    </w:p>
    <w:p>
      <w:pPr>
        <w:spacing w:after="0" w:line="229" w:lineRule="exact"/>
        <w:rPr>
          <w:rFonts w:ascii="Arial" w:cs="Arial" w:eastAsia="Arial" w:hAnsi="Arial"/>
          <w:sz w:val="18"/>
          <w:szCs w:val="18"/>
          <w:b w:val="1"/>
          <w:bCs w:val="1"/>
          <w:color w:val="auto"/>
        </w:rPr>
      </w:pPr>
    </w:p>
    <w:p>
      <w:pPr>
        <w:ind w:left="260" w:right="1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 xml:space="preserve">The accompanying financial position and results of operations of the Company have been prepared in accordance with APB Opinion No. 25, </w:t>
      </w:r>
      <w:r>
        <w:rPr>
          <w:rFonts w:ascii="Arial" w:cs="Arial" w:eastAsia="Arial" w:hAnsi="Arial"/>
          <w:sz w:val="18"/>
          <w:szCs w:val="18"/>
          <w:i w:val="1"/>
          <w:iCs w:val="1"/>
          <w:color w:val="auto"/>
        </w:rPr>
        <w:t>Accounting</w:t>
      </w:r>
      <w:r>
        <w:rPr>
          <w:rFonts w:ascii="Arial" w:cs="Arial" w:eastAsia="Arial" w:hAnsi="Arial"/>
          <w:sz w:val="18"/>
          <w:szCs w:val="18"/>
          <w:color w:val="auto"/>
        </w:rPr>
        <w:t xml:space="preserve"> </w:t>
      </w:r>
      <w:r>
        <w:rPr>
          <w:rFonts w:ascii="Arial" w:cs="Arial" w:eastAsia="Arial" w:hAnsi="Arial"/>
          <w:sz w:val="18"/>
          <w:szCs w:val="18"/>
          <w:i w:val="1"/>
          <w:iCs w:val="1"/>
          <w:color w:val="auto"/>
        </w:rPr>
        <w:t>for Stock Issued to Employees.</w:t>
      </w:r>
    </w:p>
    <w:p>
      <w:pPr>
        <w:spacing w:after="0" w:line="170" w:lineRule="exact"/>
        <w:rPr>
          <w:rFonts w:ascii="Arial" w:cs="Arial" w:eastAsia="Arial" w:hAnsi="Arial"/>
          <w:sz w:val="18"/>
          <w:szCs w:val="18"/>
          <w:b w:val="1"/>
          <w:bCs w:val="1"/>
          <w:color w:val="auto"/>
        </w:rPr>
      </w:pPr>
    </w:p>
    <w:p>
      <w:pPr>
        <w:ind w:left="260" w:right="8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 xml:space="preserve">The following tables illustrate the effect on the Company’s net income (loss) and net income (loss) per share had compensation costs for the Company’s stock-based incentive plans been determined in accordance with the fair value based method of accounting for stock-based compensation as prescribed by Statement of Financial Accounting Standards No. 123, </w:t>
      </w:r>
      <w:r>
        <w:rPr>
          <w:rFonts w:ascii="Arial" w:cs="Arial" w:eastAsia="Arial" w:hAnsi="Arial"/>
          <w:sz w:val="18"/>
          <w:szCs w:val="18"/>
          <w:i w:val="1"/>
          <w:iCs w:val="1"/>
          <w:color w:val="auto"/>
        </w:rPr>
        <w:t>Accounting for Stock-Based Compensation.</w:t>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78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220" w:type="dxa"/>
            <w:vAlign w:val="bottom"/>
            <w:gridSpan w:val="6"/>
          </w:tcPr>
          <w:p>
            <w:pPr>
              <w:jc w:val="right"/>
              <w:ind w:right="82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840" w:type="dxa"/>
            <w:vAlign w:val="bottom"/>
          </w:tcPr>
          <w:p>
            <w:pPr>
              <w:spacing w:after="0"/>
              <w:rPr>
                <w:sz w:val="5"/>
                <w:szCs w:val="5"/>
                <w:color w:val="auto"/>
              </w:rPr>
            </w:pPr>
          </w:p>
        </w:tc>
        <w:tc>
          <w:tcPr>
            <w:tcW w:w="340" w:type="dxa"/>
            <w:vAlign w:val="bottom"/>
            <w:tcBorders>
              <w:bottom w:val="single" w:sz="8" w:color="808080"/>
            </w:tcBorders>
          </w:tcPr>
          <w:p>
            <w:pPr>
              <w:spacing w:after="0"/>
              <w:rPr>
                <w:sz w:val="5"/>
                <w:szCs w:val="5"/>
                <w:color w:val="auto"/>
              </w:rPr>
            </w:pPr>
          </w:p>
        </w:tc>
        <w:tc>
          <w:tcPr>
            <w:tcW w:w="520" w:type="dxa"/>
            <w:vAlign w:val="bottom"/>
            <w:tcBorders>
              <w:bottom w:val="single" w:sz="8" w:color="808080"/>
            </w:tcBorders>
          </w:tcPr>
          <w:p>
            <w:pPr>
              <w:spacing w:after="0"/>
              <w:rPr>
                <w:sz w:val="5"/>
                <w:szCs w:val="5"/>
                <w:color w:val="auto"/>
              </w:rPr>
            </w:pPr>
          </w:p>
        </w:tc>
        <w:tc>
          <w:tcPr>
            <w:tcW w:w="440" w:type="dxa"/>
            <w:vAlign w:val="bottom"/>
            <w:tcBorders>
              <w:bottom w:val="single" w:sz="8" w:color="808080"/>
            </w:tcBorders>
          </w:tcPr>
          <w:p>
            <w:pPr>
              <w:spacing w:after="0"/>
              <w:rPr>
                <w:sz w:val="5"/>
                <w:szCs w:val="5"/>
                <w:color w:val="auto"/>
              </w:rPr>
            </w:pPr>
          </w:p>
        </w:tc>
        <w:tc>
          <w:tcPr>
            <w:tcW w:w="540" w:type="dxa"/>
            <w:vAlign w:val="bottom"/>
            <w:tcBorders>
              <w:bottom w:val="single" w:sz="8" w:color="808080"/>
            </w:tcBorders>
          </w:tcPr>
          <w:p>
            <w:pPr>
              <w:spacing w:after="0"/>
              <w:rPr>
                <w:sz w:val="5"/>
                <w:szCs w:val="5"/>
                <w:color w:val="auto"/>
              </w:rPr>
            </w:pPr>
          </w:p>
        </w:tc>
        <w:tc>
          <w:tcPr>
            <w:tcW w:w="560" w:type="dxa"/>
            <w:vAlign w:val="bottom"/>
            <w:tcBorders>
              <w:bottom w:val="single" w:sz="8" w:color="808080"/>
            </w:tcBorders>
          </w:tcPr>
          <w:p>
            <w:pPr>
              <w:spacing w:after="0"/>
              <w:rPr>
                <w:sz w:val="5"/>
                <w:szCs w:val="5"/>
                <w:color w:val="auto"/>
              </w:rPr>
            </w:pPr>
          </w:p>
        </w:tc>
        <w:tc>
          <w:tcPr>
            <w:tcW w:w="520" w:type="dxa"/>
            <w:vAlign w:val="bottom"/>
            <w:tcBorders>
              <w:bottom w:val="single" w:sz="8" w:color="808080"/>
            </w:tcBorders>
          </w:tcPr>
          <w:p>
            <w:pPr>
              <w:spacing w:after="0"/>
              <w:rPr>
                <w:sz w:val="5"/>
                <w:szCs w:val="5"/>
                <w:color w:val="auto"/>
              </w:rPr>
            </w:pPr>
          </w:p>
        </w:tc>
        <w:tc>
          <w:tcPr>
            <w:tcW w:w="64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8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rPr>
              <w:t>2004</w:t>
            </w: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rPr>
              <w:t>2003</w:t>
            </w: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840" w:type="dxa"/>
            <w:vAlign w:val="bottom"/>
          </w:tcPr>
          <w:p>
            <w:pPr>
              <w:spacing w:after="0"/>
              <w:rPr>
                <w:sz w:val="5"/>
                <w:szCs w:val="5"/>
                <w:color w:val="auto"/>
              </w:rPr>
            </w:pPr>
          </w:p>
        </w:tc>
        <w:tc>
          <w:tcPr>
            <w:tcW w:w="340" w:type="dxa"/>
            <w:vAlign w:val="bottom"/>
            <w:tcBorders>
              <w:bottom w:val="single" w:sz="8" w:color="808080"/>
            </w:tcBorders>
          </w:tcPr>
          <w:p>
            <w:pPr>
              <w:spacing w:after="0"/>
              <w:rPr>
                <w:sz w:val="5"/>
                <w:szCs w:val="5"/>
                <w:color w:val="auto"/>
              </w:rPr>
            </w:pPr>
          </w:p>
        </w:tc>
        <w:tc>
          <w:tcPr>
            <w:tcW w:w="520" w:type="dxa"/>
            <w:vAlign w:val="bottom"/>
            <w:tcBorders>
              <w:bottom w:val="single" w:sz="8" w:color="808080"/>
            </w:tcBorders>
          </w:tcPr>
          <w:p>
            <w:pPr>
              <w:spacing w:after="0"/>
              <w:rPr>
                <w:sz w:val="5"/>
                <w:szCs w:val="5"/>
                <w:color w:val="auto"/>
              </w:rPr>
            </w:pPr>
          </w:p>
        </w:tc>
        <w:tc>
          <w:tcPr>
            <w:tcW w:w="440" w:type="dxa"/>
            <w:vAlign w:val="bottom"/>
            <w:tcBorders>
              <w:bottom w:val="single" w:sz="8" w:color="808080"/>
            </w:tcBorders>
          </w:tcPr>
          <w:p>
            <w:pPr>
              <w:spacing w:after="0"/>
              <w:rPr>
                <w:sz w:val="5"/>
                <w:szCs w:val="5"/>
                <w:color w:val="auto"/>
              </w:rPr>
            </w:pPr>
          </w:p>
        </w:tc>
        <w:tc>
          <w:tcPr>
            <w:tcW w:w="540" w:type="dxa"/>
            <w:vAlign w:val="bottom"/>
          </w:tcPr>
          <w:p>
            <w:pPr>
              <w:spacing w:after="0"/>
              <w:rPr>
                <w:sz w:val="5"/>
                <w:szCs w:val="5"/>
                <w:color w:val="auto"/>
              </w:rPr>
            </w:pPr>
          </w:p>
        </w:tc>
        <w:tc>
          <w:tcPr>
            <w:tcW w:w="560" w:type="dxa"/>
            <w:vAlign w:val="bottom"/>
            <w:tcBorders>
              <w:bottom w:val="single" w:sz="8" w:color="808080"/>
            </w:tcBorders>
          </w:tcPr>
          <w:p>
            <w:pPr>
              <w:spacing w:after="0"/>
              <w:rPr>
                <w:sz w:val="5"/>
                <w:szCs w:val="5"/>
                <w:color w:val="auto"/>
              </w:rPr>
            </w:pPr>
          </w:p>
        </w:tc>
        <w:tc>
          <w:tcPr>
            <w:tcW w:w="520" w:type="dxa"/>
            <w:vAlign w:val="bottom"/>
            <w:tcBorders>
              <w:bottom w:val="single" w:sz="8" w:color="808080"/>
            </w:tcBorders>
          </w:tcPr>
          <w:p>
            <w:pPr>
              <w:spacing w:after="0"/>
              <w:rPr>
                <w:sz w:val="5"/>
                <w:szCs w:val="5"/>
                <w:color w:val="auto"/>
              </w:rPr>
            </w:pPr>
          </w:p>
        </w:tc>
        <w:tc>
          <w:tcPr>
            <w:tcW w:w="64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7840" w:type="dxa"/>
            <w:vAlign w:val="bottom"/>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tcPr>
          <w:p>
            <w:pPr>
              <w:spacing w:after="0"/>
              <w:rPr>
                <w:sz w:val="5"/>
                <w:szCs w:val="5"/>
                <w:color w:val="auto"/>
              </w:rPr>
            </w:pPr>
          </w:p>
        </w:tc>
        <w:tc>
          <w:tcPr>
            <w:tcW w:w="440" w:type="dxa"/>
            <w:vAlign w:val="bottom"/>
          </w:tcPr>
          <w:p>
            <w:pPr>
              <w:spacing w:after="0"/>
              <w:rPr>
                <w:sz w:val="5"/>
                <w:szCs w:val="5"/>
                <w:color w:val="auto"/>
              </w:rPr>
            </w:pPr>
          </w:p>
        </w:tc>
        <w:tc>
          <w:tcPr>
            <w:tcW w:w="540" w:type="dxa"/>
            <w:vAlign w:val="bottom"/>
          </w:tcPr>
          <w:p>
            <w:pPr>
              <w:spacing w:after="0"/>
              <w:rPr>
                <w:sz w:val="5"/>
                <w:szCs w:val="5"/>
                <w:color w:val="auto"/>
              </w:rPr>
            </w:pPr>
          </w:p>
        </w:tc>
        <w:tc>
          <w:tcPr>
            <w:tcW w:w="560" w:type="dxa"/>
            <w:vAlign w:val="bottom"/>
          </w:tcPr>
          <w:p>
            <w:pPr>
              <w:spacing w:after="0"/>
              <w:rPr>
                <w:sz w:val="5"/>
                <w:szCs w:val="5"/>
                <w:color w:val="auto"/>
              </w:rPr>
            </w:pPr>
          </w:p>
        </w:tc>
        <w:tc>
          <w:tcPr>
            <w:tcW w:w="520" w:type="dxa"/>
            <w:vAlign w:val="bottom"/>
          </w:tcPr>
          <w:p>
            <w:pPr>
              <w:spacing w:after="0"/>
              <w:rPr>
                <w:sz w:val="5"/>
                <w:szCs w:val="5"/>
                <w:color w:val="auto"/>
              </w:rPr>
            </w:pPr>
          </w:p>
        </w:tc>
        <w:tc>
          <w:tcPr>
            <w:tcW w:w="6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40" w:type="dxa"/>
            <w:vAlign w:val="bottom"/>
            <w:shd w:val="clear" w:color="auto" w:fill="EEEEEE"/>
          </w:tcPr>
          <w:p>
            <w:pPr>
              <w:spacing w:after="0"/>
              <w:rPr>
                <w:sz w:val="20"/>
                <w:szCs w:val="20"/>
                <w:color w:val="auto"/>
              </w:rPr>
            </w:pPr>
            <w:r>
              <w:rPr>
                <w:rFonts w:ascii="Arial" w:cs="Arial" w:eastAsia="Arial" w:hAnsi="Arial"/>
                <w:sz w:val="18"/>
                <w:szCs w:val="18"/>
                <w:color w:val="auto"/>
              </w:rPr>
              <w:t>Net income (loss), as reported</w:t>
            </w:r>
          </w:p>
        </w:tc>
        <w:tc>
          <w:tcPr>
            <w:tcW w:w="3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20" w:type="dxa"/>
            <w:vAlign w:val="bottom"/>
            <w:tcBorders>
              <w:left w:val="single" w:sz="8" w:color="EEEEEE"/>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7"/>
              </w:rPr>
              <w:t>64,532</w:t>
            </w:r>
          </w:p>
        </w:tc>
        <w:tc>
          <w:tcPr>
            <w:tcW w:w="440" w:type="dxa"/>
            <w:vAlign w:val="bottom"/>
            <w:shd w:val="clear" w:color="auto" w:fill="EEEEEE"/>
          </w:tcPr>
          <w:p>
            <w:pPr>
              <w:spacing w:after="0"/>
              <w:rPr>
                <w:sz w:val="18"/>
                <w:szCs w:val="18"/>
                <w:color w:val="auto"/>
              </w:rPr>
            </w:pPr>
          </w:p>
        </w:tc>
        <w:tc>
          <w:tcPr>
            <w:tcW w:w="2260" w:type="dxa"/>
            <w:vAlign w:val="bottom"/>
            <w:gridSpan w:val="4"/>
            <w:shd w:val="clear" w:color="auto" w:fill="EEEEEE"/>
          </w:tcPr>
          <w:p>
            <w:pPr>
              <w:jc w:val="right"/>
              <w:ind w:right="600"/>
              <w:spacing w:after="0"/>
              <w:rPr>
                <w:sz w:val="20"/>
                <w:szCs w:val="20"/>
                <w:color w:val="auto"/>
              </w:rPr>
            </w:pPr>
            <w:r>
              <w:rPr>
                <w:rFonts w:ascii="Arial" w:cs="Arial" w:eastAsia="Arial" w:hAnsi="Arial"/>
                <w:sz w:val="18"/>
                <w:szCs w:val="18"/>
                <w:color w:val="auto"/>
              </w:rPr>
              <w:t>($30,321)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Add: Stock-based employee compensation expense included in reported net income (loss)</w:t>
            </w:r>
          </w:p>
        </w:tc>
        <w:tc>
          <w:tcPr>
            <w:tcW w:w="3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671</w:t>
            </w: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587</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84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rPr>
              <w:t>Deduct: Total stock-based employee compensation expense determined under fair value based</w:t>
            </w:r>
          </w:p>
        </w:tc>
        <w:tc>
          <w:tcPr>
            <w:tcW w:w="340" w:type="dxa"/>
            <w:vAlign w:val="bottom"/>
            <w:shd w:val="clear" w:color="auto" w:fill="EEEEEE"/>
          </w:tcPr>
          <w:p>
            <w:pPr>
              <w:spacing w:after="0"/>
              <w:rPr>
                <w:sz w:val="17"/>
                <w:szCs w:val="17"/>
                <w:color w:val="auto"/>
              </w:rPr>
            </w:pPr>
          </w:p>
        </w:tc>
        <w:tc>
          <w:tcPr>
            <w:tcW w:w="520" w:type="dxa"/>
            <w:vAlign w:val="bottom"/>
            <w:tcBorders>
              <w:left w:val="single" w:sz="8" w:color="EEEEEE"/>
              <w:right w:val="single" w:sz="8" w:color="EEEEEE"/>
            </w:tcBorders>
            <w:shd w:val="clear" w:color="auto" w:fill="EEEEEE"/>
          </w:tcPr>
          <w:p>
            <w:pPr>
              <w:spacing w:after="0"/>
              <w:rPr>
                <w:sz w:val="17"/>
                <w:szCs w:val="17"/>
                <w:color w:val="auto"/>
              </w:rPr>
            </w:pPr>
          </w:p>
        </w:tc>
        <w:tc>
          <w:tcPr>
            <w:tcW w:w="440" w:type="dxa"/>
            <w:vAlign w:val="bottom"/>
            <w:shd w:val="clear" w:color="auto" w:fill="EEEEEE"/>
          </w:tcPr>
          <w:p>
            <w:pPr>
              <w:spacing w:after="0"/>
              <w:rPr>
                <w:sz w:val="17"/>
                <w:szCs w:val="17"/>
                <w:color w:val="auto"/>
              </w:rPr>
            </w:pPr>
          </w:p>
        </w:tc>
        <w:tc>
          <w:tcPr>
            <w:tcW w:w="540" w:type="dxa"/>
            <w:vAlign w:val="bottom"/>
            <w:shd w:val="clear" w:color="auto" w:fill="EEEEEE"/>
          </w:tcPr>
          <w:p>
            <w:pPr>
              <w:spacing w:after="0"/>
              <w:rPr>
                <w:sz w:val="17"/>
                <w:szCs w:val="17"/>
                <w:color w:val="auto"/>
              </w:rPr>
            </w:pPr>
          </w:p>
        </w:tc>
        <w:tc>
          <w:tcPr>
            <w:tcW w:w="560" w:type="dxa"/>
            <w:vAlign w:val="bottom"/>
            <w:shd w:val="clear" w:color="auto" w:fill="EEEEEE"/>
          </w:tcPr>
          <w:p>
            <w:pPr>
              <w:spacing w:after="0"/>
              <w:rPr>
                <w:sz w:val="17"/>
                <w:szCs w:val="17"/>
                <w:color w:val="auto"/>
              </w:rPr>
            </w:pPr>
          </w:p>
        </w:tc>
        <w:tc>
          <w:tcPr>
            <w:tcW w:w="520" w:type="dxa"/>
            <w:vAlign w:val="bottom"/>
            <w:tcBorders>
              <w:left w:val="single" w:sz="8" w:color="EEEEEE"/>
              <w:right w:val="single" w:sz="8" w:color="EEEEEE"/>
            </w:tcBorders>
            <w:shd w:val="clear" w:color="auto" w:fill="EEEEEE"/>
          </w:tcPr>
          <w:p>
            <w:pPr>
              <w:spacing w:after="0"/>
              <w:rPr>
                <w:sz w:val="17"/>
                <w:szCs w:val="17"/>
                <w:color w:val="auto"/>
              </w:rPr>
            </w:pPr>
          </w:p>
        </w:tc>
        <w:tc>
          <w:tcPr>
            <w:tcW w:w="64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40" w:type="dxa"/>
            <w:vAlign w:val="bottom"/>
            <w:shd w:val="clear" w:color="auto" w:fill="EEEEEE"/>
          </w:tcPr>
          <w:p>
            <w:pPr>
              <w:ind w:left="120"/>
              <w:spacing w:after="0"/>
              <w:rPr>
                <w:sz w:val="20"/>
                <w:szCs w:val="20"/>
                <w:color w:val="auto"/>
              </w:rPr>
            </w:pPr>
            <w:r>
              <w:rPr>
                <w:rFonts w:ascii="Arial" w:cs="Arial" w:eastAsia="Arial" w:hAnsi="Arial"/>
                <w:sz w:val="18"/>
                <w:szCs w:val="18"/>
                <w:color w:val="auto"/>
              </w:rPr>
              <w:t>method for all awards</w:t>
            </w:r>
          </w:p>
        </w:tc>
        <w:tc>
          <w:tcPr>
            <w:tcW w:w="340" w:type="dxa"/>
            <w:vAlign w:val="bottom"/>
            <w:shd w:val="clear" w:color="auto" w:fill="EEEEEE"/>
          </w:tcPr>
          <w:p>
            <w:pPr>
              <w:spacing w:after="0"/>
              <w:rPr>
                <w:sz w:val="20"/>
                <w:szCs w:val="20"/>
                <w:color w:val="auto"/>
              </w:rPr>
            </w:pPr>
          </w:p>
        </w:tc>
        <w:tc>
          <w:tcPr>
            <w:tcW w:w="960" w:type="dxa"/>
            <w:vAlign w:val="bottom"/>
            <w:tcBorders>
              <w:left w:val="single" w:sz="8" w:color="EEEEEE"/>
            </w:tcBorders>
            <w:gridSpan w:val="2"/>
            <w:shd w:val="clear" w:color="auto" w:fill="EEEEEE"/>
          </w:tcPr>
          <w:p>
            <w:pPr>
              <w:jc w:val="right"/>
              <w:ind w:right="400"/>
              <w:spacing w:after="0"/>
              <w:rPr>
                <w:sz w:val="20"/>
                <w:szCs w:val="20"/>
                <w:color w:val="auto"/>
              </w:rPr>
            </w:pPr>
            <w:r>
              <w:rPr>
                <w:rFonts w:ascii="Arial" w:cs="Arial" w:eastAsia="Arial" w:hAnsi="Arial"/>
                <w:sz w:val="18"/>
                <w:szCs w:val="18"/>
                <w:color w:val="auto"/>
                <w:w w:val="94"/>
              </w:rPr>
              <w:t>(9,565)</w:t>
            </w:r>
          </w:p>
        </w:tc>
        <w:tc>
          <w:tcPr>
            <w:tcW w:w="2260" w:type="dxa"/>
            <w:vAlign w:val="bottom"/>
            <w:gridSpan w:val="4"/>
            <w:shd w:val="clear" w:color="auto" w:fill="EEEEEE"/>
          </w:tcPr>
          <w:p>
            <w:pPr>
              <w:jc w:val="right"/>
              <w:ind w:right="600"/>
              <w:spacing w:after="0"/>
              <w:rPr>
                <w:sz w:val="20"/>
                <w:szCs w:val="20"/>
                <w:color w:val="auto"/>
              </w:rPr>
            </w:pPr>
            <w:r>
              <w:rPr>
                <w:rFonts w:ascii="Arial" w:cs="Arial" w:eastAsia="Arial" w:hAnsi="Arial"/>
                <w:sz w:val="18"/>
                <w:szCs w:val="18"/>
                <w:color w:val="auto"/>
              </w:rPr>
              <w:t>(11,585)</w:t>
            </w:r>
          </w:p>
        </w:tc>
        <w:tc>
          <w:tcPr>
            <w:tcW w:w="0" w:type="dxa"/>
            <w:vAlign w:val="bottom"/>
          </w:tcPr>
          <w:p>
            <w:pPr>
              <w:spacing w:after="0"/>
              <w:rPr>
                <w:sz w:val="1"/>
                <w:szCs w:val="1"/>
                <w:color w:val="auto"/>
              </w:rPr>
            </w:pPr>
          </w:p>
        </w:tc>
      </w:tr>
      <w:tr>
        <w:trPr>
          <w:trHeight w:val="20"/>
        </w:trPr>
        <w:tc>
          <w:tcPr>
            <w:tcW w:w="78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Borders>
              <w:bottom w:val="single" w:sz="8" w:color="808080"/>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520" w:type="dxa"/>
            <w:vAlign w:val="bottom"/>
            <w:tcBorders>
              <w:bottom w:val="single" w:sz="8" w:color="808080"/>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860" w:type="dxa"/>
            <w:vAlign w:val="bottom"/>
            <w:gridSpan w:val="2"/>
          </w:tcPr>
          <w:p>
            <w:pPr>
              <w:spacing w:after="0"/>
              <w:rPr>
                <w:sz w:val="20"/>
                <w:szCs w:val="20"/>
                <w:color w:val="auto"/>
              </w:rPr>
            </w:pPr>
            <w:r>
              <w:rPr>
                <w:rFonts w:ascii="Arial" w:cs="Arial" w:eastAsia="Arial" w:hAnsi="Arial"/>
                <w:sz w:val="18"/>
                <w:szCs w:val="18"/>
                <w:color w:val="auto"/>
              </w:rPr>
              <w:t>Pro forma net income (loss), basic</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87"/>
              </w:rPr>
              <w:t>55,638</w:t>
            </w:r>
          </w:p>
        </w:tc>
        <w:tc>
          <w:tcPr>
            <w:tcW w:w="44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78"/>
              </w:rPr>
              <w:t>41,319)</w:t>
            </w: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840" w:type="dxa"/>
            <w:vAlign w:val="bottom"/>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tcBorders>
              <w:left w:val="single" w:sz="8" w:color="808080"/>
              <w:right w:val="single" w:sz="8" w:color="808080"/>
            </w:tcBorders>
            <w:shd w:val="clear" w:color="auto" w:fill="808080"/>
          </w:tcPr>
          <w:p>
            <w:pPr>
              <w:spacing w:after="0"/>
              <w:rPr>
                <w:sz w:val="5"/>
                <w:szCs w:val="5"/>
                <w:color w:val="auto"/>
              </w:rPr>
            </w:pPr>
          </w:p>
        </w:tc>
        <w:tc>
          <w:tcPr>
            <w:tcW w:w="440" w:type="dxa"/>
            <w:vAlign w:val="bottom"/>
          </w:tcPr>
          <w:p>
            <w:pPr>
              <w:spacing w:after="0"/>
              <w:rPr>
                <w:sz w:val="5"/>
                <w:szCs w:val="5"/>
                <w:color w:val="auto"/>
              </w:rPr>
            </w:pPr>
          </w:p>
        </w:tc>
        <w:tc>
          <w:tcPr>
            <w:tcW w:w="540" w:type="dxa"/>
            <w:vAlign w:val="bottom"/>
          </w:tcPr>
          <w:p>
            <w:pPr>
              <w:spacing w:after="0"/>
              <w:rPr>
                <w:sz w:val="5"/>
                <w:szCs w:val="5"/>
                <w:color w:val="auto"/>
              </w:rPr>
            </w:pPr>
          </w:p>
        </w:tc>
        <w:tc>
          <w:tcPr>
            <w:tcW w:w="560" w:type="dxa"/>
            <w:vAlign w:val="bottom"/>
          </w:tcPr>
          <w:p>
            <w:pPr>
              <w:spacing w:after="0"/>
              <w:rPr>
                <w:sz w:val="5"/>
                <w:szCs w:val="5"/>
                <w:color w:val="auto"/>
              </w:rPr>
            </w:pPr>
          </w:p>
        </w:tc>
        <w:tc>
          <w:tcPr>
            <w:tcW w:w="520" w:type="dxa"/>
            <w:vAlign w:val="bottom"/>
            <w:tcBorders>
              <w:left w:val="single" w:sz="8" w:color="808080"/>
              <w:right w:val="single" w:sz="8" w:color="808080"/>
            </w:tcBorders>
            <w:shd w:val="clear" w:color="auto" w:fill="808080"/>
          </w:tcPr>
          <w:p>
            <w:pPr>
              <w:spacing w:after="0"/>
              <w:rPr>
                <w:sz w:val="5"/>
                <w:szCs w:val="5"/>
                <w:color w:val="auto"/>
              </w:rPr>
            </w:pPr>
          </w:p>
        </w:tc>
        <w:tc>
          <w:tcPr>
            <w:tcW w:w="6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840" w:type="dxa"/>
            <w:vAlign w:val="bottom"/>
            <w:shd w:val="clear" w:color="auto" w:fill="EEEEEE"/>
          </w:tcPr>
          <w:p>
            <w:pPr>
              <w:spacing w:after="0"/>
              <w:rPr>
                <w:sz w:val="20"/>
                <w:szCs w:val="20"/>
                <w:color w:val="auto"/>
              </w:rPr>
            </w:pPr>
            <w:r>
              <w:rPr>
                <w:rFonts w:ascii="Arial" w:cs="Arial" w:eastAsia="Arial" w:hAnsi="Arial"/>
                <w:sz w:val="18"/>
                <w:szCs w:val="18"/>
                <w:color w:val="auto"/>
              </w:rPr>
              <w:t>Pro forma net income (loss), diluted</w:t>
            </w:r>
          </w:p>
        </w:tc>
        <w:tc>
          <w:tcPr>
            <w:tcW w:w="3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20" w:type="dxa"/>
            <w:vAlign w:val="bottom"/>
            <w:tcBorders>
              <w:left w:val="single" w:sz="8" w:color="EEEEEE"/>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7"/>
              </w:rPr>
              <w:t>58,388</w:t>
            </w:r>
          </w:p>
        </w:tc>
        <w:tc>
          <w:tcPr>
            <w:tcW w:w="440" w:type="dxa"/>
            <w:vAlign w:val="bottom"/>
            <w:shd w:val="clear" w:color="auto" w:fill="EEEEEE"/>
          </w:tcPr>
          <w:p>
            <w:pPr>
              <w:spacing w:after="0"/>
              <w:rPr>
                <w:sz w:val="19"/>
                <w:szCs w:val="19"/>
                <w:color w:val="auto"/>
              </w:rPr>
            </w:pPr>
          </w:p>
        </w:tc>
        <w:tc>
          <w:tcPr>
            <w:tcW w:w="2260" w:type="dxa"/>
            <w:vAlign w:val="bottom"/>
            <w:gridSpan w:val="4"/>
            <w:shd w:val="clear" w:color="auto" w:fill="EEEEEE"/>
          </w:tcPr>
          <w:p>
            <w:pPr>
              <w:jc w:val="right"/>
              <w:ind w:right="600"/>
              <w:spacing w:after="0"/>
              <w:rPr>
                <w:sz w:val="20"/>
                <w:szCs w:val="20"/>
                <w:color w:val="auto"/>
              </w:rPr>
            </w:pPr>
            <w:r>
              <w:rPr>
                <w:rFonts w:ascii="Arial" w:cs="Arial" w:eastAsia="Arial" w:hAnsi="Arial"/>
                <w:sz w:val="18"/>
                <w:szCs w:val="18"/>
                <w:color w:val="auto"/>
              </w:rPr>
              <w:t>($41,319)</w:t>
            </w:r>
          </w:p>
        </w:tc>
        <w:tc>
          <w:tcPr>
            <w:tcW w:w="0" w:type="dxa"/>
            <w:vAlign w:val="bottom"/>
          </w:tcPr>
          <w:p>
            <w:pPr>
              <w:spacing w:after="0"/>
              <w:rPr>
                <w:sz w:val="1"/>
                <w:szCs w:val="1"/>
                <w:color w:val="auto"/>
              </w:rPr>
            </w:pPr>
          </w:p>
        </w:tc>
      </w:tr>
      <w:tr>
        <w:trPr>
          <w:trHeight w:val="71"/>
        </w:trPr>
        <w:tc>
          <w:tcPr>
            <w:tcW w:w="7860" w:type="dxa"/>
            <w:vAlign w:val="bottom"/>
            <w:gridSpan w:val="2"/>
            <w:vMerge w:val="restart"/>
          </w:tcPr>
          <w:p>
            <w:pPr>
              <w:spacing w:after="0"/>
              <w:rPr>
                <w:sz w:val="20"/>
                <w:szCs w:val="20"/>
                <w:color w:val="auto"/>
              </w:rPr>
            </w:pPr>
            <w:r>
              <w:rPr>
                <w:rFonts w:ascii="Arial" w:cs="Arial" w:eastAsia="Arial" w:hAnsi="Arial"/>
                <w:sz w:val="18"/>
                <w:szCs w:val="18"/>
                <w:color w:val="auto"/>
              </w:rPr>
              <w:t>Basic net income (loss) per share amounts:</w:t>
            </w:r>
          </w:p>
        </w:tc>
        <w:tc>
          <w:tcPr>
            <w:tcW w:w="340" w:type="dxa"/>
            <w:vAlign w:val="bottom"/>
          </w:tcPr>
          <w:p>
            <w:pPr>
              <w:spacing w:after="0"/>
              <w:rPr>
                <w:sz w:val="6"/>
                <w:szCs w:val="6"/>
                <w:color w:val="auto"/>
              </w:rPr>
            </w:pPr>
          </w:p>
        </w:tc>
        <w:tc>
          <w:tcPr>
            <w:tcW w:w="520" w:type="dxa"/>
            <w:vAlign w:val="bottom"/>
            <w:tcBorders>
              <w:left w:val="single" w:sz="8" w:color="808080"/>
              <w:right w:val="single" w:sz="8" w:color="808080"/>
            </w:tcBorders>
            <w:shd w:val="clear" w:color="auto" w:fill="808080"/>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560" w:type="dxa"/>
            <w:vAlign w:val="bottom"/>
          </w:tcPr>
          <w:p>
            <w:pPr>
              <w:spacing w:after="0"/>
              <w:rPr>
                <w:sz w:val="6"/>
                <w:szCs w:val="6"/>
                <w:color w:val="auto"/>
              </w:rPr>
            </w:pPr>
          </w:p>
        </w:tc>
        <w:tc>
          <w:tcPr>
            <w:tcW w:w="520" w:type="dxa"/>
            <w:vAlign w:val="bottom"/>
            <w:tcBorders>
              <w:left w:val="single" w:sz="8" w:color="808080"/>
              <w:right w:val="single" w:sz="8" w:color="808080"/>
            </w:tcBorders>
            <w:shd w:val="clear" w:color="auto" w:fill="808080"/>
          </w:tcPr>
          <w:p>
            <w:pPr>
              <w:spacing w:after="0"/>
              <w:rPr>
                <w:sz w:val="6"/>
                <w:szCs w:val="6"/>
                <w:color w:val="auto"/>
              </w:rPr>
            </w:pPr>
          </w:p>
        </w:tc>
        <w:tc>
          <w:tcPr>
            <w:tcW w:w="6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6"/>
        </w:trPr>
        <w:tc>
          <w:tcPr>
            <w:tcW w:w="7860" w:type="dxa"/>
            <w:vAlign w:val="bottom"/>
            <w:gridSpan w:val="2"/>
            <w:vMerge w:val="continue"/>
          </w:tcPr>
          <w:p>
            <w:pPr>
              <w:spacing w:after="0"/>
              <w:rPr>
                <w:sz w:val="19"/>
                <w:szCs w:val="19"/>
                <w:color w:val="auto"/>
              </w:rPr>
            </w:pPr>
          </w:p>
        </w:tc>
        <w:tc>
          <w:tcPr>
            <w:tcW w:w="3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840" w:type="dxa"/>
            <w:vAlign w:val="bottom"/>
            <w:shd w:val="clear" w:color="auto" w:fill="EEEEEE"/>
          </w:tcPr>
          <w:p>
            <w:pPr>
              <w:ind w:left="120"/>
              <w:spacing w:after="0"/>
              <w:rPr>
                <w:sz w:val="20"/>
                <w:szCs w:val="20"/>
                <w:color w:val="auto"/>
              </w:rPr>
            </w:pPr>
            <w:r>
              <w:rPr>
                <w:rFonts w:ascii="Arial" w:cs="Arial" w:eastAsia="Arial" w:hAnsi="Arial"/>
                <w:sz w:val="18"/>
                <w:szCs w:val="18"/>
                <w:color w:val="auto"/>
              </w:rPr>
              <w:t>As reported</w:t>
            </w:r>
          </w:p>
        </w:tc>
        <w:tc>
          <w:tcPr>
            <w:tcW w:w="3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20" w:type="dxa"/>
            <w:vAlign w:val="bottom"/>
            <w:tcBorders>
              <w:left w:val="single" w:sz="8" w:color="EEEEEE"/>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1.17</w:t>
            </w:r>
          </w:p>
        </w:tc>
        <w:tc>
          <w:tcPr>
            <w:tcW w:w="440" w:type="dxa"/>
            <w:vAlign w:val="bottom"/>
            <w:shd w:val="clear" w:color="auto" w:fill="EEEEEE"/>
          </w:tcPr>
          <w:p>
            <w:pPr>
              <w:spacing w:after="0"/>
              <w:rPr>
                <w:sz w:val="19"/>
                <w:szCs w:val="19"/>
                <w:color w:val="auto"/>
              </w:rPr>
            </w:pPr>
          </w:p>
        </w:tc>
        <w:tc>
          <w:tcPr>
            <w:tcW w:w="11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left w:val="single" w:sz="8" w:color="EEEEEE"/>
            </w:tcBorders>
            <w:gridSpan w:val="2"/>
            <w:shd w:val="clear" w:color="auto" w:fill="EEEEEE"/>
          </w:tcPr>
          <w:p>
            <w:pPr>
              <w:jc w:val="right"/>
              <w:ind w:right="600"/>
              <w:spacing w:after="0"/>
              <w:rPr>
                <w:sz w:val="20"/>
                <w:szCs w:val="20"/>
                <w:color w:val="auto"/>
              </w:rPr>
            </w:pPr>
            <w:r>
              <w:rPr>
                <w:rFonts w:ascii="Arial" w:cs="Arial" w:eastAsia="Arial" w:hAnsi="Arial"/>
                <w:sz w:val="18"/>
                <w:szCs w:val="18"/>
                <w:color w:val="auto"/>
              </w:rPr>
              <w:t>0.68)</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840" w:type="dxa"/>
            <w:vAlign w:val="bottom"/>
            <w:vMerge w:val="restart"/>
          </w:tcPr>
          <w:p>
            <w:pPr>
              <w:ind w:left="120"/>
              <w:spacing w:after="0"/>
              <w:rPr>
                <w:sz w:val="20"/>
                <w:szCs w:val="20"/>
                <w:color w:val="auto"/>
              </w:rPr>
            </w:pPr>
            <w:r>
              <w:rPr>
                <w:rFonts w:ascii="Arial" w:cs="Arial" w:eastAsia="Arial" w:hAnsi="Arial"/>
                <w:sz w:val="18"/>
                <w:szCs w:val="18"/>
                <w:color w:val="auto"/>
              </w:rPr>
              <w:t>Pro forma</w:t>
            </w:r>
          </w:p>
        </w:tc>
        <w:tc>
          <w:tcPr>
            <w:tcW w:w="3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520" w:type="dxa"/>
            <w:vAlign w:val="bottom"/>
            <w:tcBorders>
              <w:left w:val="single" w:sz="8" w:color="808080"/>
              <w:right w:val="single" w:sz="8" w:color="808080"/>
            </w:tcBorders>
            <w:shd w:val="clear" w:color="auto" w:fill="808080"/>
          </w:tcPr>
          <w:p>
            <w:pPr>
              <w:spacing w:after="0"/>
              <w:rPr>
                <w:sz w:val="5"/>
                <w:szCs w:val="5"/>
                <w:color w:val="auto"/>
              </w:rPr>
            </w:pPr>
          </w:p>
        </w:tc>
        <w:tc>
          <w:tcPr>
            <w:tcW w:w="440" w:type="dxa"/>
            <w:vAlign w:val="bottom"/>
          </w:tcPr>
          <w:p>
            <w:pPr>
              <w:spacing w:after="0"/>
              <w:rPr>
                <w:sz w:val="5"/>
                <w:szCs w:val="5"/>
                <w:color w:val="auto"/>
              </w:rPr>
            </w:pPr>
          </w:p>
        </w:tc>
        <w:tc>
          <w:tcPr>
            <w:tcW w:w="11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520" w:type="dxa"/>
            <w:vAlign w:val="bottom"/>
            <w:tcBorders>
              <w:left w:val="single" w:sz="8" w:color="808080"/>
              <w:right w:val="single" w:sz="8" w:color="808080"/>
            </w:tcBorders>
            <w:shd w:val="clear" w:color="auto" w:fill="808080"/>
          </w:tcPr>
          <w:p>
            <w:pPr>
              <w:spacing w:after="0"/>
              <w:rPr>
                <w:sz w:val="5"/>
                <w:szCs w:val="5"/>
                <w:color w:val="auto"/>
              </w:rPr>
            </w:pPr>
          </w:p>
        </w:tc>
        <w:tc>
          <w:tcPr>
            <w:tcW w:w="64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840" w:type="dxa"/>
            <w:vAlign w:val="bottom"/>
            <w:vMerge w:val="continue"/>
          </w:tcPr>
          <w:p>
            <w:pPr>
              <w:spacing w:after="0"/>
              <w:rPr>
                <w:sz w:val="20"/>
                <w:szCs w:val="20"/>
                <w:color w:val="auto"/>
              </w:rPr>
            </w:pPr>
          </w:p>
        </w:tc>
        <w:tc>
          <w:tcPr>
            <w:tcW w:w="340" w:type="dxa"/>
            <w:vAlign w:val="bottom"/>
            <w:vMerge w:val="continue"/>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1.01</w:t>
            </w:r>
          </w:p>
        </w:tc>
        <w:tc>
          <w:tcPr>
            <w:tcW w:w="440" w:type="dxa"/>
            <w:vAlign w:val="bottom"/>
          </w:tcPr>
          <w:p>
            <w:pPr>
              <w:spacing w:after="0"/>
              <w:rPr>
                <w:sz w:val="20"/>
                <w:szCs w:val="20"/>
                <w:color w:val="auto"/>
              </w:rPr>
            </w:pPr>
          </w:p>
        </w:tc>
        <w:tc>
          <w:tcPr>
            <w:tcW w:w="1100" w:type="dxa"/>
            <w:vAlign w:val="bottom"/>
            <w:gridSpan w:val="2"/>
            <w:vMerge w:val="continue"/>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0.93)</w:t>
            </w:r>
          </w:p>
        </w:tc>
        <w:tc>
          <w:tcPr>
            <w:tcW w:w="6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840" w:type="dxa"/>
            <w:vAlign w:val="bottom"/>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tcBorders>
              <w:left w:val="single" w:sz="8" w:color="808080"/>
              <w:right w:val="single" w:sz="8" w:color="808080"/>
            </w:tcBorders>
            <w:shd w:val="clear" w:color="auto" w:fill="808080"/>
          </w:tcPr>
          <w:p>
            <w:pPr>
              <w:spacing w:after="0"/>
              <w:rPr>
                <w:sz w:val="5"/>
                <w:szCs w:val="5"/>
                <w:color w:val="auto"/>
              </w:rPr>
            </w:pPr>
          </w:p>
        </w:tc>
        <w:tc>
          <w:tcPr>
            <w:tcW w:w="440" w:type="dxa"/>
            <w:vAlign w:val="bottom"/>
          </w:tcPr>
          <w:p>
            <w:pPr>
              <w:spacing w:after="0"/>
              <w:rPr>
                <w:sz w:val="5"/>
                <w:szCs w:val="5"/>
                <w:color w:val="auto"/>
              </w:rPr>
            </w:pPr>
          </w:p>
        </w:tc>
        <w:tc>
          <w:tcPr>
            <w:tcW w:w="540" w:type="dxa"/>
            <w:vAlign w:val="bottom"/>
          </w:tcPr>
          <w:p>
            <w:pPr>
              <w:spacing w:after="0"/>
              <w:rPr>
                <w:sz w:val="5"/>
                <w:szCs w:val="5"/>
                <w:color w:val="auto"/>
              </w:rPr>
            </w:pPr>
          </w:p>
        </w:tc>
        <w:tc>
          <w:tcPr>
            <w:tcW w:w="560" w:type="dxa"/>
            <w:vAlign w:val="bottom"/>
          </w:tcPr>
          <w:p>
            <w:pPr>
              <w:spacing w:after="0"/>
              <w:rPr>
                <w:sz w:val="5"/>
                <w:szCs w:val="5"/>
                <w:color w:val="auto"/>
              </w:rPr>
            </w:pPr>
          </w:p>
        </w:tc>
        <w:tc>
          <w:tcPr>
            <w:tcW w:w="520" w:type="dxa"/>
            <w:vAlign w:val="bottom"/>
            <w:tcBorders>
              <w:left w:val="single" w:sz="8" w:color="808080"/>
              <w:right w:val="single" w:sz="8" w:color="808080"/>
            </w:tcBorders>
            <w:shd w:val="clear" w:color="auto" w:fill="808080"/>
          </w:tcPr>
          <w:p>
            <w:pPr>
              <w:spacing w:after="0"/>
              <w:rPr>
                <w:sz w:val="5"/>
                <w:szCs w:val="5"/>
                <w:color w:val="auto"/>
              </w:rPr>
            </w:pPr>
          </w:p>
        </w:tc>
        <w:tc>
          <w:tcPr>
            <w:tcW w:w="6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840" w:type="dxa"/>
            <w:vAlign w:val="bottom"/>
            <w:shd w:val="clear" w:color="auto" w:fill="EEEEEE"/>
          </w:tcPr>
          <w:p>
            <w:pPr>
              <w:spacing w:after="0"/>
              <w:rPr>
                <w:sz w:val="20"/>
                <w:szCs w:val="20"/>
                <w:color w:val="auto"/>
              </w:rPr>
            </w:pPr>
            <w:r>
              <w:rPr>
                <w:rFonts w:ascii="Arial" w:cs="Arial" w:eastAsia="Arial" w:hAnsi="Arial"/>
                <w:sz w:val="18"/>
                <w:szCs w:val="18"/>
                <w:color w:val="auto"/>
              </w:rPr>
              <w:t>Diluted net income (loss) per share amounts:</w:t>
            </w:r>
          </w:p>
        </w:tc>
        <w:tc>
          <w:tcPr>
            <w:tcW w:w="340" w:type="dxa"/>
            <w:vAlign w:val="bottom"/>
            <w:shd w:val="clear" w:color="auto" w:fill="EEEEEE"/>
          </w:tcPr>
          <w:p>
            <w:pPr>
              <w:spacing w:after="0"/>
              <w:rPr>
                <w:sz w:val="19"/>
                <w:szCs w:val="19"/>
                <w:color w:val="auto"/>
              </w:rPr>
            </w:pPr>
          </w:p>
        </w:tc>
        <w:tc>
          <w:tcPr>
            <w:tcW w:w="520" w:type="dxa"/>
            <w:vAlign w:val="bottom"/>
            <w:tcBorders>
              <w:left w:val="single" w:sz="8" w:color="EEEEEE"/>
              <w:right w:val="single" w:sz="8" w:color="EEEEEE"/>
            </w:tcBorders>
            <w:shd w:val="clear" w:color="auto" w:fill="EEEEEE"/>
          </w:tcPr>
          <w:p>
            <w:pPr>
              <w:spacing w:after="0"/>
              <w:rPr>
                <w:sz w:val="19"/>
                <w:szCs w:val="19"/>
                <w:color w:val="auto"/>
              </w:rPr>
            </w:pPr>
          </w:p>
        </w:tc>
        <w:tc>
          <w:tcPr>
            <w:tcW w:w="440" w:type="dxa"/>
            <w:vAlign w:val="bottom"/>
            <w:shd w:val="clear" w:color="auto" w:fill="EEEEEE"/>
          </w:tcPr>
          <w:p>
            <w:pPr>
              <w:spacing w:after="0"/>
              <w:rPr>
                <w:sz w:val="19"/>
                <w:szCs w:val="19"/>
                <w:color w:val="auto"/>
              </w:rPr>
            </w:pPr>
          </w:p>
        </w:tc>
        <w:tc>
          <w:tcPr>
            <w:tcW w:w="540" w:type="dxa"/>
            <w:vAlign w:val="bottom"/>
            <w:shd w:val="clear" w:color="auto" w:fill="EEEEEE"/>
          </w:tcPr>
          <w:p>
            <w:pPr>
              <w:spacing w:after="0"/>
              <w:rPr>
                <w:sz w:val="19"/>
                <w:szCs w:val="19"/>
                <w:color w:val="auto"/>
              </w:rPr>
            </w:pPr>
          </w:p>
        </w:tc>
        <w:tc>
          <w:tcPr>
            <w:tcW w:w="560" w:type="dxa"/>
            <w:vAlign w:val="bottom"/>
            <w:shd w:val="clear" w:color="auto" w:fill="EEEEEE"/>
          </w:tcPr>
          <w:p>
            <w:pPr>
              <w:spacing w:after="0"/>
              <w:rPr>
                <w:sz w:val="19"/>
                <w:szCs w:val="19"/>
                <w:color w:val="auto"/>
              </w:rPr>
            </w:pPr>
          </w:p>
        </w:tc>
        <w:tc>
          <w:tcPr>
            <w:tcW w:w="520" w:type="dxa"/>
            <w:vAlign w:val="bottom"/>
            <w:tcBorders>
              <w:left w:val="single" w:sz="8" w:color="EEEEEE"/>
              <w:right w:val="single" w:sz="8" w:color="EEEEEE"/>
            </w:tcBorders>
            <w:shd w:val="clear" w:color="auto" w:fill="EEEEEE"/>
          </w:tcPr>
          <w:p>
            <w:pPr>
              <w:spacing w:after="0"/>
              <w:rPr>
                <w:sz w:val="19"/>
                <w:szCs w:val="19"/>
                <w:color w:val="auto"/>
              </w:rPr>
            </w:pPr>
          </w:p>
        </w:tc>
        <w:tc>
          <w:tcPr>
            <w:tcW w:w="64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840" w:type="dxa"/>
            <w:vAlign w:val="bottom"/>
          </w:tcPr>
          <w:p>
            <w:pPr>
              <w:ind w:left="120"/>
              <w:spacing w:after="0"/>
              <w:rPr>
                <w:sz w:val="20"/>
                <w:szCs w:val="20"/>
                <w:color w:val="auto"/>
              </w:rPr>
            </w:pPr>
            <w:r>
              <w:rPr>
                <w:rFonts w:ascii="Arial" w:cs="Arial" w:eastAsia="Arial" w:hAnsi="Arial"/>
                <w:sz w:val="18"/>
                <w:szCs w:val="18"/>
                <w:color w:val="auto"/>
              </w:rPr>
              <w:t>As reported</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1.06</w:t>
            </w:r>
          </w:p>
        </w:tc>
        <w:tc>
          <w:tcPr>
            <w:tcW w:w="44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600"/>
              <w:spacing w:after="0"/>
              <w:rPr>
                <w:sz w:val="20"/>
                <w:szCs w:val="20"/>
                <w:color w:val="auto"/>
              </w:rPr>
            </w:pPr>
            <w:r>
              <w:rPr>
                <w:rFonts w:ascii="Arial" w:cs="Arial" w:eastAsia="Arial" w:hAnsi="Arial"/>
                <w:sz w:val="18"/>
                <w:szCs w:val="18"/>
                <w:color w:val="auto"/>
              </w:rPr>
              <w:t>0.68)</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840" w:type="dxa"/>
            <w:vAlign w:val="bottom"/>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tcBorders>
              <w:left w:val="single" w:sz="8" w:color="808080"/>
              <w:right w:val="single" w:sz="8" w:color="808080"/>
            </w:tcBorders>
            <w:shd w:val="clear" w:color="auto" w:fill="808080"/>
          </w:tcPr>
          <w:p>
            <w:pPr>
              <w:spacing w:after="0"/>
              <w:rPr>
                <w:sz w:val="5"/>
                <w:szCs w:val="5"/>
                <w:color w:val="auto"/>
              </w:rPr>
            </w:pPr>
          </w:p>
        </w:tc>
        <w:tc>
          <w:tcPr>
            <w:tcW w:w="440" w:type="dxa"/>
            <w:vAlign w:val="bottom"/>
          </w:tcPr>
          <w:p>
            <w:pPr>
              <w:spacing w:after="0"/>
              <w:rPr>
                <w:sz w:val="5"/>
                <w:szCs w:val="5"/>
                <w:color w:val="auto"/>
              </w:rPr>
            </w:pPr>
          </w:p>
        </w:tc>
        <w:tc>
          <w:tcPr>
            <w:tcW w:w="540" w:type="dxa"/>
            <w:vAlign w:val="bottom"/>
          </w:tcPr>
          <w:p>
            <w:pPr>
              <w:spacing w:after="0"/>
              <w:rPr>
                <w:sz w:val="5"/>
                <w:szCs w:val="5"/>
                <w:color w:val="auto"/>
              </w:rPr>
            </w:pPr>
          </w:p>
        </w:tc>
        <w:tc>
          <w:tcPr>
            <w:tcW w:w="560" w:type="dxa"/>
            <w:vAlign w:val="bottom"/>
          </w:tcPr>
          <w:p>
            <w:pPr>
              <w:spacing w:after="0"/>
              <w:rPr>
                <w:sz w:val="5"/>
                <w:szCs w:val="5"/>
                <w:color w:val="auto"/>
              </w:rPr>
            </w:pPr>
          </w:p>
        </w:tc>
        <w:tc>
          <w:tcPr>
            <w:tcW w:w="520" w:type="dxa"/>
            <w:vAlign w:val="bottom"/>
            <w:tcBorders>
              <w:left w:val="single" w:sz="8" w:color="808080"/>
              <w:right w:val="single" w:sz="8" w:color="808080"/>
            </w:tcBorders>
            <w:shd w:val="clear" w:color="auto" w:fill="808080"/>
          </w:tcPr>
          <w:p>
            <w:pPr>
              <w:spacing w:after="0"/>
              <w:rPr>
                <w:sz w:val="5"/>
                <w:szCs w:val="5"/>
                <w:color w:val="auto"/>
              </w:rPr>
            </w:pPr>
          </w:p>
        </w:tc>
        <w:tc>
          <w:tcPr>
            <w:tcW w:w="6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840" w:type="dxa"/>
            <w:vAlign w:val="bottom"/>
            <w:shd w:val="clear" w:color="auto" w:fill="EEEEEE"/>
          </w:tcPr>
          <w:p>
            <w:pPr>
              <w:ind w:left="120"/>
              <w:spacing w:after="0"/>
              <w:rPr>
                <w:sz w:val="20"/>
                <w:szCs w:val="20"/>
                <w:color w:val="auto"/>
              </w:rPr>
            </w:pPr>
            <w:r>
              <w:rPr>
                <w:rFonts w:ascii="Arial" w:cs="Arial" w:eastAsia="Arial" w:hAnsi="Arial"/>
                <w:sz w:val="18"/>
                <w:szCs w:val="18"/>
                <w:color w:val="auto"/>
              </w:rPr>
              <w:t>Pro forma</w:t>
            </w:r>
          </w:p>
        </w:tc>
        <w:tc>
          <w:tcPr>
            <w:tcW w:w="3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20" w:type="dxa"/>
            <w:vAlign w:val="bottom"/>
            <w:tcBorders>
              <w:left w:val="single" w:sz="8" w:color="EEEEEE"/>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0.92</w:t>
            </w:r>
          </w:p>
        </w:tc>
        <w:tc>
          <w:tcPr>
            <w:tcW w:w="440" w:type="dxa"/>
            <w:vAlign w:val="bottom"/>
            <w:shd w:val="clear" w:color="auto" w:fill="EEEEEE"/>
          </w:tcPr>
          <w:p>
            <w:pPr>
              <w:spacing w:after="0"/>
              <w:rPr>
                <w:sz w:val="19"/>
                <w:szCs w:val="19"/>
                <w:color w:val="auto"/>
              </w:rPr>
            </w:pPr>
          </w:p>
        </w:tc>
        <w:tc>
          <w:tcPr>
            <w:tcW w:w="11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left w:val="single" w:sz="8" w:color="EEEEEE"/>
            </w:tcBorders>
            <w:gridSpan w:val="2"/>
            <w:shd w:val="clear" w:color="auto" w:fill="EEEEEE"/>
          </w:tcPr>
          <w:p>
            <w:pPr>
              <w:jc w:val="right"/>
              <w:ind w:right="600"/>
              <w:spacing w:after="0"/>
              <w:rPr>
                <w:sz w:val="20"/>
                <w:szCs w:val="20"/>
                <w:color w:val="auto"/>
              </w:rPr>
            </w:pPr>
            <w:r>
              <w:rPr>
                <w:rFonts w:ascii="Arial" w:cs="Arial" w:eastAsia="Arial" w:hAnsi="Arial"/>
                <w:sz w:val="18"/>
                <w:szCs w:val="18"/>
                <w:color w:val="auto"/>
              </w:rPr>
              <w:t>0.93)</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840" w:type="dxa"/>
            <w:vAlign w:val="bottom"/>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tcBorders>
              <w:left w:val="single" w:sz="8" w:color="808080"/>
              <w:right w:val="single" w:sz="8" w:color="808080"/>
            </w:tcBorders>
            <w:shd w:val="clear" w:color="auto" w:fill="808080"/>
          </w:tcPr>
          <w:p>
            <w:pPr>
              <w:spacing w:after="0"/>
              <w:rPr>
                <w:sz w:val="5"/>
                <w:szCs w:val="5"/>
                <w:color w:val="auto"/>
              </w:rPr>
            </w:pPr>
          </w:p>
        </w:tc>
        <w:tc>
          <w:tcPr>
            <w:tcW w:w="440" w:type="dxa"/>
            <w:vAlign w:val="bottom"/>
          </w:tcPr>
          <w:p>
            <w:pPr>
              <w:spacing w:after="0"/>
              <w:rPr>
                <w:sz w:val="5"/>
                <w:szCs w:val="5"/>
                <w:color w:val="auto"/>
              </w:rPr>
            </w:pPr>
          </w:p>
        </w:tc>
        <w:tc>
          <w:tcPr>
            <w:tcW w:w="540" w:type="dxa"/>
            <w:vAlign w:val="bottom"/>
          </w:tcPr>
          <w:p>
            <w:pPr>
              <w:spacing w:after="0"/>
              <w:rPr>
                <w:sz w:val="5"/>
                <w:szCs w:val="5"/>
                <w:color w:val="auto"/>
              </w:rPr>
            </w:pPr>
          </w:p>
        </w:tc>
        <w:tc>
          <w:tcPr>
            <w:tcW w:w="560" w:type="dxa"/>
            <w:vAlign w:val="bottom"/>
          </w:tcPr>
          <w:p>
            <w:pPr>
              <w:spacing w:after="0"/>
              <w:rPr>
                <w:sz w:val="5"/>
                <w:szCs w:val="5"/>
                <w:color w:val="auto"/>
              </w:rPr>
            </w:pPr>
          </w:p>
        </w:tc>
        <w:tc>
          <w:tcPr>
            <w:tcW w:w="520" w:type="dxa"/>
            <w:vAlign w:val="bottom"/>
            <w:tcBorders>
              <w:left w:val="single" w:sz="8" w:color="808080"/>
              <w:right w:val="single" w:sz="8" w:color="808080"/>
            </w:tcBorders>
            <w:shd w:val="clear" w:color="auto" w:fill="808080"/>
          </w:tcPr>
          <w:p>
            <w:pPr>
              <w:spacing w:after="0"/>
              <w:rPr>
                <w:sz w:val="5"/>
                <w:szCs w:val="5"/>
                <w:color w:val="auto"/>
              </w:rPr>
            </w:pPr>
          </w:p>
        </w:tc>
        <w:tc>
          <w:tcPr>
            <w:tcW w:w="6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12" w:lineRule="exact"/>
        <w:rPr>
          <w:sz w:val="20"/>
          <w:szCs w:val="20"/>
          <w:color w:val="auto"/>
        </w:rPr>
      </w:pPr>
    </w:p>
    <w:p>
      <w:pPr>
        <w:ind w:left="220"/>
        <w:spacing w:after="0" w:line="259" w:lineRule="auto"/>
        <w:rPr>
          <w:sz w:val="20"/>
          <w:szCs w:val="20"/>
          <w:color w:val="auto"/>
        </w:rPr>
      </w:pPr>
      <w:r>
        <w:rPr>
          <w:rFonts w:ascii="Arial" w:cs="Arial" w:eastAsia="Arial" w:hAnsi="Arial"/>
          <w:sz w:val="18"/>
          <w:szCs w:val="18"/>
          <w:color w:val="auto"/>
        </w:rPr>
        <w:t>For the purpose of the pro forma calculation, the fair value of each option granted from the Company’s stock-based incentive plans during the three months ended March 31, 2004 and 2003 was estimated on the date of grant using the Black-Scholes option-pricing model. The weighted-average fair value of the options granted during the three months ended March 31, 2004 and 2003 was $11.00 and $14.36, respectively. The following tables summarize the assumptions used in computing the fair value of option grants.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526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4140" w:type="dxa"/>
            <w:vAlign w:val="bottom"/>
            <w:gridSpan w:val="3"/>
          </w:tcPr>
          <w:p>
            <w:pPr>
              <w:jc w:val="right"/>
              <w:ind w:right="2010"/>
              <w:spacing w:after="0"/>
              <w:rPr>
                <w:sz w:val="20"/>
                <w:szCs w:val="20"/>
                <w:color w:val="auto"/>
              </w:rPr>
            </w:pPr>
            <w:r>
              <w:rPr>
                <w:rFonts w:ascii="Arial" w:cs="Arial" w:eastAsia="Arial" w:hAnsi="Arial"/>
                <w:sz w:val="14"/>
                <w:szCs w:val="14"/>
                <w:b w:val="1"/>
                <w:bCs w:val="1"/>
                <w:color w:val="auto"/>
                <w:w w:val="97"/>
              </w:rPr>
              <w:t>Three months ended March 31,</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5260" w:type="dxa"/>
            <w:vAlign w:val="bottom"/>
          </w:tcPr>
          <w:p>
            <w:pPr>
              <w:spacing w:after="0"/>
              <w:rPr>
                <w:sz w:val="4"/>
                <w:szCs w:val="4"/>
                <w:color w:val="auto"/>
              </w:rPr>
            </w:pPr>
          </w:p>
        </w:tc>
        <w:tc>
          <w:tcPr>
            <w:tcW w:w="2000" w:type="dxa"/>
            <w:vAlign w:val="bottom"/>
            <w:tcBorders>
              <w:bottom w:val="single" w:sz="8" w:color="808080"/>
            </w:tcBorders>
          </w:tcPr>
          <w:p>
            <w:pPr>
              <w:spacing w:after="0"/>
              <w:rPr>
                <w:sz w:val="4"/>
                <w:szCs w:val="4"/>
                <w:color w:val="auto"/>
              </w:rPr>
            </w:pPr>
          </w:p>
        </w:tc>
        <w:tc>
          <w:tcPr>
            <w:tcW w:w="840" w:type="dxa"/>
            <w:vAlign w:val="bottom"/>
            <w:tcBorders>
              <w:bottom w:val="single" w:sz="8" w:color="808080"/>
            </w:tcBorders>
          </w:tcPr>
          <w:p>
            <w:pPr>
              <w:spacing w:after="0"/>
              <w:rPr>
                <w:sz w:val="4"/>
                <w:szCs w:val="4"/>
                <w:color w:val="auto"/>
              </w:rPr>
            </w:pPr>
          </w:p>
        </w:tc>
        <w:tc>
          <w:tcPr>
            <w:tcW w:w="480" w:type="dxa"/>
            <w:vAlign w:val="bottom"/>
            <w:tcBorders>
              <w:bottom w:val="single" w:sz="8" w:color="808080"/>
            </w:tcBorders>
          </w:tcPr>
          <w:p>
            <w:pPr>
              <w:spacing w:after="0"/>
              <w:rPr>
                <w:sz w:val="4"/>
                <w:szCs w:val="4"/>
                <w:color w:val="auto"/>
              </w:rPr>
            </w:pPr>
          </w:p>
        </w:tc>
        <w:tc>
          <w:tcPr>
            <w:tcW w:w="282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260" w:type="dxa"/>
            <w:vAlign w:val="bottom"/>
          </w:tcPr>
          <w:p>
            <w:pPr>
              <w:spacing w:after="0"/>
              <w:rPr>
                <w:sz w:val="20"/>
                <w:szCs w:val="20"/>
                <w:color w:val="auto"/>
              </w:rPr>
            </w:pPr>
          </w:p>
        </w:tc>
        <w:tc>
          <w:tcPr>
            <w:tcW w:w="2000" w:type="dxa"/>
            <w:vAlign w:val="bottom"/>
          </w:tcPr>
          <w:p>
            <w:pPr>
              <w:jc w:val="right"/>
              <w:ind w:right="354"/>
              <w:spacing w:after="0"/>
              <w:rPr>
                <w:sz w:val="20"/>
                <w:szCs w:val="20"/>
                <w:color w:val="auto"/>
              </w:rPr>
            </w:pPr>
            <w:r>
              <w:rPr>
                <w:rFonts w:ascii="Arial" w:cs="Arial" w:eastAsia="Arial" w:hAnsi="Arial"/>
                <w:sz w:val="14"/>
                <w:szCs w:val="14"/>
                <w:b w:val="1"/>
                <w:bCs w:val="1"/>
                <w:color w:val="auto"/>
              </w:rPr>
              <w:t>2004</w:t>
            </w:r>
          </w:p>
        </w:tc>
        <w:tc>
          <w:tcPr>
            <w:tcW w:w="4140" w:type="dxa"/>
            <w:vAlign w:val="bottom"/>
            <w:gridSpan w:val="3"/>
          </w:tcPr>
          <w:p>
            <w:pPr>
              <w:jc w:val="right"/>
              <w:ind w:right="1170"/>
              <w:spacing w:after="0"/>
              <w:rPr>
                <w:sz w:val="20"/>
                <w:szCs w:val="20"/>
                <w:color w:val="auto"/>
              </w:rPr>
            </w:pPr>
            <w:r>
              <w:rPr>
                <w:rFonts w:ascii="Arial" w:cs="Arial" w:eastAsia="Arial" w:hAnsi="Arial"/>
                <w:sz w:val="14"/>
                <w:szCs w:val="14"/>
                <w:b w:val="1"/>
                <w:bCs w:val="1"/>
                <w:color w:val="auto"/>
              </w:rPr>
              <w:t>2003</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5260" w:type="dxa"/>
            <w:vAlign w:val="bottom"/>
          </w:tcPr>
          <w:p>
            <w:pPr>
              <w:spacing w:after="0"/>
              <w:rPr>
                <w:sz w:val="4"/>
                <w:szCs w:val="4"/>
                <w:color w:val="auto"/>
              </w:rPr>
            </w:pPr>
          </w:p>
        </w:tc>
        <w:tc>
          <w:tcPr>
            <w:tcW w:w="2000" w:type="dxa"/>
            <w:vAlign w:val="bottom"/>
            <w:tcBorders>
              <w:bottom w:val="single" w:sz="8" w:color="808080"/>
            </w:tcBorders>
          </w:tcPr>
          <w:p>
            <w:pPr>
              <w:spacing w:after="0"/>
              <w:rPr>
                <w:sz w:val="4"/>
                <w:szCs w:val="4"/>
                <w:color w:val="auto"/>
              </w:rPr>
            </w:pPr>
          </w:p>
        </w:tc>
        <w:tc>
          <w:tcPr>
            <w:tcW w:w="840" w:type="dxa"/>
            <w:vAlign w:val="bottom"/>
            <w:tcBorders>
              <w:bottom w:val="single" w:sz="8" w:color="808080"/>
            </w:tcBorders>
          </w:tcPr>
          <w:p>
            <w:pPr>
              <w:spacing w:after="0"/>
              <w:rPr>
                <w:sz w:val="4"/>
                <w:szCs w:val="4"/>
                <w:color w:val="auto"/>
              </w:rPr>
            </w:pPr>
          </w:p>
        </w:tc>
        <w:tc>
          <w:tcPr>
            <w:tcW w:w="480" w:type="dxa"/>
            <w:vAlign w:val="bottom"/>
          </w:tcPr>
          <w:p>
            <w:pPr>
              <w:spacing w:after="0"/>
              <w:rPr>
                <w:sz w:val="4"/>
                <w:szCs w:val="4"/>
                <w:color w:val="auto"/>
              </w:rPr>
            </w:pPr>
          </w:p>
        </w:tc>
        <w:tc>
          <w:tcPr>
            <w:tcW w:w="282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5260" w:type="dxa"/>
            <w:vAlign w:val="bottom"/>
          </w:tcPr>
          <w:p>
            <w:pPr>
              <w:spacing w:after="0"/>
              <w:rPr>
                <w:sz w:val="6"/>
                <w:szCs w:val="6"/>
                <w:color w:val="auto"/>
              </w:rPr>
            </w:pPr>
          </w:p>
        </w:tc>
        <w:tc>
          <w:tcPr>
            <w:tcW w:w="2000" w:type="dxa"/>
            <w:vAlign w:val="bottom"/>
          </w:tcPr>
          <w:p>
            <w:pPr>
              <w:spacing w:after="0"/>
              <w:rPr>
                <w:sz w:val="6"/>
                <w:szCs w:val="6"/>
                <w:color w:val="auto"/>
              </w:rPr>
            </w:pPr>
          </w:p>
        </w:tc>
        <w:tc>
          <w:tcPr>
            <w:tcW w:w="840" w:type="dxa"/>
            <w:vAlign w:val="bottom"/>
          </w:tcPr>
          <w:p>
            <w:pPr>
              <w:spacing w:after="0"/>
              <w:rPr>
                <w:sz w:val="6"/>
                <w:szCs w:val="6"/>
                <w:color w:val="auto"/>
              </w:rPr>
            </w:pPr>
          </w:p>
        </w:tc>
        <w:tc>
          <w:tcPr>
            <w:tcW w:w="480" w:type="dxa"/>
            <w:vAlign w:val="bottom"/>
          </w:tcPr>
          <w:p>
            <w:pPr>
              <w:spacing w:after="0"/>
              <w:rPr>
                <w:sz w:val="6"/>
                <w:szCs w:val="6"/>
                <w:color w:val="auto"/>
              </w:rPr>
            </w:pPr>
          </w:p>
        </w:tc>
        <w:tc>
          <w:tcPr>
            <w:tcW w:w="28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shd w:val="clear" w:color="auto" w:fill="EEEEEE"/>
          </w:tcPr>
          <w:p>
            <w:pPr>
              <w:spacing w:after="0"/>
              <w:rPr>
                <w:sz w:val="20"/>
                <w:szCs w:val="20"/>
                <w:color w:val="auto"/>
              </w:rPr>
            </w:pPr>
            <w:r>
              <w:rPr>
                <w:rFonts w:ascii="Arial" w:cs="Arial" w:eastAsia="Arial" w:hAnsi="Arial"/>
                <w:sz w:val="18"/>
                <w:szCs w:val="18"/>
                <w:color w:val="auto"/>
              </w:rPr>
              <w:t>Expected volatility</w:t>
            </w:r>
          </w:p>
        </w:tc>
        <w:tc>
          <w:tcPr>
            <w:tcW w:w="2000" w:type="dxa"/>
            <w:vAlign w:val="bottom"/>
            <w:shd w:val="clear" w:color="auto" w:fill="EEEEEE"/>
          </w:tcPr>
          <w:p>
            <w:pPr>
              <w:jc w:val="right"/>
              <w:ind w:right="34"/>
              <w:spacing w:after="0"/>
              <w:rPr>
                <w:sz w:val="20"/>
                <w:szCs w:val="20"/>
                <w:color w:val="auto"/>
              </w:rPr>
            </w:pPr>
            <w:r>
              <w:rPr>
                <w:rFonts w:ascii="Arial" w:cs="Arial" w:eastAsia="Arial" w:hAnsi="Arial"/>
                <w:sz w:val="18"/>
                <w:szCs w:val="18"/>
                <w:color w:val="auto"/>
              </w:rPr>
              <w:t>80%</w:t>
            </w:r>
          </w:p>
        </w:tc>
        <w:tc>
          <w:tcPr>
            <w:tcW w:w="4140" w:type="dxa"/>
            <w:vAlign w:val="bottom"/>
            <w:gridSpan w:val="3"/>
            <w:shd w:val="clear" w:color="auto" w:fill="EEEEEE"/>
          </w:tcPr>
          <w:p>
            <w:pPr>
              <w:jc w:val="right"/>
              <w:ind w:right="87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Expected lives</w:t>
            </w:r>
          </w:p>
        </w:tc>
        <w:tc>
          <w:tcPr>
            <w:tcW w:w="2000" w:type="dxa"/>
            <w:vAlign w:val="bottom"/>
          </w:tcPr>
          <w:p>
            <w:pPr>
              <w:jc w:val="right"/>
              <w:ind w:right="34"/>
              <w:spacing w:after="0"/>
              <w:rPr>
                <w:sz w:val="20"/>
                <w:szCs w:val="20"/>
                <w:color w:val="auto"/>
              </w:rPr>
            </w:pPr>
            <w:r>
              <w:rPr>
                <w:rFonts w:ascii="Arial" w:cs="Arial" w:eastAsia="Arial" w:hAnsi="Arial"/>
                <w:sz w:val="18"/>
                <w:szCs w:val="18"/>
                <w:color w:val="auto"/>
              </w:rPr>
              <w:t>5 years</w:t>
            </w:r>
          </w:p>
        </w:tc>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20" w:type="dxa"/>
            <w:vAlign w:val="bottom"/>
          </w:tcPr>
          <w:p>
            <w:pPr>
              <w:jc w:val="right"/>
              <w:ind w:right="870"/>
              <w:spacing w:after="0"/>
              <w:rPr>
                <w:sz w:val="20"/>
                <w:szCs w:val="20"/>
                <w:color w:val="auto"/>
              </w:rPr>
            </w:pPr>
            <w:r>
              <w:rPr>
                <w:rFonts w:ascii="Arial" w:cs="Arial" w:eastAsia="Arial" w:hAnsi="Arial"/>
                <w:sz w:val="18"/>
                <w:szCs w:val="18"/>
                <w:color w:val="auto"/>
              </w:rPr>
              <w:t>5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EEEEEE"/>
          </w:tcPr>
          <w:p>
            <w:pPr>
              <w:spacing w:after="0"/>
              <w:rPr>
                <w:sz w:val="20"/>
                <w:szCs w:val="20"/>
                <w:color w:val="auto"/>
              </w:rPr>
            </w:pPr>
            <w:r>
              <w:rPr>
                <w:rFonts w:ascii="Arial" w:cs="Arial" w:eastAsia="Arial" w:hAnsi="Arial"/>
                <w:sz w:val="18"/>
                <w:szCs w:val="18"/>
                <w:color w:val="auto"/>
              </w:rPr>
              <w:t>Dividend yield</w:t>
            </w:r>
          </w:p>
        </w:tc>
        <w:tc>
          <w:tcPr>
            <w:tcW w:w="2000" w:type="dxa"/>
            <w:vAlign w:val="bottom"/>
            <w:shd w:val="clear" w:color="auto" w:fill="EEEEEE"/>
          </w:tcPr>
          <w:p>
            <w:pPr>
              <w:jc w:val="right"/>
              <w:ind w:right="34"/>
              <w:spacing w:after="0"/>
              <w:rPr>
                <w:sz w:val="20"/>
                <w:szCs w:val="20"/>
                <w:color w:val="auto"/>
              </w:rPr>
            </w:pPr>
            <w:r>
              <w:rPr>
                <w:rFonts w:ascii="Arial" w:cs="Arial" w:eastAsia="Arial" w:hAnsi="Arial"/>
                <w:sz w:val="18"/>
                <w:szCs w:val="18"/>
                <w:color w:val="auto"/>
              </w:rPr>
              <w:t>0%</w:t>
            </w:r>
          </w:p>
        </w:tc>
        <w:tc>
          <w:tcPr>
            <w:tcW w:w="4140" w:type="dxa"/>
            <w:vAlign w:val="bottom"/>
            <w:gridSpan w:val="3"/>
            <w:shd w:val="clear" w:color="auto" w:fill="EEEEEE"/>
          </w:tcPr>
          <w:p>
            <w:pPr>
              <w:jc w:val="right"/>
              <w:ind w:right="87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Risk-free interest rate</w:t>
            </w:r>
          </w:p>
        </w:tc>
        <w:tc>
          <w:tcPr>
            <w:tcW w:w="2000" w:type="dxa"/>
            <w:vAlign w:val="bottom"/>
          </w:tcPr>
          <w:p>
            <w:pPr>
              <w:jc w:val="right"/>
              <w:ind w:right="34"/>
              <w:spacing w:after="0"/>
              <w:rPr>
                <w:sz w:val="20"/>
                <w:szCs w:val="20"/>
                <w:color w:val="auto"/>
              </w:rPr>
            </w:pPr>
            <w:r>
              <w:rPr>
                <w:rFonts w:ascii="Arial" w:cs="Arial" w:eastAsia="Arial" w:hAnsi="Arial"/>
                <w:sz w:val="18"/>
                <w:szCs w:val="18"/>
                <w:color w:val="auto"/>
              </w:rPr>
              <w:t>3.38%-4.19%</w:t>
            </w:r>
          </w:p>
        </w:tc>
        <w:tc>
          <w:tcPr>
            <w:tcW w:w="4140" w:type="dxa"/>
            <w:vAlign w:val="bottom"/>
            <w:gridSpan w:val="3"/>
          </w:tcPr>
          <w:p>
            <w:pPr>
              <w:jc w:val="right"/>
              <w:ind w:right="870"/>
              <w:spacing w:after="0"/>
              <w:rPr>
                <w:sz w:val="20"/>
                <w:szCs w:val="20"/>
                <w:color w:val="auto"/>
              </w:rPr>
            </w:pPr>
            <w:r>
              <w:rPr>
                <w:rFonts w:ascii="Arial" w:cs="Arial" w:eastAsia="Arial" w:hAnsi="Arial"/>
                <w:sz w:val="18"/>
                <w:szCs w:val="18"/>
                <w:color w:val="auto"/>
              </w:rPr>
              <w:t>3.12%-4.01%</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260" w:right="20"/>
        <w:spacing w:after="0" w:line="255" w:lineRule="auto"/>
        <w:rPr>
          <w:sz w:val="20"/>
          <w:szCs w:val="20"/>
          <w:color w:val="auto"/>
        </w:rPr>
      </w:pPr>
      <w:r>
        <w:rPr>
          <w:rFonts w:ascii="Arial" w:cs="Arial" w:eastAsia="Arial" w:hAnsi="Arial"/>
          <w:sz w:val="18"/>
          <w:szCs w:val="18"/>
          <w:color w:val="auto"/>
        </w:rPr>
        <w:t>Under the Regeneron Pharmaceuticals, Inc. 2000 Long-Term Incentive Plan, the Company awards shares of restricted stock. Restrictions on these shares generally lapse with respect to 25% of the shares every six months over approximately a two-year period. In accordance with generally accepted accounting principles, the Company records unearned compensation in Stockholders’ Equity related to these awards. The amount is based on the fair market value of shares of Common Stock on the grant date of the restricted stock award and is expensed, on a pro rata basis, over the period that the restrictions lapse. For the three months ended March 31, 2004 and 2003, the Company recognized compensation expense related to restricted stock awards of $671 and $587, respectively.</w:t>
      </w:r>
    </w:p>
    <w:p>
      <w:pPr>
        <w:spacing w:after="0" w:line="189" w:lineRule="exact"/>
        <w:rPr>
          <w:sz w:val="20"/>
          <w:szCs w:val="20"/>
          <w:color w:val="auto"/>
        </w:rPr>
      </w:pPr>
    </w:p>
    <w:p>
      <w:pPr>
        <w:ind w:left="260" w:hanging="252"/>
        <w:spacing w:after="0"/>
        <w:tabs>
          <w:tab w:leader="none" w:pos="2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Statement of Cash Flows</w:t>
      </w:r>
    </w:p>
    <w:p>
      <w:pPr>
        <w:spacing w:after="0" w:line="229" w:lineRule="exact"/>
        <w:rPr>
          <w:rFonts w:ascii="Arial" w:cs="Arial" w:eastAsia="Arial" w:hAnsi="Arial"/>
          <w:sz w:val="18"/>
          <w:szCs w:val="18"/>
          <w:b w:val="1"/>
          <w:bCs w:val="1"/>
          <w:color w:val="auto"/>
        </w:rPr>
      </w:pPr>
    </w:p>
    <w:p>
      <w:pPr>
        <w:ind w:left="260"/>
        <w:spacing w:after="0"/>
        <w:rPr>
          <w:rFonts w:ascii="Arial" w:cs="Arial" w:eastAsia="Arial" w:hAnsi="Arial"/>
          <w:sz w:val="18"/>
          <w:szCs w:val="18"/>
          <w:b w:val="1"/>
          <w:bCs w:val="1"/>
          <w:color w:val="auto"/>
        </w:rPr>
      </w:pPr>
      <w:r>
        <w:rPr>
          <w:rFonts w:ascii="Arial" w:cs="Arial" w:eastAsia="Arial" w:hAnsi="Arial"/>
          <w:sz w:val="18"/>
          <w:szCs w:val="18"/>
          <w:color w:val="auto"/>
        </w:rPr>
        <w:t>Supplemental disclosure of noncash investing and financing activities:</w:t>
      </w:r>
    </w:p>
    <w:p>
      <w:pPr>
        <w:spacing w:after="0" w:line="225" w:lineRule="exact"/>
        <w:rPr>
          <w:rFonts w:ascii="Arial" w:cs="Arial" w:eastAsia="Arial" w:hAnsi="Arial"/>
          <w:sz w:val="18"/>
          <w:szCs w:val="18"/>
          <w:b w:val="1"/>
          <w:bCs w:val="1"/>
          <w:color w:val="auto"/>
        </w:rPr>
      </w:pPr>
    </w:p>
    <w:p>
      <w:pPr>
        <w:ind w:left="260" w:right="40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Included in accounts payable and accrued expenses at March 31, 2004 and December 31, 2003 are $452 and $752, respectively, of accrued capital expenditures. Included in accounts payable and accrued expenses at March 31, 2003 and December 31, 2002 are $1,702 and $13,490, respectively, of accrued capital expenditures.</w:t>
      </w:r>
    </w:p>
    <w:p>
      <w:pPr>
        <w:spacing w:after="0" w:line="181" w:lineRule="exact"/>
        <w:rPr>
          <w:rFonts w:ascii="Arial" w:cs="Arial" w:eastAsia="Arial" w:hAnsi="Arial"/>
          <w:sz w:val="18"/>
          <w:szCs w:val="18"/>
          <w:b w:val="1"/>
          <w:bCs w:val="1"/>
          <w:color w:val="auto"/>
        </w:rPr>
      </w:pPr>
    </w:p>
    <w:p>
      <w:pPr>
        <w:jc w:val="both"/>
        <w:ind w:left="260" w:right="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Included in accounts payable and accrued expenses at December 31, 2003 and 2002 are $917 and $747, respectively, of accrued Company 401(k) Savings Plan contribution expense. In the first quarter of both 2004 and 2003, the Company contributed 64,333 and 42,543 shares, respectively, of Common Stock to the 401(k) Savings Plan in satisfaction of these obligations.</w:t>
      </w:r>
    </w:p>
    <w:p>
      <w:pPr>
        <w:spacing w:after="0" w:line="181" w:lineRule="exact"/>
        <w:rPr>
          <w:sz w:val="20"/>
          <w:szCs w:val="20"/>
          <w:color w:val="auto"/>
        </w:rPr>
      </w:pPr>
    </w:p>
    <w:p>
      <w:pPr>
        <w:ind w:left="260" w:right="300"/>
        <w:spacing w:after="0" w:line="308" w:lineRule="auto"/>
        <w:rPr>
          <w:sz w:val="20"/>
          <w:szCs w:val="20"/>
          <w:color w:val="auto"/>
        </w:rPr>
      </w:pPr>
      <w:r>
        <w:rPr>
          <w:rFonts w:ascii="Arial" w:cs="Arial" w:eastAsia="Arial" w:hAnsi="Arial"/>
          <w:sz w:val="17"/>
          <w:szCs w:val="17"/>
          <w:color w:val="auto"/>
        </w:rPr>
        <w:t>Included in marketable securities at March 31, 2004 and December 31, 2003 are $1,023 and $878, respectively, of accrued interest income. Included in marketable securities at March 31, 2003 and December 31, 2002 are $674 and $2,013, respectively, of accrued interest income.</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Accounts Receivable</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Accounts receivable as of March 31, 2004 and December 31, 2003 consist of the following:</w:t>
      </w:r>
    </w:p>
    <w:p>
      <w:pPr>
        <w:spacing w:after="0" w:line="200" w:lineRule="exact"/>
        <w:rPr>
          <w:sz w:val="20"/>
          <w:szCs w:val="20"/>
          <w:color w:val="auto"/>
        </w:rPr>
      </w:pPr>
    </w:p>
    <w:p>
      <w:pPr>
        <w:spacing w:after="0" w:line="220"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920" w:type="dxa"/>
            <w:vAlign w:val="bottom"/>
          </w:tcPr>
          <w:p>
            <w:pPr>
              <w:spacing w:after="0"/>
              <w:rPr>
                <w:sz w:val="14"/>
                <w:szCs w:val="14"/>
                <w:color w:val="auto"/>
              </w:rPr>
            </w:pPr>
          </w:p>
        </w:tc>
        <w:tc>
          <w:tcPr>
            <w:tcW w:w="1040" w:type="dxa"/>
            <w:vAlign w:val="bottom"/>
            <w:gridSpan w:val="3"/>
          </w:tcPr>
          <w:p>
            <w:pPr>
              <w:ind w:left="200"/>
              <w:spacing w:after="0"/>
              <w:rPr>
                <w:sz w:val="20"/>
                <w:szCs w:val="20"/>
                <w:color w:val="auto"/>
              </w:rPr>
            </w:pPr>
            <w:r>
              <w:rPr>
                <w:rFonts w:ascii="Arial" w:cs="Arial" w:eastAsia="Arial" w:hAnsi="Arial"/>
                <w:sz w:val="14"/>
                <w:szCs w:val="14"/>
                <w:b w:val="1"/>
                <w:bCs w:val="1"/>
                <w:color w:val="auto"/>
              </w:rPr>
              <w:t>March 31,</w:t>
            </w:r>
          </w:p>
        </w:tc>
        <w:tc>
          <w:tcPr>
            <w:tcW w:w="360" w:type="dxa"/>
            <w:vAlign w:val="bottom"/>
          </w:tcPr>
          <w:p>
            <w:pPr>
              <w:spacing w:after="0"/>
              <w:rPr>
                <w:sz w:val="14"/>
                <w:szCs w:val="14"/>
                <w:color w:val="auto"/>
              </w:rPr>
            </w:pPr>
          </w:p>
        </w:tc>
        <w:tc>
          <w:tcPr>
            <w:tcW w:w="12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December 31,</w:t>
            </w:r>
          </w:p>
        </w:tc>
      </w:tr>
      <w:tr>
        <w:trPr>
          <w:trHeight w:val="186"/>
        </w:trPr>
        <w:tc>
          <w:tcPr>
            <w:tcW w:w="5920" w:type="dxa"/>
            <w:vAlign w:val="bottom"/>
          </w:tcPr>
          <w:p>
            <w:pPr>
              <w:spacing w:after="0"/>
              <w:rPr>
                <w:sz w:val="16"/>
                <w:szCs w:val="16"/>
                <w:color w:val="auto"/>
              </w:rPr>
            </w:pPr>
          </w:p>
        </w:tc>
        <w:tc>
          <w:tcPr>
            <w:tcW w:w="7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2004</w:t>
            </w:r>
          </w:p>
        </w:tc>
        <w:tc>
          <w:tcPr>
            <w:tcW w:w="3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2003</w:t>
            </w:r>
          </w:p>
        </w:tc>
        <w:tc>
          <w:tcPr>
            <w:tcW w:w="420" w:type="dxa"/>
            <w:vAlign w:val="bottom"/>
          </w:tcPr>
          <w:p>
            <w:pPr>
              <w:spacing w:after="0"/>
              <w:rPr>
                <w:sz w:val="16"/>
                <w:szCs w:val="16"/>
                <w:color w:val="auto"/>
              </w:rPr>
            </w:pPr>
          </w:p>
        </w:tc>
      </w:tr>
      <w:tr>
        <w:trPr>
          <w:trHeight w:val="66"/>
        </w:trPr>
        <w:tc>
          <w:tcPr>
            <w:tcW w:w="5920" w:type="dxa"/>
            <w:vAlign w:val="bottom"/>
          </w:tcPr>
          <w:p>
            <w:pPr>
              <w:spacing w:after="0"/>
              <w:rPr>
                <w:sz w:val="5"/>
                <w:szCs w:val="5"/>
                <w:color w:val="auto"/>
              </w:rPr>
            </w:pPr>
          </w:p>
        </w:tc>
        <w:tc>
          <w:tcPr>
            <w:tcW w:w="240" w:type="dxa"/>
            <w:vAlign w:val="bottom"/>
            <w:tcBorders>
              <w:bottom w:val="single" w:sz="8" w:color="808080"/>
            </w:tcBorders>
          </w:tcPr>
          <w:p>
            <w:pPr>
              <w:spacing w:after="0"/>
              <w:rPr>
                <w:sz w:val="5"/>
                <w:szCs w:val="5"/>
                <w:color w:val="auto"/>
              </w:rPr>
            </w:pPr>
          </w:p>
        </w:tc>
        <w:tc>
          <w:tcPr>
            <w:tcW w:w="500" w:type="dxa"/>
            <w:vAlign w:val="bottom"/>
            <w:tcBorders>
              <w:bottom w:val="single" w:sz="8" w:color="808080"/>
            </w:tcBorders>
          </w:tcPr>
          <w:p>
            <w:pPr>
              <w:spacing w:after="0"/>
              <w:rPr>
                <w:sz w:val="5"/>
                <w:szCs w:val="5"/>
                <w:color w:val="auto"/>
              </w:rPr>
            </w:pPr>
          </w:p>
        </w:tc>
        <w:tc>
          <w:tcPr>
            <w:tcW w:w="300" w:type="dxa"/>
            <w:vAlign w:val="bottom"/>
            <w:tcBorders>
              <w:bottom w:val="single" w:sz="8" w:color="808080"/>
            </w:tcBorders>
          </w:tcPr>
          <w:p>
            <w:pPr>
              <w:spacing w:after="0"/>
              <w:rPr>
                <w:sz w:val="5"/>
                <w:szCs w:val="5"/>
                <w:color w:val="auto"/>
              </w:rPr>
            </w:pPr>
          </w:p>
        </w:tc>
        <w:tc>
          <w:tcPr>
            <w:tcW w:w="360" w:type="dxa"/>
            <w:vAlign w:val="bottom"/>
          </w:tcPr>
          <w:p>
            <w:pPr>
              <w:spacing w:after="0"/>
              <w:rPr>
                <w:sz w:val="5"/>
                <w:szCs w:val="5"/>
                <w:color w:val="auto"/>
              </w:rPr>
            </w:pPr>
          </w:p>
        </w:tc>
        <w:tc>
          <w:tcPr>
            <w:tcW w:w="320" w:type="dxa"/>
            <w:vAlign w:val="bottom"/>
            <w:tcBorders>
              <w:bottom w:val="single" w:sz="8" w:color="808080"/>
            </w:tcBorders>
          </w:tcPr>
          <w:p>
            <w:pPr>
              <w:spacing w:after="0"/>
              <w:rPr>
                <w:sz w:val="5"/>
                <w:szCs w:val="5"/>
                <w:color w:val="auto"/>
              </w:rPr>
            </w:pPr>
          </w:p>
        </w:tc>
        <w:tc>
          <w:tcPr>
            <w:tcW w:w="480" w:type="dxa"/>
            <w:vAlign w:val="bottom"/>
            <w:tcBorders>
              <w:bottom w:val="single" w:sz="8" w:color="808080"/>
            </w:tcBorders>
          </w:tcPr>
          <w:p>
            <w:pPr>
              <w:spacing w:after="0"/>
              <w:rPr>
                <w:sz w:val="5"/>
                <w:szCs w:val="5"/>
                <w:color w:val="auto"/>
              </w:rPr>
            </w:pPr>
          </w:p>
        </w:tc>
        <w:tc>
          <w:tcPr>
            <w:tcW w:w="420" w:type="dxa"/>
            <w:vAlign w:val="bottom"/>
            <w:tcBorders>
              <w:bottom w:val="single" w:sz="8" w:color="808080"/>
            </w:tcBorders>
          </w:tcPr>
          <w:p>
            <w:pPr>
              <w:spacing w:after="0"/>
              <w:rPr>
                <w:sz w:val="5"/>
                <w:szCs w:val="5"/>
                <w:color w:val="auto"/>
              </w:rPr>
            </w:pPr>
          </w:p>
        </w:tc>
      </w:tr>
      <w:tr>
        <w:trPr>
          <w:trHeight w:val="61"/>
        </w:trPr>
        <w:tc>
          <w:tcPr>
            <w:tcW w:w="5920" w:type="dxa"/>
            <w:vAlign w:val="bottom"/>
          </w:tcPr>
          <w:p>
            <w:pPr>
              <w:spacing w:after="0"/>
              <w:rPr>
                <w:sz w:val="5"/>
                <w:szCs w:val="5"/>
                <w:color w:val="auto"/>
              </w:rPr>
            </w:pPr>
          </w:p>
        </w:tc>
        <w:tc>
          <w:tcPr>
            <w:tcW w:w="240" w:type="dxa"/>
            <w:vAlign w:val="bottom"/>
          </w:tcPr>
          <w:p>
            <w:pPr>
              <w:spacing w:after="0"/>
              <w:rPr>
                <w:sz w:val="5"/>
                <w:szCs w:val="5"/>
                <w:color w:val="auto"/>
              </w:rPr>
            </w:pPr>
          </w:p>
        </w:tc>
        <w:tc>
          <w:tcPr>
            <w:tcW w:w="500" w:type="dxa"/>
            <w:vAlign w:val="bottom"/>
          </w:tcPr>
          <w:p>
            <w:pPr>
              <w:spacing w:after="0"/>
              <w:rPr>
                <w:sz w:val="5"/>
                <w:szCs w:val="5"/>
                <w:color w:val="auto"/>
              </w:rPr>
            </w:pPr>
          </w:p>
        </w:tc>
        <w:tc>
          <w:tcPr>
            <w:tcW w:w="300" w:type="dxa"/>
            <w:vAlign w:val="bottom"/>
          </w:tcPr>
          <w:p>
            <w:pPr>
              <w:spacing w:after="0"/>
              <w:rPr>
                <w:sz w:val="5"/>
                <w:szCs w:val="5"/>
                <w:color w:val="auto"/>
              </w:rPr>
            </w:pPr>
          </w:p>
        </w:tc>
        <w:tc>
          <w:tcPr>
            <w:tcW w:w="360" w:type="dxa"/>
            <w:vAlign w:val="bottom"/>
          </w:tcPr>
          <w:p>
            <w:pPr>
              <w:spacing w:after="0"/>
              <w:rPr>
                <w:sz w:val="5"/>
                <w:szCs w:val="5"/>
                <w:color w:val="auto"/>
              </w:rPr>
            </w:pPr>
          </w:p>
        </w:tc>
        <w:tc>
          <w:tcPr>
            <w:tcW w:w="3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r>
      <w:tr>
        <w:trPr>
          <w:trHeight w:val="216"/>
        </w:trPr>
        <w:tc>
          <w:tcPr>
            <w:tcW w:w="5920" w:type="dxa"/>
            <w:vAlign w:val="bottom"/>
            <w:shd w:val="clear" w:color="auto" w:fill="EEEEEE"/>
          </w:tcPr>
          <w:p>
            <w:pPr>
              <w:spacing w:after="0"/>
              <w:rPr>
                <w:sz w:val="20"/>
                <w:szCs w:val="20"/>
                <w:color w:val="auto"/>
              </w:rPr>
            </w:pPr>
            <w:r>
              <w:rPr>
                <w:rFonts w:ascii="Arial" w:cs="Arial" w:eastAsia="Arial" w:hAnsi="Arial"/>
                <w:sz w:val="18"/>
                <w:szCs w:val="18"/>
                <w:color w:val="auto"/>
              </w:rPr>
              <w:t>Receivable from Aventis Pharmaceuticals Inc.</w:t>
            </w:r>
          </w:p>
        </w:tc>
        <w:tc>
          <w:tcPr>
            <w:tcW w:w="7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$13,738</w:t>
            </w:r>
          </w:p>
        </w:tc>
        <w:tc>
          <w:tcPr>
            <w:tcW w:w="300" w:type="dxa"/>
            <w:vAlign w:val="bottom"/>
            <w:shd w:val="clear" w:color="auto" w:fill="EEEEEE"/>
          </w:tcPr>
          <w:p>
            <w:pPr>
              <w:spacing w:after="0"/>
              <w:rPr>
                <w:sz w:val="18"/>
                <w:szCs w:val="18"/>
                <w:color w:val="auto"/>
              </w:rPr>
            </w:pPr>
          </w:p>
        </w:tc>
        <w:tc>
          <w:tcPr>
            <w:tcW w:w="68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8,917</w:t>
            </w:r>
          </w:p>
        </w:tc>
        <w:tc>
          <w:tcPr>
            <w:tcW w:w="420" w:type="dxa"/>
            <w:vAlign w:val="bottom"/>
            <w:tcBorders>
              <w:left w:val="single" w:sz="8" w:color="EEEEEE"/>
            </w:tcBorders>
            <w:shd w:val="clear" w:color="auto" w:fill="EEEEEE"/>
          </w:tcPr>
          <w:p>
            <w:pPr>
              <w:spacing w:after="0"/>
              <w:rPr>
                <w:sz w:val="18"/>
                <w:szCs w:val="18"/>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Receivable from Novartis Pharma AG</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42,750</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3,177</w:t>
            </w:r>
          </w:p>
        </w:tc>
        <w:tc>
          <w:tcPr>
            <w:tcW w:w="420" w:type="dxa"/>
            <w:vAlign w:val="bottom"/>
          </w:tcPr>
          <w:p>
            <w:pPr>
              <w:spacing w:after="0"/>
              <w:rPr>
                <w:sz w:val="18"/>
                <w:szCs w:val="18"/>
                <w:color w:val="auto"/>
              </w:rPr>
            </w:pPr>
          </w:p>
        </w:tc>
      </w:tr>
      <w:tr>
        <w:trPr>
          <w:trHeight w:val="216"/>
        </w:trPr>
        <w:tc>
          <w:tcPr>
            <w:tcW w:w="5920" w:type="dxa"/>
            <w:vAlign w:val="bottom"/>
            <w:shd w:val="clear" w:color="auto" w:fill="EEEEEE"/>
          </w:tcPr>
          <w:p>
            <w:pPr>
              <w:spacing w:after="0"/>
              <w:rPr>
                <w:sz w:val="20"/>
                <w:szCs w:val="20"/>
                <w:color w:val="auto"/>
              </w:rPr>
            </w:pPr>
            <w:r>
              <w:rPr>
                <w:rFonts w:ascii="Arial" w:cs="Arial" w:eastAsia="Arial" w:hAnsi="Arial"/>
                <w:sz w:val="18"/>
                <w:szCs w:val="18"/>
                <w:color w:val="auto"/>
              </w:rPr>
              <w:t>Receivable from The Procter &amp; Gamble Company</w:t>
            </w:r>
          </w:p>
        </w:tc>
        <w:tc>
          <w:tcPr>
            <w:tcW w:w="7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2,665</w:t>
            </w:r>
          </w:p>
        </w:tc>
        <w:tc>
          <w:tcPr>
            <w:tcW w:w="3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2,670</w:t>
            </w:r>
          </w:p>
        </w:tc>
        <w:tc>
          <w:tcPr>
            <w:tcW w:w="420" w:type="dxa"/>
            <w:vAlign w:val="bottom"/>
            <w:tcBorders>
              <w:left w:val="single" w:sz="8" w:color="EEEEEE"/>
            </w:tcBorders>
            <w:shd w:val="clear" w:color="auto" w:fill="EEEEEE"/>
          </w:tcPr>
          <w:p>
            <w:pPr>
              <w:spacing w:after="0"/>
              <w:rPr>
                <w:sz w:val="18"/>
                <w:szCs w:val="18"/>
                <w:color w:val="auto"/>
              </w:rPr>
            </w:pPr>
          </w:p>
        </w:tc>
      </w:tr>
      <w:tr>
        <w:trPr>
          <w:trHeight w:val="230"/>
        </w:trPr>
        <w:tc>
          <w:tcPr>
            <w:tcW w:w="5920" w:type="dxa"/>
            <w:vAlign w:val="bottom"/>
          </w:tcPr>
          <w:p>
            <w:pPr>
              <w:spacing w:after="0"/>
              <w:rPr>
                <w:sz w:val="20"/>
                <w:szCs w:val="20"/>
                <w:color w:val="auto"/>
              </w:rPr>
            </w:pPr>
            <w:r>
              <w:rPr>
                <w:rFonts w:ascii="Arial" w:cs="Arial" w:eastAsia="Arial" w:hAnsi="Arial"/>
                <w:sz w:val="18"/>
                <w:szCs w:val="18"/>
                <w:color w:val="auto"/>
              </w:rPr>
              <w:t>Receivable from Merck &amp; Co., Inc.</w:t>
            </w:r>
          </w:p>
        </w:tc>
        <w:tc>
          <w:tcPr>
            <w:tcW w:w="2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729</w:t>
            </w: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765</w:t>
            </w:r>
          </w:p>
        </w:tc>
        <w:tc>
          <w:tcPr>
            <w:tcW w:w="420" w:type="dxa"/>
            <w:vAlign w:val="bottom"/>
          </w:tcPr>
          <w:p>
            <w:pPr>
              <w:spacing w:after="0"/>
              <w:rPr>
                <w:sz w:val="19"/>
                <w:szCs w:val="19"/>
                <w:color w:val="auto"/>
              </w:rPr>
            </w:pPr>
          </w:p>
        </w:tc>
      </w:tr>
      <w:tr>
        <w:trPr>
          <w:trHeight w:val="27"/>
        </w:trPr>
        <w:tc>
          <w:tcPr>
            <w:tcW w:w="5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shd w:val="clear" w:color="auto" w:fill="808080"/>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480" w:type="dxa"/>
            <w:vAlign w:val="bottom"/>
            <w:shd w:val="clear" w:color="auto" w:fill="808080"/>
          </w:tcPr>
          <w:p>
            <w:pPr>
              <w:spacing w:after="0"/>
              <w:rPr>
                <w:sz w:val="2"/>
                <w:szCs w:val="2"/>
                <w:color w:val="auto"/>
              </w:rPr>
            </w:pPr>
          </w:p>
        </w:tc>
        <w:tc>
          <w:tcPr>
            <w:tcW w:w="420" w:type="dxa"/>
            <w:vAlign w:val="bottom"/>
          </w:tcPr>
          <w:p>
            <w:pPr>
              <w:spacing w:after="0"/>
              <w:rPr>
                <w:sz w:val="2"/>
                <w:szCs w:val="2"/>
                <w:color w:val="auto"/>
              </w:rPr>
            </w:pPr>
          </w:p>
        </w:tc>
      </w:tr>
      <w:tr>
        <w:trPr>
          <w:trHeight w:val="221"/>
        </w:trPr>
        <w:tc>
          <w:tcPr>
            <w:tcW w:w="5920" w:type="dxa"/>
            <w:vAlign w:val="bottom"/>
            <w:shd w:val="clear" w:color="auto" w:fill="EEEEEE"/>
          </w:tcPr>
          <w:p>
            <w:pPr>
              <w:spacing w:after="0"/>
              <w:rPr>
                <w:sz w:val="19"/>
                <w:szCs w:val="19"/>
                <w:color w:val="auto"/>
              </w:rPr>
            </w:pPr>
          </w:p>
        </w:tc>
        <w:tc>
          <w:tcPr>
            <w:tcW w:w="7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$59,882</w:t>
            </w:r>
          </w:p>
        </w:tc>
        <w:tc>
          <w:tcPr>
            <w:tcW w:w="300" w:type="dxa"/>
            <w:vAlign w:val="bottom"/>
            <w:shd w:val="clear" w:color="auto" w:fill="EEEEEE"/>
          </w:tcPr>
          <w:p>
            <w:pPr>
              <w:spacing w:after="0"/>
              <w:rPr>
                <w:sz w:val="19"/>
                <w:szCs w:val="19"/>
                <w:color w:val="auto"/>
              </w:rPr>
            </w:pPr>
          </w:p>
        </w:tc>
        <w:tc>
          <w:tcPr>
            <w:tcW w:w="68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7"/>
              </w:rPr>
              <w:t>15,529</w:t>
            </w:r>
          </w:p>
        </w:tc>
        <w:tc>
          <w:tcPr>
            <w:tcW w:w="420" w:type="dxa"/>
            <w:vAlign w:val="bottom"/>
            <w:tcBorders>
              <w:left w:val="single" w:sz="8" w:color="EEEEEE"/>
            </w:tcBorders>
            <w:shd w:val="clear" w:color="auto" w:fill="EEEEEE"/>
          </w:tcPr>
          <w:p>
            <w:pPr>
              <w:spacing w:after="0"/>
              <w:rPr>
                <w:sz w:val="19"/>
                <w:szCs w:val="19"/>
                <w:color w:val="auto"/>
              </w:rPr>
            </w:pPr>
          </w:p>
        </w:tc>
      </w:tr>
      <w:tr>
        <w:trPr>
          <w:trHeight w:val="66"/>
        </w:trPr>
        <w:tc>
          <w:tcPr>
            <w:tcW w:w="5920" w:type="dxa"/>
            <w:vAlign w:val="bottom"/>
          </w:tcPr>
          <w:p>
            <w:pPr>
              <w:spacing w:after="0"/>
              <w:rPr>
                <w:sz w:val="5"/>
                <w:szCs w:val="5"/>
                <w:color w:val="auto"/>
              </w:rPr>
            </w:pPr>
          </w:p>
        </w:tc>
        <w:tc>
          <w:tcPr>
            <w:tcW w:w="24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360" w:type="dxa"/>
            <w:vAlign w:val="bottom"/>
          </w:tcPr>
          <w:p>
            <w:pPr>
              <w:spacing w:after="0"/>
              <w:rPr>
                <w:sz w:val="5"/>
                <w:szCs w:val="5"/>
                <w:color w:val="auto"/>
              </w:rPr>
            </w:pPr>
          </w:p>
        </w:tc>
        <w:tc>
          <w:tcPr>
            <w:tcW w:w="320" w:type="dxa"/>
            <w:vAlign w:val="bottom"/>
            <w:tcBorders>
              <w:right w:val="single" w:sz="8" w:color="808080"/>
            </w:tcBorders>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420" w:type="dxa"/>
            <w:vAlign w:val="bottom"/>
            <w:tcBorders>
              <w:left w:val="single" w:sz="8" w:color="808080"/>
            </w:tcBorders>
          </w:tcPr>
          <w:p>
            <w:pPr>
              <w:spacing w:after="0"/>
              <w:rPr>
                <w:sz w:val="5"/>
                <w:szCs w:val="5"/>
                <w:color w:val="auto"/>
              </w:rPr>
            </w:pPr>
          </w:p>
        </w:tc>
      </w:tr>
    </w:tbl>
    <w:p>
      <w:pPr>
        <w:spacing w:after="0" w:line="208" w:lineRule="exact"/>
        <w:rPr>
          <w:sz w:val="20"/>
          <w:szCs w:val="20"/>
          <w:color w:val="auto"/>
        </w:rPr>
      </w:pPr>
    </w:p>
    <w:p>
      <w:pPr>
        <w:ind w:left="260" w:hanging="252"/>
        <w:spacing w:after="0"/>
        <w:tabs>
          <w:tab w:leader="none" w:pos="2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Inventories</w:t>
      </w:r>
    </w:p>
    <w:p>
      <w:pPr>
        <w:spacing w:after="0" w:line="229" w:lineRule="exact"/>
        <w:rPr>
          <w:rFonts w:ascii="Arial" w:cs="Arial" w:eastAsia="Arial" w:hAnsi="Arial"/>
          <w:sz w:val="18"/>
          <w:szCs w:val="18"/>
          <w:b w:val="1"/>
          <w:bCs w:val="1"/>
          <w:color w:val="auto"/>
        </w:rPr>
      </w:pPr>
    </w:p>
    <w:p>
      <w:pPr>
        <w:ind w:left="260" w:right="2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Inventories consist of raw materials and other direct and indirect costs associated with production of an intermediate for a Merck &amp; Co., Inc. (“Merck”) pediatric vaccine under a long-term manufacturing agreement.</w:t>
      </w:r>
    </w:p>
    <w:p>
      <w:pPr>
        <w:spacing w:after="0" w:line="170" w:lineRule="exact"/>
        <w:rPr>
          <w:rFonts w:ascii="Arial" w:cs="Arial" w:eastAsia="Arial" w:hAnsi="Arial"/>
          <w:sz w:val="18"/>
          <w:szCs w:val="18"/>
          <w:b w:val="1"/>
          <w:bCs w:val="1"/>
          <w:color w:val="auto"/>
        </w:rPr>
      </w:pPr>
    </w:p>
    <w:p>
      <w:pPr>
        <w:ind w:left="260"/>
        <w:spacing w:after="0"/>
        <w:rPr>
          <w:rFonts w:ascii="Arial" w:cs="Arial" w:eastAsia="Arial" w:hAnsi="Arial"/>
          <w:sz w:val="18"/>
          <w:szCs w:val="18"/>
          <w:b w:val="1"/>
          <w:bCs w:val="1"/>
          <w:color w:val="auto"/>
        </w:rPr>
      </w:pPr>
      <w:r>
        <w:rPr>
          <w:rFonts w:ascii="Arial" w:cs="Arial" w:eastAsia="Arial" w:hAnsi="Arial"/>
          <w:sz w:val="18"/>
          <w:szCs w:val="18"/>
          <w:color w:val="auto"/>
        </w:rPr>
        <w:t>Inventories as of March 31, 2004 and December 31, 2003 consist of the following:</w:t>
      </w:r>
    </w:p>
    <w:p>
      <w:pPr>
        <w:spacing w:after="0" w:line="200" w:lineRule="exact"/>
        <w:rPr>
          <w:sz w:val="20"/>
          <w:szCs w:val="20"/>
          <w:color w:val="auto"/>
        </w:rPr>
      </w:pPr>
    </w:p>
    <w:p>
      <w:pPr>
        <w:spacing w:after="0" w:line="220" w:lineRule="exact"/>
        <w:rPr>
          <w:sz w:val="20"/>
          <w:szCs w:val="20"/>
          <w:color w:val="auto"/>
        </w:rPr>
      </w:pPr>
    </w:p>
    <w:tbl>
      <w:tblPr>
        <w:tblLayout w:type="fixed"/>
        <w:tblInd w:w="2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280" w:type="dxa"/>
            <w:vAlign w:val="bottom"/>
            <w:gridSpan w:val="3"/>
          </w:tcPr>
          <w:p>
            <w:pPr>
              <w:ind w:left="320"/>
              <w:spacing w:after="0"/>
              <w:rPr>
                <w:sz w:val="20"/>
                <w:szCs w:val="20"/>
                <w:color w:val="auto"/>
              </w:rPr>
            </w:pPr>
            <w:r>
              <w:rPr>
                <w:rFonts w:ascii="Arial" w:cs="Arial" w:eastAsia="Arial" w:hAnsi="Arial"/>
                <w:sz w:val="14"/>
                <w:szCs w:val="14"/>
                <w:b w:val="1"/>
                <w:bCs w:val="1"/>
                <w:color w:val="auto"/>
              </w:rPr>
              <w:t>March 31,</w:t>
            </w:r>
          </w:p>
        </w:tc>
        <w:tc>
          <w:tcPr>
            <w:tcW w:w="260" w:type="dxa"/>
            <w:vAlign w:val="bottom"/>
          </w:tcPr>
          <w:p>
            <w:pPr>
              <w:spacing w:after="0"/>
              <w:rPr>
                <w:sz w:val="14"/>
                <w:szCs w:val="14"/>
                <w:color w:val="auto"/>
              </w:rPr>
            </w:pPr>
          </w:p>
        </w:tc>
        <w:tc>
          <w:tcPr>
            <w:tcW w:w="1320" w:type="dxa"/>
            <w:vAlign w:val="bottom"/>
            <w:gridSpan w:val="3"/>
          </w:tcPr>
          <w:p>
            <w:pPr>
              <w:ind w:left="2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4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2004</w:t>
            </w:r>
          </w:p>
        </w:tc>
        <w:tc>
          <w:tcPr>
            <w:tcW w:w="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2003</w:t>
            </w: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3400" w:type="dxa"/>
            <w:vAlign w:val="bottom"/>
          </w:tcPr>
          <w:p>
            <w:pPr>
              <w:spacing w:after="0"/>
              <w:rPr>
                <w:sz w:val="5"/>
                <w:szCs w:val="5"/>
                <w:color w:val="auto"/>
              </w:rPr>
            </w:pPr>
          </w:p>
        </w:tc>
        <w:tc>
          <w:tcPr>
            <w:tcW w:w="400" w:type="dxa"/>
            <w:vAlign w:val="bottom"/>
            <w:tcBorders>
              <w:bottom w:val="single" w:sz="8" w:color="808080"/>
            </w:tcBorders>
          </w:tcPr>
          <w:p>
            <w:pPr>
              <w:spacing w:after="0"/>
              <w:rPr>
                <w:sz w:val="5"/>
                <w:szCs w:val="5"/>
                <w:color w:val="auto"/>
              </w:rPr>
            </w:pPr>
          </w:p>
        </w:tc>
        <w:tc>
          <w:tcPr>
            <w:tcW w:w="400" w:type="dxa"/>
            <w:vAlign w:val="bottom"/>
            <w:tcBorders>
              <w:bottom w:val="single" w:sz="8" w:color="808080"/>
            </w:tcBorders>
          </w:tcPr>
          <w:p>
            <w:pPr>
              <w:spacing w:after="0"/>
              <w:rPr>
                <w:sz w:val="5"/>
                <w:szCs w:val="5"/>
                <w:color w:val="auto"/>
              </w:rPr>
            </w:pPr>
          </w:p>
        </w:tc>
        <w:tc>
          <w:tcPr>
            <w:tcW w:w="480" w:type="dxa"/>
            <w:vAlign w:val="bottom"/>
            <w:tcBorders>
              <w:bottom w:val="single" w:sz="8" w:color="808080"/>
            </w:tcBorders>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tcBorders>
              <w:bottom w:val="single" w:sz="8" w:color="808080"/>
            </w:tcBorders>
          </w:tcPr>
          <w:p>
            <w:pPr>
              <w:spacing w:after="0"/>
              <w:rPr>
                <w:sz w:val="5"/>
                <w:szCs w:val="5"/>
                <w:color w:val="auto"/>
              </w:rPr>
            </w:pPr>
          </w:p>
        </w:tc>
        <w:tc>
          <w:tcPr>
            <w:tcW w:w="400" w:type="dxa"/>
            <w:vAlign w:val="bottom"/>
            <w:tcBorders>
              <w:bottom w:val="single" w:sz="8" w:color="808080"/>
            </w:tcBorders>
          </w:tcPr>
          <w:p>
            <w:pPr>
              <w:spacing w:after="0"/>
              <w:rPr>
                <w:sz w:val="5"/>
                <w:szCs w:val="5"/>
                <w:color w:val="auto"/>
              </w:rPr>
            </w:pPr>
          </w:p>
        </w:tc>
        <w:tc>
          <w:tcPr>
            <w:tcW w:w="48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3400" w:type="dxa"/>
            <w:vAlign w:val="bottom"/>
          </w:tcPr>
          <w:p>
            <w:pPr>
              <w:spacing w:after="0"/>
              <w:rPr>
                <w:sz w:val="5"/>
                <w:szCs w:val="5"/>
                <w:color w:val="auto"/>
              </w:rPr>
            </w:pPr>
          </w:p>
        </w:tc>
        <w:tc>
          <w:tcPr>
            <w:tcW w:w="400" w:type="dxa"/>
            <w:vAlign w:val="bottom"/>
          </w:tcPr>
          <w:p>
            <w:pPr>
              <w:spacing w:after="0"/>
              <w:rPr>
                <w:sz w:val="5"/>
                <w:szCs w:val="5"/>
                <w:color w:val="auto"/>
              </w:rPr>
            </w:pPr>
          </w:p>
        </w:tc>
        <w:tc>
          <w:tcPr>
            <w:tcW w:w="400" w:type="dxa"/>
            <w:vAlign w:val="bottom"/>
          </w:tcPr>
          <w:p>
            <w:pPr>
              <w:spacing w:after="0"/>
              <w:rPr>
                <w:sz w:val="5"/>
                <w:szCs w:val="5"/>
                <w:color w:val="auto"/>
              </w:rPr>
            </w:pPr>
          </w:p>
        </w:tc>
        <w:tc>
          <w:tcPr>
            <w:tcW w:w="4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0" w:type="dxa"/>
            <w:vAlign w:val="bottom"/>
          </w:tcPr>
          <w:p>
            <w:pPr>
              <w:spacing w:after="0"/>
              <w:rPr>
                <w:sz w:val="5"/>
                <w:szCs w:val="5"/>
                <w:color w:val="auto"/>
              </w:rPr>
            </w:pPr>
          </w:p>
        </w:tc>
        <w:tc>
          <w:tcPr>
            <w:tcW w:w="4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00" w:type="dxa"/>
            <w:vAlign w:val="bottom"/>
            <w:shd w:val="clear" w:color="auto" w:fill="EEEEEE"/>
          </w:tcPr>
          <w:p>
            <w:pPr>
              <w:spacing w:after="0"/>
              <w:rPr>
                <w:sz w:val="20"/>
                <w:szCs w:val="20"/>
                <w:color w:val="auto"/>
              </w:rPr>
            </w:pPr>
            <w:r>
              <w:rPr>
                <w:rFonts w:ascii="Arial" w:cs="Arial" w:eastAsia="Arial" w:hAnsi="Arial"/>
                <w:sz w:val="18"/>
                <w:szCs w:val="18"/>
                <w:color w:val="auto"/>
              </w:rPr>
              <w:t>Raw materials</w:t>
            </w:r>
          </w:p>
        </w:tc>
        <w:tc>
          <w:tcPr>
            <w:tcW w:w="400" w:type="dxa"/>
            <w:vAlign w:val="bottom"/>
            <w:tcBorders>
              <w:right w:val="single" w:sz="8" w:color="EEEEEE"/>
            </w:tcBorders>
            <w:shd w:val="clear" w:color="auto" w:fill="EEEEEE"/>
          </w:tcPr>
          <w:p>
            <w:pPr>
              <w:ind w:left="300"/>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396</w:t>
            </w:r>
          </w:p>
        </w:tc>
        <w:tc>
          <w:tcPr>
            <w:tcW w:w="480" w:type="dxa"/>
            <w:vAlign w:val="bottom"/>
            <w:shd w:val="clear" w:color="auto" w:fill="EEEEEE"/>
          </w:tcPr>
          <w:p>
            <w:pPr>
              <w:spacing w:after="0"/>
              <w:rPr>
                <w:sz w:val="18"/>
                <w:szCs w:val="18"/>
                <w:color w:val="auto"/>
              </w:rPr>
            </w:pPr>
          </w:p>
        </w:tc>
        <w:tc>
          <w:tcPr>
            <w:tcW w:w="70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388</w:t>
            </w:r>
          </w:p>
        </w:tc>
        <w:tc>
          <w:tcPr>
            <w:tcW w:w="4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Work-in-process</w:t>
            </w:r>
          </w:p>
        </w:tc>
        <w:tc>
          <w:tcPr>
            <w:tcW w:w="4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889</w:t>
            </w: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gridSpan w:val="2"/>
          </w:tcPr>
          <w:p>
            <w:pPr>
              <w:ind w:left="20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EEEEEE"/>
          </w:tcPr>
          <w:p>
            <w:pPr>
              <w:spacing w:after="0"/>
              <w:rPr>
                <w:sz w:val="20"/>
                <w:szCs w:val="20"/>
                <w:color w:val="auto"/>
              </w:rPr>
            </w:pPr>
            <w:r>
              <w:rPr>
                <w:rFonts w:ascii="Arial" w:cs="Arial" w:eastAsia="Arial" w:hAnsi="Arial"/>
                <w:sz w:val="18"/>
                <w:szCs w:val="18"/>
                <w:color w:val="auto"/>
              </w:rPr>
              <w:t>Finished products</w:t>
            </w:r>
          </w:p>
        </w:tc>
        <w:tc>
          <w:tcPr>
            <w:tcW w:w="40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7,813</w:t>
            </w:r>
          </w:p>
        </w:tc>
        <w:tc>
          <w:tcPr>
            <w:tcW w:w="4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40" w:type="dxa"/>
            <w:vAlign w:val="bottom"/>
            <w:tcBorders>
              <w:right w:val="single" w:sz="8" w:color="EEEEEE"/>
            </w:tcBorders>
            <w:shd w:val="clear" w:color="auto" w:fill="EEEEEE"/>
          </w:tcPr>
          <w:p>
            <w:pPr>
              <w:spacing w:after="0"/>
              <w:rPr>
                <w:sz w:val="18"/>
                <w:szCs w:val="18"/>
                <w:color w:val="auto"/>
              </w:rPr>
            </w:pPr>
          </w:p>
        </w:tc>
        <w:tc>
          <w:tcPr>
            <w:tcW w:w="4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79"/>
              </w:rPr>
              <w:t>8,618</w:t>
            </w:r>
          </w:p>
        </w:tc>
        <w:tc>
          <w:tcPr>
            <w:tcW w:w="4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400" w:type="dxa"/>
            <w:vAlign w:val="bottom"/>
            <w:vMerge w:val="restart"/>
          </w:tcPr>
          <w:p>
            <w:pPr>
              <w:ind w:left="300"/>
              <w:spacing w:after="0"/>
              <w:rPr>
                <w:sz w:val="20"/>
                <w:szCs w:val="20"/>
                <w:color w:val="auto"/>
              </w:rPr>
            </w:pPr>
            <w:r>
              <w:rPr>
                <w:rFonts w:ascii="Arial" w:cs="Arial" w:eastAsia="Arial" w:hAnsi="Arial"/>
                <w:sz w:val="15"/>
                <w:szCs w:val="15"/>
                <w:color w:val="auto"/>
                <w:w w:val="71"/>
              </w:rPr>
              <w:t>$</w:t>
            </w:r>
          </w:p>
        </w:tc>
        <w:tc>
          <w:tcPr>
            <w:tcW w:w="400" w:type="dxa"/>
            <w:vAlign w:val="bottom"/>
            <w:tcBorders>
              <w:bottom w:val="single" w:sz="8" w:color="808080"/>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808080"/>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400" w:type="dxa"/>
            <w:vAlign w:val="bottom"/>
            <w:vMerge w:val="continue"/>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9,098</w:t>
            </w:r>
          </w:p>
        </w:tc>
        <w:tc>
          <w:tcPr>
            <w:tcW w:w="480" w:type="dxa"/>
            <w:vAlign w:val="bottom"/>
          </w:tcPr>
          <w:p>
            <w:pPr>
              <w:spacing w:after="0"/>
              <w:rPr>
                <w:sz w:val="19"/>
                <w:szCs w:val="19"/>
                <w:color w:val="auto"/>
              </w:rPr>
            </w:pPr>
          </w:p>
        </w:tc>
        <w:tc>
          <w:tcPr>
            <w:tcW w:w="700" w:type="dxa"/>
            <w:vAlign w:val="bottom"/>
            <w:gridSpan w:val="2"/>
            <w:vMerge w:val="continue"/>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79"/>
              </w:rPr>
              <w:t>9,006</w:t>
            </w: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3400" w:type="dxa"/>
            <w:vAlign w:val="bottom"/>
          </w:tcPr>
          <w:p>
            <w:pPr>
              <w:spacing w:after="0"/>
              <w:rPr>
                <w:sz w:val="5"/>
                <w:szCs w:val="5"/>
                <w:color w:val="auto"/>
              </w:rPr>
            </w:pPr>
          </w:p>
        </w:tc>
        <w:tc>
          <w:tcPr>
            <w:tcW w:w="400" w:type="dxa"/>
            <w:vAlign w:val="bottom"/>
            <w:tcBorders>
              <w:right w:val="single" w:sz="8" w:color="808080"/>
            </w:tcBorders>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4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tcBorders>
              <w:right w:val="single" w:sz="8" w:color="808080"/>
            </w:tcBorders>
          </w:tcPr>
          <w:p>
            <w:pPr>
              <w:spacing w:after="0"/>
              <w:rPr>
                <w:sz w:val="5"/>
                <w:szCs w:val="5"/>
                <w:color w:val="auto"/>
              </w:rPr>
            </w:pPr>
          </w:p>
        </w:tc>
        <w:tc>
          <w:tcPr>
            <w:tcW w:w="400" w:type="dxa"/>
            <w:vAlign w:val="bottom"/>
            <w:tcBorders>
              <w:right w:val="single" w:sz="8" w:color="808080"/>
            </w:tcBorders>
            <w:shd w:val="clear" w:color="auto" w:fill="808080"/>
          </w:tcPr>
          <w:p>
            <w:pPr>
              <w:spacing w:after="0"/>
              <w:rPr>
                <w:sz w:val="5"/>
                <w:szCs w:val="5"/>
                <w:color w:val="auto"/>
              </w:rPr>
            </w:pPr>
          </w:p>
        </w:tc>
        <w:tc>
          <w:tcPr>
            <w:tcW w:w="4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440" w:hanging="216"/>
        <w:spacing w:after="0"/>
        <w:tabs>
          <w:tab w:leader="none" w:pos="440" w:val="left"/>
        </w:tabs>
        <w:numPr>
          <w:ilvl w:val="1"/>
          <w:numId w:val="6"/>
        </w:numPr>
        <w:rPr>
          <w:rFonts w:ascii="Arial" w:cs="Arial" w:eastAsia="Arial" w:hAnsi="Arial"/>
          <w:sz w:val="26"/>
          <w:szCs w:val="26"/>
          <w:color w:val="auto"/>
          <w:vertAlign w:val="superscript"/>
        </w:rPr>
      </w:pPr>
      <w:r>
        <w:rPr>
          <w:rFonts w:ascii="Arial" w:cs="Arial" w:eastAsia="Arial" w:hAnsi="Arial"/>
          <w:sz w:val="16"/>
          <w:szCs w:val="16"/>
          <w:color w:val="auto"/>
        </w:rPr>
        <w:t>Net of reserves of $195.</w:t>
      </w:r>
    </w:p>
    <w:p>
      <w:pPr>
        <w:spacing w:after="0" w:line="197" w:lineRule="exact"/>
        <w:rPr>
          <w:rFonts w:ascii="Arial" w:cs="Arial" w:eastAsia="Arial" w:hAnsi="Arial"/>
          <w:sz w:val="26"/>
          <w:szCs w:val="26"/>
          <w:color w:val="auto"/>
          <w:vertAlign w:val="superscript"/>
        </w:rPr>
      </w:pPr>
    </w:p>
    <w:p>
      <w:pPr>
        <w:ind w:left="260" w:hanging="252"/>
        <w:spacing w:after="0"/>
        <w:tabs>
          <w:tab w:leader="none" w:pos="2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Accounts Payable and Accrued Expenses</w:t>
      </w:r>
    </w:p>
    <w:p>
      <w:pPr>
        <w:spacing w:after="0" w:line="229" w:lineRule="exact"/>
        <w:rPr>
          <w:rFonts w:ascii="Arial" w:cs="Arial" w:eastAsia="Arial" w:hAnsi="Arial"/>
          <w:sz w:val="18"/>
          <w:szCs w:val="18"/>
          <w:b w:val="1"/>
          <w:bCs w:val="1"/>
          <w:color w:val="auto"/>
        </w:rPr>
      </w:pPr>
    </w:p>
    <w:p>
      <w:pPr>
        <w:ind w:left="260"/>
        <w:spacing w:after="0"/>
        <w:rPr>
          <w:rFonts w:ascii="Arial" w:cs="Arial" w:eastAsia="Arial" w:hAnsi="Arial"/>
          <w:sz w:val="18"/>
          <w:szCs w:val="18"/>
          <w:b w:val="1"/>
          <w:bCs w:val="1"/>
          <w:color w:val="auto"/>
        </w:rPr>
      </w:pPr>
      <w:r>
        <w:rPr>
          <w:rFonts w:ascii="Arial" w:cs="Arial" w:eastAsia="Arial" w:hAnsi="Arial"/>
          <w:sz w:val="18"/>
          <w:szCs w:val="18"/>
          <w:color w:val="auto"/>
        </w:rPr>
        <w:t>Accounts payable and accrued expenses as of March 31, 2004 and December 31, 2003 consist of the following:</w:t>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0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80" w:type="dxa"/>
            <w:vAlign w:val="bottom"/>
            <w:gridSpan w:val="3"/>
          </w:tcPr>
          <w:p>
            <w:pPr>
              <w:ind w:left="220"/>
              <w:spacing w:after="0"/>
              <w:rPr>
                <w:sz w:val="20"/>
                <w:szCs w:val="20"/>
                <w:color w:val="auto"/>
              </w:rPr>
            </w:pPr>
            <w:r>
              <w:rPr>
                <w:rFonts w:ascii="Arial" w:cs="Arial" w:eastAsia="Arial" w:hAnsi="Arial"/>
                <w:sz w:val="14"/>
                <w:szCs w:val="14"/>
                <w:b w:val="1"/>
                <w:bCs w:val="1"/>
                <w:color w:val="auto"/>
              </w:rPr>
              <w:t>March 31,</w:t>
            </w:r>
          </w:p>
        </w:tc>
        <w:tc>
          <w:tcPr>
            <w:tcW w:w="320" w:type="dxa"/>
            <w:vAlign w:val="bottom"/>
          </w:tcPr>
          <w:p>
            <w:pPr>
              <w:spacing w:after="0"/>
              <w:rPr>
                <w:sz w:val="14"/>
                <w:szCs w:val="14"/>
                <w:color w:val="auto"/>
              </w:rPr>
            </w:pPr>
          </w:p>
        </w:tc>
        <w:tc>
          <w:tcPr>
            <w:tcW w:w="1260" w:type="dxa"/>
            <w:vAlign w:val="bottom"/>
            <w:gridSpan w:val="3"/>
          </w:tcPr>
          <w:p>
            <w:pPr>
              <w:ind w:left="220"/>
              <w:spacing w:after="0"/>
              <w:rPr>
                <w:sz w:val="20"/>
                <w:szCs w:val="20"/>
                <w:color w:val="auto"/>
              </w:rPr>
            </w:pPr>
            <w:r>
              <w:rPr>
                <w:rFonts w:ascii="Arial" w:cs="Arial" w:eastAsia="Arial" w:hAnsi="Arial"/>
                <w:sz w:val="14"/>
                <w:szCs w:val="14"/>
                <w:b w:val="1"/>
                <w:bCs w:val="1"/>
                <w:color w:val="auto"/>
              </w:rPr>
              <w:t>December 31,</w:t>
            </w:r>
          </w:p>
        </w:tc>
        <w:tc>
          <w:tcPr>
            <w:tcW w:w="2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00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00" w:type="dxa"/>
            <w:vAlign w:val="bottom"/>
          </w:tcPr>
          <w:p>
            <w:pPr>
              <w:jc w:val="right"/>
              <w:ind w:right="13"/>
              <w:spacing w:after="0"/>
              <w:rPr>
                <w:sz w:val="20"/>
                <w:szCs w:val="20"/>
                <w:color w:val="auto"/>
              </w:rPr>
            </w:pPr>
            <w:r>
              <w:rPr>
                <w:rFonts w:ascii="Arial" w:cs="Arial" w:eastAsia="Arial" w:hAnsi="Arial"/>
                <w:sz w:val="14"/>
                <w:szCs w:val="14"/>
                <w:b w:val="1"/>
                <w:bCs w:val="1"/>
                <w:color w:val="auto"/>
              </w:rPr>
              <w:t>2004</w:t>
            </w:r>
          </w:p>
        </w:tc>
        <w:tc>
          <w:tcPr>
            <w:tcW w:w="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2003</w:t>
            </w:r>
          </w:p>
        </w:tc>
        <w:tc>
          <w:tcPr>
            <w:tcW w:w="40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2000" w:type="dxa"/>
            <w:vAlign w:val="bottom"/>
          </w:tcPr>
          <w:p>
            <w:pPr>
              <w:spacing w:after="0"/>
              <w:rPr>
                <w:sz w:val="5"/>
                <w:szCs w:val="5"/>
                <w:color w:val="auto"/>
              </w:rPr>
            </w:pPr>
          </w:p>
        </w:tc>
        <w:tc>
          <w:tcPr>
            <w:tcW w:w="3140" w:type="dxa"/>
            <w:vAlign w:val="bottom"/>
          </w:tcPr>
          <w:p>
            <w:pPr>
              <w:spacing w:after="0"/>
              <w:rPr>
                <w:sz w:val="5"/>
                <w:szCs w:val="5"/>
                <w:color w:val="auto"/>
              </w:rPr>
            </w:pPr>
          </w:p>
        </w:tc>
        <w:tc>
          <w:tcPr>
            <w:tcW w:w="1620" w:type="dxa"/>
            <w:vAlign w:val="bottom"/>
          </w:tcPr>
          <w:p>
            <w:pPr>
              <w:spacing w:after="0"/>
              <w:rPr>
                <w:sz w:val="5"/>
                <w:szCs w:val="5"/>
                <w:color w:val="auto"/>
              </w:rPr>
            </w:pPr>
          </w:p>
        </w:tc>
        <w:tc>
          <w:tcPr>
            <w:tcW w:w="280" w:type="dxa"/>
            <w:vAlign w:val="bottom"/>
            <w:tcBorders>
              <w:bottom w:val="single" w:sz="8" w:color="808080"/>
            </w:tcBorders>
          </w:tcPr>
          <w:p>
            <w:pPr>
              <w:spacing w:after="0"/>
              <w:rPr>
                <w:sz w:val="5"/>
                <w:szCs w:val="5"/>
                <w:color w:val="auto"/>
              </w:rPr>
            </w:pPr>
          </w:p>
        </w:tc>
        <w:tc>
          <w:tcPr>
            <w:tcW w:w="500" w:type="dxa"/>
            <w:vAlign w:val="bottom"/>
            <w:tcBorders>
              <w:bottom w:val="single" w:sz="8" w:color="808080"/>
            </w:tcBorders>
          </w:tcPr>
          <w:p>
            <w:pPr>
              <w:spacing w:after="0"/>
              <w:rPr>
                <w:sz w:val="5"/>
                <w:szCs w:val="5"/>
                <w:color w:val="auto"/>
              </w:rPr>
            </w:pPr>
          </w:p>
        </w:tc>
        <w:tc>
          <w:tcPr>
            <w:tcW w:w="300" w:type="dxa"/>
            <w:vAlign w:val="bottom"/>
            <w:tcBorders>
              <w:bottom w:val="single" w:sz="8" w:color="808080"/>
            </w:tcBorders>
          </w:tcPr>
          <w:p>
            <w:pPr>
              <w:spacing w:after="0"/>
              <w:rPr>
                <w:sz w:val="5"/>
                <w:szCs w:val="5"/>
                <w:color w:val="auto"/>
              </w:rPr>
            </w:pPr>
          </w:p>
        </w:tc>
        <w:tc>
          <w:tcPr>
            <w:tcW w:w="320" w:type="dxa"/>
            <w:vAlign w:val="bottom"/>
          </w:tcPr>
          <w:p>
            <w:pPr>
              <w:spacing w:after="0"/>
              <w:rPr>
                <w:sz w:val="5"/>
                <w:szCs w:val="5"/>
                <w:color w:val="auto"/>
              </w:rPr>
            </w:pPr>
          </w:p>
        </w:tc>
        <w:tc>
          <w:tcPr>
            <w:tcW w:w="360" w:type="dxa"/>
            <w:vAlign w:val="bottom"/>
            <w:tcBorders>
              <w:bottom w:val="single" w:sz="8" w:color="808080"/>
            </w:tcBorders>
          </w:tcPr>
          <w:p>
            <w:pPr>
              <w:spacing w:after="0"/>
              <w:rPr>
                <w:sz w:val="5"/>
                <w:szCs w:val="5"/>
                <w:color w:val="auto"/>
              </w:rPr>
            </w:pPr>
          </w:p>
        </w:tc>
        <w:tc>
          <w:tcPr>
            <w:tcW w:w="500" w:type="dxa"/>
            <w:vAlign w:val="bottom"/>
            <w:tcBorders>
              <w:bottom w:val="single" w:sz="8" w:color="808080"/>
            </w:tcBorders>
          </w:tcPr>
          <w:p>
            <w:pPr>
              <w:spacing w:after="0"/>
              <w:rPr>
                <w:sz w:val="5"/>
                <w:szCs w:val="5"/>
                <w:color w:val="auto"/>
              </w:rPr>
            </w:pPr>
          </w:p>
        </w:tc>
        <w:tc>
          <w:tcPr>
            <w:tcW w:w="400" w:type="dxa"/>
            <w:vAlign w:val="bottom"/>
            <w:tcBorders>
              <w:bottom w:val="single" w:sz="8" w:color="808080"/>
            </w:tcBorders>
          </w:tcPr>
          <w:p>
            <w:pPr>
              <w:spacing w:after="0"/>
              <w:rPr>
                <w:sz w:val="5"/>
                <w:szCs w:val="5"/>
                <w:color w:val="auto"/>
              </w:rPr>
            </w:pPr>
          </w:p>
        </w:tc>
        <w:tc>
          <w:tcPr>
            <w:tcW w:w="20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2000" w:type="dxa"/>
            <w:vAlign w:val="bottom"/>
            <w:vMerge w:val="restart"/>
          </w:tcPr>
          <w:p>
            <w:pPr>
              <w:spacing w:after="0"/>
              <w:rPr>
                <w:sz w:val="5"/>
                <w:szCs w:val="5"/>
                <w:color w:val="auto"/>
              </w:rPr>
            </w:pPr>
          </w:p>
        </w:tc>
        <w:tc>
          <w:tcPr>
            <w:tcW w:w="3140" w:type="dxa"/>
            <w:vAlign w:val="bottom"/>
          </w:tcPr>
          <w:p>
            <w:pPr>
              <w:spacing w:after="0"/>
              <w:rPr>
                <w:sz w:val="5"/>
                <w:szCs w:val="5"/>
                <w:color w:val="auto"/>
              </w:rPr>
            </w:pPr>
          </w:p>
        </w:tc>
        <w:tc>
          <w:tcPr>
            <w:tcW w:w="1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500" w:type="dxa"/>
            <w:vAlign w:val="bottom"/>
          </w:tcPr>
          <w:p>
            <w:pPr>
              <w:spacing w:after="0"/>
              <w:rPr>
                <w:sz w:val="5"/>
                <w:szCs w:val="5"/>
                <w:color w:val="auto"/>
              </w:rPr>
            </w:pPr>
          </w:p>
        </w:tc>
        <w:tc>
          <w:tcPr>
            <w:tcW w:w="300" w:type="dxa"/>
            <w:vAlign w:val="bottom"/>
          </w:tcPr>
          <w:p>
            <w:pPr>
              <w:spacing w:after="0"/>
              <w:rPr>
                <w:sz w:val="5"/>
                <w:szCs w:val="5"/>
                <w:color w:val="auto"/>
              </w:rPr>
            </w:pPr>
          </w:p>
        </w:tc>
        <w:tc>
          <w:tcPr>
            <w:tcW w:w="320" w:type="dxa"/>
            <w:vAlign w:val="bottom"/>
          </w:tcPr>
          <w:p>
            <w:pPr>
              <w:spacing w:after="0"/>
              <w:rPr>
                <w:sz w:val="5"/>
                <w:szCs w:val="5"/>
                <w:color w:val="auto"/>
              </w:rPr>
            </w:pPr>
          </w:p>
        </w:tc>
        <w:tc>
          <w:tcPr>
            <w:tcW w:w="360" w:type="dxa"/>
            <w:vAlign w:val="bottom"/>
          </w:tcPr>
          <w:p>
            <w:pPr>
              <w:spacing w:after="0"/>
              <w:rPr>
                <w:sz w:val="5"/>
                <w:szCs w:val="5"/>
                <w:color w:val="auto"/>
              </w:rPr>
            </w:pPr>
          </w:p>
        </w:tc>
        <w:tc>
          <w:tcPr>
            <w:tcW w:w="500" w:type="dxa"/>
            <w:vAlign w:val="bottom"/>
          </w:tcPr>
          <w:p>
            <w:pPr>
              <w:spacing w:after="0"/>
              <w:rPr>
                <w:sz w:val="5"/>
                <w:szCs w:val="5"/>
                <w:color w:val="auto"/>
              </w:rPr>
            </w:pPr>
          </w:p>
        </w:tc>
        <w:tc>
          <w:tcPr>
            <w:tcW w:w="400" w:type="dxa"/>
            <w:vAlign w:val="bottom"/>
          </w:tcPr>
          <w:p>
            <w:pPr>
              <w:spacing w:after="0"/>
              <w:rPr>
                <w:sz w:val="5"/>
                <w:szCs w:val="5"/>
                <w:color w:val="auto"/>
              </w:rPr>
            </w:pPr>
          </w:p>
        </w:tc>
        <w:tc>
          <w:tcPr>
            <w:tcW w:w="20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00" w:type="dxa"/>
            <w:vAlign w:val="bottom"/>
            <w:vMerge w:val="continue"/>
          </w:tcPr>
          <w:p>
            <w:pPr>
              <w:spacing w:after="0"/>
              <w:rPr>
                <w:sz w:val="18"/>
                <w:szCs w:val="18"/>
                <w:color w:val="auto"/>
              </w:rPr>
            </w:pPr>
          </w:p>
        </w:tc>
        <w:tc>
          <w:tcPr>
            <w:tcW w:w="3140" w:type="dxa"/>
            <w:vAlign w:val="bottom"/>
            <w:shd w:val="clear" w:color="auto" w:fill="EEEEEE"/>
          </w:tcPr>
          <w:p>
            <w:pPr>
              <w:spacing w:after="0"/>
              <w:rPr>
                <w:sz w:val="20"/>
                <w:szCs w:val="20"/>
                <w:color w:val="auto"/>
              </w:rPr>
            </w:pPr>
            <w:r>
              <w:rPr>
                <w:rFonts w:ascii="Arial" w:cs="Arial" w:eastAsia="Arial" w:hAnsi="Arial"/>
                <w:sz w:val="18"/>
                <w:szCs w:val="18"/>
                <w:color w:val="auto"/>
              </w:rPr>
              <w:t>Accounts payable</w:t>
            </w:r>
          </w:p>
        </w:tc>
        <w:tc>
          <w:tcPr>
            <w:tcW w:w="190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2,939</w:t>
            </w:r>
          </w:p>
        </w:tc>
        <w:tc>
          <w:tcPr>
            <w:tcW w:w="300" w:type="dxa"/>
            <w:vAlign w:val="bottom"/>
            <w:shd w:val="clear" w:color="auto" w:fill="EEEEEE"/>
          </w:tcPr>
          <w:p>
            <w:pPr>
              <w:spacing w:after="0"/>
              <w:rPr>
                <w:sz w:val="18"/>
                <w:szCs w:val="18"/>
                <w:color w:val="auto"/>
              </w:rPr>
            </w:pPr>
          </w:p>
        </w:tc>
        <w:tc>
          <w:tcPr>
            <w:tcW w:w="68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3,878</w:t>
            </w:r>
          </w:p>
        </w:tc>
        <w:tc>
          <w:tcPr>
            <w:tcW w:w="400" w:type="dxa"/>
            <w:vAlign w:val="bottom"/>
            <w:shd w:val="clear" w:color="auto" w:fill="EEEEEE"/>
          </w:tcPr>
          <w:p>
            <w:pPr>
              <w:spacing w:after="0"/>
              <w:rPr>
                <w:sz w:val="18"/>
                <w:szCs w:val="18"/>
                <w:color w:val="auto"/>
              </w:rPr>
            </w:pP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Accrued payroll and related costs</w:t>
            </w:r>
          </w:p>
        </w:tc>
        <w:tc>
          <w:tcPr>
            <w:tcW w:w="1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4,698</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5,125</w:t>
            </w:r>
          </w:p>
        </w:tc>
        <w:tc>
          <w:tcPr>
            <w:tcW w:w="4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3140" w:type="dxa"/>
            <w:vAlign w:val="bottom"/>
            <w:shd w:val="clear" w:color="auto" w:fill="EEEEEE"/>
          </w:tcPr>
          <w:p>
            <w:pPr>
              <w:spacing w:after="0"/>
              <w:rPr>
                <w:sz w:val="20"/>
                <w:szCs w:val="20"/>
                <w:color w:val="auto"/>
              </w:rPr>
            </w:pPr>
            <w:r>
              <w:rPr>
                <w:rFonts w:ascii="Arial" w:cs="Arial" w:eastAsia="Arial" w:hAnsi="Arial"/>
                <w:sz w:val="18"/>
                <w:szCs w:val="18"/>
                <w:color w:val="auto"/>
              </w:rPr>
              <w:t>Accrued clinical trial expense</w:t>
            </w:r>
          </w:p>
        </w:tc>
        <w:tc>
          <w:tcPr>
            <w:tcW w:w="162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4,033</w:t>
            </w:r>
          </w:p>
        </w:tc>
        <w:tc>
          <w:tcPr>
            <w:tcW w:w="3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60" w:type="dxa"/>
            <w:vAlign w:val="bottom"/>
            <w:tcBorders>
              <w:right w:val="single" w:sz="8" w:color="EEEEEE"/>
            </w:tcBorders>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3,876</w:t>
            </w:r>
          </w:p>
        </w:tc>
        <w:tc>
          <w:tcPr>
            <w:tcW w:w="400" w:type="dxa"/>
            <w:vAlign w:val="bottom"/>
            <w:shd w:val="clear" w:color="auto" w:fill="EEEEEE"/>
          </w:tcPr>
          <w:p>
            <w:pPr>
              <w:spacing w:after="0"/>
              <w:rPr>
                <w:sz w:val="18"/>
                <w:szCs w:val="18"/>
                <w:color w:val="auto"/>
              </w:rPr>
            </w:pP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Accrued expenses, other</w:t>
            </w:r>
          </w:p>
        </w:tc>
        <w:tc>
          <w:tcPr>
            <w:tcW w:w="1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2,235</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3,762</w:t>
            </w:r>
          </w:p>
        </w:tc>
        <w:tc>
          <w:tcPr>
            <w:tcW w:w="4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3140" w:type="dxa"/>
            <w:vAlign w:val="bottom"/>
            <w:shd w:val="clear" w:color="auto" w:fill="EEEEEE"/>
          </w:tcPr>
          <w:p>
            <w:pPr>
              <w:spacing w:after="0"/>
              <w:rPr>
                <w:sz w:val="20"/>
                <w:szCs w:val="20"/>
                <w:color w:val="auto"/>
              </w:rPr>
            </w:pPr>
            <w:r>
              <w:rPr>
                <w:rFonts w:ascii="Arial" w:cs="Arial" w:eastAsia="Arial" w:hAnsi="Arial"/>
                <w:sz w:val="18"/>
                <w:szCs w:val="18"/>
                <w:color w:val="auto"/>
              </w:rPr>
              <w:t>Interest payable on convertible notes</w:t>
            </w:r>
          </w:p>
        </w:tc>
        <w:tc>
          <w:tcPr>
            <w:tcW w:w="162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5,042</w:t>
            </w:r>
          </w:p>
        </w:tc>
        <w:tc>
          <w:tcPr>
            <w:tcW w:w="3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60" w:type="dxa"/>
            <w:vAlign w:val="bottom"/>
            <w:tcBorders>
              <w:right w:val="single" w:sz="8" w:color="EEEEEE"/>
            </w:tcBorders>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2,292</w:t>
            </w:r>
          </w:p>
        </w:tc>
        <w:tc>
          <w:tcPr>
            <w:tcW w:w="400" w:type="dxa"/>
            <w:vAlign w:val="bottom"/>
            <w:shd w:val="clear" w:color="auto" w:fill="EEEEEE"/>
          </w:tcPr>
          <w:p>
            <w:pPr>
              <w:spacing w:after="0"/>
              <w:rPr>
                <w:sz w:val="18"/>
                <w:szCs w:val="18"/>
                <w:color w:val="auto"/>
              </w:rPr>
            </w:pP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500" w:type="dxa"/>
            <w:vAlign w:val="bottom"/>
            <w:tcBorders>
              <w:bottom w:val="single" w:sz="8" w:color="808080"/>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500" w:type="dxa"/>
            <w:vAlign w:val="bottom"/>
            <w:tcBorders>
              <w:bottom w:val="single" w:sz="8" w:color="808080"/>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0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3"/>
              </w:rPr>
              <w:t>18,947</w:t>
            </w:r>
          </w:p>
        </w:tc>
        <w:tc>
          <w:tcPr>
            <w:tcW w:w="3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3"/>
              </w:rPr>
              <w:t>18,933</w:t>
            </w:r>
          </w:p>
        </w:tc>
        <w:tc>
          <w:tcPr>
            <w:tcW w:w="4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0"/>
        </w:trPr>
        <w:tc>
          <w:tcPr>
            <w:tcW w:w="2000" w:type="dxa"/>
            <w:vAlign w:val="bottom"/>
          </w:tcPr>
          <w:p>
            <w:pPr>
              <w:spacing w:after="0"/>
              <w:rPr>
                <w:sz w:val="6"/>
                <w:szCs w:val="6"/>
                <w:color w:val="auto"/>
              </w:rPr>
            </w:pPr>
          </w:p>
        </w:tc>
        <w:tc>
          <w:tcPr>
            <w:tcW w:w="3140" w:type="dxa"/>
            <w:vAlign w:val="bottom"/>
          </w:tcPr>
          <w:p>
            <w:pPr>
              <w:spacing w:after="0"/>
              <w:rPr>
                <w:sz w:val="6"/>
                <w:szCs w:val="6"/>
                <w:color w:val="auto"/>
              </w:rPr>
            </w:pPr>
          </w:p>
        </w:tc>
        <w:tc>
          <w:tcPr>
            <w:tcW w:w="1620" w:type="dxa"/>
            <w:vAlign w:val="bottom"/>
            <w:vMerge w:val="restart"/>
          </w:tcPr>
          <w:p>
            <w:pPr>
              <w:jc w:val="right"/>
              <w:ind w:right="870"/>
              <w:spacing w:after="0"/>
              <w:rPr>
                <w:sz w:val="20"/>
                <w:szCs w:val="20"/>
                <w:color w:val="auto"/>
              </w:rPr>
            </w:pPr>
            <w:r>
              <w:rPr>
                <w:rFonts w:ascii="Arial" w:cs="Arial" w:eastAsia="Arial" w:hAnsi="Arial"/>
                <w:sz w:val="18"/>
                <w:szCs w:val="18"/>
                <w:color w:val="auto"/>
              </w:rPr>
              <w:t>11</w:t>
            </w:r>
          </w:p>
        </w:tc>
        <w:tc>
          <w:tcPr>
            <w:tcW w:w="280" w:type="dxa"/>
            <w:vAlign w:val="bottom"/>
            <w:tcBorders>
              <w:right w:val="single" w:sz="8" w:color="808080"/>
            </w:tcBorders>
          </w:tcPr>
          <w:p>
            <w:pPr>
              <w:spacing w:after="0"/>
              <w:rPr>
                <w:sz w:val="6"/>
                <w:szCs w:val="6"/>
                <w:color w:val="auto"/>
              </w:rPr>
            </w:pPr>
          </w:p>
        </w:tc>
        <w:tc>
          <w:tcPr>
            <w:tcW w:w="500" w:type="dxa"/>
            <w:vAlign w:val="bottom"/>
            <w:tcBorders>
              <w:right w:val="single" w:sz="8" w:color="808080"/>
            </w:tcBorders>
            <w:shd w:val="clear" w:color="auto" w:fill="808080"/>
          </w:tcPr>
          <w:p>
            <w:pPr>
              <w:spacing w:after="0"/>
              <w:rPr>
                <w:sz w:val="6"/>
                <w:szCs w:val="6"/>
                <w:color w:val="auto"/>
              </w:rPr>
            </w:pPr>
          </w:p>
        </w:tc>
        <w:tc>
          <w:tcPr>
            <w:tcW w:w="300" w:type="dxa"/>
            <w:vAlign w:val="bottom"/>
          </w:tcPr>
          <w:p>
            <w:pPr>
              <w:spacing w:after="0"/>
              <w:rPr>
                <w:sz w:val="6"/>
                <w:szCs w:val="6"/>
                <w:color w:val="auto"/>
              </w:rPr>
            </w:pPr>
          </w:p>
        </w:tc>
        <w:tc>
          <w:tcPr>
            <w:tcW w:w="320" w:type="dxa"/>
            <w:vAlign w:val="bottom"/>
          </w:tcPr>
          <w:p>
            <w:pPr>
              <w:spacing w:after="0"/>
              <w:rPr>
                <w:sz w:val="6"/>
                <w:szCs w:val="6"/>
                <w:color w:val="auto"/>
              </w:rPr>
            </w:pPr>
          </w:p>
        </w:tc>
        <w:tc>
          <w:tcPr>
            <w:tcW w:w="360" w:type="dxa"/>
            <w:vAlign w:val="bottom"/>
            <w:tcBorders>
              <w:right w:val="single" w:sz="8" w:color="808080"/>
            </w:tcBorders>
          </w:tcPr>
          <w:p>
            <w:pPr>
              <w:spacing w:after="0"/>
              <w:rPr>
                <w:sz w:val="6"/>
                <w:szCs w:val="6"/>
                <w:color w:val="auto"/>
              </w:rPr>
            </w:pPr>
          </w:p>
        </w:tc>
        <w:tc>
          <w:tcPr>
            <w:tcW w:w="500" w:type="dxa"/>
            <w:vAlign w:val="bottom"/>
            <w:tcBorders>
              <w:right w:val="single" w:sz="8" w:color="808080"/>
            </w:tcBorders>
            <w:shd w:val="clear" w:color="auto" w:fill="808080"/>
          </w:tcPr>
          <w:p>
            <w:pPr>
              <w:spacing w:after="0"/>
              <w:rPr>
                <w:sz w:val="6"/>
                <w:szCs w:val="6"/>
                <w:color w:val="auto"/>
              </w:rPr>
            </w:pPr>
          </w:p>
        </w:tc>
        <w:tc>
          <w:tcPr>
            <w:tcW w:w="400" w:type="dxa"/>
            <w:vAlign w:val="bottom"/>
          </w:tcPr>
          <w:p>
            <w:pPr>
              <w:spacing w:after="0"/>
              <w:rPr>
                <w:sz w:val="6"/>
                <w:szCs w:val="6"/>
                <w:color w:val="auto"/>
              </w:rPr>
            </w:pPr>
          </w:p>
        </w:tc>
        <w:tc>
          <w:tcPr>
            <w:tcW w:w="20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15"/>
        </w:trPr>
        <w:tc>
          <w:tcPr>
            <w:tcW w:w="200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162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00" w:type="dxa"/>
            <w:vAlign w:val="bottom"/>
            <w:tcBorders>
              <w:bottom w:val="single" w:sz="8" w:color="808080"/>
            </w:tcBorders>
          </w:tcPr>
          <w:p>
            <w:pPr>
              <w:spacing w:after="0"/>
              <w:rPr>
                <w:sz w:val="19"/>
                <w:szCs w:val="19"/>
                <w:color w:val="auto"/>
              </w:rPr>
            </w:pPr>
          </w:p>
        </w:tc>
        <w:tc>
          <w:tcPr>
            <w:tcW w:w="3140" w:type="dxa"/>
            <w:vAlign w:val="bottom"/>
            <w:tcBorders>
              <w:bottom w:val="single" w:sz="8" w:color="808080"/>
            </w:tcBorders>
          </w:tcPr>
          <w:p>
            <w:pPr>
              <w:spacing w:after="0"/>
              <w:rPr>
                <w:sz w:val="19"/>
                <w:szCs w:val="19"/>
                <w:color w:val="auto"/>
              </w:rPr>
            </w:pPr>
          </w:p>
        </w:tc>
        <w:tc>
          <w:tcPr>
            <w:tcW w:w="162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20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07" w:lineRule="exact"/>
        <w:rPr>
          <w:sz w:val="20"/>
          <w:szCs w:val="20"/>
          <w:color w:val="auto"/>
        </w:rPr>
      </w:pPr>
    </w:p>
    <w:p>
      <w:pPr>
        <w:ind w:left="260" w:hanging="252"/>
        <w:spacing w:after="0"/>
        <w:tabs>
          <w:tab w:leader="none" w:pos="2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Comprehensive Income (Loss)</w:t>
      </w:r>
    </w:p>
    <w:p>
      <w:pPr>
        <w:spacing w:after="0" w:line="229" w:lineRule="exact"/>
        <w:rPr>
          <w:rFonts w:ascii="Arial" w:cs="Arial" w:eastAsia="Arial" w:hAnsi="Arial"/>
          <w:sz w:val="18"/>
          <w:szCs w:val="18"/>
          <w:b w:val="1"/>
          <w:bCs w:val="1"/>
          <w:color w:val="auto"/>
        </w:rPr>
      </w:pPr>
    </w:p>
    <w:p>
      <w:pPr>
        <w:ind w:left="2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Comprehensive income (loss) represents the change in net assets of a business enterprise during a period from transactions and other events and circumstances from non-owner sources. Comprehensive income (loss) of the Company includes net income (loss) adjusted for the change in net unrealized gain on marketable securities. The net effect of income taxes on comprehensive income (loss) is immaterial. For the three months ended March 31, 2004 and 2003, the components of comprehensive income (loss) are:</w:t>
      </w:r>
    </w:p>
    <w:p>
      <w:pPr>
        <w:spacing w:after="0" w:line="382"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6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Three months ended</w:t>
            </w:r>
          </w:p>
        </w:tc>
      </w:tr>
      <w:tr>
        <w:trPr>
          <w:trHeight w:val="186"/>
        </w:trPr>
        <w:tc>
          <w:tcPr>
            <w:tcW w:w="6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40" w:type="dxa"/>
            <w:vAlign w:val="bottom"/>
            <w:gridSpan w:val="4"/>
          </w:tcPr>
          <w:p>
            <w:pPr>
              <w:jc w:val="right"/>
              <w:ind w:right="940"/>
              <w:spacing w:after="0"/>
              <w:rPr>
                <w:sz w:val="20"/>
                <w:szCs w:val="20"/>
                <w:color w:val="auto"/>
              </w:rPr>
            </w:pPr>
            <w:r>
              <w:rPr>
                <w:rFonts w:ascii="Arial" w:cs="Arial" w:eastAsia="Arial" w:hAnsi="Arial"/>
                <w:sz w:val="14"/>
                <w:szCs w:val="14"/>
                <w:b w:val="1"/>
                <w:bCs w:val="1"/>
                <w:color w:val="auto"/>
              </w:rPr>
              <w:t>March 31,</w:t>
            </w:r>
          </w:p>
        </w:tc>
      </w:tr>
      <w:tr>
        <w:trPr>
          <w:trHeight w:val="66"/>
        </w:trPr>
        <w:tc>
          <w:tcPr>
            <w:tcW w:w="6020" w:type="dxa"/>
            <w:vAlign w:val="bottom"/>
          </w:tcPr>
          <w:p>
            <w:pPr>
              <w:spacing w:after="0"/>
              <w:rPr>
                <w:sz w:val="5"/>
                <w:szCs w:val="5"/>
                <w:color w:val="auto"/>
              </w:rPr>
            </w:pPr>
          </w:p>
        </w:tc>
        <w:tc>
          <w:tcPr>
            <w:tcW w:w="160" w:type="dxa"/>
            <w:vAlign w:val="bottom"/>
            <w:tcBorders>
              <w:bottom w:val="single" w:sz="8" w:color="808080"/>
            </w:tcBorders>
          </w:tcPr>
          <w:p>
            <w:pPr>
              <w:spacing w:after="0"/>
              <w:rPr>
                <w:sz w:val="5"/>
                <w:szCs w:val="5"/>
                <w:color w:val="auto"/>
              </w:rPr>
            </w:pPr>
          </w:p>
        </w:tc>
        <w:tc>
          <w:tcPr>
            <w:tcW w:w="500" w:type="dxa"/>
            <w:vAlign w:val="bottom"/>
            <w:tcBorders>
              <w:bottom w:val="single" w:sz="8" w:color="808080"/>
            </w:tcBorders>
          </w:tcPr>
          <w:p>
            <w:pPr>
              <w:spacing w:after="0"/>
              <w:rPr>
                <w:sz w:val="5"/>
                <w:szCs w:val="5"/>
                <w:color w:val="auto"/>
              </w:rPr>
            </w:pPr>
          </w:p>
        </w:tc>
        <w:tc>
          <w:tcPr>
            <w:tcW w:w="220" w:type="dxa"/>
            <w:vAlign w:val="bottom"/>
            <w:tcBorders>
              <w:bottom w:val="single" w:sz="8" w:color="808080"/>
            </w:tcBorders>
          </w:tcPr>
          <w:p>
            <w:pPr>
              <w:spacing w:after="0"/>
              <w:rPr>
                <w:sz w:val="5"/>
                <w:szCs w:val="5"/>
                <w:color w:val="auto"/>
              </w:rPr>
            </w:pPr>
          </w:p>
        </w:tc>
        <w:tc>
          <w:tcPr>
            <w:tcW w:w="380" w:type="dxa"/>
            <w:vAlign w:val="bottom"/>
            <w:tcBorders>
              <w:bottom w:val="single" w:sz="8" w:color="808080"/>
            </w:tcBorders>
          </w:tcPr>
          <w:p>
            <w:pPr>
              <w:spacing w:after="0"/>
              <w:rPr>
                <w:sz w:val="5"/>
                <w:szCs w:val="5"/>
                <w:color w:val="auto"/>
              </w:rPr>
            </w:pPr>
          </w:p>
        </w:tc>
        <w:tc>
          <w:tcPr>
            <w:tcW w:w="300" w:type="dxa"/>
            <w:vAlign w:val="bottom"/>
            <w:tcBorders>
              <w:bottom w:val="single" w:sz="8" w:color="808080"/>
            </w:tcBorders>
          </w:tcPr>
          <w:p>
            <w:pPr>
              <w:spacing w:after="0"/>
              <w:rPr>
                <w:sz w:val="5"/>
                <w:szCs w:val="5"/>
                <w:color w:val="auto"/>
              </w:rPr>
            </w:pPr>
          </w:p>
        </w:tc>
        <w:tc>
          <w:tcPr>
            <w:tcW w:w="660" w:type="dxa"/>
            <w:vAlign w:val="bottom"/>
            <w:tcBorders>
              <w:bottom w:val="single" w:sz="8" w:color="808080"/>
            </w:tcBorders>
          </w:tcPr>
          <w:p>
            <w:pPr>
              <w:spacing w:after="0"/>
              <w:rPr>
                <w:sz w:val="5"/>
                <w:szCs w:val="5"/>
                <w:color w:val="auto"/>
              </w:rPr>
            </w:pPr>
          </w:p>
        </w:tc>
        <w:tc>
          <w:tcPr>
            <w:tcW w:w="300" w:type="dxa"/>
            <w:vAlign w:val="bottom"/>
            <w:tcBorders>
              <w:bottom w:val="single" w:sz="8" w:color="808080"/>
            </w:tcBorders>
          </w:tcPr>
          <w:p>
            <w:pPr>
              <w:spacing w:after="0"/>
              <w:rPr>
                <w:sz w:val="5"/>
                <w:szCs w:val="5"/>
                <w:color w:val="auto"/>
              </w:rPr>
            </w:pPr>
          </w:p>
        </w:tc>
      </w:tr>
      <w:tr>
        <w:trPr>
          <w:trHeight w:val="225"/>
        </w:trPr>
        <w:tc>
          <w:tcPr>
            <w:tcW w:w="602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2004</w:t>
            </w:r>
          </w:p>
        </w:tc>
        <w:tc>
          <w:tcPr>
            <w:tcW w:w="220" w:type="dxa"/>
            <w:vAlign w:val="bottom"/>
          </w:tcPr>
          <w:p>
            <w:pPr>
              <w:spacing w:after="0"/>
              <w:rPr>
                <w:sz w:val="19"/>
                <w:szCs w:val="19"/>
                <w:color w:val="auto"/>
              </w:rPr>
            </w:pPr>
          </w:p>
        </w:tc>
        <w:tc>
          <w:tcPr>
            <w:tcW w:w="1340" w:type="dxa"/>
            <w:vAlign w:val="bottom"/>
            <w:gridSpan w:val="3"/>
          </w:tcPr>
          <w:p>
            <w:pPr>
              <w:jc w:val="right"/>
              <w:ind w:right="90"/>
              <w:spacing w:after="0"/>
              <w:rPr>
                <w:sz w:val="20"/>
                <w:szCs w:val="20"/>
                <w:color w:val="auto"/>
              </w:rPr>
            </w:pPr>
            <w:r>
              <w:rPr>
                <w:rFonts w:ascii="Arial" w:cs="Arial" w:eastAsia="Arial" w:hAnsi="Arial"/>
                <w:sz w:val="14"/>
                <w:szCs w:val="14"/>
                <w:b w:val="1"/>
                <w:bCs w:val="1"/>
                <w:color w:val="auto"/>
              </w:rPr>
              <w:t>2003</w:t>
            </w:r>
          </w:p>
        </w:tc>
        <w:tc>
          <w:tcPr>
            <w:tcW w:w="300" w:type="dxa"/>
            <w:vAlign w:val="bottom"/>
          </w:tcPr>
          <w:p>
            <w:pPr>
              <w:spacing w:after="0"/>
              <w:rPr>
                <w:sz w:val="19"/>
                <w:szCs w:val="19"/>
                <w:color w:val="auto"/>
              </w:rPr>
            </w:pPr>
          </w:p>
        </w:tc>
      </w:tr>
      <w:tr>
        <w:trPr>
          <w:trHeight w:val="66"/>
        </w:trPr>
        <w:tc>
          <w:tcPr>
            <w:tcW w:w="6020" w:type="dxa"/>
            <w:vAlign w:val="bottom"/>
          </w:tcPr>
          <w:p>
            <w:pPr>
              <w:spacing w:after="0"/>
              <w:rPr>
                <w:sz w:val="5"/>
                <w:szCs w:val="5"/>
                <w:color w:val="auto"/>
              </w:rPr>
            </w:pPr>
          </w:p>
        </w:tc>
        <w:tc>
          <w:tcPr>
            <w:tcW w:w="160" w:type="dxa"/>
            <w:vAlign w:val="bottom"/>
            <w:tcBorders>
              <w:bottom w:val="single" w:sz="8" w:color="808080"/>
            </w:tcBorders>
          </w:tcPr>
          <w:p>
            <w:pPr>
              <w:spacing w:after="0"/>
              <w:rPr>
                <w:sz w:val="5"/>
                <w:szCs w:val="5"/>
                <w:color w:val="auto"/>
              </w:rPr>
            </w:pPr>
          </w:p>
        </w:tc>
        <w:tc>
          <w:tcPr>
            <w:tcW w:w="500" w:type="dxa"/>
            <w:vAlign w:val="bottom"/>
            <w:tcBorders>
              <w:bottom w:val="single" w:sz="8" w:color="808080"/>
            </w:tcBorders>
          </w:tcPr>
          <w:p>
            <w:pPr>
              <w:spacing w:after="0"/>
              <w:rPr>
                <w:sz w:val="5"/>
                <w:szCs w:val="5"/>
                <w:color w:val="auto"/>
              </w:rPr>
            </w:pPr>
          </w:p>
        </w:tc>
        <w:tc>
          <w:tcPr>
            <w:tcW w:w="220" w:type="dxa"/>
            <w:vAlign w:val="bottom"/>
            <w:tcBorders>
              <w:bottom w:val="single" w:sz="8" w:color="808080"/>
            </w:tcBorders>
          </w:tcPr>
          <w:p>
            <w:pPr>
              <w:spacing w:after="0"/>
              <w:rPr>
                <w:sz w:val="5"/>
                <w:szCs w:val="5"/>
                <w:color w:val="auto"/>
              </w:rPr>
            </w:pPr>
          </w:p>
        </w:tc>
        <w:tc>
          <w:tcPr>
            <w:tcW w:w="380" w:type="dxa"/>
            <w:vAlign w:val="bottom"/>
          </w:tcPr>
          <w:p>
            <w:pPr>
              <w:spacing w:after="0"/>
              <w:rPr>
                <w:sz w:val="5"/>
                <w:szCs w:val="5"/>
                <w:color w:val="auto"/>
              </w:rPr>
            </w:pPr>
          </w:p>
        </w:tc>
        <w:tc>
          <w:tcPr>
            <w:tcW w:w="300" w:type="dxa"/>
            <w:vAlign w:val="bottom"/>
            <w:tcBorders>
              <w:bottom w:val="single" w:sz="8" w:color="808080"/>
            </w:tcBorders>
          </w:tcPr>
          <w:p>
            <w:pPr>
              <w:spacing w:after="0"/>
              <w:rPr>
                <w:sz w:val="5"/>
                <w:szCs w:val="5"/>
                <w:color w:val="auto"/>
              </w:rPr>
            </w:pPr>
          </w:p>
        </w:tc>
        <w:tc>
          <w:tcPr>
            <w:tcW w:w="660" w:type="dxa"/>
            <w:vAlign w:val="bottom"/>
            <w:tcBorders>
              <w:bottom w:val="single" w:sz="8" w:color="808080"/>
            </w:tcBorders>
          </w:tcPr>
          <w:p>
            <w:pPr>
              <w:spacing w:after="0"/>
              <w:rPr>
                <w:sz w:val="5"/>
                <w:szCs w:val="5"/>
                <w:color w:val="auto"/>
              </w:rPr>
            </w:pPr>
          </w:p>
        </w:tc>
        <w:tc>
          <w:tcPr>
            <w:tcW w:w="300" w:type="dxa"/>
            <w:vAlign w:val="bottom"/>
            <w:tcBorders>
              <w:bottom w:val="single" w:sz="8" w:color="808080"/>
            </w:tcBorders>
          </w:tcPr>
          <w:p>
            <w:pPr>
              <w:spacing w:after="0"/>
              <w:rPr>
                <w:sz w:val="5"/>
                <w:szCs w:val="5"/>
                <w:color w:val="auto"/>
              </w:rPr>
            </w:pPr>
          </w:p>
        </w:tc>
      </w:tr>
      <w:tr>
        <w:trPr>
          <w:trHeight w:val="61"/>
        </w:trPr>
        <w:tc>
          <w:tcPr>
            <w:tcW w:w="60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tcPr>
          <w:p>
            <w:pPr>
              <w:spacing w:after="0"/>
              <w:rPr>
                <w:sz w:val="5"/>
                <w:szCs w:val="5"/>
                <w:color w:val="auto"/>
              </w:rPr>
            </w:pPr>
          </w:p>
        </w:tc>
        <w:tc>
          <w:tcPr>
            <w:tcW w:w="220" w:type="dxa"/>
            <w:vAlign w:val="bottom"/>
          </w:tcPr>
          <w:p>
            <w:pPr>
              <w:spacing w:after="0"/>
              <w:rPr>
                <w:sz w:val="5"/>
                <w:szCs w:val="5"/>
                <w:color w:val="auto"/>
              </w:rPr>
            </w:pPr>
          </w:p>
        </w:tc>
        <w:tc>
          <w:tcPr>
            <w:tcW w:w="3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300" w:type="dxa"/>
            <w:vAlign w:val="bottom"/>
          </w:tcPr>
          <w:p>
            <w:pPr>
              <w:spacing w:after="0"/>
              <w:rPr>
                <w:sz w:val="5"/>
                <w:szCs w:val="5"/>
                <w:color w:val="auto"/>
              </w:rPr>
            </w:pPr>
          </w:p>
        </w:tc>
      </w:tr>
      <w:tr>
        <w:trPr>
          <w:trHeight w:val="216"/>
        </w:trPr>
        <w:tc>
          <w:tcPr>
            <w:tcW w:w="6020" w:type="dxa"/>
            <w:vAlign w:val="bottom"/>
            <w:shd w:val="clear" w:color="auto" w:fill="EEEEEE"/>
          </w:tcPr>
          <w:p>
            <w:pPr>
              <w:spacing w:after="0"/>
              <w:rPr>
                <w:sz w:val="20"/>
                <w:szCs w:val="20"/>
                <w:color w:val="auto"/>
              </w:rPr>
            </w:pPr>
            <w:r>
              <w:rPr>
                <w:rFonts w:ascii="Arial" w:cs="Arial" w:eastAsia="Arial" w:hAnsi="Arial"/>
                <w:sz w:val="18"/>
                <w:szCs w:val="18"/>
                <w:color w:val="auto"/>
              </w:rPr>
              <w:t>Net income (loss)</w:t>
            </w:r>
          </w:p>
        </w:tc>
        <w:tc>
          <w:tcPr>
            <w:tcW w:w="6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w w:val="98"/>
              </w:rPr>
              <w:t>$64,532</w:t>
            </w:r>
          </w:p>
        </w:tc>
        <w:tc>
          <w:tcPr>
            <w:tcW w:w="220" w:type="dxa"/>
            <w:vAlign w:val="bottom"/>
            <w:shd w:val="clear" w:color="auto" w:fill="EEEEEE"/>
          </w:tcPr>
          <w:p>
            <w:pPr>
              <w:spacing w:after="0"/>
              <w:rPr>
                <w:sz w:val="18"/>
                <w:szCs w:val="18"/>
                <w:color w:val="auto"/>
              </w:rPr>
            </w:pPr>
          </w:p>
        </w:tc>
        <w:tc>
          <w:tcPr>
            <w:tcW w:w="1640" w:type="dxa"/>
            <w:vAlign w:val="bottom"/>
            <w:gridSpan w:val="4"/>
            <w:shd w:val="clear" w:color="auto" w:fill="EEEEEE"/>
          </w:tcPr>
          <w:p>
            <w:pPr>
              <w:jc w:val="right"/>
              <w:ind w:right="240"/>
              <w:spacing w:after="0"/>
              <w:rPr>
                <w:sz w:val="20"/>
                <w:szCs w:val="20"/>
                <w:color w:val="auto"/>
              </w:rPr>
            </w:pPr>
            <w:r>
              <w:rPr>
                <w:rFonts w:ascii="Arial" w:cs="Arial" w:eastAsia="Arial" w:hAnsi="Arial"/>
                <w:sz w:val="18"/>
                <w:szCs w:val="18"/>
                <w:color w:val="auto"/>
              </w:rPr>
              <w:t>($30,321)</w:t>
            </w:r>
          </w:p>
        </w:tc>
      </w:tr>
      <w:tr>
        <w:trPr>
          <w:trHeight w:val="230"/>
        </w:trPr>
        <w:tc>
          <w:tcPr>
            <w:tcW w:w="6020" w:type="dxa"/>
            <w:vAlign w:val="bottom"/>
          </w:tcPr>
          <w:p>
            <w:pPr>
              <w:spacing w:after="0"/>
              <w:rPr>
                <w:sz w:val="20"/>
                <w:szCs w:val="20"/>
                <w:color w:val="auto"/>
              </w:rPr>
            </w:pPr>
            <w:r>
              <w:rPr>
                <w:rFonts w:ascii="Arial" w:cs="Arial" w:eastAsia="Arial" w:hAnsi="Arial"/>
                <w:sz w:val="18"/>
                <w:szCs w:val="18"/>
                <w:color w:val="auto"/>
              </w:rPr>
              <w:t>Change in net unrealized gain on marketable securities</w:t>
            </w:r>
          </w:p>
        </w:tc>
        <w:tc>
          <w:tcPr>
            <w:tcW w:w="1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69</w:t>
            </w:r>
          </w:p>
        </w:tc>
        <w:tc>
          <w:tcPr>
            <w:tcW w:w="220" w:type="dxa"/>
            <w:vAlign w:val="bottom"/>
          </w:tcPr>
          <w:p>
            <w:pPr>
              <w:spacing w:after="0"/>
              <w:rPr>
                <w:sz w:val="19"/>
                <w:szCs w:val="19"/>
                <w:color w:val="auto"/>
              </w:rPr>
            </w:pPr>
          </w:p>
        </w:tc>
        <w:tc>
          <w:tcPr>
            <w:tcW w:w="680" w:type="dxa"/>
            <w:vAlign w:val="bottom"/>
            <w:gridSpan w:val="2"/>
          </w:tcPr>
          <w:p>
            <w:pPr>
              <w:spacing w:after="0"/>
              <w:rPr>
                <w:sz w:val="19"/>
                <w:szCs w:val="19"/>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(176)</w:t>
            </w:r>
          </w:p>
        </w:tc>
      </w:tr>
      <w:tr>
        <w:trPr>
          <w:trHeight w:val="27"/>
        </w:trPr>
        <w:tc>
          <w:tcPr>
            <w:tcW w:w="6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shd w:val="clear" w:color="auto" w:fill="808080"/>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shd w:val="clear" w:color="auto" w:fill="808080"/>
          </w:tcPr>
          <w:p>
            <w:pPr>
              <w:spacing w:after="0"/>
              <w:rPr>
                <w:sz w:val="2"/>
                <w:szCs w:val="2"/>
                <w:color w:val="auto"/>
              </w:rPr>
            </w:pPr>
          </w:p>
        </w:tc>
        <w:tc>
          <w:tcPr>
            <w:tcW w:w="300" w:type="dxa"/>
            <w:vAlign w:val="bottom"/>
          </w:tcPr>
          <w:p>
            <w:pPr>
              <w:spacing w:after="0"/>
              <w:rPr>
                <w:sz w:val="2"/>
                <w:szCs w:val="2"/>
                <w:color w:val="auto"/>
              </w:rPr>
            </w:pPr>
          </w:p>
        </w:tc>
      </w:tr>
      <w:tr>
        <w:trPr>
          <w:trHeight w:val="221"/>
        </w:trPr>
        <w:tc>
          <w:tcPr>
            <w:tcW w:w="6020" w:type="dxa"/>
            <w:vAlign w:val="bottom"/>
            <w:shd w:val="clear" w:color="auto" w:fill="EEEEEE"/>
          </w:tcPr>
          <w:p>
            <w:pPr>
              <w:ind w:left="140"/>
              <w:spacing w:after="0"/>
              <w:rPr>
                <w:sz w:val="20"/>
                <w:szCs w:val="20"/>
                <w:color w:val="auto"/>
              </w:rPr>
            </w:pPr>
            <w:r>
              <w:rPr>
                <w:rFonts w:ascii="Arial" w:cs="Arial" w:eastAsia="Arial" w:hAnsi="Arial"/>
                <w:sz w:val="18"/>
                <w:szCs w:val="18"/>
                <w:color w:val="auto"/>
              </w:rPr>
              <w:t>Total comprehensive income (loss)</w:t>
            </w:r>
          </w:p>
        </w:tc>
        <w:tc>
          <w:tcPr>
            <w:tcW w:w="6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w w:val="98"/>
              </w:rPr>
              <w:t>$64,601</w:t>
            </w:r>
          </w:p>
        </w:tc>
        <w:tc>
          <w:tcPr>
            <w:tcW w:w="220" w:type="dxa"/>
            <w:vAlign w:val="bottom"/>
            <w:shd w:val="clear" w:color="auto" w:fill="EEEEEE"/>
          </w:tcPr>
          <w:p>
            <w:pPr>
              <w:spacing w:after="0"/>
              <w:rPr>
                <w:sz w:val="19"/>
                <w:szCs w:val="19"/>
                <w:color w:val="auto"/>
              </w:rPr>
            </w:pPr>
          </w:p>
        </w:tc>
        <w:tc>
          <w:tcPr>
            <w:tcW w:w="1640" w:type="dxa"/>
            <w:vAlign w:val="bottom"/>
            <w:gridSpan w:val="4"/>
            <w:shd w:val="clear" w:color="auto" w:fill="EEEEEE"/>
          </w:tcPr>
          <w:p>
            <w:pPr>
              <w:jc w:val="right"/>
              <w:ind w:right="240"/>
              <w:spacing w:after="0"/>
              <w:rPr>
                <w:sz w:val="20"/>
                <w:szCs w:val="20"/>
                <w:color w:val="auto"/>
              </w:rPr>
            </w:pPr>
            <w:r>
              <w:rPr>
                <w:rFonts w:ascii="Arial" w:cs="Arial" w:eastAsia="Arial" w:hAnsi="Arial"/>
                <w:sz w:val="18"/>
                <w:szCs w:val="18"/>
                <w:color w:val="auto"/>
              </w:rPr>
              <w:t>($30,497)</w:t>
            </w:r>
          </w:p>
        </w:tc>
      </w:tr>
      <w:tr>
        <w:trPr>
          <w:trHeight w:val="66"/>
        </w:trPr>
        <w:tc>
          <w:tcPr>
            <w:tcW w:w="60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3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r>
    </w:tbl>
    <w:p>
      <w:pPr>
        <w:spacing w:after="0" w:line="208" w:lineRule="exact"/>
        <w:rPr>
          <w:sz w:val="20"/>
          <w:szCs w:val="20"/>
          <w:color w:val="auto"/>
        </w:rPr>
      </w:pPr>
    </w:p>
    <w:p>
      <w:pPr>
        <w:ind w:left="260" w:hanging="252"/>
        <w:spacing w:after="0"/>
        <w:tabs>
          <w:tab w:leader="none" w:pos="2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Collaboration Agreement – Novartis Pharma AG</w:t>
      </w:r>
    </w:p>
    <w:p>
      <w:pPr>
        <w:spacing w:after="0" w:line="229" w:lineRule="exact"/>
        <w:rPr>
          <w:rFonts w:ascii="Arial" w:cs="Arial" w:eastAsia="Arial" w:hAnsi="Arial"/>
          <w:sz w:val="18"/>
          <w:szCs w:val="18"/>
          <w:b w:val="1"/>
          <w:bCs w:val="1"/>
          <w:color w:val="auto"/>
        </w:rPr>
      </w:pPr>
    </w:p>
    <w:p>
      <w:pPr>
        <w:ind w:left="260" w:right="20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In March 2003, the Company entered into a collaboration agreement with Novartis Pharma AG (“Novartis”) to jointly develop and commercialize the Company’s Interleukin-1 Trap (“IL-1 Trap”). In connection with this agreement, Novartis made a non-refundable up-front payment of $27.0 million and purchased $48.0 million of newly issued unregistered shares of the Company’s Common Stock.</w:t>
      </w:r>
    </w:p>
    <w:p>
      <w:pPr>
        <w:spacing w:after="0" w:line="181" w:lineRule="exact"/>
        <w:rPr>
          <w:rFonts w:ascii="Arial" w:cs="Arial" w:eastAsia="Arial" w:hAnsi="Arial"/>
          <w:sz w:val="18"/>
          <w:szCs w:val="18"/>
          <w:b w:val="1"/>
          <w:bCs w:val="1"/>
          <w:color w:val="auto"/>
        </w:rPr>
      </w:pPr>
    </w:p>
    <w:p>
      <w:pPr>
        <w:ind w:left="260" w:right="6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Development expenses incurred in 2003 were shared equally by the Company and Novartis. Regeneron funded its share of 2003 development expenses through loans from Novartis. In March 2004, Novartis forgave its outstanding loans to Regeneron totaling $17.8 million, including accrued interest, based on Regeneron’s achieving a pre-defined development milestone, which was recognized as a research progress payment.</w:t>
      </w:r>
    </w:p>
    <w:p>
      <w:pPr>
        <w:spacing w:after="0" w:line="165" w:lineRule="exact"/>
        <w:rPr>
          <w:rFonts w:ascii="Arial" w:cs="Arial" w:eastAsia="Arial" w:hAnsi="Arial"/>
          <w:sz w:val="18"/>
          <w:szCs w:val="18"/>
          <w:b w:val="1"/>
          <w:bCs w:val="1"/>
          <w:color w:val="auto"/>
        </w:rPr>
      </w:pPr>
    </w:p>
    <w:p>
      <w:pPr>
        <w:ind w:left="260" w:right="20"/>
        <w:spacing w:after="0" w:line="273" w:lineRule="auto"/>
        <w:rPr>
          <w:rFonts w:ascii="Arial" w:cs="Arial" w:eastAsia="Arial" w:hAnsi="Arial"/>
          <w:sz w:val="18"/>
          <w:szCs w:val="18"/>
          <w:b w:val="1"/>
          <w:bCs w:val="1"/>
          <w:color w:val="auto"/>
        </w:rPr>
      </w:pPr>
      <w:r>
        <w:rPr>
          <w:rFonts w:ascii="Arial" w:cs="Arial" w:eastAsia="Arial" w:hAnsi="Arial"/>
          <w:sz w:val="17"/>
          <w:szCs w:val="17"/>
          <w:color w:val="auto"/>
        </w:rPr>
        <w:t>In February 2004, Novartis provided notice of its intention not to proceed with the joint development of the IL-1 Trap. In March 2004, Novartis agreed to pay the Company $42.75 million to satisfy its obligation to fund development costs for the IL-1 Trap for the nine month period following its notification and for the two months prior to that notice. The Company recorded the $42.75 million as other contract income in the first quarter of 2004. In addition, the Company recognized contract research and development revenue of $22.1 million which represents the remaining amount of the March 2003 up-front payment from Novartis that had previously been deferred. Regeneron and Novartis each retain rights under the collaboration agreement to elect to collaborate in the future on the development and commercialization of certain other IL-1 antagonists.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07" w:lineRule="exact"/>
        <w:rPr>
          <w:sz w:val="20"/>
          <w:szCs w:val="20"/>
          <w:color w:val="auto"/>
        </w:rPr>
      </w:pPr>
    </w:p>
    <w:p>
      <w:pPr>
        <w:ind w:left="340" w:hanging="327"/>
        <w:spacing w:after="0"/>
        <w:tabs>
          <w:tab w:leader="none" w:pos="34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Segment Reporting</w:t>
      </w:r>
    </w:p>
    <w:p>
      <w:pPr>
        <w:spacing w:after="0" w:line="229"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The Company’s operations are managed in two business segments: research and development, and contract manufacturing.</w:t>
      </w:r>
    </w:p>
    <w:p>
      <w:pPr>
        <w:spacing w:after="0" w:line="225" w:lineRule="exact"/>
        <w:rPr>
          <w:rFonts w:ascii="Arial" w:cs="Arial" w:eastAsia="Arial" w:hAnsi="Arial"/>
          <w:sz w:val="18"/>
          <w:szCs w:val="18"/>
          <w:b w:val="1"/>
          <w:bCs w:val="1"/>
          <w:color w:val="auto"/>
        </w:rPr>
      </w:pPr>
    </w:p>
    <w:p>
      <w:pPr>
        <w:ind w:left="3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Research and development: Includes all activities related to the discovery of potential therapeutics for human medical conditions, and the development and commercialization of these discoveries. Also includes revenues and expenses related to (i) the development of manufacturing processes prior to commencing commercial production of a product under contract manufacturing arrangements, and (ii) the supply of specified, ordered research materials using Regeneron-developed proprietary technology.</w:t>
      </w:r>
    </w:p>
    <w:p>
      <w:pPr>
        <w:spacing w:after="0" w:line="186" w:lineRule="exact"/>
        <w:rPr>
          <w:rFonts w:ascii="Arial" w:cs="Arial" w:eastAsia="Arial" w:hAnsi="Arial"/>
          <w:sz w:val="18"/>
          <w:szCs w:val="18"/>
          <w:b w:val="1"/>
          <w:bCs w:val="1"/>
          <w:color w:val="auto"/>
        </w:rPr>
      </w:pPr>
    </w:p>
    <w:p>
      <w:pPr>
        <w:ind w:left="340" w:right="96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Contract manufacturing: Includes all revenues and expenses related to the commercial production of products under contract manufacturing arrangements. The Company produces an intermediate for a Merck pediatric vaccine under a long-term manufacturing agreement.</w:t>
      </w:r>
    </w:p>
    <w:p>
      <w:pPr>
        <w:spacing w:after="0" w:line="123"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The table below presents information about reported segments for the three months ended March 31, 2004 and 2003.</w:t>
      </w:r>
    </w:p>
    <w:p>
      <w:pPr>
        <w:spacing w:after="0" w:line="200" w:lineRule="exact"/>
        <w:rPr>
          <w:sz w:val="20"/>
          <w:szCs w:val="20"/>
          <w:color w:val="auto"/>
        </w:rPr>
      </w:pP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186"/>
        </w:trPr>
        <w:tc>
          <w:tcPr>
            <w:tcW w:w="2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360" w:type="dxa"/>
            <w:vAlign w:val="bottom"/>
            <w:gridSpan w:val="5"/>
          </w:tcPr>
          <w:p>
            <w:pPr>
              <w:ind w:left="420"/>
              <w:spacing w:after="0"/>
              <w:rPr>
                <w:sz w:val="20"/>
                <w:szCs w:val="20"/>
                <w:color w:val="auto"/>
              </w:rPr>
            </w:pPr>
            <w:r>
              <w:rPr>
                <w:rFonts w:ascii="Arial" w:cs="Arial" w:eastAsia="Arial" w:hAnsi="Arial"/>
                <w:sz w:val="14"/>
                <w:szCs w:val="14"/>
                <w:b w:val="1"/>
                <w:bCs w:val="1"/>
                <w:color w:val="auto"/>
              </w:rPr>
              <w:t>Three months ended March 31, 2004</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22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60" w:type="dxa"/>
            <w:vAlign w:val="bottom"/>
            <w:tcBorders>
              <w:bottom w:val="single" w:sz="8" w:color="808080"/>
            </w:tcBorders>
            <w:gridSpan w:val="2"/>
          </w:tcPr>
          <w:p>
            <w:pPr>
              <w:spacing w:after="0"/>
              <w:rPr>
                <w:sz w:val="5"/>
                <w:szCs w:val="5"/>
                <w:color w:val="auto"/>
              </w:rPr>
            </w:pPr>
          </w:p>
        </w:tc>
        <w:tc>
          <w:tcPr>
            <w:tcW w:w="40" w:type="dxa"/>
            <w:vAlign w:val="bottom"/>
            <w:tcBorders>
              <w:bottom w:val="single" w:sz="8" w:color="808080"/>
            </w:tcBorders>
          </w:tcPr>
          <w:p>
            <w:pPr>
              <w:spacing w:after="0"/>
              <w:rPr>
                <w:sz w:val="5"/>
                <w:szCs w:val="5"/>
                <w:color w:val="auto"/>
              </w:rPr>
            </w:pPr>
          </w:p>
        </w:tc>
        <w:tc>
          <w:tcPr>
            <w:tcW w:w="200" w:type="dxa"/>
            <w:vAlign w:val="bottom"/>
            <w:tcBorders>
              <w:bottom w:val="single" w:sz="8" w:color="808080"/>
            </w:tcBorders>
          </w:tcPr>
          <w:p>
            <w:pPr>
              <w:spacing w:after="0"/>
              <w:rPr>
                <w:sz w:val="5"/>
                <w:szCs w:val="5"/>
                <w:color w:val="auto"/>
              </w:rPr>
            </w:pPr>
          </w:p>
        </w:tc>
        <w:tc>
          <w:tcPr>
            <w:tcW w:w="40" w:type="dxa"/>
            <w:vAlign w:val="bottom"/>
            <w:tcBorders>
              <w:bottom w:val="single" w:sz="8" w:color="808080"/>
            </w:tcBorders>
          </w:tcPr>
          <w:p>
            <w:pPr>
              <w:spacing w:after="0"/>
              <w:rPr>
                <w:sz w:val="5"/>
                <w:szCs w:val="5"/>
                <w:color w:val="auto"/>
              </w:rPr>
            </w:pPr>
          </w:p>
        </w:tc>
        <w:tc>
          <w:tcPr>
            <w:tcW w:w="1300" w:type="dxa"/>
            <w:vAlign w:val="bottom"/>
            <w:tcBorders>
              <w:bottom w:val="single" w:sz="8" w:color="808080"/>
            </w:tcBorders>
          </w:tcPr>
          <w:p>
            <w:pPr>
              <w:spacing w:after="0"/>
              <w:rPr>
                <w:sz w:val="5"/>
                <w:szCs w:val="5"/>
                <w:color w:val="auto"/>
              </w:rPr>
            </w:pPr>
          </w:p>
        </w:tc>
        <w:tc>
          <w:tcPr>
            <w:tcW w:w="240" w:type="dxa"/>
            <w:vAlign w:val="bottom"/>
            <w:tcBorders>
              <w:bottom w:val="single" w:sz="8" w:color="808080"/>
            </w:tcBorders>
          </w:tcPr>
          <w:p>
            <w:pPr>
              <w:spacing w:after="0"/>
              <w:rPr>
                <w:sz w:val="5"/>
                <w:szCs w:val="5"/>
                <w:color w:val="auto"/>
              </w:rPr>
            </w:pPr>
          </w:p>
        </w:tc>
        <w:tc>
          <w:tcPr>
            <w:tcW w:w="620" w:type="dxa"/>
            <w:vAlign w:val="bottom"/>
            <w:tcBorders>
              <w:bottom w:val="single" w:sz="8" w:color="808080"/>
            </w:tcBorders>
          </w:tcPr>
          <w:p>
            <w:pPr>
              <w:spacing w:after="0"/>
              <w:rPr>
                <w:sz w:val="5"/>
                <w:szCs w:val="5"/>
                <w:color w:val="auto"/>
              </w:rPr>
            </w:pPr>
          </w:p>
        </w:tc>
        <w:tc>
          <w:tcPr>
            <w:tcW w:w="1100" w:type="dxa"/>
            <w:vAlign w:val="bottom"/>
            <w:tcBorders>
              <w:bottom w:val="single" w:sz="8" w:color="808080"/>
            </w:tcBorders>
          </w:tcPr>
          <w:p>
            <w:pPr>
              <w:spacing w:after="0"/>
              <w:rPr>
                <w:sz w:val="5"/>
                <w:szCs w:val="5"/>
                <w:color w:val="auto"/>
              </w:rPr>
            </w:pPr>
          </w:p>
        </w:tc>
        <w:tc>
          <w:tcPr>
            <w:tcW w:w="100" w:type="dxa"/>
            <w:vAlign w:val="bottom"/>
            <w:tcBorders>
              <w:bottom w:val="single" w:sz="8" w:color="808080"/>
            </w:tcBorders>
          </w:tcPr>
          <w:p>
            <w:pPr>
              <w:spacing w:after="0"/>
              <w:rPr>
                <w:sz w:val="5"/>
                <w:szCs w:val="5"/>
                <w:color w:val="auto"/>
              </w:rPr>
            </w:pPr>
          </w:p>
        </w:tc>
        <w:tc>
          <w:tcPr>
            <w:tcW w:w="140" w:type="dxa"/>
            <w:vAlign w:val="bottom"/>
            <w:tcBorders>
              <w:bottom w:val="single" w:sz="8" w:color="808080"/>
            </w:tcBorders>
          </w:tcPr>
          <w:p>
            <w:pPr>
              <w:spacing w:after="0"/>
              <w:rPr>
                <w:sz w:val="5"/>
                <w:szCs w:val="5"/>
                <w:color w:val="auto"/>
              </w:rPr>
            </w:pPr>
          </w:p>
        </w:tc>
        <w:tc>
          <w:tcPr>
            <w:tcW w:w="100" w:type="dxa"/>
            <w:vAlign w:val="bottom"/>
            <w:tcBorders>
              <w:bottom w:val="single" w:sz="8" w:color="808080"/>
            </w:tcBorders>
          </w:tcPr>
          <w:p>
            <w:pPr>
              <w:spacing w:after="0"/>
              <w:rPr>
                <w:sz w:val="5"/>
                <w:szCs w:val="5"/>
                <w:color w:val="auto"/>
              </w:rPr>
            </w:pPr>
          </w:p>
        </w:tc>
        <w:tc>
          <w:tcPr>
            <w:tcW w:w="240" w:type="dxa"/>
            <w:vAlign w:val="bottom"/>
            <w:tcBorders>
              <w:bottom w:val="single" w:sz="8" w:color="808080"/>
            </w:tcBorders>
          </w:tcPr>
          <w:p>
            <w:pPr>
              <w:spacing w:after="0"/>
              <w:rPr>
                <w:sz w:val="5"/>
                <w:szCs w:val="5"/>
                <w:color w:val="auto"/>
              </w:rPr>
            </w:pPr>
          </w:p>
        </w:tc>
        <w:tc>
          <w:tcPr>
            <w:tcW w:w="78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2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3"/>
          </w:tcPr>
          <w:p>
            <w:pPr>
              <w:ind w:left="280"/>
              <w:spacing w:after="0"/>
              <w:rPr>
                <w:sz w:val="20"/>
                <w:szCs w:val="20"/>
                <w:color w:val="auto"/>
              </w:rPr>
            </w:pPr>
            <w:r>
              <w:rPr>
                <w:rFonts w:ascii="Arial" w:cs="Arial" w:eastAsia="Arial" w:hAnsi="Arial"/>
                <w:sz w:val="14"/>
                <w:szCs w:val="14"/>
                <w:b w:val="1"/>
                <w:bCs w:val="1"/>
                <w:color w:val="auto"/>
              </w:rPr>
              <w:t>Research &amp;</w:t>
            </w: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3"/>
              </w:rPr>
              <w:t>Contract</w:t>
            </w:r>
          </w:p>
        </w:tc>
        <w:tc>
          <w:tcPr>
            <w:tcW w:w="240" w:type="dxa"/>
            <w:vAlign w:val="bottom"/>
          </w:tcPr>
          <w:p>
            <w:pPr>
              <w:spacing w:after="0"/>
              <w:rPr>
                <w:sz w:val="16"/>
                <w:szCs w:val="16"/>
                <w:color w:val="auto"/>
              </w:rPr>
            </w:pPr>
          </w:p>
        </w:tc>
        <w:tc>
          <w:tcPr>
            <w:tcW w:w="1820" w:type="dxa"/>
            <w:vAlign w:val="bottom"/>
            <w:gridSpan w:val="3"/>
            <w:vMerge w:val="restart"/>
          </w:tcPr>
          <w:p>
            <w:pPr>
              <w:ind w:left="360"/>
              <w:spacing w:after="0"/>
              <w:rPr>
                <w:sz w:val="20"/>
                <w:szCs w:val="20"/>
                <w:color w:val="auto"/>
              </w:rPr>
            </w:pPr>
            <w:r>
              <w:rPr>
                <w:rFonts w:ascii="Arial" w:cs="Arial" w:eastAsia="Arial" w:hAnsi="Arial"/>
                <w:sz w:val="14"/>
                <w:szCs w:val="14"/>
                <w:b w:val="1"/>
                <w:bCs w:val="1"/>
                <w:color w:val="auto"/>
              </w:rPr>
              <w:t>Reconciling Items</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vMerge w:val="restart"/>
          </w:tcPr>
          <w:p>
            <w:pPr>
              <w:jc w:val="right"/>
              <w:ind w:right="25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6"/>
        </w:trPr>
        <w:tc>
          <w:tcPr>
            <w:tcW w:w="2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3"/>
          </w:tcPr>
          <w:p>
            <w:pPr>
              <w:ind w:left="240"/>
              <w:spacing w:after="0"/>
              <w:rPr>
                <w:sz w:val="20"/>
                <w:szCs w:val="20"/>
                <w:color w:val="auto"/>
              </w:rPr>
            </w:pPr>
            <w:r>
              <w:rPr>
                <w:rFonts w:ascii="Arial" w:cs="Arial" w:eastAsia="Arial" w:hAnsi="Arial"/>
                <w:sz w:val="14"/>
                <w:szCs w:val="14"/>
                <w:b w:val="1"/>
                <w:bCs w:val="1"/>
                <w:color w:val="auto"/>
              </w:rPr>
              <w:t>Development</w:t>
            </w: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7"/>
              </w:rPr>
              <w:t>Manufacturing</w:t>
            </w:r>
          </w:p>
        </w:tc>
        <w:tc>
          <w:tcPr>
            <w:tcW w:w="240" w:type="dxa"/>
            <w:vAlign w:val="bottom"/>
          </w:tcPr>
          <w:p>
            <w:pPr>
              <w:spacing w:after="0"/>
              <w:rPr>
                <w:sz w:val="16"/>
                <w:szCs w:val="16"/>
                <w:color w:val="auto"/>
              </w:rPr>
            </w:pPr>
          </w:p>
        </w:tc>
        <w:tc>
          <w:tcPr>
            <w:tcW w:w="182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22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Borders>
              <w:bottom w:val="single" w:sz="8" w:color="808080"/>
            </w:tcBorders>
          </w:tcPr>
          <w:p>
            <w:pPr>
              <w:spacing w:after="0"/>
              <w:rPr>
                <w:sz w:val="5"/>
                <w:szCs w:val="5"/>
                <w:color w:val="auto"/>
              </w:rPr>
            </w:pPr>
          </w:p>
        </w:tc>
        <w:tc>
          <w:tcPr>
            <w:tcW w:w="900" w:type="dxa"/>
            <w:vAlign w:val="bottom"/>
            <w:tcBorders>
              <w:bottom w:val="single" w:sz="8" w:color="808080"/>
            </w:tcBorders>
          </w:tcPr>
          <w:p>
            <w:pPr>
              <w:spacing w:after="0"/>
              <w:rPr>
                <w:sz w:val="5"/>
                <w:szCs w:val="5"/>
                <w:color w:val="auto"/>
              </w:rPr>
            </w:pPr>
          </w:p>
        </w:tc>
        <w:tc>
          <w:tcPr>
            <w:tcW w:w="40" w:type="dxa"/>
            <w:vAlign w:val="bottom"/>
            <w:tcBorders>
              <w:bottom w:val="single" w:sz="8" w:color="808080"/>
            </w:tcBorders>
          </w:tcPr>
          <w:p>
            <w:pPr>
              <w:spacing w:after="0"/>
              <w:rPr>
                <w:sz w:val="5"/>
                <w:szCs w:val="5"/>
                <w:color w:val="auto"/>
              </w:rPr>
            </w:pPr>
          </w:p>
        </w:tc>
        <w:tc>
          <w:tcPr>
            <w:tcW w:w="200" w:type="dxa"/>
            <w:vAlign w:val="bottom"/>
          </w:tcPr>
          <w:p>
            <w:pPr>
              <w:spacing w:after="0"/>
              <w:rPr>
                <w:sz w:val="5"/>
                <w:szCs w:val="5"/>
                <w:color w:val="auto"/>
              </w:rPr>
            </w:pPr>
          </w:p>
        </w:tc>
        <w:tc>
          <w:tcPr>
            <w:tcW w:w="40" w:type="dxa"/>
            <w:vAlign w:val="bottom"/>
          </w:tcPr>
          <w:p>
            <w:pPr>
              <w:spacing w:after="0"/>
              <w:rPr>
                <w:sz w:val="5"/>
                <w:szCs w:val="5"/>
                <w:color w:val="auto"/>
              </w:rPr>
            </w:pPr>
          </w:p>
        </w:tc>
        <w:tc>
          <w:tcPr>
            <w:tcW w:w="1300" w:type="dxa"/>
            <w:vAlign w:val="bottom"/>
            <w:tcBorders>
              <w:bottom w:val="single" w:sz="8" w:color="808080"/>
            </w:tcBorders>
          </w:tcPr>
          <w:p>
            <w:pPr>
              <w:spacing w:after="0"/>
              <w:rPr>
                <w:sz w:val="5"/>
                <w:szCs w:val="5"/>
                <w:color w:val="auto"/>
              </w:rPr>
            </w:pPr>
          </w:p>
        </w:tc>
        <w:tc>
          <w:tcPr>
            <w:tcW w:w="240" w:type="dxa"/>
            <w:vAlign w:val="bottom"/>
          </w:tcPr>
          <w:p>
            <w:pPr>
              <w:spacing w:after="0"/>
              <w:rPr>
                <w:sz w:val="5"/>
                <w:szCs w:val="5"/>
                <w:color w:val="auto"/>
              </w:rPr>
            </w:pPr>
          </w:p>
        </w:tc>
        <w:tc>
          <w:tcPr>
            <w:tcW w:w="620" w:type="dxa"/>
            <w:vAlign w:val="bottom"/>
            <w:tcBorders>
              <w:bottom w:val="single" w:sz="8" w:color="808080"/>
            </w:tcBorders>
          </w:tcPr>
          <w:p>
            <w:pPr>
              <w:spacing w:after="0"/>
              <w:rPr>
                <w:sz w:val="5"/>
                <w:szCs w:val="5"/>
                <w:color w:val="auto"/>
              </w:rPr>
            </w:pPr>
          </w:p>
        </w:tc>
        <w:tc>
          <w:tcPr>
            <w:tcW w:w="1100" w:type="dxa"/>
            <w:vAlign w:val="bottom"/>
            <w:tcBorders>
              <w:bottom w:val="single" w:sz="8" w:color="808080"/>
            </w:tcBorders>
          </w:tcPr>
          <w:p>
            <w:pPr>
              <w:spacing w:after="0"/>
              <w:rPr>
                <w:sz w:val="5"/>
                <w:szCs w:val="5"/>
                <w:color w:val="auto"/>
              </w:rPr>
            </w:pPr>
          </w:p>
        </w:tc>
        <w:tc>
          <w:tcPr>
            <w:tcW w:w="100" w:type="dxa"/>
            <w:vAlign w:val="bottom"/>
            <w:tcBorders>
              <w:bottom w:val="single" w:sz="8" w:color="808080"/>
            </w:tcBorders>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Borders>
              <w:bottom w:val="single" w:sz="8" w:color="808080"/>
            </w:tcBorders>
          </w:tcPr>
          <w:p>
            <w:pPr>
              <w:spacing w:after="0"/>
              <w:rPr>
                <w:sz w:val="5"/>
                <w:szCs w:val="5"/>
                <w:color w:val="auto"/>
              </w:rPr>
            </w:pPr>
          </w:p>
        </w:tc>
        <w:tc>
          <w:tcPr>
            <w:tcW w:w="78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22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9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 w:type="dxa"/>
            <w:vAlign w:val="bottom"/>
          </w:tcPr>
          <w:p>
            <w:pPr>
              <w:spacing w:after="0"/>
              <w:rPr>
                <w:sz w:val="5"/>
                <w:szCs w:val="5"/>
                <w:color w:val="auto"/>
              </w:rPr>
            </w:pPr>
          </w:p>
        </w:tc>
        <w:tc>
          <w:tcPr>
            <w:tcW w:w="1300" w:type="dxa"/>
            <w:vAlign w:val="bottom"/>
          </w:tcPr>
          <w:p>
            <w:pPr>
              <w:spacing w:after="0"/>
              <w:rPr>
                <w:sz w:val="5"/>
                <w:szCs w:val="5"/>
                <w:color w:val="auto"/>
              </w:rPr>
            </w:pPr>
          </w:p>
        </w:tc>
        <w:tc>
          <w:tcPr>
            <w:tcW w:w="2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3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Revenues</w:t>
            </w:r>
          </w:p>
        </w:tc>
        <w:tc>
          <w:tcPr>
            <w:tcW w:w="360" w:type="dxa"/>
            <w:vAlign w:val="bottom"/>
            <w:shd w:val="clear" w:color="auto" w:fill="EEEEEE"/>
          </w:tcPr>
          <w:p>
            <w:pPr>
              <w:ind w:left="26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EEEEEE"/>
          </w:tcPr>
          <w:p>
            <w:pPr>
              <w:jc w:val="right"/>
              <w:ind w:right="237"/>
              <w:spacing w:after="0"/>
              <w:rPr>
                <w:sz w:val="20"/>
                <w:szCs w:val="20"/>
                <w:color w:val="auto"/>
              </w:rPr>
            </w:pPr>
            <w:r>
              <w:rPr>
                <w:rFonts w:ascii="Arial" w:cs="Arial" w:eastAsia="Arial" w:hAnsi="Arial"/>
                <w:sz w:val="18"/>
                <w:szCs w:val="18"/>
                <w:color w:val="auto"/>
              </w:rPr>
              <w:t>59,380</w:t>
            </w:r>
          </w:p>
        </w:tc>
        <w:tc>
          <w:tcPr>
            <w:tcW w:w="40" w:type="dxa"/>
            <w:vAlign w:val="bottom"/>
            <w:shd w:val="clear" w:color="auto" w:fill="EEEEEE"/>
          </w:tcPr>
          <w:p>
            <w:pPr>
              <w:spacing w:after="0"/>
              <w:rPr>
                <w:sz w:val="18"/>
                <w:szCs w:val="18"/>
                <w:color w:val="auto"/>
              </w:rPr>
            </w:pPr>
          </w:p>
        </w:tc>
        <w:tc>
          <w:tcPr>
            <w:tcW w:w="1540" w:type="dxa"/>
            <w:vAlign w:val="bottom"/>
            <w:gridSpan w:val="3"/>
            <w:shd w:val="clear" w:color="auto" w:fill="EEEEEE"/>
          </w:tcPr>
          <w:p>
            <w:pPr>
              <w:jc w:val="right"/>
              <w:ind w:right="319"/>
              <w:spacing w:after="0"/>
              <w:rPr>
                <w:sz w:val="20"/>
                <w:szCs w:val="20"/>
                <w:color w:val="auto"/>
              </w:rPr>
            </w:pPr>
            <w:r>
              <w:rPr>
                <w:rFonts w:ascii="Arial" w:cs="Arial" w:eastAsia="Arial" w:hAnsi="Arial"/>
                <w:sz w:val="18"/>
                <w:szCs w:val="18"/>
                <w:color w:val="auto"/>
              </w:rPr>
              <w:t>$ 2,610</w:t>
            </w:r>
          </w:p>
        </w:tc>
        <w:tc>
          <w:tcPr>
            <w:tcW w:w="24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1200" w:type="dxa"/>
            <w:vAlign w:val="bottom"/>
            <w:gridSpan w:val="2"/>
            <w:shd w:val="clear" w:color="auto" w:fill="EEEEEE"/>
          </w:tcPr>
          <w:p>
            <w:pPr>
              <w:jc w:val="right"/>
              <w:ind w:right="600"/>
              <w:spacing w:after="0"/>
              <w:rPr>
                <w:sz w:val="20"/>
                <w:szCs w:val="20"/>
                <w:color w:val="auto"/>
              </w:rPr>
            </w:pPr>
            <w:r>
              <w:rPr>
                <w:rFonts w:ascii="Arial" w:cs="Arial" w:eastAsia="Arial" w:hAnsi="Arial"/>
                <w:sz w:val="18"/>
                <w:szCs w:val="18"/>
                <w:color w:val="auto"/>
              </w:rPr>
              <w:t>—</w:t>
            </w:r>
          </w:p>
        </w:tc>
        <w:tc>
          <w:tcPr>
            <w:tcW w:w="4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EEEEEE"/>
          </w:tcPr>
          <w:p>
            <w:pPr>
              <w:jc w:val="right"/>
              <w:ind w:right="113"/>
              <w:spacing w:after="0"/>
              <w:rPr>
                <w:sz w:val="20"/>
                <w:szCs w:val="20"/>
                <w:color w:val="auto"/>
              </w:rPr>
            </w:pPr>
            <w:r>
              <w:rPr>
                <w:rFonts w:ascii="Arial" w:cs="Arial" w:eastAsia="Arial" w:hAnsi="Arial"/>
                <w:sz w:val="18"/>
                <w:szCs w:val="18"/>
                <w:color w:val="auto"/>
              </w:rPr>
              <w:t>61,990</w:t>
            </w:r>
          </w:p>
        </w:tc>
        <w:tc>
          <w:tcPr>
            <w:tcW w:w="0" w:type="dxa"/>
            <w:vAlign w:val="bottom"/>
          </w:tcPr>
          <w:p>
            <w:pPr>
              <w:spacing w:after="0"/>
              <w:rPr>
                <w:sz w:val="1"/>
                <w:szCs w:val="1"/>
                <w:color w:val="auto"/>
              </w:rPr>
            </w:pPr>
          </w:p>
        </w:tc>
      </w:tr>
      <w:tr>
        <w:trPr>
          <w:trHeight w:val="202"/>
        </w:trPr>
        <w:tc>
          <w:tcPr>
            <w:tcW w:w="2380" w:type="dxa"/>
            <w:vAlign w:val="bottom"/>
            <w:gridSpan w:val="2"/>
          </w:tcPr>
          <w:p>
            <w:pPr>
              <w:spacing w:after="0" w:line="201" w:lineRule="exact"/>
              <w:rPr>
                <w:sz w:val="20"/>
                <w:szCs w:val="20"/>
                <w:color w:val="auto"/>
              </w:rPr>
            </w:pPr>
            <w:r>
              <w:rPr>
                <w:rFonts w:ascii="Arial" w:cs="Arial" w:eastAsia="Arial" w:hAnsi="Arial"/>
                <w:sz w:val="18"/>
                <w:szCs w:val="18"/>
                <w:color w:val="auto"/>
              </w:rPr>
              <w:t>Depreciation and</w:t>
            </w: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380" w:type="dxa"/>
            <w:vAlign w:val="bottom"/>
            <w:gridSpan w:val="2"/>
          </w:tcPr>
          <w:p>
            <w:pPr>
              <w:ind w:left="140"/>
              <w:spacing w:after="0"/>
              <w:rPr>
                <w:sz w:val="20"/>
                <w:szCs w:val="20"/>
                <w:color w:val="auto"/>
              </w:rPr>
            </w:pPr>
            <w:r>
              <w:rPr>
                <w:rFonts w:ascii="Arial" w:cs="Arial" w:eastAsia="Arial" w:hAnsi="Arial"/>
                <w:sz w:val="18"/>
                <w:szCs w:val="18"/>
                <w:color w:val="auto"/>
              </w:rPr>
              <w:t>amortization</w:t>
            </w:r>
          </w:p>
        </w:tc>
        <w:tc>
          <w:tcPr>
            <w:tcW w:w="360" w:type="dxa"/>
            <w:vAlign w:val="bottom"/>
          </w:tcPr>
          <w:p>
            <w:pPr>
              <w:spacing w:after="0"/>
              <w:rPr>
                <w:sz w:val="20"/>
                <w:szCs w:val="20"/>
                <w:color w:val="auto"/>
              </w:rPr>
            </w:pPr>
          </w:p>
        </w:tc>
        <w:tc>
          <w:tcPr>
            <w:tcW w:w="900" w:type="dxa"/>
            <w:vAlign w:val="bottom"/>
          </w:tcPr>
          <w:p>
            <w:pPr>
              <w:jc w:val="right"/>
              <w:ind w:right="237"/>
              <w:spacing w:after="0"/>
              <w:rPr>
                <w:sz w:val="20"/>
                <w:szCs w:val="20"/>
                <w:color w:val="auto"/>
              </w:rPr>
            </w:pPr>
            <w:r>
              <w:rPr>
                <w:rFonts w:ascii="Arial" w:cs="Arial" w:eastAsia="Arial" w:hAnsi="Arial"/>
                <w:sz w:val="18"/>
                <w:szCs w:val="18"/>
                <w:color w:val="auto"/>
              </w:rPr>
              <w:t>3,512</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300" w:type="dxa"/>
            <w:vAlign w:val="bottom"/>
          </w:tcPr>
          <w:p>
            <w:pPr>
              <w:jc w:val="right"/>
              <w:ind w:right="139"/>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(1)</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412"/>
              <w:spacing w:after="0"/>
              <w:rPr>
                <w:sz w:val="20"/>
                <w:szCs w:val="20"/>
                <w:color w:val="auto"/>
              </w:rPr>
            </w:pPr>
            <w:r>
              <w:rPr>
                <w:rFonts w:ascii="Arial" w:cs="Arial" w:eastAsia="Arial" w:hAnsi="Arial"/>
                <w:sz w:val="18"/>
                <w:szCs w:val="18"/>
                <w:color w:val="auto"/>
              </w:rPr>
              <w:t>261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113"/>
              <w:spacing w:after="0"/>
              <w:rPr>
                <w:sz w:val="20"/>
                <w:szCs w:val="20"/>
                <w:color w:val="auto"/>
              </w:rPr>
            </w:pPr>
            <w:r>
              <w:rPr>
                <w:rFonts w:ascii="Arial" w:cs="Arial" w:eastAsia="Arial" w:hAnsi="Arial"/>
                <w:sz w:val="18"/>
                <w:szCs w:val="18"/>
                <w:color w:val="auto"/>
              </w:rPr>
              <w:t>3,773</w:t>
            </w:r>
          </w:p>
        </w:tc>
        <w:tc>
          <w:tcPr>
            <w:tcW w:w="0" w:type="dxa"/>
            <w:vAlign w:val="bottom"/>
          </w:tcPr>
          <w:p>
            <w:pPr>
              <w:spacing w:after="0"/>
              <w:rPr>
                <w:sz w:val="1"/>
                <w:szCs w:val="1"/>
                <w:color w:val="auto"/>
              </w:rPr>
            </w:pPr>
          </w:p>
        </w:tc>
      </w:tr>
      <w:tr>
        <w:trPr>
          <w:trHeight w:val="216"/>
        </w:trPr>
        <w:tc>
          <w:tcPr>
            <w:tcW w:w="23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Other contract income</w:t>
            </w:r>
          </w:p>
        </w:tc>
        <w:tc>
          <w:tcPr>
            <w:tcW w:w="360" w:type="dxa"/>
            <w:vAlign w:val="bottom"/>
            <w:shd w:val="clear" w:color="auto" w:fill="EEEEEE"/>
          </w:tcPr>
          <w:p>
            <w:pPr>
              <w:spacing w:after="0"/>
              <w:rPr>
                <w:sz w:val="18"/>
                <w:szCs w:val="18"/>
                <w:color w:val="auto"/>
              </w:rPr>
            </w:pPr>
          </w:p>
        </w:tc>
        <w:tc>
          <w:tcPr>
            <w:tcW w:w="900" w:type="dxa"/>
            <w:vAlign w:val="bottom"/>
            <w:shd w:val="clear" w:color="auto" w:fill="EEEEEE"/>
          </w:tcPr>
          <w:p>
            <w:pPr>
              <w:jc w:val="right"/>
              <w:ind w:right="237"/>
              <w:spacing w:after="0"/>
              <w:rPr>
                <w:sz w:val="20"/>
                <w:szCs w:val="20"/>
                <w:color w:val="auto"/>
              </w:rPr>
            </w:pPr>
            <w:r>
              <w:rPr>
                <w:rFonts w:ascii="Arial" w:cs="Arial" w:eastAsia="Arial" w:hAnsi="Arial"/>
                <w:sz w:val="18"/>
                <w:szCs w:val="18"/>
                <w:color w:val="auto"/>
              </w:rPr>
              <w:t>42,750</w:t>
            </w:r>
          </w:p>
        </w:tc>
        <w:tc>
          <w:tcPr>
            <w:tcW w:w="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13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11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780" w:type="dxa"/>
            <w:vAlign w:val="bottom"/>
            <w:shd w:val="clear" w:color="auto" w:fill="EEEEEE"/>
          </w:tcPr>
          <w:p>
            <w:pPr>
              <w:jc w:val="right"/>
              <w:ind w:right="113"/>
              <w:spacing w:after="0"/>
              <w:rPr>
                <w:sz w:val="20"/>
                <w:szCs w:val="20"/>
                <w:color w:val="auto"/>
              </w:rPr>
            </w:pPr>
            <w:r>
              <w:rPr>
                <w:rFonts w:ascii="Arial" w:cs="Arial" w:eastAsia="Arial" w:hAnsi="Arial"/>
                <w:sz w:val="18"/>
                <w:szCs w:val="18"/>
                <w:color w:val="auto"/>
              </w:rPr>
              <w:t>42,750</w:t>
            </w:r>
          </w:p>
        </w:tc>
        <w:tc>
          <w:tcPr>
            <w:tcW w:w="0" w:type="dxa"/>
            <w:vAlign w:val="bottom"/>
          </w:tcPr>
          <w:p>
            <w:pPr>
              <w:spacing w:after="0"/>
              <w:rPr>
                <w:sz w:val="1"/>
                <w:szCs w:val="1"/>
                <w:color w:val="auto"/>
              </w:rPr>
            </w:pPr>
          </w:p>
        </w:tc>
      </w:tr>
      <w:tr>
        <w:trPr>
          <w:trHeight w:val="216"/>
        </w:trPr>
        <w:tc>
          <w:tcPr>
            <w:tcW w:w="238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360" w:type="dxa"/>
            <w:vAlign w:val="bottom"/>
          </w:tcPr>
          <w:p>
            <w:pPr>
              <w:spacing w:after="0"/>
              <w:rPr>
                <w:sz w:val="18"/>
                <w:szCs w:val="18"/>
                <w:color w:val="auto"/>
              </w:rPr>
            </w:pPr>
          </w:p>
        </w:tc>
        <w:tc>
          <w:tcPr>
            <w:tcW w:w="900" w:type="dxa"/>
            <w:vAlign w:val="bottom"/>
          </w:tcPr>
          <w:p>
            <w:pPr>
              <w:jc w:val="right"/>
              <w:ind w:right="237"/>
              <w:spacing w:after="0"/>
              <w:rPr>
                <w:sz w:val="20"/>
                <w:szCs w:val="20"/>
                <w:color w:val="auto"/>
              </w:rPr>
            </w:pPr>
            <w:r>
              <w:rPr>
                <w:rFonts w:ascii="Arial" w:cs="Arial" w:eastAsia="Arial" w:hAnsi="Arial"/>
                <w:sz w:val="18"/>
                <w:szCs w:val="18"/>
                <w:color w:val="auto"/>
              </w:rPr>
              <w:t>126</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00" w:type="dxa"/>
            <w:vAlign w:val="bottom"/>
          </w:tcPr>
          <w:p>
            <w:pPr>
              <w:jc w:val="right"/>
              <w:ind w:right="319"/>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00" w:type="dxa"/>
            <w:vAlign w:val="bottom"/>
          </w:tcPr>
          <w:p>
            <w:pPr>
              <w:jc w:val="right"/>
              <w:ind w:right="412"/>
              <w:spacing w:after="0"/>
              <w:rPr>
                <w:sz w:val="20"/>
                <w:szCs w:val="20"/>
                <w:color w:val="auto"/>
              </w:rPr>
            </w:pPr>
            <w:r>
              <w:rPr>
                <w:rFonts w:ascii="Arial" w:cs="Arial" w:eastAsia="Arial" w:hAnsi="Arial"/>
                <w:sz w:val="18"/>
                <w:szCs w:val="18"/>
                <w:color w:val="auto"/>
              </w:rPr>
              <w:t>3,010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ind w:right="113"/>
              <w:spacing w:after="0"/>
              <w:rPr>
                <w:sz w:val="20"/>
                <w:szCs w:val="20"/>
                <w:color w:val="auto"/>
              </w:rPr>
            </w:pPr>
            <w:r>
              <w:rPr>
                <w:rFonts w:ascii="Arial" w:cs="Arial" w:eastAsia="Arial" w:hAnsi="Arial"/>
                <w:sz w:val="18"/>
                <w:szCs w:val="18"/>
                <w:color w:val="auto"/>
              </w:rPr>
              <w:t>3,136</w:t>
            </w:r>
          </w:p>
        </w:tc>
        <w:tc>
          <w:tcPr>
            <w:tcW w:w="0" w:type="dxa"/>
            <w:vAlign w:val="bottom"/>
          </w:tcPr>
          <w:p>
            <w:pPr>
              <w:spacing w:after="0"/>
              <w:rPr>
                <w:sz w:val="1"/>
                <w:szCs w:val="1"/>
                <w:color w:val="auto"/>
              </w:rPr>
            </w:pPr>
          </w:p>
        </w:tc>
      </w:tr>
      <w:tr>
        <w:trPr>
          <w:trHeight w:val="257"/>
        </w:trPr>
        <w:tc>
          <w:tcPr>
            <w:tcW w:w="23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Net income (loss)</w:t>
            </w:r>
          </w:p>
        </w:tc>
        <w:tc>
          <w:tcPr>
            <w:tcW w:w="360" w:type="dxa"/>
            <w:vAlign w:val="bottom"/>
            <w:shd w:val="clear" w:color="auto" w:fill="EEEEEE"/>
          </w:tcPr>
          <w:p>
            <w:pPr>
              <w:spacing w:after="0"/>
              <w:rPr>
                <w:sz w:val="22"/>
                <w:szCs w:val="22"/>
                <w:color w:val="auto"/>
              </w:rPr>
            </w:pPr>
          </w:p>
        </w:tc>
        <w:tc>
          <w:tcPr>
            <w:tcW w:w="900" w:type="dxa"/>
            <w:vAlign w:val="bottom"/>
            <w:shd w:val="clear" w:color="auto" w:fill="EEEEEE"/>
          </w:tcPr>
          <w:p>
            <w:pPr>
              <w:jc w:val="right"/>
              <w:ind w:right="237"/>
              <w:spacing w:after="0"/>
              <w:rPr>
                <w:sz w:val="20"/>
                <w:szCs w:val="20"/>
                <w:color w:val="auto"/>
              </w:rPr>
            </w:pPr>
            <w:r>
              <w:rPr>
                <w:rFonts w:ascii="Arial" w:cs="Arial" w:eastAsia="Arial" w:hAnsi="Arial"/>
                <w:sz w:val="18"/>
                <w:szCs w:val="18"/>
                <w:color w:val="auto"/>
              </w:rPr>
              <w:t>66,033</w:t>
            </w:r>
          </w:p>
        </w:tc>
        <w:tc>
          <w:tcPr>
            <w:tcW w:w="40" w:type="dxa"/>
            <w:vAlign w:val="bottom"/>
            <w:shd w:val="clear" w:color="auto" w:fill="EEEEEE"/>
          </w:tcPr>
          <w:p>
            <w:pPr>
              <w:spacing w:after="0"/>
              <w:rPr>
                <w:sz w:val="22"/>
                <w:szCs w:val="22"/>
                <w:color w:val="auto"/>
              </w:rPr>
            </w:pPr>
          </w:p>
        </w:tc>
        <w:tc>
          <w:tcPr>
            <w:tcW w:w="1540" w:type="dxa"/>
            <w:vAlign w:val="bottom"/>
            <w:gridSpan w:val="3"/>
            <w:shd w:val="clear" w:color="auto" w:fill="EEEEEE"/>
          </w:tcPr>
          <w:p>
            <w:pPr>
              <w:jc w:val="right"/>
              <w:ind w:right="319"/>
              <w:spacing w:after="0"/>
              <w:rPr>
                <w:sz w:val="20"/>
                <w:szCs w:val="20"/>
                <w:color w:val="auto"/>
              </w:rPr>
            </w:pPr>
            <w:r>
              <w:rPr>
                <w:rFonts w:ascii="Arial" w:cs="Arial" w:eastAsia="Arial" w:hAnsi="Arial"/>
                <w:sz w:val="18"/>
                <w:szCs w:val="18"/>
                <w:color w:val="auto"/>
              </w:rPr>
              <w:t>385</w:t>
            </w:r>
          </w:p>
        </w:tc>
        <w:tc>
          <w:tcPr>
            <w:tcW w:w="240" w:type="dxa"/>
            <w:vAlign w:val="bottom"/>
            <w:shd w:val="clear" w:color="auto" w:fill="EEEEEE"/>
          </w:tcPr>
          <w:p>
            <w:pPr>
              <w:spacing w:after="0"/>
              <w:rPr>
                <w:sz w:val="22"/>
                <w:szCs w:val="22"/>
                <w:color w:val="auto"/>
              </w:rPr>
            </w:pPr>
          </w:p>
        </w:tc>
        <w:tc>
          <w:tcPr>
            <w:tcW w:w="620" w:type="dxa"/>
            <w:vAlign w:val="bottom"/>
            <w:shd w:val="clear" w:color="auto" w:fill="EEEEEE"/>
          </w:tcPr>
          <w:p>
            <w:pPr>
              <w:spacing w:after="0"/>
              <w:rPr>
                <w:sz w:val="22"/>
                <w:szCs w:val="22"/>
                <w:color w:val="auto"/>
              </w:rPr>
            </w:pPr>
          </w:p>
        </w:tc>
        <w:tc>
          <w:tcPr>
            <w:tcW w:w="1100" w:type="dxa"/>
            <w:vAlign w:val="bottom"/>
            <w:shd w:val="clear" w:color="auto" w:fill="EEEEEE"/>
          </w:tcPr>
          <w:p>
            <w:pPr>
              <w:jc w:val="right"/>
              <w:ind w:right="192"/>
              <w:spacing w:after="0" w:line="256" w:lineRule="exact"/>
              <w:rPr>
                <w:sz w:val="20"/>
                <w:szCs w:val="20"/>
                <w:color w:val="auto"/>
              </w:rPr>
            </w:pPr>
            <w:r>
              <w:rPr>
                <w:rFonts w:ascii="Arial" w:cs="Arial" w:eastAsia="Arial" w:hAnsi="Arial"/>
                <w:sz w:val="18"/>
                <w:szCs w:val="18"/>
                <w:color w:val="auto"/>
                <w:w w:val="99"/>
              </w:rPr>
              <w:t>(1,886)</w:t>
            </w:r>
            <w:r>
              <w:rPr>
                <w:rFonts w:ascii="Arial" w:cs="Arial" w:eastAsia="Arial" w:hAnsi="Arial"/>
                <w:sz w:val="29"/>
                <w:szCs w:val="29"/>
                <w:color w:val="auto"/>
                <w:w w:val="99"/>
                <w:vertAlign w:val="superscript"/>
              </w:rPr>
              <w:t>(2)</w:t>
            </w:r>
          </w:p>
        </w:tc>
        <w:tc>
          <w:tcPr>
            <w:tcW w:w="100" w:type="dxa"/>
            <w:vAlign w:val="bottom"/>
            <w:shd w:val="clear" w:color="auto" w:fill="EEEEEE"/>
          </w:tcPr>
          <w:p>
            <w:pPr>
              <w:spacing w:after="0"/>
              <w:rPr>
                <w:sz w:val="22"/>
                <w:szCs w:val="22"/>
                <w:color w:val="auto"/>
              </w:rPr>
            </w:pPr>
          </w:p>
        </w:tc>
        <w:tc>
          <w:tcPr>
            <w:tcW w:w="140" w:type="dxa"/>
            <w:vAlign w:val="bottom"/>
            <w:shd w:val="clear" w:color="auto" w:fill="EEEEEE"/>
          </w:tcPr>
          <w:p>
            <w:pPr>
              <w:spacing w:after="0"/>
              <w:rPr>
                <w:sz w:val="22"/>
                <w:szCs w:val="22"/>
                <w:color w:val="auto"/>
              </w:rPr>
            </w:pPr>
          </w:p>
        </w:tc>
        <w:tc>
          <w:tcPr>
            <w:tcW w:w="100" w:type="dxa"/>
            <w:vAlign w:val="bottom"/>
            <w:shd w:val="clear" w:color="auto" w:fill="EEEEEE"/>
          </w:tcPr>
          <w:p>
            <w:pPr>
              <w:spacing w:after="0"/>
              <w:rPr>
                <w:sz w:val="22"/>
                <w:szCs w:val="22"/>
                <w:color w:val="auto"/>
              </w:rPr>
            </w:pPr>
          </w:p>
        </w:tc>
        <w:tc>
          <w:tcPr>
            <w:tcW w:w="240" w:type="dxa"/>
            <w:vAlign w:val="bottom"/>
            <w:shd w:val="clear" w:color="auto" w:fill="EEEEEE"/>
          </w:tcPr>
          <w:p>
            <w:pPr>
              <w:spacing w:after="0"/>
              <w:rPr>
                <w:sz w:val="22"/>
                <w:szCs w:val="22"/>
                <w:color w:val="auto"/>
              </w:rPr>
            </w:pPr>
          </w:p>
        </w:tc>
        <w:tc>
          <w:tcPr>
            <w:tcW w:w="780" w:type="dxa"/>
            <w:vAlign w:val="bottom"/>
            <w:shd w:val="clear" w:color="auto" w:fill="EEEEEE"/>
          </w:tcPr>
          <w:p>
            <w:pPr>
              <w:jc w:val="right"/>
              <w:ind w:right="113"/>
              <w:spacing w:after="0"/>
              <w:rPr>
                <w:sz w:val="20"/>
                <w:szCs w:val="20"/>
                <w:color w:val="auto"/>
              </w:rPr>
            </w:pPr>
            <w:r>
              <w:rPr>
                <w:rFonts w:ascii="Arial" w:cs="Arial" w:eastAsia="Arial" w:hAnsi="Arial"/>
                <w:sz w:val="18"/>
                <w:szCs w:val="18"/>
                <w:color w:val="auto"/>
              </w:rPr>
              <w:t>64,532</w:t>
            </w:r>
          </w:p>
        </w:tc>
        <w:tc>
          <w:tcPr>
            <w:tcW w:w="0" w:type="dxa"/>
            <w:vAlign w:val="bottom"/>
          </w:tcPr>
          <w:p>
            <w:pPr>
              <w:spacing w:after="0"/>
              <w:rPr>
                <w:sz w:val="1"/>
                <w:szCs w:val="1"/>
                <w:color w:val="auto"/>
              </w:rPr>
            </w:pPr>
          </w:p>
        </w:tc>
      </w:tr>
      <w:tr>
        <w:trPr>
          <w:trHeight w:val="216"/>
        </w:trPr>
        <w:tc>
          <w:tcPr>
            <w:tcW w:w="2380" w:type="dxa"/>
            <w:vAlign w:val="bottom"/>
            <w:gridSpan w:val="2"/>
          </w:tcPr>
          <w:p>
            <w:pPr>
              <w:spacing w:after="0"/>
              <w:rPr>
                <w:sz w:val="20"/>
                <w:szCs w:val="20"/>
                <w:color w:val="auto"/>
              </w:rPr>
            </w:pPr>
            <w:r>
              <w:rPr>
                <w:rFonts w:ascii="Arial" w:cs="Arial" w:eastAsia="Arial" w:hAnsi="Arial"/>
                <w:sz w:val="18"/>
                <w:szCs w:val="18"/>
                <w:color w:val="auto"/>
              </w:rPr>
              <w:t>Capital expenditures</w:t>
            </w:r>
          </w:p>
        </w:tc>
        <w:tc>
          <w:tcPr>
            <w:tcW w:w="360" w:type="dxa"/>
            <w:vAlign w:val="bottom"/>
          </w:tcPr>
          <w:p>
            <w:pPr>
              <w:spacing w:after="0"/>
              <w:rPr>
                <w:sz w:val="18"/>
                <w:szCs w:val="18"/>
                <w:color w:val="auto"/>
              </w:rPr>
            </w:pPr>
          </w:p>
        </w:tc>
        <w:tc>
          <w:tcPr>
            <w:tcW w:w="900" w:type="dxa"/>
            <w:vAlign w:val="bottom"/>
          </w:tcPr>
          <w:p>
            <w:pPr>
              <w:jc w:val="right"/>
              <w:ind w:right="237"/>
              <w:spacing w:after="0"/>
              <w:rPr>
                <w:sz w:val="20"/>
                <w:szCs w:val="20"/>
                <w:color w:val="auto"/>
              </w:rPr>
            </w:pPr>
            <w:r>
              <w:rPr>
                <w:rFonts w:ascii="Arial" w:cs="Arial" w:eastAsia="Arial" w:hAnsi="Arial"/>
                <w:sz w:val="18"/>
                <w:szCs w:val="18"/>
                <w:color w:val="auto"/>
              </w:rPr>
              <w:t>685</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00" w:type="dxa"/>
            <w:vAlign w:val="bottom"/>
          </w:tcPr>
          <w:p>
            <w:pPr>
              <w:jc w:val="right"/>
              <w:ind w:right="319"/>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ind w:right="113"/>
              <w:spacing w:after="0"/>
              <w:rPr>
                <w:sz w:val="20"/>
                <w:szCs w:val="20"/>
                <w:color w:val="auto"/>
              </w:rPr>
            </w:pPr>
            <w:r>
              <w:rPr>
                <w:rFonts w:ascii="Arial" w:cs="Arial" w:eastAsia="Arial" w:hAnsi="Arial"/>
                <w:sz w:val="18"/>
                <w:szCs w:val="18"/>
                <w:color w:val="auto"/>
              </w:rPr>
              <w:t>685</w:t>
            </w:r>
          </w:p>
        </w:tc>
        <w:tc>
          <w:tcPr>
            <w:tcW w:w="0" w:type="dxa"/>
            <w:vAlign w:val="bottom"/>
          </w:tcPr>
          <w:p>
            <w:pPr>
              <w:spacing w:after="0"/>
              <w:rPr>
                <w:sz w:val="1"/>
                <w:szCs w:val="1"/>
                <w:color w:val="auto"/>
              </w:rPr>
            </w:pPr>
          </w:p>
        </w:tc>
      </w:tr>
      <w:tr>
        <w:trPr>
          <w:trHeight w:val="216"/>
        </w:trPr>
        <w:tc>
          <w:tcPr>
            <w:tcW w:w="23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Total assets</w:t>
            </w:r>
          </w:p>
        </w:tc>
        <w:tc>
          <w:tcPr>
            <w:tcW w:w="360" w:type="dxa"/>
            <w:vAlign w:val="bottom"/>
            <w:shd w:val="clear" w:color="auto" w:fill="EEEEEE"/>
          </w:tcPr>
          <w:p>
            <w:pPr>
              <w:spacing w:after="0"/>
              <w:rPr>
                <w:sz w:val="18"/>
                <w:szCs w:val="18"/>
                <w:color w:val="auto"/>
              </w:rPr>
            </w:pPr>
          </w:p>
        </w:tc>
        <w:tc>
          <w:tcPr>
            <w:tcW w:w="900" w:type="dxa"/>
            <w:vAlign w:val="bottom"/>
            <w:shd w:val="clear" w:color="auto" w:fill="EEEEEE"/>
          </w:tcPr>
          <w:p>
            <w:pPr>
              <w:jc w:val="right"/>
              <w:ind w:right="237"/>
              <w:spacing w:after="0"/>
              <w:rPr>
                <w:sz w:val="20"/>
                <w:szCs w:val="20"/>
                <w:color w:val="auto"/>
              </w:rPr>
            </w:pPr>
            <w:r>
              <w:rPr>
                <w:rFonts w:ascii="Arial" w:cs="Arial" w:eastAsia="Arial" w:hAnsi="Arial"/>
                <w:sz w:val="18"/>
                <w:szCs w:val="18"/>
                <w:color w:val="auto"/>
                <w:w w:val="86"/>
              </w:rPr>
              <w:t>133,931</w:t>
            </w:r>
          </w:p>
        </w:tc>
        <w:tc>
          <w:tcPr>
            <w:tcW w:w="40" w:type="dxa"/>
            <w:vAlign w:val="bottom"/>
            <w:shd w:val="clear" w:color="auto" w:fill="EEEEEE"/>
          </w:tcPr>
          <w:p>
            <w:pPr>
              <w:spacing w:after="0"/>
              <w:rPr>
                <w:sz w:val="18"/>
                <w:szCs w:val="18"/>
                <w:color w:val="auto"/>
              </w:rPr>
            </w:pPr>
          </w:p>
        </w:tc>
        <w:tc>
          <w:tcPr>
            <w:tcW w:w="1540" w:type="dxa"/>
            <w:vAlign w:val="bottom"/>
            <w:gridSpan w:val="3"/>
            <w:shd w:val="clear" w:color="auto" w:fill="EEEEEE"/>
          </w:tcPr>
          <w:p>
            <w:pPr>
              <w:jc w:val="right"/>
              <w:ind w:right="319"/>
              <w:spacing w:after="0"/>
              <w:rPr>
                <w:sz w:val="20"/>
                <w:szCs w:val="20"/>
                <w:color w:val="auto"/>
              </w:rPr>
            </w:pPr>
            <w:r>
              <w:rPr>
                <w:rFonts w:ascii="Arial" w:cs="Arial" w:eastAsia="Arial" w:hAnsi="Arial"/>
                <w:sz w:val="18"/>
                <w:szCs w:val="18"/>
                <w:color w:val="auto"/>
              </w:rPr>
              <w:t>12,665</w:t>
            </w:r>
          </w:p>
        </w:tc>
        <w:tc>
          <w:tcPr>
            <w:tcW w:w="24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1100" w:type="dxa"/>
            <w:vAlign w:val="bottom"/>
            <w:shd w:val="clear" w:color="auto" w:fill="EEEEEE"/>
          </w:tcPr>
          <w:p>
            <w:pPr>
              <w:jc w:val="right"/>
              <w:ind w:right="252"/>
              <w:spacing w:after="0"/>
              <w:rPr>
                <w:sz w:val="20"/>
                <w:szCs w:val="20"/>
                <w:color w:val="auto"/>
              </w:rPr>
            </w:pPr>
            <w:r>
              <w:rPr>
                <w:rFonts w:ascii="Arial" w:cs="Arial" w:eastAsia="Arial" w:hAnsi="Arial"/>
                <w:sz w:val="18"/>
                <w:szCs w:val="18"/>
                <w:color w:val="auto"/>
                <w:w w:val="88"/>
              </w:rPr>
              <w:t>359,582</w:t>
            </w:r>
            <w:r>
              <w:rPr>
                <w:rFonts w:ascii="Arial" w:cs="Arial" w:eastAsia="Arial" w:hAnsi="Arial"/>
                <w:sz w:val="15"/>
                <w:szCs w:val="15"/>
                <w:color w:val="auto"/>
                <w:w w:val="88"/>
              </w:rPr>
              <w:t>(3)</w:t>
            </w:r>
          </w:p>
        </w:tc>
        <w:tc>
          <w:tcPr>
            <w:tcW w:w="1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780" w:type="dxa"/>
            <w:vAlign w:val="bottom"/>
            <w:shd w:val="clear" w:color="auto" w:fill="EEEEEE"/>
          </w:tcPr>
          <w:p>
            <w:pPr>
              <w:jc w:val="right"/>
              <w:ind w:right="113"/>
              <w:spacing w:after="0"/>
              <w:rPr>
                <w:sz w:val="20"/>
                <w:szCs w:val="20"/>
                <w:color w:val="auto"/>
              </w:rPr>
            </w:pPr>
            <w:r>
              <w:rPr>
                <w:rFonts w:ascii="Arial" w:cs="Arial" w:eastAsia="Arial" w:hAnsi="Arial"/>
                <w:sz w:val="18"/>
                <w:szCs w:val="18"/>
                <w:color w:val="auto"/>
                <w:w w:val="86"/>
              </w:rPr>
              <w:t>506,178</w:t>
            </w:r>
          </w:p>
        </w:tc>
        <w:tc>
          <w:tcPr>
            <w:tcW w:w="0" w:type="dxa"/>
            <w:vAlign w:val="bottom"/>
          </w:tcPr>
          <w:p>
            <w:pPr>
              <w:spacing w:after="0"/>
              <w:rPr>
                <w:sz w:val="1"/>
                <w:szCs w:val="1"/>
                <w:color w:val="auto"/>
              </w:rPr>
            </w:pPr>
          </w:p>
        </w:tc>
      </w:tr>
      <w:tr>
        <w:trPr>
          <w:trHeight w:val="380"/>
        </w:trPr>
        <w:tc>
          <w:tcPr>
            <w:tcW w:w="2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360" w:type="dxa"/>
            <w:vAlign w:val="bottom"/>
            <w:gridSpan w:val="5"/>
          </w:tcPr>
          <w:p>
            <w:pPr>
              <w:ind w:left="380"/>
              <w:spacing w:after="0"/>
              <w:rPr>
                <w:sz w:val="20"/>
                <w:szCs w:val="20"/>
                <w:color w:val="auto"/>
              </w:rPr>
            </w:pPr>
            <w:r>
              <w:rPr>
                <w:rFonts w:ascii="Arial" w:cs="Arial" w:eastAsia="Arial" w:hAnsi="Arial"/>
                <w:sz w:val="14"/>
                <w:szCs w:val="14"/>
                <w:b w:val="1"/>
                <w:bCs w:val="1"/>
                <w:color w:val="auto"/>
              </w:rPr>
              <w:t>Three months ended March 31, 2003</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6"/>
        </w:trPr>
        <w:tc>
          <w:tcPr>
            <w:tcW w:w="2280" w:type="dxa"/>
            <w:vAlign w:val="bottom"/>
          </w:tcPr>
          <w:p>
            <w:pPr>
              <w:spacing w:after="0"/>
              <w:rPr>
                <w:sz w:val="5"/>
                <w:szCs w:val="5"/>
                <w:color w:val="auto"/>
              </w:rPr>
            </w:pPr>
          </w:p>
        </w:tc>
        <w:tc>
          <w:tcPr>
            <w:tcW w:w="100" w:type="dxa"/>
            <w:vAlign w:val="bottom"/>
            <w:tcBorders>
              <w:bottom w:val="single" w:sz="8" w:color="808080"/>
            </w:tcBorders>
          </w:tcPr>
          <w:p>
            <w:pPr>
              <w:spacing w:after="0"/>
              <w:rPr>
                <w:sz w:val="5"/>
                <w:szCs w:val="5"/>
                <w:color w:val="auto"/>
              </w:rPr>
            </w:pPr>
          </w:p>
        </w:tc>
        <w:tc>
          <w:tcPr>
            <w:tcW w:w="1260" w:type="dxa"/>
            <w:vAlign w:val="bottom"/>
            <w:tcBorders>
              <w:bottom w:val="single" w:sz="8" w:color="808080"/>
            </w:tcBorders>
            <w:gridSpan w:val="2"/>
          </w:tcPr>
          <w:p>
            <w:pPr>
              <w:spacing w:after="0"/>
              <w:rPr>
                <w:sz w:val="5"/>
                <w:szCs w:val="5"/>
                <w:color w:val="auto"/>
              </w:rPr>
            </w:pPr>
          </w:p>
        </w:tc>
        <w:tc>
          <w:tcPr>
            <w:tcW w:w="40" w:type="dxa"/>
            <w:vAlign w:val="bottom"/>
            <w:tcBorders>
              <w:bottom w:val="single" w:sz="8" w:color="808080"/>
            </w:tcBorders>
          </w:tcPr>
          <w:p>
            <w:pPr>
              <w:spacing w:after="0"/>
              <w:rPr>
                <w:sz w:val="5"/>
                <w:szCs w:val="5"/>
                <w:color w:val="auto"/>
              </w:rPr>
            </w:pPr>
          </w:p>
        </w:tc>
        <w:tc>
          <w:tcPr>
            <w:tcW w:w="200" w:type="dxa"/>
            <w:vAlign w:val="bottom"/>
            <w:tcBorders>
              <w:bottom w:val="single" w:sz="8" w:color="808080"/>
            </w:tcBorders>
          </w:tcPr>
          <w:p>
            <w:pPr>
              <w:spacing w:after="0"/>
              <w:rPr>
                <w:sz w:val="5"/>
                <w:szCs w:val="5"/>
                <w:color w:val="auto"/>
              </w:rPr>
            </w:pPr>
          </w:p>
        </w:tc>
        <w:tc>
          <w:tcPr>
            <w:tcW w:w="40" w:type="dxa"/>
            <w:vAlign w:val="bottom"/>
            <w:tcBorders>
              <w:bottom w:val="single" w:sz="8" w:color="808080"/>
            </w:tcBorders>
          </w:tcPr>
          <w:p>
            <w:pPr>
              <w:spacing w:after="0"/>
              <w:rPr>
                <w:sz w:val="5"/>
                <w:szCs w:val="5"/>
                <w:color w:val="auto"/>
              </w:rPr>
            </w:pPr>
          </w:p>
        </w:tc>
        <w:tc>
          <w:tcPr>
            <w:tcW w:w="1300" w:type="dxa"/>
            <w:vAlign w:val="bottom"/>
            <w:tcBorders>
              <w:bottom w:val="single" w:sz="8" w:color="808080"/>
            </w:tcBorders>
          </w:tcPr>
          <w:p>
            <w:pPr>
              <w:spacing w:after="0"/>
              <w:rPr>
                <w:sz w:val="5"/>
                <w:szCs w:val="5"/>
                <w:color w:val="auto"/>
              </w:rPr>
            </w:pPr>
          </w:p>
        </w:tc>
        <w:tc>
          <w:tcPr>
            <w:tcW w:w="240" w:type="dxa"/>
            <w:vAlign w:val="bottom"/>
            <w:tcBorders>
              <w:bottom w:val="single" w:sz="8" w:color="808080"/>
            </w:tcBorders>
          </w:tcPr>
          <w:p>
            <w:pPr>
              <w:spacing w:after="0"/>
              <w:rPr>
                <w:sz w:val="5"/>
                <w:szCs w:val="5"/>
                <w:color w:val="auto"/>
              </w:rPr>
            </w:pPr>
          </w:p>
        </w:tc>
        <w:tc>
          <w:tcPr>
            <w:tcW w:w="620" w:type="dxa"/>
            <w:vAlign w:val="bottom"/>
            <w:tcBorders>
              <w:bottom w:val="single" w:sz="8" w:color="808080"/>
            </w:tcBorders>
          </w:tcPr>
          <w:p>
            <w:pPr>
              <w:spacing w:after="0"/>
              <w:rPr>
                <w:sz w:val="5"/>
                <w:szCs w:val="5"/>
                <w:color w:val="auto"/>
              </w:rPr>
            </w:pPr>
          </w:p>
        </w:tc>
        <w:tc>
          <w:tcPr>
            <w:tcW w:w="1100" w:type="dxa"/>
            <w:vAlign w:val="bottom"/>
            <w:tcBorders>
              <w:bottom w:val="single" w:sz="8" w:color="808080"/>
            </w:tcBorders>
          </w:tcPr>
          <w:p>
            <w:pPr>
              <w:spacing w:after="0"/>
              <w:rPr>
                <w:sz w:val="5"/>
                <w:szCs w:val="5"/>
                <w:color w:val="auto"/>
              </w:rPr>
            </w:pPr>
          </w:p>
        </w:tc>
        <w:tc>
          <w:tcPr>
            <w:tcW w:w="100" w:type="dxa"/>
            <w:vAlign w:val="bottom"/>
            <w:tcBorders>
              <w:bottom w:val="single" w:sz="8" w:color="808080"/>
            </w:tcBorders>
          </w:tcPr>
          <w:p>
            <w:pPr>
              <w:spacing w:after="0"/>
              <w:rPr>
                <w:sz w:val="5"/>
                <w:szCs w:val="5"/>
                <w:color w:val="auto"/>
              </w:rPr>
            </w:pPr>
          </w:p>
        </w:tc>
        <w:tc>
          <w:tcPr>
            <w:tcW w:w="140" w:type="dxa"/>
            <w:vAlign w:val="bottom"/>
            <w:tcBorders>
              <w:bottom w:val="single" w:sz="8" w:color="808080"/>
            </w:tcBorders>
          </w:tcPr>
          <w:p>
            <w:pPr>
              <w:spacing w:after="0"/>
              <w:rPr>
                <w:sz w:val="5"/>
                <w:szCs w:val="5"/>
                <w:color w:val="auto"/>
              </w:rPr>
            </w:pPr>
          </w:p>
        </w:tc>
        <w:tc>
          <w:tcPr>
            <w:tcW w:w="100" w:type="dxa"/>
            <w:vAlign w:val="bottom"/>
            <w:tcBorders>
              <w:bottom w:val="single" w:sz="8" w:color="808080"/>
            </w:tcBorders>
          </w:tcPr>
          <w:p>
            <w:pPr>
              <w:spacing w:after="0"/>
              <w:rPr>
                <w:sz w:val="5"/>
                <w:szCs w:val="5"/>
                <w:color w:val="auto"/>
              </w:rPr>
            </w:pPr>
          </w:p>
        </w:tc>
        <w:tc>
          <w:tcPr>
            <w:tcW w:w="240" w:type="dxa"/>
            <w:vAlign w:val="bottom"/>
            <w:tcBorders>
              <w:bottom w:val="single" w:sz="8" w:color="808080"/>
            </w:tcBorders>
          </w:tcPr>
          <w:p>
            <w:pPr>
              <w:spacing w:after="0"/>
              <w:rPr>
                <w:sz w:val="5"/>
                <w:szCs w:val="5"/>
                <w:color w:val="auto"/>
              </w:rPr>
            </w:pPr>
          </w:p>
        </w:tc>
        <w:tc>
          <w:tcPr>
            <w:tcW w:w="78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2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3"/>
          </w:tcPr>
          <w:p>
            <w:pPr>
              <w:ind w:left="220"/>
              <w:spacing w:after="0"/>
              <w:rPr>
                <w:sz w:val="20"/>
                <w:szCs w:val="20"/>
                <w:color w:val="auto"/>
              </w:rPr>
            </w:pPr>
            <w:r>
              <w:rPr>
                <w:rFonts w:ascii="Arial" w:cs="Arial" w:eastAsia="Arial" w:hAnsi="Arial"/>
                <w:sz w:val="14"/>
                <w:szCs w:val="14"/>
                <w:b w:val="1"/>
                <w:bCs w:val="1"/>
                <w:color w:val="auto"/>
              </w:rPr>
              <w:t>Research &amp;</w:t>
            </w: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3"/>
              </w:rPr>
              <w:t>Contract</w:t>
            </w:r>
          </w:p>
        </w:tc>
        <w:tc>
          <w:tcPr>
            <w:tcW w:w="240" w:type="dxa"/>
            <w:vAlign w:val="bottom"/>
          </w:tcPr>
          <w:p>
            <w:pPr>
              <w:spacing w:after="0"/>
              <w:rPr>
                <w:sz w:val="16"/>
                <w:szCs w:val="16"/>
                <w:color w:val="auto"/>
              </w:rPr>
            </w:pPr>
          </w:p>
        </w:tc>
        <w:tc>
          <w:tcPr>
            <w:tcW w:w="1820" w:type="dxa"/>
            <w:vAlign w:val="bottom"/>
            <w:gridSpan w:val="3"/>
            <w:vMerge w:val="restart"/>
          </w:tcPr>
          <w:p>
            <w:pPr>
              <w:ind w:left="300"/>
              <w:spacing w:after="0"/>
              <w:rPr>
                <w:sz w:val="20"/>
                <w:szCs w:val="20"/>
                <w:color w:val="auto"/>
              </w:rPr>
            </w:pPr>
            <w:r>
              <w:rPr>
                <w:rFonts w:ascii="Arial" w:cs="Arial" w:eastAsia="Arial" w:hAnsi="Arial"/>
                <w:sz w:val="14"/>
                <w:szCs w:val="14"/>
                <w:b w:val="1"/>
                <w:bCs w:val="1"/>
                <w:color w:val="auto"/>
              </w:rPr>
              <w:t>Reconciling Items</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vMerge w:val="restart"/>
          </w:tcPr>
          <w:p>
            <w:pPr>
              <w:jc w:val="right"/>
              <w:ind w:right="31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6"/>
        </w:trPr>
        <w:tc>
          <w:tcPr>
            <w:tcW w:w="2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3"/>
          </w:tcPr>
          <w:p>
            <w:pPr>
              <w:ind w:left="180"/>
              <w:spacing w:after="0"/>
              <w:rPr>
                <w:sz w:val="20"/>
                <w:szCs w:val="20"/>
                <w:color w:val="auto"/>
              </w:rPr>
            </w:pPr>
            <w:r>
              <w:rPr>
                <w:rFonts w:ascii="Arial" w:cs="Arial" w:eastAsia="Arial" w:hAnsi="Arial"/>
                <w:sz w:val="14"/>
                <w:szCs w:val="14"/>
                <w:b w:val="1"/>
                <w:bCs w:val="1"/>
                <w:color w:val="auto"/>
              </w:rPr>
              <w:t>Development</w:t>
            </w: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7"/>
              </w:rPr>
              <w:t>Manufacturing</w:t>
            </w:r>
          </w:p>
        </w:tc>
        <w:tc>
          <w:tcPr>
            <w:tcW w:w="240" w:type="dxa"/>
            <w:vAlign w:val="bottom"/>
          </w:tcPr>
          <w:p>
            <w:pPr>
              <w:spacing w:after="0"/>
              <w:rPr>
                <w:sz w:val="16"/>
                <w:szCs w:val="16"/>
                <w:color w:val="auto"/>
              </w:rPr>
            </w:pPr>
          </w:p>
        </w:tc>
        <w:tc>
          <w:tcPr>
            <w:tcW w:w="182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2280" w:type="dxa"/>
            <w:vAlign w:val="bottom"/>
          </w:tcPr>
          <w:p>
            <w:pPr>
              <w:spacing w:after="0"/>
              <w:rPr>
                <w:sz w:val="5"/>
                <w:szCs w:val="5"/>
                <w:color w:val="auto"/>
              </w:rPr>
            </w:pPr>
          </w:p>
        </w:tc>
        <w:tc>
          <w:tcPr>
            <w:tcW w:w="100" w:type="dxa"/>
            <w:vAlign w:val="bottom"/>
            <w:tcBorders>
              <w:bottom w:val="single" w:sz="8" w:color="808080"/>
            </w:tcBorders>
          </w:tcPr>
          <w:p>
            <w:pPr>
              <w:spacing w:after="0"/>
              <w:rPr>
                <w:sz w:val="5"/>
                <w:szCs w:val="5"/>
                <w:color w:val="auto"/>
              </w:rPr>
            </w:pPr>
          </w:p>
        </w:tc>
        <w:tc>
          <w:tcPr>
            <w:tcW w:w="360" w:type="dxa"/>
            <w:vAlign w:val="bottom"/>
            <w:tcBorders>
              <w:bottom w:val="single" w:sz="8" w:color="808080"/>
            </w:tcBorders>
          </w:tcPr>
          <w:p>
            <w:pPr>
              <w:spacing w:after="0"/>
              <w:rPr>
                <w:sz w:val="5"/>
                <w:szCs w:val="5"/>
                <w:color w:val="auto"/>
              </w:rPr>
            </w:pPr>
          </w:p>
        </w:tc>
        <w:tc>
          <w:tcPr>
            <w:tcW w:w="90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340" w:type="dxa"/>
            <w:vAlign w:val="bottom"/>
            <w:tcBorders>
              <w:bottom w:val="single" w:sz="8" w:color="808080"/>
            </w:tcBorders>
            <w:gridSpan w:val="2"/>
          </w:tcPr>
          <w:p>
            <w:pPr>
              <w:spacing w:after="0"/>
              <w:rPr>
                <w:sz w:val="5"/>
                <w:szCs w:val="5"/>
                <w:color w:val="auto"/>
              </w:rPr>
            </w:pPr>
          </w:p>
        </w:tc>
        <w:tc>
          <w:tcPr>
            <w:tcW w:w="240" w:type="dxa"/>
            <w:vAlign w:val="bottom"/>
          </w:tcPr>
          <w:p>
            <w:pPr>
              <w:spacing w:after="0"/>
              <w:rPr>
                <w:sz w:val="5"/>
                <w:szCs w:val="5"/>
                <w:color w:val="auto"/>
              </w:rPr>
            </w:pPr>
          </w:p>
        </w:tc>
        <w:tc>
          <w:tcPr>
            <w:tcW w:w="620" w:type="dxa"/>
            <w:vAlign w:val="bottom"/>
            <w:tcBorders>
              <w:bottom w:val="single" w:sz="8" w:color="808080"/>
            </w:tcBorders>
          </w:tcPr>
          <w:p>
            <w:pPr>
              <w:spacing w:after="0"/>
              <w:rPr>
                <w:sz w:val="5"/>
                <w:szCs w:val="5"/>
                <w:color w:val="auto"/>
              </w:rPr>
            </w:pPr>
          </w:p>
        </w:tc>
        <w:tc>
          <w:tcPr>
            <w:tcW w:w="1100" w:type="dxa"/>
            <w:vAlign w:val="bottom"/>
            <w:tcBorders>
              <w:bottom w:val="single" w:sz="8" w:color="808080"/>
            </w:tcBorders>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340" w:type="dxa"/>
            <w:vAlign w:val="bottom"/>
            <w:tcBorders>
              <w:bottom w:val="single" w:sz="8" w:color="808080"/>
            </w:tcBorders>
            <w:gridSpan w:val="2"/>
          </w:tcPr>
          <w:p>
            <w:pPr>
              <w:spacing w:after="0"/>
              <w:rPr>
                <w:sz w:val="5"/>
                <w:szCs w:val="5"/>
                <w:color w:val="auto"/>
              </w:rPr>
            </w:pPr>
          </w:p>
        </w:tc>
        <w:tc>
          <w:tcPr>
            <w:tcW w:w="78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22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9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 w:type="dxa"/>
            <w:vAlign w:val="bottom"/>
          </w:tcPr>
          <w:p>
            <w:pPr>
              <w:spacing w:after="0"/>
              <w:rPr>
                <w:sz w:val="5"/>
                <w:szCs w:val="5"/>
                <w:color w:val="auto"/>
              </w:rPr>
            </w:pPr>
          </w:p>
        </w:tc>
        <w:tc>
          <w:tcPr>
            <w:tcW w:w="1300" w:type="dxa"/>
            <w:vAlign w:val="bottom"/>
          </w:tcPr>
          <w:p>
            <w:pPr>
              <w:spacing w:after="0"/>
              <w:rPr>
                <w:sz w:val="5"/>
                <w:szCs w:val="5"/>
                <w:color w:val="auto"/>
              </w:rPr>
            </w:pPr>
          </w:p>
        </w:tc>
        <w:tc>
          <w:tcPr>
            <w:tcW w:w="2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3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Revenues</w:t>
            </w:r>
          </w:p>
        </w:tc>
        <w:tc>
          <w:tcPr>
            <w:tcW w:w="360" w:type="dxa"/>
            <w:vAlign w:val="bottom"/>
            <w:shd w:val="clear" w:color="auto" w:fill="EEEEEE"/>
          </w:tcPr>
          <w:p>
            <w:pPr>
              <w:ind w:left="200"/>
              <w:spacing w:after="0"/>
              <w:rPr>
                <w:sz w:val="20"/>
                <w:szCs w:val="20"/>
                <w:color w:val="auto"/>
              </w:rPr>
            </w:pPr>
            <w:r>
              <w:rPr>
                <w:rFonts w:ascii="Arial" w:cs="Arial" w:eastAsia="Arial" w:hAnsi="Arial"/>
                <w:sz w:val="18"/>
                <w:szCs w:val="18"/>
                <w:color w:val="auto"/>
              </w:rPr>
              <w:t>$</w:t>
            </w:r>
          </w:p>
        </w:tc>
        <w:tc>
          <w:tcPr>
            <w:tcW w:w="900" w:type="dxa"/>
            <w:vAlign w:val="bottom"/>
            <w:shd w:val="clear" w:color="auto" w:fill="EEEEEE"/>
          </w:tcPr>
          <w:p>
            <w:pPr>
              <w:jc w:val="right"/>
              <w:ind w:right="317"/>
              <w:spacing w:after="0"/>
              <w:rPr>
                <w:sz w:val="20"/>
                <w:szCs w:val="20"/>
                <w:color w:val="auto"/>
              </w:rPr>
            </w:pPr>
            <w:r>
              <w:rPr>
                <w:rFonts w:ascii="Arial" w:cs="Arial" w:eastAsia="Arial" w:hAnsi="Arial"/>
                <w:sz w:val="18"/>
                <w:szCs w:val="18"/>
                <w:color w:val="auto"/>
              </w:rPr>
              <w:t>9,213</w:t>
            </w:r>
          </w:p>
        </w:tc>
        <w:tc>
          <w:tcPr>
            <w:tcW w:w="40" w:type="dxa"/>
            <w:vAlign w:val="bottom"/>
            <w:shd w:val="clear" w:color="auto" w:fill="EEEEEE"/>
          </w:tcPr>
          <w:p>
            <w:pPr>
              <w:spacing w:after="0"/>
              <w:rPr>
                <w:sz w:val="18"/>
                <w:szCs w:val="18"/>
                <w:color w:val="auto"/>
              </w:rPr>
            </w:pPr>
          </w:p>
        </w:tc>
        <w:tc>
          <w:tcPr>
            <w:tcW w:w="1540" w:type="dxa"/>
            <w:vAlign w:val="bottom"/>
            <w:gridSpan w:val="3"/>
            <w:shd w:val="clear" w:color="auto" w:fill="EEEEEE"/>
          </w:tcPr>
          <w:p>
            <w:pPr>
              <w:jc w:val="right"/>
              <w:ind w:right="399"/>
              <w:spacing w:after="0"/>
              <w:rPr>
                <w:sz w:val="20"/>
                <w:szCs w:val="20"/>
                <w:color w:val="auto"/>
              </w:rPr>
            </w:pPr>
            <w:r>
              <w:rPr>
                <w:rFonts w:ascii="Arial" w:cs="Arial" w:eastAsia="Arial" w:hAnsi="Arial"/>
                <w:sz w:val="18"/>
                <w:szCs w:val="18"/>
                <w:color w:val="auto"/>
              </w:rPr>
              <w:t>$   712</w:t>
            </w:r>
          </w:p>
        </w:tc>
        <w:tc>
          <w:tcPr>
            <w:tcW w:w="24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1200" w:type="dxa"/>
            <w:vAlign w:val="bottom"/>
            <w:gridSpan w:val="2"/>
            <w:shd w:val="clear" w:color="auto" w:fill="EEEEEE"/>
          </w:tcPr>
          <w:p>
            <w:pPr>
              <w:jc w:val="right"/>
              <w:ind w:right="680"/>
              <w:spacing w:after="0"/>
              <w:rPr>
                <w:sz w:val="20"/>
                <w:szCs w:val="20"/>
                <w:color w:val="auto"/>
              </w:rPr>
            </w:pPr>
            <w:r>
              <w:rPr>
                <w:rFonts w:ascii="Arial" w:cs="Arial" w:eastAsia="Arial" w:hAnsi="Arial"/>
                <w:sz w:val="18"/>
                <w:szCs w:val="18"/>
                <w:color w:val="auto"/>
              </w:rPr>
              <w:t>—</w:t>
            </w:r>
          </w:p>
        </w:tc>
        <w:tc>
          <w:tcPr>
            <w:tcW w:w="480" w:type="dxa"/>
            <w:vAlign w:val="bottom"/>
            <w:gridSpan w:val="3"/>
            <w:shd w:val="clear" w:color="auto" w:fill="EEEEEE"/>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shd w:val="clear" w:color="auto" w:fill="EEEEEE"/>
          </w:tcPr>
          <w:p>
            <w:pPr>
              <w:jc w:val="right"/>
              <w:ind w:right="153"/>
              <w:spacing w:after="0"/>
              <w:rPr>
                <w:sz w:val="20"/>
                <w:szCs w:val="20"/>
                <w:color w:val="auto"/>
              </w:rPr>
            </w:pPr>
            <w:r>
              <w:rPr>
                <w:rFonts w:ascii="Arial" w:cs="Arial" w:eastAsia="Arial" w:hAnsi="Arial"/>
                <w:sz w:val="18"/>
                <w:szCs w:val="18"/>
                <w:color w:val="auto"/>
              </w:rPr>
              <w:t>9,925</w:t>
            </w:r>
          </w:p>
        </w:tc>
        <w:tc>
          <w:tcPr>
            <w:tcW w:w="0" w:type="dxa"/>
            <w:vAlign w:val="bottom"/>
          </w:tcPr>
          <w:p>
            <w:pPr>
              <w:spacing w:after="0"/>
              <w:rPr>
                <w:sz w:val="1"/>
                <w:szCs w:val="1"/>
                <w:color w:val="auto"/>
              </w:rPr>
            </w:pPr>
          </w:p>
        </w:tc>
      </w:tr>
      <w:tr>
        <w:trPr>
          <w:trHeight w:val="202"/>
        </w:trPr>
        <w:tc>
          <w:tcPr>
            <w:tcW w:w="2380" w:type="dxa"/>
            <w:vAlign w:val="bottom"/>
            <w:gridSpan w:val="2"/>
          </w:tcPr>
          <w:p>
            <w:pPr>
              <w:spacing w:after="0" w:line="201" w:lineRule="exact"/>
              <w:rPr>
                <w:sz w:val="20"/>
                <w:szCs w:val="20"/>
                <w:color w:val="auto"/>
              </w:rPr>
            </w:pPr>
            <w:r>
              <w:rPr>
                <w:rFonts w:ascii="Arial" w:cs="Arial" w:eastAsia="Arial" w:hAnsi="Arial"/>
                <w:sz w:val="18"/>
                <w:szCs w:val="18"/>
                <w:color w:val="auto"/>
              </w:rPr>
              <w:t>Depreciation and</w:t>
            </w: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380" w:type="dxa"/>
            <w:vAlign w:val="bottom"/>
            <w:gridSpan w:val="2"/>
          </w:tcPr>
          <w:p>
            <w:pPr>
              <w:ind w:left="140"/>
              <w:spacing w:after="0"/>
              <w:rPr>
                <w:sz w:val="20"/>
                <w:szCs w:val="20"/>
                <w:color w:val="auto"/>
              </w:rPr>
            </w:pPr>
            <w:r>
              <w:rPr>
                <w:rFonts w:ascii="Arial" w:cs="Arial" w:eastAsia="Arial" w:hAnsi="Arial"/>
                <w:sz w:val="18"/>
                <w:szCs w:val="18"/>
                <w:color w:val="auto"/>
              </w:rPr>
              <w:t>amortization</w:t>
            </w:r>
          </w:p>
        </w:tc>
        <w:tc>
          <w:tcPr>
            <w:tcW w:w="360" w:type="dxa"/>
            <w:vAlign w:val="bottom"/>
          </w:tcPr>
          <w:p>
            <w:pPr>
              <w:spacing w:after="0"/>
              <w:rPr>
                <w:sz w:val="20"/>
                <w:szCs w:val="20"/>
                <w:color w:val="auto"/>
              </w:rPr>
            </w:pPr>
          </w:p>
        </w:tc>
        <w:tc>
          <w:tcPr>
            <w:tcW w:w="900" w:type="dxa"/>
            <w:vAlign w:val="bottom"/>
          </w:tcPr>
          <w:p>
            <w:pPr>
              <w:jc w:val="right"/>
              <w:ind w:right="317"/>
              <w:spacing w:after="0"/>
              <w:rPr>
                <w:sz w:val="20"/>
                <w:szCs w:val="20"/>
                <w:color w:val="auto"/>
              </w:rPr>
            </w:pPr>
            <w:r>
              <w:rPr>
                <w:rFonts w:ascii="Arial" w:cs="Arial" w:eastAsia="Arial" w:hAnsi="Arial"/>
                <w:sz w:val="18"/>
                <w:szCs w:val="18"/>
                <w:color w:val="auto"/>
              </w:rPr>
              <w:t>2,027</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300" w:type="dxa"/>
            <w:vAlign w:val="bottom"/>
          </w:tcPr>
          <w:p>
            <w:pPr>
              <w:jc w:val="right"/>
              <w:ind w:right="219"/>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(1)</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492"/>
              <w:spacing w:after="0"/>
              <w:rPr>
                <w:sz w:val="20"/>
                <w:szCs w:val="20"/>
                <w:color w:val="auto"/>
              </w:rPr>
            </w:pPr>
            <w:r>
              <w:rPr>
                <w:rFonts w:ascii="Arial" w:cs="Arial" w:eastAsia="Arial" w:hAnsi="Arial"/>
                <w:sz w:val="18"/>
                <w:szCs w:val="18"/>
                <w:color w:val="auto"/>
              </w:rPr>
              <w:t>261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153"/>
              <w:spacing w:after="0"/>
              <w:rPr>
                <w:sz w:val="20"/>
                <w:szCs w:val="20"/>
                <w:color w:val="auto"/>
              </w:rPr>
            </w:pPr>
            <w:r>
              <w:rPr>
                <w:rFonts w:ascii="Arial" w:cs="Arial" w:eastAsia="Arial" w:hAnsi="Arial"/>
                <w:sz w:val="18"/>
                <w:szCs w:val="18"/>
                <w:color w:val="auto"/>
              </w:rPr>
              <w:t>2,288</w:t>
            </w:r>
          </w:p>
        </w:tc>
        <w:tc>
          <w:tcPr>
            <w:tcW w:w="0" w:type="dxa"/>
            <w:vAlign w:val="bottom"/>
          </w:tcPr>
          <w:p>
            <w:pPr>
              <w:spacing w:after="0"/>
              <w:rPr>
                <w:sz w:val="1"/>
                <w:szCs w:val="1"/>
                <w:color w:val="auto"/>
              </w:rPr>
            </w:pPr>
          </w:p>
        </w:tc>
      </w:tr>
      <w:tr>
        <w:trPr>
          <w:trHeight w:val="216"/>
        </w:trPr>
        <w:tc>
          <w:tcPr>
            <w:tcW w:w="23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Interest expense</w:t>
            </w:r>
          </w:p>
        </w:tc>
        <w:tc>
          <w:tcPr>
            <w:tcW w:w="360" w:type="dxa"/>
            <w:vAlign w:val="bottom"/>
            <w:shd w:val="clear" w:color="auto" w:fill="EEEEEE"/>
          </w:tcPr>
          <w:p>
            <w:pPr>
              <w:spacing w:after="0"/>
              <w:rPr>
                <w:sz w:val="18"/>
                <w:szCs w:val="18"/>
                <w:color w:val="auto"/>
              </w:rPr>
            </w:pPr>
          </w:p>
        </w:tc>
        <w:tc>
          <w:tcPr>
            <w:tcW w:w="900" w:type="dxa"/>
            <w:vAlign w:val="bottom"/>
            <w:shd w:val="clear" w:color="auto" w:fill="EEEEEE"/>
          </w:tcPr>
          <w:p>
            <w:pPr>
              <w:jc w:val="right"/>
              <w:ind w:right="317"/>
              <w:spacing w:after="0"/>
              <w:rPr>
                <w:sz w:val="20"/>
                <w:szCs w:val="20"/>
                <w:color w:val="auto"/>
              </w:rPr>
            </w:pPr>
            <w:r>
              <w:rPr>
                <w:rFonts w:ascii="Arial" w:cs="Arial" w:eastAsia="Arial" w:hAnsi="Arial"/>
                <w:sz w:val="18"/>
                <w:szCs w:val="18"/>
                <w:color w:val="auto"/>
              </w:rPr>
              <w:t>2</w:t>
            </w:r>
          </w:p>
        </w:tc>
        <w:tc>
          <w:tcPr>
            <w:tcW w:w="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1300" w:type="dxa"/>
            <w:vAlign w:val="bottom"/>
            <w:shd w:val="clear" w:color="auto" w:fill="EEEEEE"/>
          </w:tcPr>
          <w:p>
            <w:pPr>
              <w:jc w:val="right"/>
              <w:ind w:right="399"/>
              <w:spacing w:after="0"/>
              <w:rPr>
                <w:sz w:val="20"/>
                <w:szCs w:val="20"/>
                <w:color w:val="auto"/>
              </w:rPr>
            </w:pPr>
            <w:r>
              <w:rPr>
                <w:rFonts w:ascii="Arial" w:cs="Arial" w:eastAsia="Arial" w:hAnsi="Arial"/>
                <w:sz w:val="18"/>
                <w:szCs w:val="18"/>
                <w:color w:val="auto"/>
              </w:rPr>
              <w:t>—</w:t>
            </w:r>
          </w:p>
        </w:tc>
        <w:tc>
          <w:tcPr>
            <w:tcW w:w="24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1100" w:type="dxa"/>
            <w:vAlign w:val="bottom"/>
            <w:shd w:val="clear" w:color="auto" w:fill="EEEEEE"/>
          </w:tcPr>
          <w:p>
            <w:pPr>
              <w:jc w:val="right"/>
              <w:ind w:right="492"/>
              <w:spacing w:after="0"/>
              <w:rPr>
                <w:sz w:val="20"/>
                <w:szCs w:val="20"/>
                <w:color w:val="auto"/>
              </w:rPr>
            </w:pPr>
            <w:r>
              <w:rPr>
                <w:rFonts w:ascii="Arial" w:cs="Arial" w:eastAsia="Arial" w:hAnsi="Arial"/>
                <w:sz w:val="18"/>
                <w:szCs w:val="18"/>
                <w:color w:val="auto"/>
              </w:rPr>
              <w:t>2,937</w:t>
            </w:r>
          </w:p>
        </w:tc>
        <w:tc>
          <w:tcPr>
            <w:tcW w:w="1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780" w:type="dxa"/>
            <w:vAlign w:val="bottom"/>
            <w:shd w:val="clear" w:color="auto" w:fill="EEEEEE"/>
          </w:tcPr>
          <w:p>
            <w:pPr>
              <w:jc w:val="right"/>
              <w:ind w:right="153"/>
              <w:spacing w:after="0"/>
              <w:rPr>
                <w:sz w:val="20"/>
                <w:szCs w:val="20"/>
                <w:color w:val="auto"/>
              </w:rPr>
            </w:pPr>
            <w:r>
              <w:rPr>
                <w:rFonts w:ascii="Arial" w:cs="Arial" w:eastAsia="Arial" w:hAnsi="Arial"/>
                <w:sz w:val="18"/>
                <w:szCs w:val="18"/>
                <w:color w:val="auto"/>
              </w:rPr>
              <w:t>2,939</w:t>
            </w:r>
          </w:p>
        </w:tc>
        <w:tc>
          <w:tcPr>
            <w:tcW w:w="0" w:type="dxa"/>
            <w:vAlign w:val="bottom"/>
          </w:tcPr>
          <w:p>
            <w:pPr>
              <w:spacing w:after="0"/>
              <w:rPr>
                <w:sz w:val="1"/>
                <w:szCs w:val="1"/>
                <w:color w:val="auto"/>
              </w:rPr>
            </w:pPr>
          </w:p>
        </w:tc>
      </w:tr>
      <w:tr>
        <w:trPr>
          <w:trHeight w:val="257"/>
        </w:trPr>
        <w:tc>
          <w:tcPr>
            <w:tcW w:w="2380" w:type="dxa"/>
            <w:vAlign w:val="bottom"/>
            <w:gridSpan w:val="2"/>
          </w:tcPr>
          <w:p>
            <w:pPr>
              <w:spacing w:after="0"/>
              <w:rPr>
                <w:sz w:val="20"/>
                <w:szCs w:val="20"/>
                <w:color w:val="auto"/>
              </w:rPr>
            </w:pPr>
            <w:r>
              <w:rPr>
                <w:rFonts w:ascii="Arial" w:cs="Arial" w:eastAsia="Arial" w:hAnsi="Arial"/>
                <w:sz w:val="18"/>
                <w:szCs w:val="18"/>
                <w:color w:val="auto"/>
              </w:rPr>
              <w:t>Net (loss) income</w:t>
            </w:r>
          </w:p>
        </w:tc>
        <w:tc>
          <w:tcPr>
            <w:tcW w:w="1260" w:type="dxa"/>
            <w:vAlign w:val="bottom"/>
            <w:gridSpan w:val="2"/>
          </w:tcPr>
          <w:p>
            <w:pPr>
              <w:jc w:val="right"/>
              <w:ind w:right="257"/>
              <w:spacing w:after="0"/>
              <w:rPr>
                <w:sz w:val="20"/>
                <w:szCs w:val="20"/>
                <w:color w:val="auto"/>
              </w:rPr>
            </w:pPr>
            <w:r>
              <w:rPr>
                <w:rFonts w:ascii="Arial" w:cs="Arial" w:eastAsia="Arial" w:hAnsi="Arial"/>
                <w:sz w:val="18"/>
                <w:szCs w:val="18"/>
                <w:color w:val="auto"/>
              </w:rPr>
              <w:t>(28,638)</w:t>
            </w:r>
          </w:p>
        </w:tc>
        <w:tc>
          <w:tcPr>
            <w:tcW w:w="40" w:type="dxa"/>
            <w:vAlign w:val="bottom"/>
          </w:tcPr>
          <w:p>
            <w:pPr>
              <w:spacing w:after="0"/>
              <w:rPr>
                <w:sz w:val="22"/>
                <w:szCs w:val="22"/>
                <w:color w:val="auto"/>
              </w:rPr>
            </w:pPr>
          </w:p>
        </w:tc>
        <w:tc>
          <w:tcPr>
            <w:tcW w:w="1540" w:type="dxa"/>
            <w:vAlign w:val="bottom"/>
            <w:gridSpan w:val="3"/>
          </w:tcPr>
          <w:p>
            <w:pPr>
              <w:jc w:val="right"/>
              <w:ind w:right="399"/>
              <w:spacing w:after="0"/>
              <w:rPr>
                <w:sz w:val="20"/>
                <w:szCs w:val="20"/>
                <w:color w:val="auto"/>
              </w:rPr>
            </w:pPr>
            <w:r>
              <w:rPr>
                <w:rFonts w:ascii="Arial" w:cs="Arial" w:eastAsia="Arial" w:hAnsi="Arial"/>
                <w:sz w:val="18"/>
                <w:szCs w:val="18"/>
                <w:color w:val="auto"/>
              </w:rPr>
              <w:t>46</w:t>
            </w:r>
          </w:p>
        </w:tc>
        <w:tc>
          <w:tcPr>
            <w:tcW w:w="2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100" w:type="dxa"/>
            <w:vAlign w:val="bottom"/>
          </w:tcPr>
          <w:p>
            <w:pPr>
              <w:jc w:val="right"/>
              <w:ind w:right="252"/>
              <w:spacing w:after="0" w:line="256" w:lineRule="exact"/>
              <w:rPr>
                <w:sz w:val="20"/>
                <w:szCs w:val="20"/>
                <w:color w:val="auto"/>
              </w:rPr>
            </w:pPr>
            <w:r>
              <w:rPr>
                <w:rFonts w:ascii="Arial" w:cs="Arial" w:eastAsia="Arial" w:hAnsi="Arial"/>
                <w:sz w:val="18"/>
                <w:szCs w:val="18"/>
                <w:color w:val="auto"/>
                <w:w w:val="91"/>
              </w:rPr>
              <w:t>(1,729)</w:t>
            </w:r>
            <w:r>
              <w:rPr>
                <w:rFonts w:ascii="Arial" w:cs="Arial" w:eastAsia="Arial" w:hAnsi="Arial"/>
                <w:sz w:val="29"/>
                <w:szCs w:val="29"/>
                <w:color w:val="auto"/>
                <w:w w:val="91"/>
                <w:vertAlign w:val="superscript"/>
              </w:rPr>
              <w:t>(2)</w:t>
            </w:r>
          </w:p>
        </w:tc>
        <w:tc>
          <w:tcPr>
            <w:tcW w:w="100" w:type="dxa"/>
            <w:vAlign w:val="bottom"/>
          </w:tcPr>
          <w:p>
            <w:pPr>
              <w:spacing w:after="0"/>
              <w:rPr>
                <w:sz w:val="22"/>
                <w:szCs w:val="22"/>
                <w:color w:val="auto"/>
              </w:rPr>
            </w:pPr>
          </w:p>
        </w:tc>
        <w:tc>
          <w:tcPr>
            <w:tcW w:w="1260" w:type="dxa"/>
            <w:vAlign w:val="bottom"/>
            <w:gridSpan w:val="4"/>
          </w:tcPr>
          <w:p>
            <w:pPr>
              <w:jc w:val="right"/>
              <w:ind w:right="93"/>
              <w:spacing w:after="0"/>
              <w:rPr>
                <w:sz w:val="20"/>
                <w:szCs w:val="20"/>
                <w:color w:val="auto"/>
              </w:rPr>
            </w:pPr>
            <w:r>
              <w:rPr>
                <w:rFonts w:ascii="Arial" w:cs="Arial" w:eastAsia="Arial" w:hAnsi="Arial"/>
                <w:sz w:val="18"/>
                <w:szCs w:val="18"/>
                <w:color w:val="auto"/>
              </w:rPr>
              <w:t>(30,321)</w:t>
            </w:r>
          </w:p>
        </w:tc>
        <w:tc>
          <w:tcPr>
            <w:tcW w:w="0" w:type="dxa"/>
            <w:vAlign w:val="bottom"/>
          </w:tcPr>
          <w:p>
            <w:pPr>
              <w:spacing w:after="0"/>
              <w:rPr>
                <w:sz w:val="1"/>
                <w:szCs w:val="1"/>
                <w:color w:val="auto"/>
              </w:rPr>
            </w:pPr>
          </w:p>
        </w:tc>
      </w:tr>
      <w:tr>
        <w:trPr>
          <w:trHeight w:val="216"/>
        </w:trPr>
        <w:tc>
          <w:tcPr>
            <w:tcW w:w="23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Capital expenditures</w:t>
            </w:r>
          </w:p>
        </w:tc>
        <w:tc>
          <w:tcPr>
            <w:tcW w:w="360" w:type="dxa"/>
            <w:vAlign w:val="bottom"/>
            <w:shd w:val="clear" w:color="auto" w:fill="EEEEEE"/>
          </w:tcPr>
          <w:p>
            <w:pPr>
              <w:spacing w:after="0"/>
              <w:rPr>
                <w:sz w:val="18"/>
                <w:szCs w:val="18"/>
                <w:color w:val="auto"/>
              </w:rPr>
            </w:pPr>
          </w:p>
        </w:tc>
        <w:tc>
          <w:tcPr>
            <w:tcW w:w="900" w:type="dxa"/>
            <w:vAlign w:val="bottom"/>
            <w:shd w:val="clear" w:color="auto" w:fill="EEEEEE"/>
          </w:tcPr>
          <w:p>
            <w:pPr>
              <w:jc w:val="right"/>
              <w:ind w:right="317"/>
              <w:spacing w:after="0"/>
              <w:rPr>
                <w:sz w:val="20"/>
                <w:szCs w:val="20"/>
                <w:color w:val="auto"/>
              </w:rPr>
            </w:pPr>
            <w:r>
              <w:rPr>
                <w:rFonts w:ascii="Arial" w:cs="Arial" w:eastAsia="Arial" w:hAnsi="Arial"/>
                <w:sz w:val="18"/>
                <w:szCs w:val="18"/>
                <w:color w:val="auto"/>
              </w:rPr>
              <w:t>8,132</w:t>
            </w:r>
          </w:p>
        </w:tc>
        <w:tc>
          <w:tcPr>
            <w:tcW w:w="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1300" w:type="dxa"/>
            <w:vAlign w:val="bottom"/>
            <w:shd w:val="clear" w:color="auto" w:fill="EEEEEE"/>
          </w:tcPr>
          <w:p>
            <w:pPr>
              <w:jc w:val="right"/>
              <w:ind w:right="399"/>
              <w:spacing w:after="0"/>
              <w:rPr>
                <w:sz w:val="20"/>
                <w:szCs w:val="20"/>
                <w:color w:val="auto"/>
              </w:rPr>
            </w:pPr>
            <w:r>
              <w:rPr>
                <w:rFonts w:ascii="Arial" w:cs="Arial" w:eastAsia="Arial" w:hAnsi="Arial"/>
                <w:sz w:val="18"/>
                <w:szCs w:val="18"/>
                <w:color w:val="auto"/>
              </w:rPr>
              <w:t>—</w:t>
            </w:r>
          </w:p>
        </w:tc>
        <w:tc>
          <w:tcPr>
            <w:tcW w:w="24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1200" w:type="dxa"/>
            <w:vAlign w:val="bottom"/>
            <w:gridSpan w:val="2"/>
            <w:shd w:val="clear" w:color="auto" w:fill="EEEEEE"/>
          </w:tcPr>
          <w:p>
            <w:pPr>
              <w:jc w:val="right"/>
              <w:ind w:right="680"/>
              <w:spacing w:after="0"/>
              <w:rPr>
                <w:sz w:val="20"/>
                <w:szCs w:val="20"/>
                <w:color w:val="auto"/>
              </w:rPr>
            </w:pPr>
            <w:r>
              <w:rPr>
                <w:rFonts w:ascii="Arial" w:cs="Arial" w:eastAsia="Arial" w:hAnsi="Arial"/>
                <w:sz w:val="18"/>
                <w:szCs w:val="18"/>
                <w:color w:val="auto"/>
              </w:rPr>
              <w:t>—</w:t>
            </w:r>
          </w:p>
        </w:tc>
        <w:tc>
          <w:tcPr>
            <w:tcW w:w="1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780" w:type="dxa"/>
            <w:vAlign w:val="bottom"/>
            <w:shd w:val="clear" w:color="auto" w:fill="EEEEEE"/>
          </w:tcPr>
          <w:p>
            <w:pPr>
              <w:jc w:val="right"/>
              <w:ind w:right="153"/>
              <w:spacing w:after="0"/>
              <w:rPr>
                <w:sz w:val="20"/>
                <w:szCs w:val="20"/>
                <w:color w:val="auto"/>
              </w:rPr>
            </w:pPr>
            <w:r>
              <w:rPr>
                <w:rFonts w:ascii="Arial" w:cs="Arial" w:eastAsia="Arial" w:hAnsi="Arial"/>
                <w:sz w:val="18"/>
                <w:szCs w:val="18"/>
                <w:color w:val="auto"/>
              </w:rPr>
              <w:t>8,132</w:t>
            </w:r>
          </w:p>
        </w:tc>
        <w:tc>
          <w:tcPr>
            <w:tcW w:w="0" w:type="dxa"/>
            <w:vAlign w:val="bottom"/>
          </w:tcPr>
          <w:p>
            <w:pPr>
              <w:spacing w:after="0"/>
              <w:rPr>
                <w:sz w:val="1"/>
                <w:szCs w:val="1"/>
                <w:color w:val="auto"/>
              </w:rPr>
            </w:pPr>
          </w:p>
        </w:tc>
      </w:tr>
      <w:tr>
        <w:trPr>
          <w:trHeight w:val="15"/>
        </w:trPr>
        <w:tc>
          <w:tcPr>
            <w:tcW w:w="2380" w:type="dxa"/>
            <w:vAlign w:val="bottom"/>
            <w:gridSpan w:val="2"/>
          </w:tcPr>
          <w:p>
            <w:pPr>
              <w:spacing w:after="0"/>
              <w:rPr>
                <w:sz w:val="20"/>
                <w:szCs w:val="20"/>
                <w:color w:val="auto"/>
              </w:rPr>
            </w:pPr>
            <w:r>
              <w:rPr>
                <w:rFonts w:ascii="Arial" w:cs="Arial" w:eastAsia="Arial" w:hAnsi="Arial"/>
                <w:sz w:val="1"/>
                <w:szCs w:val="1"/>
                <w:color w:val="auto"/>
              </w:rPr>
              <w:t>Total assets</w:t>
            </w:r>
          </w:p>
        </w:tc>
        <w:tc>
          <w:tcPr>
            <w:tcW w:w="360" w:type="dxa"/>
            <w:vAlign w:val="bottom"/>
          </w:tcPr>
          <w:p>
            <w:pPr>
              <w:spacing w:after="0" w:line="20" w:lineRule="exact"/>
              <w:rPr>
                <w:sz w:val="1"/>
                <w:szCs w:val="1"/>
                <w:color w:val="auto"/>
              </w:rPr>
            </w:pPr>
          </w:p>
        </w:tc>
        <w:tc>
          <w:tcPr>
            <w:tcW w:w="900" w:type="dxa"/>
            <w:vAlign w:val="bottom"/>
          </w:tcPr>
          <w:p>
            <w:pPr>
              <w:jc w:val="right"/>
              <w:ind w:right="317"/>
              <w:spacing w:after="0"/>
              <w:rPr>
                <w:sz w:val="20"/>
                <w:szCs w:val="20"/>
                <w:color w:val="auto"/>
              </w:rPr>
            </w:pPr>
            <w:r>
              <w:rPr>
                <w:rFonts w:ascii="Arial" w:cs="Arial" w:eastAsia="Arial" w:hAnsi="Arial"/>
                <w:sz w:val="1"/>
                <w:szCs w:val="1"/>
                <w:color w:val="auto"/>
              </w:rPr>
              <w:t>85,924</w:t>
            </w:r>
          </w:p>
        </w:tc>
        <w:tc>
          <w:tcPr>
            <w:tcW w:w="40" w:type="dxa"/>
            <w:vAlign w:val="bottom"/>
          </w:tcPr>
          <w:p>
            <w:pPr>
              <w:spacing w:after="0" w:line="20" w:lineRule="exact"/>
              <w:rPr>
                <w:sz w:val="1"/>
                <w:szCs w:val="1"/>
                <w:color w:val="auto"/>
              </w:rPr>
            </w:pPr>
          </w:p>
        </w:tc>
        <w:tc>
          <w:tcPr>
            <w:tcW w:w="1540" w:type="dxa"/>
            <w:vAlign w:val="bottom"/>
            <w:gridSpan w:val="3"/>
          </w:tcPr>
          <w:p>
            <w:pPr>
              <w:jc w:val="right"/>
              <w:ind w:right="399"/>
              <w:spacing w:after="0"/>
              <w:rPr>
                <w:sz w:val="20"/>
                <w:szCs w:val="20"/>
                <w:color w:val="auto"/>
              </w:rPr>
            </w:pPr>
            <w:r>
              <w:rPr>
                <w:rFonts w:ascii="Arial" w:cs="Arial" w:eastAsia="Arial" w:hAnsi="Arial"/>
                <w:sz w:val="1"/>
                <w:szCs w:val="1"/>
                <w:color w:val="auto"/>
              </w:rPr>
              <w:t>12,399</w:t>
            </w:r>
          </w:p>
        </w:tc>
        <w:tc>
          <w:tcPr>
            <w:tcW w:w="1960" w:type="dxa"/>
            <w:vAlign w:val="bottom"/>
            <w:gridSpan w:val="3"/>
          </w:tcPr>
          <w:p>
            <w:pPr>
              <w:jc w:val="right"/>
              <w:ind w:right="492"/>
              <w:spacing w:after="0"/>
              <w:rPr>
                <w:sz w:val="20"/>
                <w:szCs w:val="20"/>
                <w:color w:val="auto"/>
              </w:rPr>
            </w:pPr>
            <w:r>
              <w:rPr>
                <w:rFonts w:ascii="Arial" w:cs="Arial" w:eastAsia="Arial" w:hAnsi="Arial"/>
                <w:sz w:val="1"/>
                <w:szCs w:val="1"/>
                <w:color w:val="auto"/>
              </w:rPr>
              <w:t>332,118</w:t>
            </w:r>
          </w:p>
        </w:tc>
        <w:tc>
          <w:tcPr>
            <w:tcW w:w="100" w:type="dxa"/>
            <w:vAlign w:val="bottom"/>
          </w:tcPr>
          <w:p>
            <w:pPr>
              <w:spacing w:after="0" w:line="20" w:lineRule="exact"/>
              <w:rPr>
                <w:sz w:val="1"/>
                <w:szCs w:val="1"/>
                <w:color w:val="auto"/>
              </w:rPr>
            </w:pPr>
          </w:p>
        </w:tc>
        <w:tc>
          <w:tcPr>
            <w:tcW w:w="1260" w:type="dxa"/>
            <w:vAlign w:val="bottom"/>
            <w:gridSpan w:val="4"/>
          </w:tcPr>
          <w:p>
            <w:pPr>
              <w:jc w:val="right"/>
              <w:ind w:right="153"/>
              <w:spacing w:after="0"/>
              <w:rPr>
                <w:sz w:val="20"/>
                <w:szCs w:val="20"/>
                <w:color w:val="auto"/>
              </w:rPr>
            </w:pPr>
            <w:r>
              <w:rPr>
                <w:rFonts w:ascii="Arial" w:cs="Arial" w:eastAsia="Arial" w:hAnsi="Arial"/>
                <w:sz w:val="1"/>
                <w:szCs w:val="1"/>
                <w:color w:val="auto"/>
              </w:rPr>
              <w:t>430,441</w:t>
            </w:r>
          </w:p>
        </w:tc>
        <w:tc>
          <w:tcPr>
            <w:tcW w:w="0" w:type="dxa"/>
            <w:vAlign w:val="bottom"/>
          </w:tcPr>
          <w:p>
            <w:pPr>
              <w:spacing w:after="0" w:line="20" w:lineRule="exact"/>
              <w:rPr>
                <w:sz w:val="1"/>
                <w:szCs w:val="1"/>
                <w:color w:val="auto"/>
              </w:rPr>
            </w:pPr>
          </w:p>
        </w:tc>
      </w:tr>
      <w:tr>
        <w:trPr>
          <w:trHeight w:val="190"/>
        </w:trPr>
        <w:tc>
          <w:tcPr>
            <w:tcW w:w="2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100" w:type="dxa"/>
            <w:vAlign w:val="bottom"/>
          </w:tcPr>
          <w:p>
            <w:pPr>
              <w:jc w:val="right"/>
              <w:ind w:right="312"/>
              <w:spacing w:after="0"/>
              <w:rPr>
                <w:sz w:val="20"/>
                <w:szCs w:val="20"/>
                <w:color w:val="auto"/>
              </w:rPr>
            </w:pPr>
            <w:r>
              <w:rPr>
                <w:rFonts w:ascii="Arial" w:cs="Arial" w:eastAsia="Arial" w:hAnsi="Arial"/>
                <w:sz w:val="15"/>
                <w:szCs w:val="15"/>
                <w:color w:val="auto"/>
              </w:rPr>
              <w:t>(3)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13" w:lineRule="exact"/>
        <w:rPr>
          <w:sz w:val="20"/>
          <w:szCs w:val="20"/>
          <w:color w:val="auto"/>
        </w:rPr>
      </w:pPr>
    </w:p>
    <w:p>
      <w:pPr>
        <w:ind w:left="180" w:right="320" w:hanging="175"/>
        <w:spacing w:after="0" w:line="194" w:lineRule="auto"/>
        <w:rPr>
          <w:sz w:val="20"/>
          <w:szCs w:val="20"/>
          <w:color w:val="auto"/>
        </w:rPr>
      </w:pPr>
      <w:r>
        <w:rPr>
          <w:rFonts w:ascii="Arial" w:cs="Arial" w:eastAsia="Arial" w:hAnsi="Arial"/>
          <w:sz w:val="30"/>
          <w:szCs w:val="30"/>
          <w:color w:val="auto"/>
          <w:vertAlign w:val="superscript"/>
        </w:rPr>
        <w:t>(1)</w:t>
      </w:r>
      <w:r>
        <w:rPr>
          <w:rFonts w:ascii="Arial" w:cs="Arial" w:eastAsia="Arial" w:hAnsi="Arial"/>
          <w:sz w:val="18"/>
          <w:szCs w:val="18"/>
          <w:color w:val="auto"/>
        </w:rPr>
        <w:t>Depreciation and amortization related to contract manufacturing is capitalized into inventory and included in contract manufacturing expense when the product is shipped.</w:t>
      </w:r>
    </w:p>
    <w:p>
      <w:pPr>
        <w:spacing w:after="0" w:line="202" w:lineRule="exact"/>
        <w:rPr>
          <w:sz w:val="20"/>
          <w:szCs w:val="20"/>
          <w:color w:val="auto"/>
        </w:rPr>
      </w:pPr>
    </w:p>
    <w:p>
      <w:pPr>
        <w:spacing w:after="0"/>
        <w:rPr>
          <w:sz w:val="20"/>
          <w:szCs w:val="20"/>
          <w:color w:val="auto"/>
        </w:rPr>
      </w:pPr>
      <w:r>
        <w:rPr>
          <w:rFonts w:ascii="Arial" w:cs="Arial" w:eastAsia="Arial" w:hAnsi="Arial"/>
          <w:sz w:val="30"/>
          <w:szCs w:val="30"/>
          <w:color w:val="auto"/>
          <w:vertAlign w:val="superscript"/>
        </w:rPr>
        <w:t>(2)</w:t>
      </w:r>
      <w:r>
        <w:rPr>
          <w:rFonts w:ascii="Arial" w:cs="Arial" w:eastAsia="Arial" w:hAnsi="Arial"/>
          <w:sz w:val="18"/>
          <w:szCs w:val="18"/>
          <w:color w:val="auto"/>
        </w:rPr>
        <w:t>Represents investment income, net of interest expense related to convertible notes issued in October 2001.</w:t>
      </w:r>
    </w:p>
    <w:p>
      <w:pPr>
        <w:spacing w:after="0" w:line="87" w:lineRule="exact"/>
        <w:rPr>
          <w:sz w:val="20"/>
          <w:szCs w:val="20"/>
          <w:color w:val="auto"/>
        </w:rPr>
      </w:pPr>
    </w:p>
    <w:p>
      <w:pPr>
        <w:jc w:val="center"/>
        <w:ind w:right="400"/>
        <w:spacing w:after="0"/>
        <w:rPr>
          <w:sz w:val="20"/>
          <w:szCs w:val="20"/>
          <w:color w:val="auto"/>
        </w:rPr>
      </w:pPr>
      <w:r>
        <w:rPr>
          <w:rFonts w:ascii="Arial" w:cs="Arial" w:eastAsia="Arial" w:hAnsi="Arial"/>
          <w:sz w:val="24"/>
          <w:szCs w:val="24"/>
          <w:color w:val="auto"/>
          <w:vertAlign w:val="superscript"/>
        </w:rPr>
        <w:t>(3)</w:t>
      </w:r>
      <w:r>
        <w:rPr>
          <w:rFonts w:ascii="Arial" w:cs="Arial" w:eastAsia="Arial" w:hAnsi="Arial"/>
          <w:sz w:val="15"/>
          <w:szCs w:val="15"/>
          <w:color w:val="auto"/>
        </w:rPr>
        <w:t>Includes cash and cash equivalents, marketable securities, restricted marketable securities, prepaid expenses and other current assets, and other assets.</w:t>
      </w:r>
    </w:p>
    <w:p>
      <w:pPr>
        <w:spacing w:after="0" w:line="1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07" w:lineRule="exact"/>
        <w:rPr>
          <w:sz w:val="20"/>
          <w:szCs w:val="20"/>
          <w:color w:val="auto"/>
        </w:rPr>
      </w:pPr>
    </w:p>
    <w:p>
      <w:pPr>
        <w:ind w:left="340" w:hanging="317"/>
        <w:spacing w:after="0"/>
        <w:tabs>
          <w:tab w:leader="none" w:pos="34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Legal Matters</w:t>
      </w:r>
    </w:p>
    <w:p>
      <w:pPr>
        <w:spacing w:after="0" w:line="229" w:lineRule="exact"/>
        <w:rPr>
          <w:rFonts w:ascii="Arial" w:cs="Arial" w:eastAsia="Arial" w:hAnsi="Arial"/>
          <w:sz w:val="18"/>
          <w:szCs w:val="18"/>
          <w:b w:val="1"/>
          <w:bCs w:val="1"/>
          <w:color w:val="auto"/>
        </w:rPr>
      </w:pPr>
    </w:p>
    <w:p>
      <w:pPr>
        <w:ind w:left="340" w:right="180"/>
        <w:spacing w:after="0" w:line="271" w:lineRule="auto"/>
        <w:rPr>
          <w:rFonts w:ascii="Arial" w:cs="Arial" w:eastAsia="Arial" w:hAnsi="Arial"/>
          <w:sz w:val="18"/>
          <w:szCs w:val="18"/>
          <w:b w:val="1"/>
          <w:bCs w:val="1"/>
          <w:color w:val="auto"/>
        </w:rPr>
      </w:pPr>
      <w:r>
        <w:rPr>
          <w:rFonts w:ascii="Arial" w:cs="Arial" w:eastAsia="Arial" w:hAnsi="Arial"/>
          <w:sz w:val="17"/>
          <w:szCs w:val="17"/>
          <w:color w:val="auto"/>
        </w:rPr>
        <w:t>In May 2003, securities class action lawsuits were commenced against Regeneron and certain of the Company’s officers and directors in the United States District Court for the Southern District of New York. A consolidated amended class action complaint was filed in October 2003. The complaint, which purports to be brought on behalf of a class consisting of investors in the Company’s publicly traded securities between March 28, 2000 and March 30, 2003, alleges that the defendants misstated or omitted material information concerning the safety and efficacy of AXOKINE, in violation of Sections 10(b) and 20(a) of the Securities and Exchange Act of 1934 and Rule 10b-5 promulgated thereunder. Damages are sought in an unspecified amount. The Company’s management believes that the complaint is without merit, and in December 2003 the Company filed a motion to dismiss the lawsuit. The ultimate outcome of this matter cannot presently be determined. Accordingly, no provision for any liability that may result upon the resolution of this matter has been made in the accompanying financial statements.</w:t>
      </w:r>
    </w:p>
    <w:p>
      <w:pPr>
        <w:spacing w:after="0" w:line="174" w:lineRule="exact"/>
        <w:rPr>
          <w:rFonts w:ascii="Arial" w:cs="Arial" w:eastAsia="Arial" w:hAnsi="Arial"/>
          <w:sz w:val="18"/>
          <w:szCs w:val="18"/>
          <w:b w:val="1"/>
          <w:bCs w:val="1"/>
          <w:color w:val="auto"/>
        </w:rPr>
      </w:pPr>
    </w:p>
    <w:p>
      <w:pPr>
        <w:ind w:left="340" w:hanging="327"/>
        <w:spacing w:after="0"/>
        <w:tabs>
          <w:tab w:leader="none" w:pos="34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Future Impact of Recently Issued Accounting Standards</w:t>
      </w:r>
    </w:p>
    <w:p>
      <w:pPr>
        <w:spacing w:after="0" w:line="229" w:lineRule="exact"/>
        <w:rPr>
          <w:rFonts w:ascii="Arial" w:cs="Arial" w:eastAsia="Arial" w:hAnsi="Arial"/>
          <w:sz w:val="18"/>
          <w:szCs w:val="18"/>
          <w:b w:val="1"/>
          <w:bCs w:val="1"/>
          <w:color w:val="auto"/>
        </w:rPr>
      </w:pPr>
    </w:p>
    <w:p>
      <w:pPr>
        <w:ind w:left="340"/>
        <w:spacing w:after="0" w:line="271" w:lineRule="auto"/>
        <w:rPr>
          <w:rFonts w:ascii="Arial" w:cs="Arial" w:eastAsia="Arial" w:hAnsi="Arial"/>
          <w:sz w:val="18"/>
          <w:szCs w:val="18"/>
          <w:b w:val="1"/>
          <w:bCs w:val="1"/>
          <w:color w:val="auto"/>
        </w:rPr>
      </w:pPr>
      <w:r>
        <w:rPr>
          <w:rFonts w:ascii="Arial" w:cs="Arial" w:eastAsia="Arial" w:hAnsi="Arial"/>
          <w:sz w:val="17"/>
          <w:szCs w:val="17"/>
          <w:color w:val="auto"/>
        </w:rPr>
        <w:t xml:space="preserve">In April 2004, the Emerging Issues Task Force issued Statement No. 03-6, </w:t>
      </w:r>
      <w:r>
        <w:rPr>
          <w:rFonts w:ascii="Arial" w:cs="Arial" w:eastAsia="Arial" w:hAnsi="Arial"/>
          <w:sz w:val="17"/>
          <w:szCs w:val="17"/>
          <w:i w:val="1"/>
          <w:iCs w:val="1"/>
          <w:color w:val="auto"/>
        </w:rPr>
        <w:t>Participating Securities and the Two-Class Method under FASB Statement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No. 128, Earnings per Share </w:t>
      </w:r>
      <w:r>
        <w:rPr>
          <w:rFonts w:ascii="Arial" w:cs="Arial" w:eastAsia="Arial" w:hAnsi="Arial"/>
          <w:sz w:val="17"/>
          <w:szCs w:val="17"/>
          <w:color w:val="auto"/>
        </w:rPr>
        <w:t>(EITF 03-6). EITF 03-6 addresses a number of questions regarding the computation of earnings per share (“EPS”) by</w:t>
      </w:r>
      <w:r>
        <w:rPr>
          <w:rFonts w:ascii="Arial" w:cs="Arial" w:eastAsia="Arial" w:hAnsi="Arial"/>
          <w:sz w:val="17"/>
          <w:szCs w:val="17"/>
          <w:i w:val="1"/>
          <w:iCs w:val="1"/>
          <w:color w:val="auto"/>
        </w:rPr>
        <w:t xml:space="preserve"> </w:t>
      </w:r>
      <w:r>
        <w:rPr>
          <w:rFonts w:ascii="Arial" w:cs="Arial" w:eastAsia="Arial" w:hAnsi="Arial"/>
          <w:sz w:val="17"/>
          <w:szCs w:val="17"/>
          <w:color w:val="auto"/>
        </w:rPr>
        <w:t>companies that have issued securities other than common stock that contractually entitle the holder to participate in dividends and earnings of the company when, and if, it declares dividends on its common stock. EITF 03-6 defines participation rights based solely on whether the holder would be entitled to receive any dividends if the entity declared them during the period and requires the use of the two-class method for computing basic EPS when participating convertible securities exist. In addition, EITF 03-6 expands the use of the two-class method to encompass other forms of participating securities and is effective for fiscal periods beginning after March 31, 2004. The Company does not expect the adoption of EITF 03-6 to have a material impact on the Company’s financial statements.</w:t>
      </w:r>
    </w:p>
    <w:p>
      <w:pPr>
        <w:spacing w:after="0" w:line="1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89" w:lineRule="exact"/>
        <w:rPr>
          <w:sz w:val="20"/>
          <w:szCs w:val="20"/>
          <w:color w:val="auto"/>
        </w:rPr>
      </w:pPr>
    </w:p>
    <w:p>
      <w:pPr>
        <w:ind w:right="80" w:firstLine="225"/>
        <w:spacing w:after="0" w:line="291" w:lineRule="auto"/>
        <w:rPr>
          <w:sz w:val="20"/>
          <w:szCs w:val="20"/>
          <w:color w:val="auto"/>
        </w:rPr>
      </w:pPr>
      <w:r>
        <w:rPr>
          <w:rFonts w:ascii="Arial" w:cs="Arial" w:eastAsia="Arial" w:hAnsi="Arial"/>
          <w:sz w:val="16"/>
          <w:szCs w:val="16"/>
          <w:i w:val="1"/>
          <w:iCs w:val="1"/>
          <w:color w:val="auto"/>
        </w:rPr>
        <w:t>The discussion below contains forward-looking statements that involve risks and uncertainties relating to the future financial performance of Regeneron Pharmaceuticals, Inc. and actual events or results may differ materially. These statements concern, among other things, the possible success and therapeutic applications of our product candidates and research programs, the timing and nature of the clinical and research programs now underway or planned, and the future sources and uses of capital and our financial needs. These statements are made by us based on management’s current beliefs and judgment. In evaluating such statements, stockholders and potential investors should specifically consider the various factors identified under the caption “Risk Factors” which could cause actual results to differ materially from those indicated by such forward-looking statements. We do not undertake any obligation to update publicly any forward-looking statement, whether as a result of new information, future events, or otherwise, except as required by law.</w:t>
      </w:r>
    </w:p>
    <w:p>
      <w:pPr>
        <w:spacing w:after="0" w:line="127" w:lineRule="exact"/>
        <w:rPr>
          <w:sz w:val="20"/>
          <w:szCs w:val="20"/>
          <w:color w:val="auto"/>
        </w:rPr>
      </w:pPr>
    </w:p>
    <w:p>
      <w:pPr>
        <w:ind w:right="120" w:firstLine="225"/>
        <w:spacing w:after="0" w:line="257" w:lineRule="auto"/>
        <w:rPr>
          <w:sz w:val="20"/>
          <w:szCs w:val="20"/>
          <w:color w:val="auto"/>
        </w:rPr>
      </w:pPr>
      <w:r>
        <w:rPr>
          <w:rFonts w:ascii="Arial" w:cs="Arial" w:eastAsia="Arial" w:hAnsi="Arial"/>
          <w:sz w:val="18"/>
          <w:szCs w:val="18"/>
          <w:color w:val="auto"/>
        </w:rPr>
        <w:t>Regeneron Pharmaceuticals, Inc. is a biopharmaceutical company that discovers, develops, and intends to commercialize pharmaceutical products for the treatment of serious medical conditions. Our clinical and preclinical pipeline includes product candidates for the treatment of cancer, diseases of the eye, rheumatoid arthritis and other inflammatory conditions, allergies, asthma, obesity, and other diseases and disorders. Developing and commercializing new medicines entails significant risk and expense. Since inception we have not generated any sales or profits from the commercialization of any of our product candidates.</w:t>
      </w:r>
    </w:p>
    <w:p>
      <w:pPr>
        <w:spacing w:after="0" w:line="161" w:lineRule="exact"/>
        <w:rPr>
          <w:sz w:val="20"/>
          <w:szCs w:val="20"/>
          <w:color w:val="auto"/>
        </w:rPr>
      </w:pPr>
    </w:p>
    <w:p>
      <w:pPr>
        <w:ind w:right="60" w:firstLine="225"/>
        <w:spacing w:after="0" w:line="273" w:lineRule="auto"/>
        <w:rPr>
          <w:sz w:val="20"/>
          <w:szCs w:val="20"/>
          <w:color w:val="auto"/>
        </w:rPr>
      </w:pPr>
      <w:r>
        <w:rPr>
          <w:rFonts w:ascii="Arial" w:cs="Arial" w:eastAsia="Arial" w:hAnsi="Arial"/>
          <w:sz w:val="17"/>
          <w:szCs w:val="17"/>
          <w:color w:val="auto"/>
        </w:rPr>
        <w:t>Our core business strategy is to combine our strong foundation in basic scientific research and discovery-enabling technology with our manufacturing and clinical development capabilities to build a successful, integrated biopharmaceutical company. Our efforts have yielded a diverse and growing pipeline of product candidates that have the potential to address a variety of unmet medical needs. We believe that our ability to develop product candidates is enhanced by the application of our technology platforms. These platforms are designed to discover specific genes of therapeutic interest for a particular disease or cell type and validate targets through high-throughput production of mammalian models. We continue to invest in the development of enabling technologies to assist in our efforts to identify, develop, and commercialize new product candidates.</w:t>
      </w:r>
    </w:p>
    <w:p>
      <w:pPr>
        <w:spacing w:after="0" w:line="13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Below is a summary of our clinical programs.</w:t>
      </w:r>
    </w:p>
    <w:p>
      <w:pPr>
        <w:spacing w:after="0" w:line="221" w:lineRule="exact"/>
        <w:rPr>
          <w:sz w:val="20"/>
          <w:szCs w:val="20"/>
          <w:color w:val="auto"/>
        </w:rPr>
      </w:pPr>
    </w:p>
    <w:p>
      <w:pPr>
        <w:ind w:left="460" w:hanging="177"/>
        <w:spacing w:after="0" w:line="277" w:lineRule="auto"/>
        <w:tabs>
          <w:tab w:leader="none" w:pos="460" w:val="left"/>
        </w:tabs>
        <w:numPr>
          <w:ilvl w:val="0"/>
          <w:numId w:val="12"/>
        </w:numPr>
        <w:rPr>
          <w:rFonts w:ascii="Arial" w:cs="Arial" w:eastAsia="Arial" w:hAnsi="Arial"/>
          <w:sz w:val="17"/>
          <w:szCs w:val="17"/>
          <w:color w:val="auto"/>
        </w:rPr>
      </w:pPr>
      <w:r>
        <w:rPr>
          <w:rFonts w:ascii="Arial" w:cs="Arial" w:eastAsia="Arial" w:hAnsi="Arial"/>
          <w:sz w:val="17"/>
          <w:szCs w:val="17"/>
          <w:b w:val="1"/>
          <w:bCs w:val="1"/>
          <w:color w:val="auto"/>
        </w:rPr>
        <w:t xml:space="preserve">VEGF TRAP: </w:t>
      </w:r>
      <w:r>
        <w:rPr>
          <w:rFonts w:ascii="Arial" w:cs="Arial" w:eastAsia="Arial" w:hAnsi="Arial"/>
          <w:sz w:val="17"/>
          <w:szCs w:val="17"/>
          <w:color w:val="auto"/>
        </w:rPr>
        <w:t>Protein-based product candidate designed to bind Vascular Endothelial Growth Factor (called VEGF, also known as Vascular</w:t>
      </w:r>
      <w:r>
        <w:rPr>
          <w:rFonts w:ascii="Arial" w:cs="Arial" w:eastAsia="Arial" w:hAnsi="Arial"/>
          <w:sz w:val="17"/>
          <w:szCs w:val="17"/>
          <w:b w:val="1"/>
          <w:bCs w:val="1"/>
          <w:color w:val="auto"/>
        </w:rPr>
        <w:t xml:space="preserve"> </w:t>
      </w:r>
      <w:r>
        <w:rPr>
          <w:rFonts w:ascii="Arial" w:cs="Arial" w:eastAsia="Arial" w:hAnsi="Arial"/>
          <w:sz w:val="17"/>
          <w:szCs w:val="17"/>
          <w:color w:val="auto"/>
        </w:rPr>
        <w:t>Permeability Factor or VPF) and its relative, Placental Growth Factor (called PlGF), and prevent their interaction with cell surface receptors. VEGF (and to a less validated degree, PlGF) is required for the growth of blood vessels that are needed for tumors to grow and is a potent regulator of vascular permeability and leakage. In 2001, we initiated a dose-escalation phase 1 clinical trial designed to assess the safety and tolerability of the VEGF Trap in subjects with advanced solid tumor malignancies. This trial is testing VEGF Trap delivered by subcutaneous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80"/>
        <w:spacing w:after="0" w:line="293" w:lineRule="auto"/>
        <w:rPr>
          <w:sz w:val="20"/>
          <w:szCs w:val="20"/>
          <w:color w:val="auto"/>
        </w:rPr>
      </w:pPr>
      <w:r>
        <w:rPr>
          <w:rFonts w:ascii="Arial" w:cs="Arial" w:eastAsia="Arial" w:hAnsi="Arial"/>
          <w:sz w:val="16"/>
          <w:szCs w:val="16"/>
          <w:color w:val="auto"/>
        </w:rPr>
        <w:t>injection and is expected to be completed in the second quarter of 2004. A second phase of this trial, which commenced in April 2004, is testing higher doses of the VEGF Trap delivered intravenously. This study will evaluate the safety and tolerability of higher doses of the VEGF Trap and will determine the pharmacokinetics of the molecule delivered intravenously. We are also evaluating the VEGF Trap for the potential treatment of certain eye diseases and in March 2004, announced the initiation of a phase 1 study of the VEGF Trap in patients with the neovascular or “wet” form of age-related macular degeneration (called AMD). This phase 1 trial is a randomized, placebo-controlled, dose-escalating study designed to assess the safety and tolerability of VEGF Trap in wet AMD and obtain a preliminary assessment of the potential effect of the VEGF Trap on visual acuity.</w:t>
      </w:r>
    </w:p>
    <w:p>
      <w:pPr>
        <w:spacing w:after="0" w:line="165" w:lineRule="exact"/>
        <w:rPr>
          <w:sz w:val="20"/>
          <w:szCs w:val="20"/>
          <w:color w:val="auto"/>
        </w:rPr>
      </w:pPr>
    </w:p>
    <w:p>
      <w:pPr>
        <w:ind w:left="680" w:right="60"/>
        <w:spacing w:after="0" w:line="253" w:lineRule="auto"/>
        <w:rPr>
          <w:sz w:val="20"/>
          <w:szCs w:val="20"/>
          <w:color w:val="auto"/>
        </w:rPr>
      </w:pPr>
      <w:r>
        <w:rPr>
          <w:rFonts w:ascii="Arial" w:cs="Arial" w:eastAsia="Arial" w:hAnsi="Arial"/>
          <w:sz w:val="18"/>
          <w:szCs w:val="18"/>
          <w:color w:val="auto"/>
        </w:rPr>
        <w:t>In September 2003, we entered into a collaboration agreement with Aventis Pharmaceuticals Inc. to jointly develop and commercialize the VEGF Trap in multiple oncology, ophthalmology, and possibly other indications throughout the world with the exception of Japan, where product rights remain with us. Under the collaboration agreement, agreed upon development expenses incurred by both companies during the term of the agreement will be funded by Aventis. If the collaboration becomes profitable, we will reimburse Aventis for 50 percent of the VEGF Trap development expenses in accordance with a formula based on the amount of development expenses and our share of the collaboration profits, or at a faster rate at our option. In 2004, we and Aventis plan to invest approximately $100 million to support the development of the VEGF Trap. The broad based development program will include multiple phase 1 studies to evaluate the VEGF Trap in combination with other therapies in various cancer indications, phase 2 single-agent studies of the VEGF Trap in separate cancer indications, and multiple phase 1 studies of the VEGF Trap in certain eye diseases.</w:t>
      </w:r>
    </w:p>
    <w:p>
      <w:pPr>
        <w:spacing w:after="0" w:line="193" w:lineRule="exact"/>
        <w:rPr>
          <w:sz w:val="20"/>
          <w:szCs w:val="20"/>
          <w:color w:val="auto"/>
        </w:rPr>
      </w:pPr>
    </w:p>
    <w:p>
      <w:pPr>
        <w:ind w:left="680" w:right="120" w:hanging="168"/>
        <w:spacing w:after="0" w:line="273" w:lineRule="auto"/>
        <w:tabs>
          <w:tab w:leader="none" w:pos="680" w:val="left"/>
        </w:tabs>
        <w:numPr>
          <w:ilvl w:val="0"/>
          <w:numId w:val="13"/>
        </w:numPr>
        <w:rPr>
          <w:rFonts w:ascii="Arial" w:cs="Arial" w:eastAsia="Arial" w:hAnsi="Arial"/>
          <w:sz w:val="17"/>
          <w:szCs w:val="17"/>
          <w:color w:val="auto"/>
        </w:rPr>
      </w:pPr>
      <w:r>
        <w:rPr>
          <w:rFonts w:ascii="Arial" w:cs="Arial" w:eastAsia="Arial" w:hAnsi="Arial"/>
          <w:sz w:val="17"/>
          <w:szCs w:val="17"/>
          <w:b w:val="1"/>
          <w:bCs w:val="1"/>
          <w:color w:val="auto"/>
        </w:rPr>
        <w:t xml:space="preserve">INTERLEUKIN-1 TRAP (IL-1 Trap): </w:t>
      </w:r>
      <w:r>
        <w:rPr>
          <w:rFonts w:ascii="Arial" w:cs="Arial" w:eastAsia="Arial" w:hAnsi="Arial"/>
          <w:sz w:val="17"/>
          <w:szCs w:val="17"/>
          <w:color w:val="auto"/>
        </w:rPr>
        <w:t>Protein-based product candidate designed to bind the interleukin-1 (called IL-1) cytokine and prevent its</w:t>
      </w:r>
      <w:r>
        <w:rPr>
          <w:rFonts w:ascii="Arial" w:cs="Arial" w:eastAsia="Arial" w:hAnsi="Arial"/>
          <w:sz w:val="17"/>
          <w:szCs w:val="17"/>
          <w:b w:val="1"/>
          <w:bCs w:val="1"/>
          <w:color w:val="auto"/>
        </w:rPr>
        <w:t xml:space="preserve"> </w:t>
      </w:r>
      <w:r>
        <w:rPr>
          <w:rFonts w:ascii="Arial" w:cs="Arial" w:eastAsia="Arial" w:hAnsi="Arial"/>
          <w:sz w:val="17"/>
          <w:szCs w:val="17"/>
          <w:color w:val="auto"/>
        </w:rPr>
        <w:t>interaction with cell surface receptors. IL-1 is thought to play an important role in rheumatoid arthritis and other inflammatory diseases. In October 2003, we announced that the IL-1 Trap demonstrated evidence of clinical activity and safety in patients with rheumatoid arthritis (RA) in a phase 2 dose-ranging study in approximately 200 patients. Patients treated with the highest dose, 100 milligrams of the IL-1 Trap, exhibited non-statistically significant improvements in the proportion of American College of Rheumatology (ACR) 20 responses versus placebo, the primary endpoint of the trial. Patients treated with the IL-1 Trap also exhibited improvements in secondary endpoints of the trial. The IL-1 Trap was generally well tolerated and was not associated with any serious drug-related adverse events.</w:t>
      </w:r>
    </w:p>
    <w:p>
      <w:pPr>
        <w:spacing w:after="0" w:line="176" w:lineRule="exact"/>
        <w:rPr>
          <w:rFonts w:ascii="Arial" w:cs="Arial" w:eastAsia="Arial" w:hAnsi="Arial"/>
          <w:sz w:val="17"/>
          <w:szCs w:val="17"/>
          <w:color w:val="auto"/>
        </w:rPr>
      </w:pPr>
    </w:p>
    <w:p>
      <w:pPr>
        <w:ind w:left="680" w:right="60"/>
        <w:spacing w:after="0" w:line="259" w:lineRule="auto"/>
        <w:rPr>
          <w:rFonts w:ascii="Arial" w:cs="Arial" w:eastAsia="Arial" w:hAnsi="Arial"/>
          <w:sz w:val="17"/>
          <w:szCs w:val="17"/>
          <w:color w:val="auto"/>
        </w:rPr>
      </w:pPr>
      <w:r>
        <w:rPr>
          <w:rFonts w:ascii="Arial" w:cs="Arial" w:eastAsia="Arial" w:hAnsi="Arial"/>
          <w:sz w:val="18"/>
          <w:szCs w:val="18"/>
          <w:color w:val="auto"/>
        </w:rPr>
        <w:t>On February 27, 2004, we announced plans to initiate a phase 2b study of the IL-1 Trap in patients with rheumatoid arthritis in the second half of 2004. The phase 2b study will be conducted in a larger patient population, testing higher doses and for a longer period of time than in the previous phase 2 trial. In addition, we intend to conduct studies of the IL-1 Trap in a variety of other inflammatory diseases where interleukin-1 is believed to play an important role. We are currently working on new product formulations that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40"/>
        <w:spacing w:after="0" w:line="277" w:lineRule="auto"/>
        <w:rPr>
          <w:sz w:val="20"/>
          <w:szCs w:val="20"/>
          <w:color w:val="auto"/>
        </w:rPr>
      </w:pPr>
      <w:r>
        <w:rPr>
          <w:rFonts w:ascii="Arial" w:cs="Arial" w:eastAsia="Arial" w:hAnsi="Arial"/>
          <w:sz w:val="18"/>
          <w:szCs w:val="18"/>
          <w:color w:val="auto"/>
        </w:rPr>
        <w:t>would allow delivery of higher doses of IL-1 Trap either through subcutaneous or intravenous administration and plan to conduct patient tolerability studies later this year.</w:t>
      </w:r>
    </w:p>
    <w:p>
      <w:pPr>
        <w:spacing w:after="0" w:line="143" w:lineRule="exact"/>
        <w:rPr>
          <w:sz w:val="20"/>
          <w:szCs w:val="20"/>
          <w:color w:val="auto"/>
        </w:rPr>
      </w:pPr>
    </w:p>
    <w:p>
      <w:pPr>
        <w:ind w:left="700" w:right="40"/>
        <w:spacing w:after="0" w:line="293" w:lineRule="auto"/>
        <w:rPr>
          <w:sz w:val="20"/>
          <w:szCs w:val="20"/>
          <w:color w:val="auto"/>
        </w:rPr>
      </w:pPr>
      <w:r>
        <w:rPr>
          <w:rFonts w:ascii="Arial" w:cs="Arial" w:eastAsia="Arial" w:hAnsi="Arial"/>
          <w:sz w:val="16"/>
          <w:szCs w:val="16"/>
          <w:color w:val="auto"/>
        </w:rPr>
        <w:t>In March 2003, we began collaborating with Novartis Pharma AG on the development of the IL-1 Trap. On February 27, 2004, Novartis provided notice of its intention not to proceed with the joint development of the IL-1 Trap. In March 2004, Novartis agreed to pay us $42.75 million to satisfy its obligation to fund development costs for the nine month period following its notification and for the two months prior to that notice. Novartis paid us the $42.75 million in April 2004. All rights to the IL-1 Trap have reverted to Regeneron. Novartis and we retain rights under the collaboration agreement to elect to collaborate in the future on the development and commercialization of certain other IL-1 antagonists. In March 2004, we also achieved a pre-defined development milestone and Novartis forgave all its outstanding loans to us totaling $17.8 million.</w:t>
      </w:r>
    </w:p>
    <w:p>
      <w:pPr>
        <w:spacing w:after="0" w:line="161" w:lineRule="exact"/>
        <w:rPr>
          <w:sz w:val="20"/>
          <w:szCs w:val="20"/>
          <w:color w:val="auto"/>
        </w:rPr>
      </w:pPr>
    </w:p>
    <w:p>
      <w:pPr>
        <w:ind w:left="680" w:hanging="168"/>
        <w:spacing w:after="0" w:line="273" w:lineRule="auto"/>
        <w:tabs>
          <w:tab w:leader="none" w:pos="680" w:val="left"/>
        </w:tabs>
        <w:numPr>
          <w:ilvl w:val="0"/>
          <w:numId w:val="14"/>
        </w:numPr>
        <w:rPr>
          <w:rFonts w:ascii="Arial" w:cs="Arial" w:eastAsia="Arial" w:hAnsi="Arial"/>
          <w:sz w:val="17"/>
          <w:szCs w:val="17"/>
          <w:color w:val="auto"/>
        </w:rPr>
      </w:pPr>
      <w:r>
        <w:rPr>
          <w:rFonts w:ascii="Arial" w:cs="Arial" w:eastAsia="Arial" w:hAnsi="Arial"/>
          <w:sz w:val="17"/>
          <w:szCs w:val="17"/>
          <w:b w:val="1"/>
          <w:bCs w:val="1"/>
          <w:color w:val="auto"/>
        </w:rPr>
        <w:t xml:space="preserve">INTERLEUKIN-4/INTERLEUKIN-13 TRAP (IL-4/13 Trap): </w:t>
      </w:r>
      <w:r>
        <w:rPr>
          <w:rFonts w:ascii="Arial" w:cs="Arial" w:eastAsia="Arial" w:hAnsi="Arial"/>
          <w:sz w:val="17"/>
          <w:szCs w:val="17"/>
          <w:color w:val="auto"/>
        </w:rPr>
        <w:t>Protein-based product candidate designed to bind both the interleukin-4 and</w:t>
      </w:r>
      <w:r>
        <w:rPr>
          <w:rFonts w:ascii="Arial" w:cs="Arial" w:eastAsia="Arial" w:hAnsi="Arial"/>
          <w:sz w:val="17"/>
          <w:szCs w:val="17"/>
          <w:b w:val="1"/>
          <w:bCs w:val="1"/>
          <w:color w:val="auto"/>
        </w:rPr>
        <w:t xml:space="preserve"> </w:t>
      </w:r>
      <w:r>
        <w:rPr>
          <w:rFonts w:ascii="Arial" w:cs="Arial" w:eastAsia="Arial" w:hAnsi="Arial"/>
          <w:sz w:val="17"/>
          <w:szCs w:val="17"/>
          <w:color w:val="auto"/>
        </w:rPr>
        <w:t>interleukin-13 (called IL-4 and IL-13) cytokines and prevent their interaction with cell surface receptors. IL-4 and IL-13 are thought to play a major role in diseases such as asthma, allergic disorders, and other inflammatory diseases. In October 2002, we initiated a phase 1 trial for the IL-4/13 Trap in adult subjects with mild to moderate asthma. This placebo-controlled, double-blind, dose escalation study was designed to assess the safety and tolerability of the IL-4/13 Trap. The trial was completed in the first quarter of 2004 and we anticipate presenting the results at a scientific conference in the second quarter of 2004. The IL-4/13 Trap was generally safe and well tolerated at the doses tested in this phase 1 trial. We are also evaluating the potential use of the IL-4/13 Trap in other therapeutic indications.</w:t>
      </w:r>
    </w:p>
    <w:p>
      <w:pPr>
        <w:spacing w:after="0" w:line="175" w:lineRule="exact"/>
        <w:rPr>
          <w:rFonts w:ascii="Arial" w:cs="Arial" w:eastAsia="Arial" w:hAnsi="Arial"/>
          <w:sz w:val="17"/>
          <w:szCs w:val="17"/>
          <w:color w:val="auto"/>
        </w:rPr>
      </w:pPr>
    </w:p>
    <w:p>
      <w:pPr>
        <w:ind w:left="680" w:right="20" w:hanging="168"/>
        <w:spacing w:after="0" w:line="223" w:lineRule="auto"/>
        <w:tabs>
          <w:tab w:leader="none" w:pos="680" w:val="left"/>
        </w:tabs>
        <w:numPr>
          <w:ilvl w:val="0"/>
          <w:numId w:val="14"/>
        </w:numPr>
        <w:rPr>
          <w:rFonts w:ascii="Arial" w:cs="Arial" w:eastAsia="Arial" w:hAnsi="Arial"/>
          <w:sz w:val="36"/>
          <w:szCs w:val="36"/>
          <w:color w:val="auto"/>
          <w:vertAlign w:val="superscript"/>
        </w:rPr>
      </w:pPr>
      <w:r>
        <w:rPr>
          <w:rFonts w:ascii="Arial" w:cs="Arial" w:eastAsia="Arial" w:hAnsi="Arial"/>
          <w:sz w:val="18"/>
          <w:szCs w:val="18"/>
          <w:b w:val="1"/>
          <w:bCs w:val="1"/>
          <w:color w:val="auto"/>
        </w:rPr>
        <w:t>AXOKINE</w:t>
      </w:r>
      <w:r>
        <w:rPr>
          <w:rFonts w:ascii="Arial" w:cs="Arial" w:eastAsia="Arial" w:hAnsi="Arial"/>
          <w:sz w:val="30"/>
          <w:szCs w:val="30"/>
          <w:b w:val="1"/>
          <w:bCs w:val="1"/>
          <w:color w:val="auto"/>
          <w:vertAlign w:val="superscript"/>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Protein-based product candidate designed to act on the brain region regulating appetite and energy expenditure. AXOKINE is being</w:t>
      </w:r>
      <w:r>
        <w:rPr>
          <w:rFonts w:ascii="Arial" w:cs="Arial" w:eastAsia="Arial" w:hAnsi="Arial"/>
          <w:sz w:val="18"/>
          <w:szCs w:val="18"/>
          <w:b w:val="1"/>
          <w:bCs w:val="1"/>
          <w:color w:val="auto"/>
        </w:rPr>
        <w:t xml:space="preserve"> </w:t>
      </w:r>
      <w:r>
        <w:rPr>
          <w:rFonts w:ascii="Arial" w:cs="Arial" w:eastAsia="Arial" w:hAnsi="Arial"/>
          <w:sz w:val="18"/>
          <w:szCs w:val="18"/>
          <w:color w:val="auto"/>
        </w:rPr>
        <w:t>developed for the treatment of obesity. In March 2003, we reported data from the 12-month treatment period of our initial phase 3 pivotal trial of AXOKINE. The double-blind treatment period in this study was followed by a twelve-month open-label extension phase, during which all study subjects received AXOKINE. The extension phase was completed in the first quarter of 2004. We are currently conducting research on improving the formulation and delivery of AXOKINE and evaluating its commercial potential. We do not expect to initiate any additional phase 3 clinical trials of AXOKINE in 2004.</w:t>
      </w:r>
    </w:p>
    <w:p>
      <w:pPr>
        <w:spacing w:after="0" w:line="207" w:lineRule="exact"/>
        <w:rPr>
          <w:sz w:val="20"/>
          <w:szCs w:val="20"/>
          <w:color w:val="auto"/>
        </w:rPr>
      </w:pPr>
    </w:p>
    <w:p>
      <w:pPr>
        <w:ind w:right="60" w:firstLine="225"/>
        <w:spacing w:after="0" w:line="264" w:lineRule="auto"/>
        <w:rPr>
          <w:sz w:val="20"/>
          <w:szCs w:val="20"/>
          <w:color w:val="auto"/>
        </w:rPr>
      </w:pPr>
      <w:r>
        <w:rPr>
          <w:rFonts w:ascii="Arial" w:cs="Arial" w:eastAsia="Arial" w:hAnsi="Arial"/>
          <w:sz w:val="18"/>
          <w:szCs w:val="18"/>
          <w:color w:val="auto"/>
        </w:rPr>
        <w:t>In addition to our clinical programs, we have research programs focused on angiogenesis, metabolic diseases, muscle atrophy and related disorders, inflammatory conditions, and other diseases and disorders. We also use our Velocigene® and Trap technology platforms to discover and develop new product candidates and are developing our Velocimmune™ platform to create fully human, therapeutic antibodies.</w:t>
      </w:r>
    </w:p>
    <w:p>
      <w:pPr>
        <w:spacing w:after="0" w:line="141" w:lineRule="exact"/>
        <w:rPr>
          <w:sz w:val="20"/>
          <w:szCs w:val="20"/>
          <w:color w:val="auto"/>
        </w:rPr>
      </w:pPr>
    </w:p>
    <w:p>
      <w:pPr>
        <w:ind w:right="180" w:firstLine="225"/>
        <w:spacing w:after="0" w:line="279" w:lineRule="auto"/>
        <w:rPr>
          <w:sz w:val="20"/>
          <w:szCs w:val="20"/>
          <w:color w:val="auto"/>
        </w:rPr>
      </w:pPr>
      <w:r>
        <w:rPr>
          <w:rFonts w:ascii="Arial" w:cs="Arial" w:eastAsia="Arial" w:hAnsi="Arial"/>
          <w:sz w:val="17"/>
          <w:szCs w:val="17"/>
          <w:color w:val="auto"/>
        </w:rPr>
        <w:t>Developing and commercializing new medicines entails significant risk and expense. Since inception we have not generated any sales or profits from the commercialization of any of our product candidates and may never receive such revenues. Before revenues from the commercialization of our product candidates can be realized, we (or our collaborators) must overcome a number of hurdles which include successfully completing research and development and obtaining regulatory approval from the U.S. Food and Drug Administration (or FDA) and</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regulatory authorities in other countries. In addition, the biotechnology and pharmaceutical industries are rapidly evolving and highly competitive, and new developments may render our products and technologies uncompetitive or obsolete.</w:t>
      </w:r>
    </w:p>
    <w:p>
      <w:pPr>
        <w:spacing w:after="0" w:line="143" w:lineRule="exact"/>
        <w:rPr>
          <w:sz w:val="20"/>
          <w:szCs w:val="20"/>
          <w:color w:val="auto"/>
        </w:rPr>
      </w:pPr>
    </w:p>
    <w:p>
      <w:pPr>
        <w:ind w:right="60" w:firstLine="225"/>
        <w:spacing w:after="0" w:line="297" w:lineRule="auto"/>
        <w:rPr>
          <w:sz w:val="20"/>
          <w:szCs w:val="20"/>
          <w:color w:val="auto"/>
        </w:rPr>
      </w:pPr>
      <w:r>
        <w:rPr>
          <w:rFonts w:ascii="Arial" w:cs="Arial" w:eastAsia="Arial" w:hAnsi="Arial"/>
          <w:sz w:val="16"/>
          <w:szCs w:val="16"/>
          <w:color w:val="auto"/>
        </w:rPr>
        <w:t>From inception on January 8, 1988 through March 31, 2004, we had a cumulative loss of $467.0 million. In the absence of revenues from the commercialization of our product candidates or other sources, the amount, timing, nature, or source of which cannot be predicted, our losses will continue as we conduct our research and development activities. We expect to incur substantial losses over the next several years as we continue the clinical development of the VEGF Trap, IL-1 Trap, IL-4/13 Trap, and AXOKINE; commercialize product candidates that receive regulatory approval, if any; advance new product candidates into clinical development from our existing research programs; and continue our research and development programs.</w:t>
      </w:r>
    </w:p>
    <w:p>
      <w:pPr>
        <w:spacing w:after="0" w:line="118" w:lineRule="exact"/>
        <w:rPr>
          <w:sz w:val="20"/>
          <w:szCs w:val="20"/>
          <w:color w:val="auto"/>
        </w:rPr>
      </w:pPr>
    </w:p>
    <w:p>
      <w:pPr>
        <w:ind w:right="40" w:firstLine="225"/>
        <w:spacing w:after="0" w:line="264" w:lineRule="auto"/>
        <w:rPr>
          <w:sz w:val="20"/>
          <w:szCs w:val="20"/>
          <w:color w:val="auto"/>
        </w:rPr>
      </w:pPr>
      <w:r>
        <w:rPr>
          <w:rFonts w:ascii="Arial" w:cs="Arial" w:eastAsia="Arial" w:hAnsi="Arial"/>
          <w:sz w:val="18"/>
          <w:szCs w:val="18"/>
          <w:color w:val="auto"/>
        </w:rPr>
        <w:t>Our activities may expand over time and may require additional resources, and we expect our operating losses to be substantial over at least the next several years. Our losses may fluctuate from quarter to quarter and will depend, among other factors, on the progress of our research and development efforts, the timing of certain expenses, and the amount and timing of payments that we receive from collaborators.</w:t>
      </w:r>
    </w:p>
    <w:p>
      <w:pPr>
        <w:spacing w:after="0" w:line="141" w:lineRule="exact"/>
        <w:rPr>
          <w:sz w:val="20"/>
          <w:szCs w:val="20"/>
          <w:color w:val="auto"/>
        </w:rPr>
      </w:pPr>
    </w:p>
    <w:p>
      <w:pPr>
        <w:ind w:right="180" w:firstLine="222"/>
        <w:spacing w:after="0" w:line="277" w:lineRule="auto"/>
        <w:rPr>
          <w:sz w:val="20"/>
          <w:szCs w:val="20"/>
          <w:color w:val="auto"/>
        </w:rPr>
      </w:pPr>
      <w:r>
        <w:rPr>
          <w:rFonts w:ascii="Arial" w:cs="Arial" w:eastAsia="Arial" w:hAnsi="Arial"/>
          <w:sz w:val="18"/>
          <w:szCs w:val="18"/>
          <w:color w:val="auto"/>
        </w:rPr>
        <w:t>The planning, execution, and results of our clinical programs are significant factors that can affect our operating and financial results. In our four clinical programs, key first quarter 2004 clinical events and plans for the remainder of 2004 are as follows:</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60" w:type="dxa"/>
            <w:vAlign w:val="bottom"/>
          </w:tcPr>
          <w:p>
            <w:pPr>
              <w:spacing w:after="0"/>
              <w:rPr>
                <w:sz w:val="16"/>
                <w:szCs w:val="16"/>
                <w:color w:val="auto"/>
              </w:rPr>
            </w:pPr>
          </w:p>
        </w:tc>
        <w:tc>
          <w:tcPr>
            <w:tcW w:w="1480" w:type="dxa"/>
            <w:vAlign w:val="bottom"/>
            <w:gridSpan w:val="2"/>
          </w:tcPr>
          <w:p>
            <w:pPr>
              <w:spacing w:after="0"/>
              <w:rPr>
                <w:sz w:val="20"/>
                <w:szCs w:val="20"/>
                <w:color w:val="auto"/>
              </w:rPr>
            </w:pPr>
            <w:r>
              <w:rPr>
                <w:rFonts w:ascii="Arial" w:cs="Arial" w:eastAsia="Arial" w:hAnsi="Arial"/>
                <w:sz w:val="14"/>
                <w:szCs w:val="14"/>
                <w:b w:val="1"/>
                <w:bCs w:val="1"/>
                <w:color w:val="auto"/>
              </w:rPr>
              <w:t>Product Candidate</w:t>
            </w:r>
          </w:p>
        </w:tc>
        <w:tc>
          <w:tcPr>
            <w:tcW w:w="2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40" w:type="dxa"/>
            <w:vAlign w:val="bottom"/>
          </w:tcPr>
          <w:p>
            <w:pPr>
              <w:ind w:left="320"/>
              <w:spacing w:after="0"/>
              <w:rPr>
                <w:sz w:val="20"/>
                <w:szCs w:val="20"/>
                <w:color w:val="auto"/>
              </w:rPr>
            </w:pPr>
            <w:r>
              <w:rPr>
                <w:rFonts w:ascii="Arial" w:cs="Arial" w:eastAsia="Arial" w:hAnsi="Arial"/>
                <w:sz w:val="14"/>
                <w:szCs w:val="14"/>
                <w:b w:val="1"/>
                <w:bCs w:val="1"/>
                <w:color w:val="auto"/>
              </w:rPr>
              <w:t>First Quarter 2004 Events</w:t>
            </w: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100" w:type="dxa"/>
            <w:vAlign w:val="bottom"/>
          </w:tcPr>
          <w:p>
            <w:pPr>
              <w:ind w:left="1160"/>
              <w:spacing w:after="0"/>
              <w:rPr>
                <w:sz w:val="20"/>
                <w:szCs w:val="20"/>
                <w:color w:val="auto"/>
              </w:rPr>
            </w:pPr>
            <w:r>
              <w:rPr>
                <w:rFonts w:ascii="Arial" w:cs="Arial" w:eastAsia="Arial" w:hAnsi="Arial"/>
                <w:sz w:val="14"/>
                <w:szCs w:val="14"/>
                <w:b w:val="1"/>
                <w:bCs w:val="1"/>
                <w:color w:val="auto"/>
              </w:rPr>
              <w:t>Additional 2004 Plans</w:t>
            </w:r>
          </w:p>
        </w:tc>
        <w:tc>
          <w:tcPr>
            <w:tcW w:w="860" w:type="dxa"/>
            <w:vAlign w:val="bottom"/>
          </w:tcPr>
          <w:p>
            <w:pPr>
              <w:spacing w:after="0"/>
              <w:rPr>
                <w:sz w:val="16"/>
                <w:szCs w:val="16"/>
                <w:color w:val="auto"/>
              </w:rPr>
            </w:pPr>
          </w:p>
        </w:tc>
      </w:tr>
      <w:tr>
        <w:trPr>
          <w:trHeight w:val="53"/>
        </w:trPr>
        <w:tc>
          <w:tcPr>
            <w:tcW w:w="860" w:type="dxa"/>
            <w:vAlign w:val="bottom"/>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1460" w:type="dxa"/>
            <w:vAlign w:val="bottom"/>
            <w:tcBorders>
              <w:bottom w:val="single" w:sz="8" w:color="808080"/>
            </w:tcBorders>
          </w:tcPr>
          <w:p>
            <w:pPr>
              <w:spacing w:after="0"/>
              <w:rPr>
                <w:sz w:val="4"/>
                <w:szCs w:val="4"/>
                <w:color w:val="auto"/>
              </w:rPr>
            </w:pPr>
          </w:p>
        </w:tc>
        <w:tc>
          <w:tcPr>
            <w:tcW w:w="280" w:type="dxa"/>
            <w:vAlign w:val="bottom"/>
          </w:tcPr>
          <w:p>
            <w:pPr>
              <w:spacing w:after="0"/>
              <w:rPr>
                <w:sz w:val="4"/>
                <w:szCs w:val="4"/>
                <w:color w:val="auto"/>
              </w:rPr>
            </w:pPr>
          </w:p>
        </w:tc>
        <w:tc>
          <w:tcPr>
            <w:tcW w:w="440" w:type="dxa"/>
            <w:vAlign w:val="bottom"/>
            <w:tcBorders>
              <w:bottom w:val="single" w:sz="8" w:color="808080"/>
            </w:tcBorders>
          </w:tcPr>
          <w:p>
            <w:pPr>
              <w:spacing w:after="0"/>
              <w:rPr>
                <w:sz w:val="4"/>
                <w:szCs w:val="4"/>
                <w:color w:val="auto"/>
              </w:rPr>
            </w:pPr>
          </w:p>
        </w:tc>
        <w:tc>
          <w:tcPr>
            <w:tcW w:w="2240" w:type="dxa"/>
            <w:vAlign w:val="bottom"/>
            <w:tcBorders>
              <w:bottom w:val="single" w:sz="8" w:color="808080"/>
            </w:tcBorders>
          </w:tcPr>
          <w:p>
            <w:pPr>
              <w:spacing w:after="0"/>
              <w:rPr>
                <w:sz w:val="4"/>
                <w:szCs w:val="4"/>
                <w:color w:val="auto"/>
              </w:rPr>
            </w:pPr>
          </w:p>
        </w:tc>
        <w:tc>
          <w:tcPr>
            <w:tcW w:w="440" w:type="dxa"/>
            <w:vAlign w:val="bottom"/>
            <w:tcBorders>
              <w:bottom w:val="single" w:sz="8" w:color="808080"/>
            </w:tcBorders>
          </w:tcPr>
          <w:p>
            <w:pPr>
              <w:spacing w:after="0"/>
              <w:rPr>
                <w:sz w:val="4"/>
                <w:szCs w:val="4"/>
                <w:color w:val="auto"/>
              </w:rPr>
            </w:pPr>
          </w:p>
        </w:tc>
        <w:tc>
          <w:tcPr>
            <w:tcW w:w="300" w:type="dxa"/>
            <w:vAlign w:val="bottom"/>
          </w:tcPr>
          <w:p>
            <w:pPr>
              <w:spacing w:after="0"/>
              <w:rPr>
                <w:sz w:val="4"/>
                <w:szCs w:val="4"/>
                <w:color w:val="auto"/>
              </w:rPr>
            </w:pPr>
          </w:p>
        </w:tc>
        <w:tc>
          <w:tcPr>
            <w:tcW w:w="420" w:type="dxa"/>
            <w:vAlign w:val="bottom"/>
            <w:tcBorders>
              <w:bottom w:val="single" w:sz="8" w:color="808080"/>
            </w:tcBorders>
          </w:tcPr>
          <w:p>
            <w:pPr>
              <w:spacing w:after="0"/>
              <w:rPr>
                <w:sz w:val="4"/>
                <w:szCs w:val="4"/>
                <w:color w:val="auto"/>
              </w:rPr>
            </w:pPr>
          </w:p>
        </w:tc>
        <w:tc>
          <w:tcPr>
            <w:tcW w:w="4100" w:type="dxa"/>
            <w:vAlign w:val="bottom"/>
            <w:tcBorders>
              <w:bottom w:val="single" w:sz="8" w:color="808080"/>
            </w:tcBorders>
          </w:tcPr>
          <w:p>
            <w:pPr>
              <w:spacing w:after="0"/>
              <w:rPr>
                <w:sz w:val="4"/>
                <w:szCs w:val="4"/>
                <w:color w:val="auto"/>
              </w:rPr>
            </w:pPr>
          </w:p>
        </w:tc>
        <w:tc>
          <w:tcPr>
            <w:tcW w:w="860" w:type="dxa"/>
            <w:vAlign w:val="bottom"/>
          </w:tcPr>
          <w:p>
            <w:pPr>
              <w:spacing w:after="0"/>
              <w:rPr>
                <w:sz w:val="4"/>
                <w:szCs w:val="4"/>
                <w:color w:val="auto"/>
              </w:rPr>
            </w:pPr>
          </w:p>
        </w:tc>
      </w:tr>
      <w:tr>
        <w:trPr>
          <w:trHeight w:val="276"/>
        </w:trPr>
        <w:tc>
          <w:tcPr>
            <w:tcW w:w="860" w:type="dxa"/>
            <w:vAlign w:val="bottom"/>
          </w:tcPr>
          <w:p>
            <w:pPr>
              <w:spacing w:after="0"/>
              <w:rPr>
                <w:sz w:val="24"/>
                <w:szCs w:val="24"/>
                <w:color w:val="auto"/>
              </w:rPr>
            </w:pPr>
          </w:p>
        </w:tc>
        <w:tc>
          <w:tcPr>
            <w:tcW w:w="1480" w:type="dxa"/>
            <w:vAlign w:val="bottom"/>
            <w:gridSpan w:val="2"/>
          </w:tcPr>
          <w:p>
            <w:pPr>
              <w:spacing w:after="0"/>
              <w:rPr>
                <w:sz w:val="20"/>
                <w:szCs w:val="20"/>
                <w:color w:val="auto"/>
              </w:rPr>
            </w:pPr>
            <w:r>
              <w:rPr>
                <w:rFonts w:ascii="Arial" w:cs="Arial" w:eastAsia="Arial" w:hAnsi="Arial"/>
                <w:sz w:val="18"/>
                <w:szCs w:val="18"/>
                <w:color w:val="auto"/>
              </w:rPr>
              <w:t>VEGF Trap</w:t>
            </w:r>
          </w:p>
        </w:tc>
        <w:tc>
          <w:tcPr>
            <w:tcW w:w="280" w:type="dxa"/>
            <w:vAlign w:val="bottom"/>
          </w:tcPr>
          <w:p>
            <w:pPr>
              <w:spacing w:after="0"/>
              <w:rPr>
                <w:sz w:val="24"/>
                <w:szCs w:val="24"/>
                <w:color w:val="auto"/>
              </w:rPr>
            </w:pPr>
          </w:p>
        </w:tc>
        <w:tc>
          <w:tcPr>
            <w:tcW w:w="440" w:type="dxa"/>
            <w:vAlign w:val="bottom"/>
          </w:tcPr>
          <w:p>
            <w:pPr>
              <w:ind w:left="240"/>
              <w:spacing w:after="0"/>
              <w:rPr>
                <w:sz w:val="20"/>
                <w:szCs w:val="20"/>
                <w:color w:val="auto"/>
              </w:rPr>
            </w:pPr>
            <w:r>
              <w:rPr>
                <w:rFonts w:ascii="Arial" w:cs="Arial" w:eastAsia="Arial" w:hAnsi="Arial"/>
                <w:sz w:val="18"/>
                <w:szCs w:val="18"/>
                <w:color w:val="auto"/>
              </w:rPr>
              <w:t>•</w:t>
            </w:r>
          </w:p>
        </w:tc>
        <w:tc>
          <w:tcPr>
            <w:tcW w:w="2240" w:type="dxa"/>
            <w:vAlign w:val="bottom"/>
          </w:tcPr>
          <w:p>
            <w:pPr>
              <w:ind w:left="160"/>
              <w:spacing w:after="0"/>
              <w:rPr>
                <w:sz w:val="20"/>
                <w:szCs w:val="20"/>
                <w:color w:val="auto"/>
              </w:rPr>
            </w:pPr>
            <w:r>
              <w:rPr>
                <w:rFonts w:ascii="Arial" w:cs="Arial" w:eastAsia="Arial" w:hAnsi="Arial"/>
                <w:sz w:val="18"/>
                <w:szCs w:val="18"/>
                <w:color w:val="auto"/>
              </w:rPr>
              <w:t>Continued phase 1</w:t>
            </w: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ind w:left="200"/>
              <w:spacing w:after="0"/>
              <w:rPr>
                <w:sz w:val="20"/>
                <w:szCs w:val="20"/>
                <w:color w:val="auto"/>
              </w:rPr>
            </w:pPr>
            <w:r>
              <w:rPr>
                <w:rFonts w:ascii="Arial" w:cs="Arial" w:eastAsia="Arial" w:hAnsi="Arial"/>
                <w:sz w:val="18"/>
                <w:szCs w:val="18"/>
                <w:color w:val="auto"/>
              </w:rPr>
              <w:t>•</w:t>
            </w:r>
          </w:p>
        </w:tc>
        <w:tc>
          <w:tcPr>
            <w:tcW w:w="4100" w:type="dxa"/>
            <w:vAlign w:val="bottom"/>
          </w:tcPr>
          <w:p>
            <w:pPr>
              <w:ind w:left="140"/>
              <w:spacing w:after="0"/>
              <w:rPr>
                <w:sz w:val="20"/>
                <w:szCs w:val="20"/>
                <w:color w:val="auto"/>
              </w:rPr>
            </w:pPr>
            <w:r>
              <w:rPr>
                <w:rFonts w:ascii="Arial" w:cs="Arial" w:eastAsia="Arial" w:hAnsi="Arial"/>
                <w:sz w:val="18"/>
                <w:szCs w:val="18"/>
                <w:color w:val="auto"/>
                <w:w w:val="93"/>
              </w:rPr>
              <w:t>Complete phase 1 subcutaneous single-agent trial in</w:t>
            </w:r>
          </w:p>
        </w:tc>
        <w:tc>
          <w:tcPr>
            <w:tcW w:w="860" w:type="dxa"/>
            <w:vAlign w:val="bottom"/>
          </w:tcPr>
          <w:p>
            <w:pPr>
              <w:spacing w:after="0"/>
              <w:rPr>
                <w:sz w:val="24"/>
                <w:szCs w:val="24"/>
                <w:color w:val="auto"/>
              </w:rPr>
            </w:pPr>
          </w:p>
        </w:tc>
      </w:tr>
      <w:tr>
        <w:trPr>
          <w:trHeight w:val="216"/>
        </w:trPr>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40" w:type="dxa"/>
            <w:vAlign w:val="bottom"/>
          </w:tcPr>
          <w:p>
            <w:pPr>
              <w:ind w:left="160"/>
              <w:spacing w:after="0"/>
              <w:rPr>
                <w:sz w:val="20"/>
                <w:szCs w:val="20"/>
                <w:color w:val="auto"/>
              </w:rPr>
            </w:pPr>
            <w:r>
              <w:rPr>
                <w:rFonts w:ascii="Arial" w:cs="Arial" w:eastAsia="Arial" w:hAnsi="Arial"/>
                <w:sz w:val="18"/>
                <w:szCs w:val="18"/>
                <w:color w:val="auto"/>
              </w:rPr>
              <w:t>subcutaneous</w:t>
            </w: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100" w:type="dxa"/>
            <w:vAlign w:val="bottom"/>
          </w:tcPr>
          <w:p>
            <w:pPr>
              <w:ind w:left="140"/>
              <w:spacing w:after="0"/>
              <w:rPr>
                <w:sz w:val="20"/>
                <w:szCs w:val="20"/>
                <w:color w:val="auto"/>
              </w:rPr>
            </w:pPr>
            <w:r>
              <w:rPr>
                <w:rFonts w:ascii="Arial" w:cs="Arial" w:eastAsia="Arial" w:hAnsi="Arial"/>
                <w:sz w:val="18"/>
                <w:szCs w:val="18"/>
                <w:color w:val="auto"/>
              </w:rPr>
              <w:t>cancer</w:t>
            </w:r>
          </w:p>
        </w:tc>
        <w:tc>
          <w:tcPr>
            <w:tcW w:w="86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40" w:type="dxa"/>
            <w:vAlign w:val="bottom"/>
          </w:tcPr>
          <w:p>
            <w:pPr>
              <w:ind w:left="160"/>
              <w:spacing w:after="0"/>
              <w:rPr>
                <w:sz w:val="20"/>
                <w:szCs w:val="20"/>
                <w:color w:val="auto"/>
              </w:rPr>
            </w:pPr>
            <w:r>
              <w:rPr>
                <w:rFonts w:ascii="Arial" w:cs="Arial" w:eastAsia="Arial" w:hAnsi="Arial"/>
                <w:sz w:val="18"/>
                <w:szCs w:val="18"/>
                <w:color w:val="auto"/>
              </w:rPr>
              <w:t>single-agent trial in</w:t>
            </w: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ind w:left="200"/>
              <w:spacing w:after="0"/>
              <w:rPr>
                <w:sz w:val="20"/>
                <w:szCs w:val="20"/>
                <w:color w:val="auto"/>
              </w:rPr>
            </w:pPr>
            <w:r>
              <w:rPr>
                <w:rFonts w:ascii="Arial" w:cs="Arial" w:eastAsia="Arial" w:hAnsi="Arial"/>
                <w:sz w:val="18"/>
                <w:szCs w:val="18"/>
                <w:color w:val="auto"/>
              </w:rPr>
              <w:t>•</w:t>
            </w:r>
          </w:p>
        </w:tc>
        <w:tc>
          <w:tcPr>
            <w:tcW w:w="4100" w:type="dxa"/>
            <w:vAlign w:val="bottom"/>
          </w:tcPr>
          <w:p>
            <w:pPr>
              <w:ind w:left="140"/>
              <w:spacing w:after="0"/>
              <w:rPr>
                <w:sz w:val="20"/>
                <w:szCs w:val="20"/>
                <w:color w:val="auto"/>
              </w:rPr>
            </w:pPr>
            <w:r>
              <w:rPr>
                <w:rFonts w:ascii="Arial" w:cs="Arial" w:eastAsia="Arial" w:hAnsi="Arial"/>
                <w:sz w:val="18"/>
                <w:szCs w:val="18"/>
                <w:color w:val="auto"/>
              </w:rPr>
              <w:t>Conduct phase 1 intravenous single-agent trial in</w:t>
            </w:r>
          </w:p>
        </w:tc>
        <w:tc>
          <w:tcPr>
            <w:tcW w:w="86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40" w:type="dxa"/>
            <w:vAlign w:val="bottom"/>
          </w:tcPr>
          <w:p>
            <w:pPr>
              <w:ind w:left="160"/>
              <w:spacing w:after="0"/>
              <w:rPr>
                <w:sz w:val="20"/>
                <w:szCs w:val="20"/>
                <w:color w:val="auto"/>
              </w:rPr>
            </w:pPr>
            <w:r>
              <w:rPr>
                <w:rFonts w:ascii="Arial" w:cs="Arial" w:eastAsia="Arial" w:hAnsi="Arial"/>
                <w:sz w:val="18"/>
                <w:szCs w:val="18"/>
                <w:color w:val="auto"/>
              </w:rPr>
              <w:t>cancer</w:t>
            </w: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100" w:type="dxa"/>
            <w:vAlign w:val="bottom"/>
          </w:tcPr>
          <w:p>
            <w:pPr>
              <w:ind w:left="140"/>
              <w:spacing w:after="0"/>
              <w:rPr>
                <w:sz w:val="20"/>
                <w:szCs w:val="20"/>
                <w:color w:val="auto"/>
              </w:rPr>
            </w:pPr>
            <w:r>
              <w:rPr>
                <w:rFonts w:ascii="Arial" w:cs="Arial" w:eastAsia="Arial" w:hAnsi="Arial"/>
                <w:sz w:val="18"/>
                <w:szCs w:val="18"/>
                <w:color w:val="auto"/>
              </w:rPr>
              <w:t>cancer</w:t>
            </w:r>
          </w:p>
        </w:tc>
        <w:tc>
          <w:tcPr>
            <w:tcW w:w="86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ind w:left="240"/>
              <w:spacing w:after="0"/>
              <w:rPr>
                <w:sz w:val="20"/>
                <w:szCs w:val="20"/>
                <w:color w:val="auto"/>
              </w:rPr>
            </w:pPr>
            <w:r>
              <w:rPr>
                <w:rFonts w:ascii="Arial" w:cs="Arial" w:eastAsia="Arial" w:hAnsi="Arial"/>
                <w:sz w:val="18"/>
                <w:szCs w:val="18"/>
                <w:color w:val="auto"/>
              </w:rPr>
              <w:t>•</w:t>
            </w:r>
          </w:p>
        </w:tc>
        <w:tc>
          <w:tcPr>
            <w:tcW w:w="2240" w:type="dxa"/>
            <w:vAlign w:val="bottom"/>
          </w:tcPr>
          <w:p>
            <w:pPr>
              <w:ind w:left="160"/>
              <w:spacing w:after="0"/>
              <w:rPr>
                <w:sz w:val="20"/>
                <w:szCs w:val="20"/>
                <w:color w:val="auto"/>
              </w:rPr>
            </w:pPr>
            <w:r>
              <w:rPr>
                <w:rFonts w:ascii="Arial" w:cs="Arial" w:eastAsia="Arial" w:hAnsi="Arial"/>
                <w:sz w:val="18"/>
                <w:szCs w:val="18"/>
                <w:color w:val="auto"/>
              </w:rPr>
              <w:t>Commenced phase 1</w:t>
            </w: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ind w:left="200"/>
              <w:spacing w:after="0"/>
              <w:rPr>
                <w:sz w:val="20"/>
                <w:szCs w:val="20"/>
                <w:color w:val="auto"/>
              </w:rPr>
            </w:pPr>
            <w:r>
              <w:rPr>
                <w:rFonts w:ascii="Arial" w:cs="Arial" w:eastAsia="Arial" w:hAnsi="Arial"/>
                <w:sz w:val="18"/>
                <w:szCs w:val="18"/>
                <w:color w:val="auto"/>
              </w:rPr>
              <w:t>•</w:t>
            </w:r>
          </w:p>
        </w:tc>
        <w:tc>
          <w:tcPr>
            <w:tcW w:w="4100" w:type="dxa"/>
            <w:vAlign w:val="bottom"/>
          </w:tcPr>
          <w:p>
            <w:pPr>
              <w:ind w:left="140"/>
              <w:spacing w:after="0"/>
              <w:rPr>
                <w:sz w:val="20"/>
                <w:szCs w:val="20"/>
                <w:color w:val="auto"/>
              </w:rPr>
            </w:pPr>
            <w:r>
              <w:rPr>
                <w:rFonts w:ascii="Arial" w:cs="Arial" w:eastAsia="Arial" w:hAnsi="Arial"/>
                <w:sz w:val="18"/>
                <w:szCs w:val="18"/>
                <w:color w:val="auto"/>
              </w:rPr>
              <w:t>Commence phase 2 single-agent trials in</w:t>
            </w:r>
          </w:p>
        </w:tc>
        <w:tc>
          <w:tcPr>
            <w:tcW w:w="86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40" w:type="dxa"/>
            <w:vAlign w:val="bottom"/>
          </w:tcPr>
          <w:p>
            <w:pPr>
              <w:ind w:left="160"/>
              <w:spacing w:after="0"/>
              <w:rPr>
                <w:sz w:val="20"/>
                <w:szCs w:val="20"/>
                <w:color w:val="auto"/>
              </w:rPr>
            </w:pPr>
            <w:r>
              <w:rPr>
                <w:rFonts w:ascii="Arial" w:cs="Arial" w:eastAsia="Arial" w:hAnsi="Arial"/>
                <w:sz w:val="18"/>
                <w:szCs w:val="18"/>
                <w:color w:val="auto"/>
              </w:rPr>
              <w:t>trial in neovascular</w:t>
            </w: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100" w:type="dxa"/>
            <w:vAlign w:val="bottom"/>
          </w:tcPr>
          <w:p>
            <w:pPr>
              <w:ind w:left="140"/>
              <w:spacing w:after="0"/>
              <w:rPr>
                <w:sz w:val="20"/>
                <w:szCs w:val="20"/>
                <w:color w:val="auto"/>
              </w:rPr>
            </w:pPr>
            <w:r>
              <w:rPr>
                <w:rFonts w:ascii="Arial" w:cs="Arial" w:eastAsia="Arial" w:hAnsi="Arial"/>
                <w:sz w:val="18"/>
                <w:szCs w:val="18"/>
                <w:color w:val="auto"/>
              </w:rPr>
              <w:t>specific cancer indications</w:t>
            </w:r>
          </w:p>
        </w:tc>
        <w:tc>
          <w:tcPr>
            <w:tcW w:w="86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40" w:type="dxa"/>
            <w:vAlign w:val="bottom"/>
          </w:tcPr>
          <w:p>
            <w:pPr>
              <w:ind w:left="160"/>
              <w:spacing w:after="0"/>
              <w:rPr>
                <w:sz w:val="20"/>
                <w:szCs w:val="20"/>
                <w:color w:val="auto"/>
              </w:rPr>
            </w:pPr>
            <w:r>
              <w:rPr>
                <w:rFonts w:ascii="Arial" w:cs="Arial" w:eastAsia="Arial" w:hAnsi="Arial"/>
                <w:sz w:val="18"/>
                <w:szCs w:val="18"/>
                <w:color w:val="auto"/>
              </w:rPr>
              <w:t>age-related macular</w:t>
            </w: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ind w:left="200"/>
              <w:spacing w:after="0"/>
              <w:rPr>
                <w:sz w:val="20"/>
                <w:szCs w:val="20"/>
                <w:color w:val="auto"/>
              </w:rPr>
            </w:pPr>
            <w:r>
              <w:rPr>
                <w:rFonts w:ascii="Arial" w:cs="Arial" w:eastAsia="Arial" w:hAnsi="Arial"/>
                <w:sz w:val="18"/>
                <w:szCs w:val="18"/>
                <w:color w:val="auto"/>
              </w:rPr>
              <w:t>•</w:t>
            </w:r>
          </w:p>
        </w:tc>
        <w:tc>
          <w:tcPr>
            <w:tcW w:w="4100" w:type="dxa"/>
            <w:vAlign w:val="bottom"/>
          </w:tcPr>
          <w:p>
            <w:pPr>
              <w:ind w:left="140"/>
              <w:spacing w:after="0"/>
              <w:rPr>
                <w:sz w:val="20"/>
                <w:szCs w:val="20"/>
                <w:color w:val="auto"/>
              </w:rPr>
            </w:pPr>
            <w:r>
              <w:rPr>
                <w:rFonts w:ascii="Arial" w:cs="Arial" w:eastAsia="Arial" w:hAnsi="Arial"/>
                <w:sz w:val="18"/>
                <w:szCs w:val="18"/>
                <w:color w:val="auto"/>
                <w:w w:val="90"/>
              </w:rPr>
              <w:t>Commence several phase 1 combination therapy trials</w:t>
            </w:r>
          </w:p>
        </w:tc>
        <w:tc>
          <w:tcPr>
            <w:tcW w:w="86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40" w:type="dxa"/>
            <w:vAlign w:val="bottom"/>
          </w:tcPr>
          <w:p>
            <w:pPr>
              <w:ind w:left="160"/>
              <w:spacing w:after="0"/>
              <w:rPr>
                <w:sz w:val="20"/>
                <w:szCs w:val="20"/>
                <w:color w:val="auto"/>
              </w:rPr>
            </w:pPr>
            <w:r>
              <w:rPr>
                <w:rFonts w:ascii="Arial" w:cs="Arial" w:eastAsia="Arial" w:hAnsi="Arial"/>
                <w:sz w:val="18"/>
                <w:szCs w:val="18"/>
                <w:color w:val="auto"/>
              </w:rPr>
              <w:t>degeneration</w:t>
            </w: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100" w:type="dxa"/>
            <w:vAlign w:val="bottom"/>
          </w:tcPr>
          <w:p>
            <w:pPr>
              <w:ind w:left="140"/>
              <w:spacing w:after="0"/>
              <w:rPr>
                <w:sz w:val="20"/>
                <w:szCs w:val="20"/>
                <w:color w:val="auto"/>
              </w:rPr>
            </w:pPr>
            <w:r>
              <w:rPr>
                <w:rFonts w:ascii="Arial" w:cs="Arial" w:eastAsia="Arial" w:hAnsi="Arial"/>
                <w:sz w:val="18"/>
                <w:szCs w:val="18"/>
                <w:color w:val="auto"/>
              </w:rPr>
              <w:t>in cancer</w:t>
            </w:r>
          </w:p>
        </w:tc>
        <w:tc>
          <w:tcPr>
            <w:tcW w:w="86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ind w:left="200"/>
              <w:spacing w:after="0"/>
              <w:rPr>
                <w:sz w:val="20"/>
                <w:szCs w:val="20"/>
                <w:color w:val="auto"/>
              </w:rPr>
            </w:pPr>
            <w:r>
              <w:rPr>
                <w:rFonts w:ascii="Arial" w:cs="Arial" w:eastAsia="Arial" w:hAnsi="Arial"/>
                <w:sz w:val="18"/>
                <w:szCs w:val="18"/>
                <w:color w:val="auto"/>
              </w:rPr>
              <w:t>•</w:t>
            </w:r>
          </w:p>
        </w:tc>
        <w:tc>
          <w:tcPr>
            <w:tcW w:w="4100" w:type="dxa"/>
            <w:vAlign w:val="bottom"/>
          </w:tcPr>
          <w:p>
            <w:pPr>
              <w:ind w:left="140"/>
              <w:spacing w:after="0"/>
              <w:rPr>
                <w:sz w:val="20"/>
                <w:szCs w:val="20"/>
                <w:color w:val="auto"/>
              </w:rPr>
            </w:pPr>
            <w:r>
              <w:rPr>
                <w:rFonts w:ascii="Arial" w:cs="Arial" w:eastAsia="Arial" w:hAnsi="Arial"/>
                <w:sz w:val="18"/>
                <w:szCs w:val="18"/>
                <w:color w:val="auto"/>
              </w:rPr>
              <w:t>Commence multiple phase 1</w:t>
            </w:r>
          </w:p>
        </w:tc>
        <w:tc>
          <w:tcPr>
            <w:tcW w:w="860" w:type="dxa"/>
            <w:vAlign w:val="bottom"/>
          </w:tcPr>
          <w:p>
            <w:pPr>
              <w:spacing w:after="0"/>
              <w:rPr>
                <w:sz w:val="18"/>
                <w:szCs w:val="18"/>
                <w:color w:val="auto"/>
              </w:rPr>
            </w:pPr>
          </w:p>
        </w:tc>
      </w:tr>
      <w:tr>
        <w:trPr>
          <w:trHeight w:val="230"/>
        </w:trPr>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100" w:type="dxa"/>
            <w:vAlign w:val="bottom"/>
          </w:tcPr>
          <w:p>
            <w:pPr>
              <w:ind w:left="140"/>
              <w:spacing w:after="0"/>
              <w:rPr>
                <w:sz w:val="20"/>
                <w:szCs w:val="20"/>
                <w:color w:val="auto"/>
              </w:rPr>
            </w:pPr>
            <w:r>
              <w:rPr>
                <w:rFonts w:ascii="Arial" w:cs="Arial" w:eastAsia="Arial" w:hAnsi="Arial"/>
                <w:sz w:val="18"/>
                <w:szCs w:val="18"/>
                <w:color w:val="auto"/>
              </w:rPr>
              <w:t>trials in eye diseases</w:t>
            </w:r>
          </w:p>
        </w:tc>
        <w:tc>
          <w:tcPr>
            <w:tcW w:w="860" w:type="dxa"/>
            <w:vAlign w:val="bottom"/>
          </w:tcPr>
          <w:p>
            <w:pPr>
              <w:spacing w:after="0"/>
              <w:rPr>
                <w:sz w:val="20"/>
                <w:szCs w:val="20"/>
                <w:color w:val="auto"/>
              </w:rPr>
            </w:pPr>
          </w:p>
        </w:tc>
      </w:tr>
      <w:tr>
        <w:trPr>
          <w:trHeight w:val="297"/>
        </w:trPr>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6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c>
          <w:tcPr>
            <w:tcW w:w="2240" w:type="dxa"/>
            <w:vAlign w:val="bottom"/>
            <w:tcBorders>
              <w:bottom w:val="single" w:sz="8" w:color="808080"/>
            </w:tcBorders>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4100" w:type="dxa"/>
            <w:vAlign w:val="bottom"/>
            <w:tcBorders>
              <w:bottom w:val="single" w:sz="8" w:color="808080"/>
            </w:tcBorders>
          </w:tcPr>
          <w:p>
            <w:pPr>
              <w:spacing w:after="0"/>
              <w:rPr>
                <w:sz w:val="24"/>
                <w:szCs w:val="24"/>
                <w:color w:val="auto"/>
              </w:rPr>
            </w:pPr>
          </w:p>
        </w:tc>
        <w:tc>
          <w:tcPr>
            <w:tcW w:w="860" w:type="dxa"/>
            <w:vAlign w:val="bottom"/>
          </w:tcPr>
          <w:p>
            <w:pPr>
              <w:spacing w:after="0"/>
              <w:rPr>
                <w:sz w:val="24"/>
                <w:szCs w:val="24"/>
                <w:color w:val="auto"/>
              </w:rPr>
            </w:pPr>
          </w:p>
        </w:tc>
      </w:tr>
      <w:tr>
        <w:trPr>
          <w:trHeight w:val="290"/>
        </w:trPr>
        <w:tc>
          <w:tcPr>
            <w:tcW w:w="860" w:type="dxa"/>
            <w:vAlign w:val="bottom"/>
          </w:tcPr>
          <w:p>
            <w:pPr>
              <w:spacing w:after="0"/>
              <w:rPr>
                <w:sz w:val="24"/>
                <w:szCs w:val="24"/>
                <w:color w:val="auto"/>
              </w:rPr>
            </w:pPr>
          </w:p>
        </w:tc>
        <w:tc>
          <w:tcPr>
            <w:tcW w:w="1480" w:type="dxa"/>
            <w:vAlign w:val="bottom"/>
            <w:gridSpan w:val="2"/>
          </w:tcPr>
          <w:p>
            <w:pPr>
              <w:spacing w:after="0"/>
              <w:rPr>
                <w:sz w:val="20"/>
                <w:szCs w:val="20"/>
                <w:color w:val="auto"/>
              </w:rPr>
            </w:pPr>
            <w:r>
              <w:rPr>
                <w:rFonts w:ascii="Arial" w:cs="Arial" w:eastAsia="Arial" w:hAnsi="Arial"/>
                <w:sz w:val="18"/>
                <w:szCs w:val="18"/>
                <w:color w:val="auto"/>
              </w:rPr>
              <w:t>IL-1 Trap</w:t>
            </w:r>
          </w:p>
        </w:tc>
        <w:tc>
          <w:tcPr>
            <w:tcW w:w="280" w:type="dxa"/>
            <w:vAlign w:val="bottom"/>
          </w:tcPr>
          <w:p>
            <w:pPr>
              <w:spacing w:after="0"/>
              <w:rPr>
                <w:sz w:val="24"/>
                <w:szCs w:val="24"/>
                <w:color w:val="auto"/>
              </w:rPr>
            </w:pPr>
          </w:p>
        </w:tc>
        <w:tc>
          <w:tcPr>
            <w:tcW w:w="440" w:type="dxa"/>
            <w:vAlign w:val="bottom"/>
          </w:tcPr>
          <w:p>
            <w:pPr>
              <w:ind w:left="240"/>
              <w:spacing w:after="0"/>
              <w:rPr>
                <w:sz w:val="20"/>
                <w:szCs w:val="20"/>
                <w:color w:val="auto"/>
              </w:rPr>
            </w:pPr>
            <w:r>
              <w:rPr>
                <w:rFonts w:ascii="Arial" w:cs="Arial" w:eastAsia="Arial" w:hAnsi="Arial"/>
                <w:sz w:val="18"/>
                <w:szCs w:val="18"/>
                <w:color w:val="auto"/>
              </w:rPr>
              <w:t>•</w:t>
            </w:r>
          </w:p>
        </w:tc>
        <w:tc>
          <w:tcPr>
            <w:tcW w:w="2240" w:type="dxa"/>
            <w:vAlign w:val="bottom"/>
          </w:tcPr>
          <w:p>
            <w:pPr>
              <w:ind w:left="160"/>
              <w:spacing w:after="0"/>
              <w:rPr>
                <w:sz w:val="20"/>
                <w:szCs w:val="20"/>
                <w:color w:val="auto"/>
              </w:rPr>
            </w:pPr>
            <w:r>
              <w:rPr>
                <w:rFonts w:ascii="Arial" w:cs="Arial" w:eastAsia="Arial" w:hAnsi="Arial"/>
                <w:sz w:val="18"/>
                <w:szCs w:val="18"/>
                <w:color w:val="auto"/>
              </w:rPr>
              <w:t>Planned for phase 2b</w:t>
            </w: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ind w:left="200"/>
              <w:spacing w:after="0"/>
              <w:rPr>
                <w:sz w:val="20"/>
                <w:szCs w:val="20"/>
                <w:color w:val="auto"/>
              </w:rPr>
            </w:pPr>
            <w:r>
              <w:rPr>
                <w:rFonts w:ascii="Arial" w:cs="Arial" w:eastAsia="Arial" w:hAnsi="Arial"/>
                <w:sz w:val="18"/>
                <w:szCs w:val="18"/>
                <w:color w:val="auto"/>
              </w:rPr>
              <w:t>•</w:t>
            </w:r>
          </w:p>
        </w:tc>
        <w:tc>
          <w:tcPr>
            <w:tcW w:w="4100" w:type="dxa"/>
            <w:vAlign w:val="bottom"/>
          </w:tcPr>
          <w:p>
            <w:pPr>
              <w:ind w:left="140"/>
              <w:spacing w:after="0"/>
              <w:rPr>
                <w:sz w:val="20"/>
                <w:szCs w:val="20"/>
                <w:color w:val="auto"/>
              </w:rPr>
            </w:pPr>
            <w:r>
              <w:rPr>
                <w:rFonts w:ascii="Arial" w:cs="Arial" w:eastAsia="Arial" w:hAnsi="Arial"/>
                <w:sz w:val="18"/>
                <w:szCs w:val="18"/>
                <w:color w:val="auto"/>
              </w:rPr>
              <w:t>Commence phase 2b trial in</w:t>
            </w:r>
          </w:p>
        </w:tc>
        <w:tc>
          <w:tcPr>
            <w:tcW w:w="860" w:type="dxa"/>
            <w:vAlign w:val="bottom"/>
          </w:tcPr>
          <w:p>
            <w:pPr>
              <w:spacing w:after="0"/>
              <w:rPr>
                <w:sz w:val="24"/>
                <w:szCs w:val="24"/>
                <w:color w:val="auto"/>
              </w:rPr>
            </w:pPr>
          </w:p>
        </w:tc>
      </w:tr>
      <w:tr>
        <w:trPr>
          <w:trHeight w:val="216"/>
        </w:trPr>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40" w:type="dxa"/>
            <w:vAlign w:val="bottom"/>
          </w:tcPr>
          <w:p>
            <w:pPr>
              <w:ind w:left="160"/>
              <w:spacing w:after="0"/>
              <w:rPr>
                <w:sz w:val="20"/>
                <w:szCs w:val="20"/>
                <w:color w:val="auto"/>
              </w:rPr>
            </w:pPr>
            <w:r>
              <w:rPr>
                <w:rFonts w:ascii="Arial" w:cs="Arial" w:eastAsia="Arial" w:hAnsi="Arial"/>
                <w:sz w:val="18"/>
                <w:szCs w:val="18"/>
                <w:color w:val="auto"/>
              </w:rPr>
              <w:t>trial in rheumatoid</w:t>
            </w: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100" w:type="dxa"/>
            <w:vAlign w:val="bottom"/>
          </w:tcPr>
          <w:p>
            <w:pPr>
              <w:ind w:left="140"/>
              <w:spacing w:after="0"/>
              <w:rPr>
                <w:sz w:val="20"/>
                <w:szCs w:val="20"/>
                <w:color w:val="auto"/>
              </w:rPr>
            </w:pPr>
            <w:r>
              <w:rPr>
                <w:rFonts w:ascii="Arial" w:cs="Arial" w:eastAsia="Arial" w:hAnsi="Arial"/>
                <w:sz w:val="18"/>
                <w:szCs w:val="18"/>
                <w:color w:val="auto"/>
              </w:rPr>
              <w:t>rheumatoid arthritis</w:t>
            </w:r>
          </w:p>
        </w:tc>
        <w:tc>
          <w:tcPr>
            <w:tcW w:w="86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40" w:type="dxa"/>
            <w:vAlign w:val="bottom"/>
          </w:tcPr>
          <w:p>
            <w:pPr>
              <w:ind w:left="160"/>
              <w:spacing w:after="0"/>
              <w:rPr>
                <w:sz w:val="20"/>
                <w:szCs w:val="20"/>
                <w:color w:val="auto"/>
              </w:rPr>
            </w:pPr>
            <w:r>
              <w:rPr>
                <w:rFonts w:ascii="Arial" w:cs="Arial" w:eastAsia="Arial" w:hAnsi="Arial"/>
                <w:sz w:val="18"/>
                <w:szCs w:val="18"/>
                <w:color w:val="auto"/>
              </w:rPr>
              <w:t>arthritis</w:t>
            </w: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ind w:left="200"/>
              <w:spacing w:after="0"/>
              <w:rPr>
                <w:sz w:val="20"/>
                <w:szCs w:val="20"/>
                <w:color w:val="auto"/>
              </w:rPr>
            </w:pPr>
            <w:r>
              <w:rPr>
                <w:rFonts w:ascii="Arial" w:cs="Arial" w:eastAsia="Arial" w:hAnsi="Arial"/>
                <w:sz w:val="18"/>
                <w:szCs w:val="18"/>
                <w:color w:val="auto"/>
              </w:rPr>
              <w:t>•</w:t>
            </w:r>
          </w:p>
        </w:tc>
        <w:tc>
          <w:tcPr>
            <w:tcW w:w="4100" w:type="dxa"/>
            <w:vAlign w:val="bottom"/>
          </w:tcPr>
          <w:p>
            <w:pPr>
              <w:ind w:left="140"/>
              <w:spacing w:after="0"/>
              <w:rPr>
                <w:sz w:val="20"/>
                <w:szCs w:val="20"/>
                <w:color w:val="auto"/>
              </w:rPr>
            </w:pPr>
            <w:r>
              <w:rPr>
                <w:rFonts w:ascii="Arial" w:cs="Arial" w:eastAsia="Arial" w:hAnsi="Arial"/>
                <w:sz w:val="18"/>
                <w:szCs w:val="18"/>
                <w:color w:val="auto"/>
              </w:rPr>
              <w:t>Commence phase 1 trial in</w:t>
            </w:r>
          </w:p>
        </w:tc>
        <w:tc>
          <w:tcPr>
            <w:tcW w:w="86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100" w:type="dxa"/>
            <w:vAlign w:val="bottom"/>
          </w:tcPr>
          <w:p>
            <w:pPr>
              <w:ind w:left="140"/>
              <w:spacing w:after="0"/>
              <w:rPr>
                <w:sz w:val="20"/>
                <w:szCs w:val="20"/>
                <w:color w:val="auto"/>
              </w:rPr>
            </w:pPr>
            <w:r>
              <w:rPr>
                <w:rFonts w:ascii="Arial" w:cs="Arial" w:eastAsia="Arial" w:hAnsi="Arial"/>
                <w:sz w:val="18"/>
                <w:szCs w:val="18"/>
                <w:color w:val="auto"/>
              </w:rPr>
              <w:t>other indications</w:t>
            </w:r>
          </w:p>
        </w:tc>
        <w:tc>
          <w:tcPr>
            <w:tcW w:w="86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ind w:left="200"/>
              <w:spacing w:after="0"/>
              <w:rPr>
                <w:sz w:val="20"/>
                <w:szCs w:val="20"/>
                <w:color w:val="auto"/>
              </w:rPr>
            </w:pPr>
            <w:r>
              <w:rPr>
                <w:rFonts w:ascii="Arial" w:cs="Arial" w:eastAsia="Arial" w:hAnsi="Arial"/>
                <w:sz w:val="18"/>
                <w:szCs w:val="18"/>
                <w:color w:val="auto"/>
              </w:rPr>
              <w:t>•</w:t>
            </w:r>
          </w:p>
        </w:tc>
        <w:tc>
          <w:tcPr>
            <w:tcW w:w="4100" w:type="dxa"/>
            <w:vAlign w:val="bottom"/>
          </w:tcPr>
          <w:p>
            <w:pPr>
              <w:ind w:left="140"/>
              <w:spacing w:after="0"/>
              <w:rPr>
                <w:sz w:val="20"/>
                <w:szCs w:val="20"/>
                <w:color w:val="auto"/>
              </w:rPr>
            </w:pPr>
            <w:r>
              <w:rPr>
                <w:rFonts w:ascii="Arial" w:cs="Arial" w:eastAsia="Arial" w:hAnsi="Arial"/>
                <w:sz w:val="18"/>
                <w:szCs w:val="18"/>
                <w:color w:val="auto"/>
              </w:rPr>
              <w:t>Evaluate IL-1 Trap in other</w:t>
            </w:r>
          </w:p>
        </w:tc>
        <w:tc>
          <w:tcPr>
            <w:tcW w:w="860" w:type="dxa"/>
            <w:vAlign w:val="bottom"/>
          </w:tcPr>
          <w:p>
            <w:pPr>
              <w:spacing w:after="0"/>
              <w:rPr>
                <w:sz w:val="18"/>
                <w:szCs w:val="18"/>
                <w:color w:val="auto"/>
              </w:rPr>
            </w:pPr>
          </w:p>
        </w:tc>
      </w:tr>
      <w:tr>
        <w:trPr>
          <w:trHeight w:val="230"/>
        </w:trPr>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100" w:type="dxa"/>
            <w:vAlign w:val="bottom"/>
          </w:tcPr>
          <w:p>
            <w:pPr>
              <w:ind w:left="140"/>
              <w:spacing w:after="0"/>
              <w:rPr>
                <w:sz w:val="20"/>
                <w:szCs w:val="20"/>
                <w:color w:val="auto"/>
              </w:rPr>
            </w:pPr>
            <w:r>
              <w:rPr>
                <w:rFonts w:ascii="Arial" w:cs="Arial" w:eastAsia="Arial" w:hAnsi="Arial"/>
                <w:sz w:val="18"/>
                <w:szCs w:val="18"/>
                <w:color w:val="auto"/>
              </w:rPr>
              <w:t>inflammatory conditions</w:t>
            </w:r>
          </w:p>
        </w:tc>
        <w:tc>
          <w:tcPr>
            <w:tcW w:w="860" w:type="dxa"/>
            <w:vAlign w:val="bottom"/>
          </w:tcPr>
          <w:p>
            <w:pPr>
              <w:spacing w:after="0"/>
              <w:rPr>
                <w:sz w:val="20"/>
                <w:szCs w:val="20"/>
                <w:color w:val="auto"/>
              </w:rPr>
            </w:pPr>
          </w:p>
        </w:tc>
      </w:tr>
      <w:tr>
        <w:trPr>
          <w:trHeight w:val="297"/>
        </w:trPr>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6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c>
          <w:tcPr>
            <w:tcW w:w="2240" w:type="dxa"/>
            <w:vAlign w:val="bottom"/>
            <w:tcBorders>
              <w:bottom w:val="single" w:sz="8" w:color="808080"/>
            </w:tcBorders>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4100" w:type="dxa"/>
            <w:vAlign w:val="bottom"/>
            <w:tcBorders>
              <w:bottom w:val="single" w:sz="8" w:color="808080"/>
            </w:tcBorders>
          </w:tcPr>
          <w:p>
            <w:pPr>
              <w:spacing w:after="0"/>
              <w:rPr>
                <w:sz w:val="24"/>
                <w:szCs w:val="24"/>
                <w:color w:val="auto"/>
              </w:rPr>
            </w:pPr>
          </w:p>
        </w:tc>
        <w:tc>
          <w:tcPr>
            <w:tcW w:w="860" w:type="dxa"/>
            <w:vAlign w:val="bottom"/>
          </w:tcPr>
          <w:p>
            <w:pPr>
              <w:spacing w:after="0"/>
              <w:rPr>
                <w:sz w:val="24"/>
                <w:szCs w:val="24"/>
                <w:color w:val="auto"/>
              </w:rPr>
            </w:pPr>
          </w:p>
        </w:tc>
      </w:tr>
      <w:tr>
        <w:trPr>
          <w:trHeight w:val="290"/>
        </w:trPr>
        <w:tc>
          <w:tcPr>
            <w:tcW w:w="860" w:type="dxa"/>
            <w:vAlign w:val="bottom"/>
          </w:tcPr>
          <w:p>
            <w:pPr>
              <w:spacing w:after="0"/>
              <w:rPr>
                <w:sz w:val="24"/>
                <w:szCs w:val="24"/>
                <w:color w:val="auto"/>
              </w:rPr>
            </w:pPr>
          </w:p>
        </w:tc>
        <w:tc>
          <w:tcPr>
            <w:tcW w:w="1480" w:type="dxa"/>
            <w:vAlign w:val="bottom"/>
            <w:gridSpan w:val="2"/>
          </w:tcPr>
          <w:p>
            <w:pPr>
              <w:spacing w:after="0"/>
              <w:rPr>
                <w:sz w:val="20"/>
                <w:szCs w:val="20"/>
                <w:color w:val="auto"/>
              </w:rPr>
            </w:pPr>
            <w:r>
              <w:rPr>
                <w:rFonts w:ascii="Arial" w:cs="Arial" w:eastAsia="Arial" w:hAnsi="Arial"/>
                <w:sz w:val="18"/>
                <w:szCs w:val="18"/>
                <w:color w:val="auto"/>
              </w:rPr>
              <w:t>IL-4/13 Trap</w:t>
            </w:r>
          </w:p>
        </w:tc>
        <w:tc>
          <w:tcPr>
            <w:tcW w:w="280" w:type="dxa"/>
            <w:vAlign w:val="bottom"/>
          </w:tcPr>
          <w:p>
            <w:pPr>
              <w:spacing w:after="0"/>
              <w:rPr>
                <w:sz w:val="24"/>
                <w:szCs w:val="24"/>
                <w:color w:val="auto"/>
              </w:rPr>
            </w:pPr>
          </w:p>
        </w:tc>
        <w:tc>
          <w:tcPr>
            <w:tcW w:w="440" w:type="dxa"/>
            <w:vAlign w:val="bottom"/>
          </w:tcPr>
          <w:p>
            <w:pPr>
              <w:ind w:left="240"/>
              <w:spacing w:after="0"/>
              <w:rPr>
                <w:sz w:val="20"/>
                <w:szCs w:val="20"/>
                <w:color w:val="auto"/>
              </w:rPr>
            </w:pPr>
            <w:r>
              <w:rPr>
                <w:rFonts w:ascii="Arial" w:cs="Arial" w:eastAsia="Arial" w:hAnsi="Arial"/>
                <w:sz w:val="18"/>
                <w:szCs w:val="18"/>
                <w:color w:val="auto"/>
              </w:rPr>
              <w:t>•</w:t>
            </w:r>
          </w:p>
        </w:tc>
        <w:tc>
          <w:tcPr>
            <w:tcW w:w="2240" w:type="dxa"/>
            <w:vAlign w:val="bottom"/>
          </w:tcPr>
          <w:p>
            <w:pPr>
              <w:ind w:left="160"/>
              <w:spacing w:after="0"/>
              <w:rPr>
                <w:sz w:val="20"/>
                <w:szCs w:val="20"/>
                <w:color w:val="auto"/>
              </w:rPr>
            </w:pPr>
            <w:r>
              <w:rPr>
                <w:rFonts w:ascii="Arial" w:cs="Arial" w:eastAsia="Arial" w:hAnsi="Arial"/>
                <w:sz w:val="18"/>
                <w:szCs w:val="18"/>
                <w:color w:val="auto"/>
              </w:rPr>
              <w:t>Completed phase 1</w:t>
            </w: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ind w:left="200"/>
              <w:spacing w:after="0"/>
              <w:rPr>
                <w:sz w:val="20"/>
                <w:szCs w:val="20"/>
                <w:color w:val="auto"/>
              </w:rPr>
            </w:pPr>
            <w:r>
              <w:rPr>
                <w:rFonts w:ascii="Arial" w:cs="Arial" w:eastAsia="Arial" w:hAnsi="Arial"/>
                <w:sz w:val="18"/>
                <w:szCs w:val="18"/>
                <w:color w:val="auto"/>
              </w:rPr>
              <w:t>•</w:t>
            </w:r>
          </w:p>
        </w:tc>
        <w:tc>
          <w:tcPr>
            <w:tcW w:w="4100" w:type="dxa"/>
            <w:vAlign w:val="bottom"/>
          </w:tcPr>
          <w:p>
            <w:pPr>
              <w:ind w:left="140"/>
              <w:spacing w:after="0"/>
              <w:rPr>
                <w:sz w:val="20"/>
                <w:szCs w:val="20"/>
                <w:color w:val="auto"/>
              </w:rPr>
            </w:pPr>
            <w:r>
              <w:rPr>
                <w:rFonts w:ascii="Arial" w:cs="Arial" w:eastAsia="Arial" w:hAnsi="Arial"/>
                <w:sz w:val="18"/>
                <w:szCs w:val="18"/>
                <w:color w:val="auto"/>
              </w:rPr>
              <w:t>Plan for phase 2 trial in</w:t>
            </w:r>
          </w:p>
        </w:tc>
        <w:tc>
          <w:tcPr>
            <w:tcW w:w="860" w:type="dxa"/>
            <w:vAlign w:val="bottom"/>
          </w:tcPr>
          <w:p>
            <w:pPr>
              <w:spacing w:after="0"/>
              <w:rPr>
                <w:sz w:val="24"/>
                <w:szCs w:val="24"/>
                <w:color w:val="auto"/>
              </w:rPr>
            </w:pPr>
          </w:p>
        </w:tc>
      </w:tr>
      <w:tr>
        <w:trPr>
          <w:trHeight w:val="230"/>
        </w:trPr>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40" w:type="dxa"/>
            <w:vAlign w:val="bottom"/>
          </w:tcPr>
          <w:p>
            <w:pPr>
              <w:ind w:left="160"/>
              <w:spacing w:after="0"/>
              <w:rPr>
                <w:sz w:val="20"/>
                <w:szCs w:val="20"/>
                <w:color w:val="auto"/>
              </w:rPr>
            </w:pPr>
            <w:r>
              <w:rPr>
                <w:rFonts w:ascii="Arial" w:cs="Arial" w:eastAsia="Arial" w:hAnsi="Arial"/>
                <w:sz w:val="18"/>
                <w:szCs w:val="18"/>
                <w:color w:val="auto"/>
              </w:rPr>
              <w:t>trial in asthma</w:t>
            </w: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100" w:type="dxa"/>
            <w:vAlign w:val="bottom"/>
          </w:tcPr>
          <w:p>
            <w:pPr>
              <w:ind w:left="140"/>
              <w:spacing w:after="0"/>
              <w:rPr>
                <w:sz w:val="20"/>
                <w:szCs w:val="20"/>
                <w:color w:val="auto"/>
              </w:rPr>
            </w:pPr>
            <w:r>
              <w:rPr>
                <w:rFonts w:ascii="Arial" w:cs="Arial" w:eastAsia="Arial" w:hAnsi="Arial"/>
                <w:sz w:val="18"/>
                <w:szCs w:val="18"/>
                <w:color w:val="auto"/>
              </w:rPr>
              <w:t>asthma</w:t>
            </w:r>
          </w:p>
        </w:tc>
        <w:tc>
          <w:tcPr>
            <w:tcW w:w="860" w:type="dxa"/>
            <w:vAlign w:val="bottom"/>
          </w:tcPr>
          <w:p>
            <w:pPr>
              <w:spacing w:after="0"/>
              <w:rPr>
                <w:sz w:val="20"/>
                <w:szCs w:val="20"/>
                <w:color w:val="auto"/>
              </w:rPr>
            </w:pPr>
          </w:p>
        </w:tc>
      </w:tr>
      <w:tr>
        <w:trPr>
          <w:trHeight w:val="392"/>
        </w:trPr>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18</w:t>
            </w:r>
          </w:p>
        </w:tc>
        <w:tc>
          <w:tcPr>
            <w:tcW w:w="42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26"/>
        </w:trPr>
        <w:tc>
          <w:tcPr>
            <w:tcW w:w="86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46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224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410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9" w:name="page20"/>
    <w:bookmarkEnd w:id="19"/>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20"/>
          </w:cols>
          <w:pgMar w:left="240" w:top="419" w:right="239" w:bottom="1440" w:gutter="0" w:footer="0" w:header="0"/>
        </w:sectPr>
      </w:pPr>
    </w:p>
    <w:p>
      <w:pPr>
        <w:spacing w:after="0" w:line="200" w:lineRule="exact"/>
        <w:rPr>
          <w:sz w:val="20"/>
          <w:szCs w:val="20"/>
          <w:color w:val="auto"/>
        </w:rPr>
      </w:pPr>
    </w:p>
    <w:p>
      <w:pPr>
        <w:spacing w:after="0" w:line="340" w:lineRule="exact"/>
        <w:rPr>
          <w:sz w:val="20"/>
          <w:szCs w:val="20"/>
          <w:color w:val="auto"/>
        </w:rPr>
      </w:pPr>
    </w:p>
    <w:tbl>
      <w:tblPr>
        <w:tblLayout w:type="fixed"/>
        <w:tblInd w:w="860" w:type="dxa"/>
        <w:tblCellMar>
          <w:top w:w="0" w:type="dxa"/>
          <w:left w:w="0" w:type="dxa"/>
          <w:bottom w:w="0" w:type="dxa"/>
          <w:right w:w="0" w:type="dxa"/>
        </w:tblCellMar>
      </w:tblPr>
      <w:tr>
        <w:trPr>
          <w:trHeight w:val="186"/>
        </w:trPr>
        <w:tc>
          <w:tcPr>
            <w:tcW w:w="1480" w:type="dxa"/>
            <w:vAlign w:val="bottom"/>
          </w:tcPr>
          <w:p>
            <w:pPr>
              <w:spacing w:after="0"/>
              <w:rPr>
                <w:sz w:val="20"/>
                <w:szCs w:val="20"/>
                <w:color w:val="auto"/>
              </w:rPr>
            </w:pPr>
            <w:r>
              <w:rPr>
                <w:rFonts w:ascii="Arial" w:cs="Arial" w:eastAsia="Arial" w:hAnsi="Arial"/>
                <w:sz w:val="14"/>
                <w:szCs w:val="14"/>
                <w:b w:val="1"/>
                <w:bCs w:val="1"/>
                <w:color w:val="auto"/>
              </w:rPr>
              <w:t>Product Candidate</w:t>
            </w:r>
          </w:p>
        </w:tc>
        <w:tc>
          <w:tcPr>
            <w:tcW w:w="2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80" w:type="dxa"/>
            <w:vAlign w:val="bottom"/>
          </w:tcPr>
          <w:p>
            <w:pPr>
              <w:ind w:left="320"/>
              <w:spacing w:after="0"/>
              <w:rPr>
                <w:sz w:val="20"/>
                <w:szCs w:val="20"/>
                <w:color w:val="auto"/>
              </w:rPr>
            </w:pPr>
            <w:r>
              <w:rPr>
                <w:rFonts w:ascii="Arial" w:cs="Arial" w:eastAsia="Arial" w:hAnsi="Arial"/>
                <w:sz w:val="14"/>
                <w:szCs w:val="14"/>
                <w:b w:val="1"/>
                <w:bCs w:val="1"/>
                <w:color w:val="auto"/>
              </w:rPr>
              <w:t>First Quarter 2004 Events</w:t>
            </w:r>
          </w:p>
        </w:tc>
      </w:tr>
      <w:tr>
        <w:trPr>
          <w:trHeight w:val="66"/>
        </w:trPr>
        <w:tc>
          <w:tcPr>
            <w:tcW w:w="1480" w:type="dxa"/>
            <w:vAlign w:val="bottom"/>
            <w:tcBorders>
              <w:bottom w:val="single" w:sz="8" w:color="808080"/>
            </w:tcBorders>
          </w:tcPr>
          <w:p>
            <w:pPr>
              <w:spacing w:after="0"/>
              <w:rPr>
                <w:sz w:val="5"/>
                <w:szCs w:val="5"/>
                <w:color w:val="auto"/>
              </w:rPr>
            </w:pPr>
          </w:p>
        </w:tc>
        <w:tc>
          <w:tcPr>
            <w:tcW w:w="280" w:type="dxa"/>
            <w:vAlign w:val="bottom"/>
          </w:tcPr>
          <w:p>
            <w:pPr>
              <w:spacing w:after="0"/>
              <w:rPr>
                <w:sz w:val="5"/>
                <w:szCs w:val="5"/>
                <w:color w:val="auto"/>
              </w:rPr>
            </w:pPr>
          </w:p>
        </w:tc>
        <w:tc>
          <w:tcPr>
            <w:tcW w:w="440" w:type="dxa"/>
            <w:vAlign w:val="bottom"/>
            <w:tcBorders>
              <w:bottom w:val="single" w:sz="8" w:color="808080"/>
            </w:tcBorders>
          </w:tcPr>
          <w:p>
            <w:pPr>
              <w:spacing w:after="0"/>
              <w:rPr>
                <w:sz w:val="5"/>
                <w:szCs w:val="5"/>
                <w:color w:val="auto"/>
              </w:rPr>
            </w:pPr>
          </w:p>
        </w:tc>
        <w:tc>
          <w:tcPr>
            <w:tcW w:w="2680" w:type="dxa"/>
            <w:vAlign w:val="bottom"/>
            <w:tcBorders>
              <w:bottom w:val="single" w:sz="8" w:color="808080"/>
            </w:tcBorders>
          </w:tcPr>
          <w:p>
            <w:pPr>
              <w:spacing w:after="0"/>
              <w:rPr>
                <w:sz w:val="5"/>
                <w:szCs w:val="5"/>
                <w:color w:val="auto"/>
              </w:rPr>
            </w:pPr>
          </w:p>
        </w:tc>
      </w:tr>
      <w:tr>
        <w:trPr>
          <w:trHeight w:val="263"/>
        </w:trPr>
        <w:tc>
          <w:tcPr>
            <w:tcW w:w="1480" w:type="dxa"/>
            <w:vAlign w:val="bottom"/>
          </w:tcPr>
          <w:p>
            <w:pPr>
              <w:spacing w:after="0"/>
              <w:rPr>
                <w:sz w:val="20"/>
                <w:szCs w:val="20"/>
                <w:color w:val="auto"/>
              </w:rPr>
            </w:pPr>
            <w:r>
              <w:rPr>
                <w:rFonts w:ascii="Arial" w:cs="Arial" w:eastAsia="Arial" w:hAnsi="Arial"/>
                <w:sz w:val="18"/>
                <w:szCs w:val="18"/>
                <w:color w:val="auto"/>
              </w:rPr>
              <w:t>AXOKINE</w:t>
            </w:r>
          </w:p>
        </w:tc>
        <w:tc>
          <w:tcPr>
            <w:tcW w:w="280" w:type="dxa"/>
            <w:vAlign w:val="bottom"/>
          </w:tcPr>
          <w:p>
            <w:pPr>
              <w:spacing w:after="0"/>
              <w:rPr>
                <w:sz w:val="22"/>
                <w:szCs w:val="22"/>
                <w:color w:val="auto"/>
              </w:rPr>
            </w:pPr>
          </w:p>
        </w:tc>
        <w:tc>
          <w:tcPr>
            <w:tcW w:w="440" w:type="dxa"/>
            <w:vAlign w:val="bottom"/>
          </w:tcPr>
          <w:p>
            <w:pPr>
              <w:ind w:left="240"/>
              <w:spacing w:after="0"/>
              <w:rPr>
                <w:sz w:val="20"/>
                <w:szCs w:val="20"/>
                <w:color w:val="auto"/>
              </w:rPr>
            </w:pPr>
            <w:r>
              <w:rPr>
                <w:rFonts w:ascii="Arial" w:cs="Arial" w:eastAsia="Arial" w:hAnsi="Arial"/>
                <w:sz w:val="18"/>
                <w:szCs w:val="18"/>
                <w:color w:val="auto"/>
              </w:rPr>
              <w:t>•</w:t>
            </w:r>
          </w:p>
        </w:tc>
        <w:tc>
          <w:tcPr>
            <w:tcW w:w="2680" w:type="dxa"/>
            <w:vAlign w:val="bottom"/>
          </w:tcPr>
          <w:p>
            <w:pPr>
              <w:ind w:left="160"/>
              <w:spacing w:after="0"/>
              <w:rPr>
                <w:sz w:val="20"/>
                <w:szCs w:val="20"/>
                <w:color w:val="auto"/>
              </w:rPr>
            </w:pPr>
            <w:r>
              <w:rPr>
                <w:rFonts w:ascii="Arial" w:cs="Arial" w:eastAsia="Arial" w:hAnsi="Arial"/>
                <w:sz w:val="18"/>
                <w:szCs w:val="18"/>
                <w:color w:val="auto"/>
              </w:rPr>
              <w:t>Completed safety extension</w:t>
            </w:r>
          </w:p>
        </w:tc>
      </w:tr>
      <w:tr>
        <w:trPr>
          <w:trHeight w:val="216"/>
        </w:trPr>
        <w:tc>
          <w:tcPr>
            <w:tcW w:w="1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80" w:type="dxa"/>
            <w:vAlign w:val="bottom"/>
          </w:tcPr>
          <w:p>
            <w:pPr>
              <w:ind w:left="160"/>
              <w:spacing w:after="0"/>
              <w:rPr>
                <w:sz w:val="20"/>
                <w:szCs w:val="20"/>
                <w:color w:val="auto"/>
              </w:rPr>
            </w:pPr>
            <w:r>
              <w:rPr>
                <w:rFonts w:ascii="Arial" w:cs="Arial" w:eastAsia="Arial" w:hAnsi="Arial"/>
                <w:sz w:val="18"/>
                <w:szCs w:val="18"/>
                <w:color w:val="auto"/>
              </w:rPr>
              <w:t>portion of phase 3 trial</w:t>
            </w:r>
          </w:p>
        </w:tc>
      </w:tr>
      <w:tr>
        <w:trPr>
          <w:trHeight w:val="216"/>
        </w:trPr>
        <w:tc>
          <w:tcPr>
            <w:tcW w:w="1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ind w:left="240"/>
              <w:spacing w:after="0"/>
              <w:rPr>
                <w:sz w:val="20"/>
                <w:szCs w:val="20"/>
                <w:color w:val="auto"/>
              </w:rPr>
            </w:pPr>
            <w:r>
              <w:rPr>
                <w:rFonts w:ascii="Arial" w:cs="Arial" w:eastAsia="Arial" w:hAnsi="Arial"/>
                <w:sz w:val="18"/>
                <w:szCs w:val="18"/>
                <w:color w:val="auto"/>
              </w:rPr>
              <w:t>•</w:t>
            </w:r>
          </w:p>
        </w:tc>
        <w:tc>
          <w:tcPr>
            <w:tcW w:w="2680" w:type="dxa"/>
            <w:vAlign w:val="bottom"/>
          </w:tcPr>
          <w:p>
            <w:pPr>
              <w:ind w:left="160"/>
              <w:spacing w:after="0"/>
              <w:rPr>
                <w:sz w:val="20"/>
                <w:szCs w:val="20"/>
                <w:color w:val="auto"/>
              </w:rPr>
            </w:pPr>
            <w:r>
              <w:rPr>
                <w:rFonts w:ascii="Arial" w:cs="Arial" w:eastAsia="Arial" w:hAnsi="Arial"/>
                <w:sz w:val="18"/>
                <w:szCs w:val="18"/>
                <w:color w:val="auto"/>
                <w:w w:val="95"/>
              </w:rPr>
              <w:t>Completed intermittent treatment</w:t>
            </w:r>
          </w:p>
        </w:tc>
      </w:tr>
      <w:tr>
        <w:trPr>
          <w:trHeight w:val="230"/>
        </w:trPr>
        <w:tc>
          <w:tcPr>
            <w:tcW w:w="1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80" w:type="dxa"/>
            <w:vAlign w:val="bottom"/>
          </w:tcPr>
          <w:p>
            <w:pPr>
              <w:ind w:left="160"/>
              <w:spacing w:after="0"/>
              <w:rPr>
                <w:sz w:val="20"/>
                <w:szCs w:val="20"/>
                <w:color w:val="auto"/>
              </w:rPr>
            </w:pPr>
            <w:r>
              <w:rPr>
                <w:rFonts w:ascii="Arial" w:cs="Arial" w:eastAsia="Arial" w:hAnsi="Arial"/>
                <w:sz w:val="18"/>
                <w:szCs w:val="18"/>
                <w:color w:val="auto"/>
              </w:rPr>
              <w:t>trials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68580</wp:posOffset>
            </wp:positionV>
            <wp:extent cx="618299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18299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0" w:lineRule="exact"/>
        <w:rPr>
          <w:sz w:val="20"/>
          <w:szCs w:val="20"/>
          <w:color w:val="auto"/>
        </w:rPr>
      </w:pPr>
    </w:p>
    <w:p>
      <w:pPr>
        <w:ind w:left="1380"/>
        <w:spacing w:after="0"/>
        <w:rPr>
          <w:sz w:val="20"/>
          <w:szCs w:val="20"/>
          <w:color w:val="auto"/>
        </w:rPr>
      </w:pPr>
      <w:r>
        <w:rPr>
          <w:rFonts w:ascii="Arial" w:cs="Arial" w:eastAsia="Arial" w:hAnsi="Arial"/>
          <w:sz w:val="14"/>
          <w:szCs w:val="14"/>
          <w:b w:val="1"/>
          <w:bCs w:val="1"/>
          <w:color w:val="auto"/>
        </w:rPr>
        <w:t>Additional 2004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-132080</wp:posOffset>
            </wp:positionH>
            <wp:positionV relativeFrom="paragraph">
              <wp:posOffset>57785</wp:posOffset>
            </wp:positionV>
            <wp:extent cx="288163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881630" cy="8890"/>
                    </a:xfrm>
                    <a:prstGeom prst="rect">
                      <a:avLst/>
                    </a:prstGeom>
                    <a:noFill/>
                  </pic:spPr>
                </pic:pic>
              </a:graphicData>
            </a:graphic>
          </wp:anchor>
        </w:drawing>
      </w:r>
    </w:p>
    <w:p>
      <w:pPr>
        <w:spacing w:after="0" w:line="138" w:lineRule="exact"/>
        <w:rPr>
          <w:sz w:val="20"/>
          <w:szCs w:val="20"/>
          <w:color w:val="auto"/>
        </w:rPr>
      </w:pPr>
    </w:p>
    <w:p>
      <w:pPr>
        <w:ind w:left="360" w:right="900" w:hanging="355"/>
        <w:spacing w:after="0" w:line="258" w:lineRule="auto"/>
        <w:tabs>
          <w:tab w:leader="none" w:pos="3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Additional development and market research activities No new phase 3 trials planned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425" w:lineRule="exact"/>
        <w:rPr>
          <w:sz w:val="20"/>
          <w:szCs w:val="20"/>
          <w:color w:val="auto"/>
        </w:rPr>
      </w:pPr>
    </w:p>
    <w:p>
      <w:pPr>
        <w:sectPr>
          <w:pgSz w:w="11900" w:h="16838" w:orient="portrait"/>
          <w:cols w:equalWidth="0" w:num="2">
            <w:col w:w="5740" w:space="500"/>
            <w:col w:w="5180"/>
          </w:cols>
          <w:pgMar w:left="240" w:top="419" w:right="239" w:bottom="1440" w:gutter="0" w:footer="0" w:header="0"/>
          <w:type w:val="continuous"/>
        </w:sectPr>
      </w:pP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 2004 and 2003</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9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Revenues in the three months ended March 31, 2004 and 2003 consist of the following:</w:t>
      </w:r>
    </w:p>
    <w:p>
      <w:pPr>
        <w:spacing w:after="0" w:line="392" w:lineRule="exact"/>
        <w:rPr>
          <w:sz w:val="20"/>
          <w:szCs w:val="20"/>
          <w:color w:val="auto"/>
        </w:rPr>
      </w:pPr>
    </w:p>
    <w:tbl>
      <w:tblPr>
        <w:tblLayout w:type="fixed"/>
        <w:tblInd w:w="200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6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6"/>
          </w:tcPr>
          <w:p>
            <w:pPr>
              <w:jc w:val="right"/>
              <w:ind w:right="280"/>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6060" w:type="dxa"/>
            <w:vAlign w:val="bottom"/>
          </w:tcPr>
          <w:p>
            <w:pPr>
              <w:spacing w:after="0"/>
              <w:rPr>
                <w:sz w:val="4"/>
                <w:szCs w:val="4"/>
                <w:color w:val="auto"/>
              </w:rPr>
            </w:pPr>
          </w:p>
        </w:tc>
        <w:tc>
          <w:tcPr>
            <w:tcW w:w="140" w:type="dxa"/>
            <w:vAlign w:val="bottom"/>
            <w:tcBorders>
              <w:bottom w:val="single" w:sz="8" w:color="808080"/>
            </w:tcBorders>
          </w:tcPr>
          <w:p>
            <w:pPr>
              <w:spacing w:after="0"/>
              <w:rPr>
                <w:sz w:val="4"/>
                <w:szCs w:val="4"/>
                <w:color w:val="auto"/>
              </w:rPr>
            </w:pPr>
          </w:p>
        </w:tc>
        <w:tc>
          <w:tcPr>
            <w:tcW w:w="320" w:type="dxa"/>
            <w:vAlign w:val="bottom"/>
            <w:tcBorders>
              <w:bottom w:val="single" w:sz="8" w:color="808080"/>
            </w:tcBorders>
          </w:tcPr>
          <w:p>
            <w:pPr>
              <w:spacing w:after="0"/>
              <w:rPr>
                <w:sz w:val="4"/>
                <w:szCs w:val="4"/>
                <w:color w:val="auto"/>
              </w:rPr>
            </w:pPr>
          </w:p>
        </w:tc>
        <w:tc>
          <w:tcPr>
            <w:tcW w:w="140" w:type="dxa"/>
            <w:vAlign w:val="bottom"/>
            <w:tcBorders>
              <w:bottom w:val="single" w:sz="8" w:color="808080"/>
            </w:tcBorders>
          </w:tcPr>
          <w:p>
            <w:pPr>
              <w:spacing w:after="0"/>
              <w:rPr>
                <w:sz w:val="4"/>
                <w:szCs w:val="4"/>
                <w:color w:val="auto"/>
              </w:rPr>
            </w:pPr>
          </w:p>
        </w:tc>
        <w:tc>
          <w:tcPr>
            <w:tcW w:w="340" w:type="dxa"/>
            <w:vAlign w:val="bottom"/>
            <w:tcBorders>
              <w:bottom w:val="single" w:sz="8" w:color="808080"/>
            </w:tcBorders>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6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4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2004</w:t>
            </w:r>
          </w:p>
        </w:tc>
        <w:tc>
          <w:tcPr>
            <w:tcW w:w="140" w:type="dxa"/>
            <w:vAlign w:val="bottom"/>
          </w:tcPr>
          <w:p>
            <w:pPr>
              <w:spacing w:after="0"/>
              <w:rPr>
                <w:sz w:val="20"/>
                <w:szCs w:val="20"/>
                <w:color w:val="auto"/>
              </w:rPr>
            </w:pPr>
          </w:p>
        </w:tc>
        <w:tc>
          <w:tcPr>
            <w:tcW w:w="74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rPr>
              <w:t>2003</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6060" w:type="dxa"/>
            <w:vAlign w:val="bottom"/>
          </w:tcPr>
          <w:p>
            <w:pPr>
              <w:spacing w:after="0"/>
              <w:rPr>
                <w:sz w:val="4"/>
                <w:szCs w:val="4"/>
                <w:color w:val="auto"/>
              </w:rPr>
            </w:pPr>
          </w:p>
        </w:tc>
        <w:tc>
          <w:tcPr>
            <w:tcW w:w="140" w:type="dxa"/>
            <w:vAlign w:val="bottom"/>
            <w:tcBorders>
              <w:bottom w:val="single" w:sz="8" w:color="808080"/>
            </w:tcBorders>
          </w:tcPr>
          <w:p>
            <w:pPr>
              <w:spacing w:after="0"/>
              <w:rPr>
                <w:sz w:val="4"/>
                <w:szCs w:val="4"/>
                <w:color w:val="auto"/>
              </w:rPr>
            </w:pPr>
          </w:p>
        </w:tc>
        <w:tc>
          <w:tcPr>
            <w:tcW w:w="320" w:type="dxa"/>
            <w:vAlign w:val="bottom"/>
            <w:tcBorders>
              <w:bottom w:val="single" w:sz="8" w:color="808080"/>
            </w:tcBorders>
          </w:tcPr>
          <w:p>
            <w:pPr>
              <w:spacing w:after="0"/>
              <w:rPr>
                <w:sz w:val="4"/>
                <w:szCs w:val="4"/>
                <w:color w:val="auto"/>
              </w:rPr>
            </w:pPr>
          </w:p>
        </w:tc>
        <w:tc>
          <w:tcPr>
            <w:tcW w:w="140" w:type="dxa"/>
            <w:vAlign w:val="bottom"/>
            <w:tcBorders>
              <w:bottom w:val="single" w:sz="8" w:color="808080"/>
            </w:tcBorders>
          </w:tcPr>
          <w:p>
            <w:pPr>
              <w:spacing w:after="0"/>
              <w:rPr>
                <w:sz w:val="4"/>
                <w:szCs w:val="4"/>
                <w:color w:val="auto"/>
              </w:rPr>
            </w:pPr>
          </w:p>
        </w:tc>
        <w:tc>
          <w:tcPr>
            <w:tcW w:w="340" w:type="dxa"/>
            <w:vAlign w:val="bottom"/>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6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6060" w:type="dxa"/>
            <w:vAlign w:val="bottom"/>
          </w:tcPr>
          <w:p>
            <w:pPr>
              <w:spacing w:after="0"/>
              <w:rPr>
                <w:sz w:val="6"/>
                <w:szCs w:val="6"/>
                <w:color w:val="auto"/>
              </w:rPr>
            </w:pPr>
          </w:p>
        </w:tc>
        <w:tc>
          <w:tcPr>
            <w:tcW w:w="14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EEEEEE"/>
          </w:tcPr>
          <w:p>
            <w:pPr>
              <w:spacing w:after="0"/>
              <w:rPr>
                <w:sz w:val="20"/>
                <w:szCs w:val="20"/>
                <w:color w:val="auto"/>
              </w:rPr>
            </w:pPr>
            <w:r>
              <w:rPr>
                <w:rFonts w:ascii="Arial" w:cs="Arial" w:eastAsia="Arial" w:hAnsi="Arial"/>
                <w:sz w:val="18"/>
                <w:szCs w:val="18"/>
                <w:color w:val="auto"/>
              </w:rPr>
              <w:t>Contract research &amp; development revenue</w:t>
            </w:r>
          </w:p>
        </w:tc>
        <w:tc>
          <w:tcPr>
            <w:tcW w:w="1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20"/>
              <w:spacing w:after="0"/>
              <w:rPr>
                <w:sz w:val="20"/>
                <w:szCs w:val="20"/>
                <w:color w:val="auto"/>
              </w:rPr>
            </w:pPr>
            <w:r>
              <w:rPr>
                <w:rFonts w:ascii="Arial" w:cs="Arial" w:eastAsia="Arial" w:hAnsi="Arial"/>
                <w:sz w:val="18"/>
                <w:szCs w:val="18"/>
                <w:color w:val="auto"/>
              </w:rPr>
              <w:t>Aventis</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w w:val="97"/>
              </w:rPr>
              <w:t>$16.4</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gridSpan w:val="3"/>
          </w:tcPr>
          <w:p>
            <w:pPr>
              <w:jc w:val="right"/>
              <w:ind w:right="60"/>
              <w:spacing w:after="0"/>
              <w:rPr>
                <w:sz w:val="20"/>
                <w:szCs w:val="20"/>
                <w:color w:val="auto"/>
              </w:rPr>
            </w:pPr>
            <w:r>
              <w:rPr>
                <w:rFonts w:ascii="Arial" w:cs="Arial" w:eastAsia="Arial" w:hAnsi="Arial"/>
                <w:sz w:val="18"/>
                <w:szCs w:val="18"/>
                <w:color w:val="auto"/>
                <w:w w:val="96"/>
              </w:rPr>
              <w:t>$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EEEEEE"/>
          </w:tcPr>
          <w:p>
            <w:pPr>
              <w:ind w:left="120"/>
              <w:spacing w:after="0"/>
              <w:rPr>
                <w:sz w:val="20"/>
                <w:szCs w:val="20"/>
                <w:color w:val="auto"/>
              </w:rPr>
            </w:pPr>
            <w:r>
              <w:rPr>
                <w:rFonts w:ascii="Arial" w:cs="Arial" w:eastAsia="Arial" w:hAnsi="Arial"/>
                <w:sz w:val="18"/>
                <w:szCs w:val="18"/>
                <w:color w:val="auto"/>
              </w:rPr>
              <w:t>Novartis</w:t>
            </w:r>
          </w:p>
        </w:tc>
        <w:tc>
          <w:tcPr>
            <w:tcW w:w="4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22.1</w:t>
            </w:r>
          </w:p>
        </w:tc>
        <w:tc>
          <w:tcPr>
            <w:tcW w:w="140" w:type="dxa"/>
            <w:vAlign w:val="bottom"/>
            <w:shd w:val="clear" w:color="auto" w:fill="EEEEEE"/>
          </w:tcPr>
          <w:p>
            <w:pPr>
              <w:spacing w:after="0"/>
              <w:rPr>
                <w:sz w:val="18"/>
                <w:szCs w:val="18"/>
                <w:color w:val="auto"/>
              </w:rPr>
            </w:pPr>
          </w:p>
        </w:tc>
        <w:tc>
          <w:tcPr>
            <w:tcW w:w="6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6.5</w:t>
            </w:r>
          </w:p>
        </w:tc>
        <w:tc>
          <w:tcPr>
            <w:tcW w:w="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20"/>
              <w:spacing w:after="0"/>
              <w:rPr>
                <w:sz w:val="20"/>
                <w:szCs w:val="20"/>
                <w:color w:val="auto"/>
              </w:rPr>
            </w:pPr>
            <w:r>
              <w:rPr>
                <w:rFonts w:ascii="Arial" w:cs="Arial" w:eastAsia="Arial" w:hAnsi="Arial"/>
                <w:sz w:val="18"/>
                <w:szCs w:val="18"/>
                <w:color w:val="auto"/>
              </w:rPr>
              <w:t>Procter &amp; Gamble</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14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2.6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EEEEEE"/>
          </w:tcPr>
          <w:p>
            <w:pPr>
              <w:ind w:left="120"/>
              <w:spacing w:after="0"/>
              <w:rPr>
                <w:sz w:val="20"/>
                <w:szCs w:val="20"/>
                <w:color w:val="auto"/>
              </w:rPr>
            </w:pPr>
            <w:r>
              <w:rPr>
                <w:rFonts w:ascii="Arial" w:cs="Arial" w:eastAsia="Arial" w:hAnsi="Arial"/>
                <w:sz w:val="18"/>
                <w:szCs w:val="18"/>
                <w:color w:val="auto"/>
              </w:rPr>
              <w:t>Other</w:t>
            </w:r>
          </w:p>
        </w:tc>
        <w:tc>
          <w:tcPr>
            <w:tcW w:w="140" w:type="dxa"/>
            <w:vAlign w:val="bottom"/>
            <w:shd w:val="clear" w:color="auto" w:fill="EEEEEE"/>
          </w:tcPr>
          <w:p>
            <w:pPr>
              <w:spacing w:after="0"/>
              <w:rPr>
                <w:sz w:val="18"/>
                <w:szCs w:val="18"/>
                <w:color w:val="auto"/>
              </w:rPr>
            </w:pPr>
          </w:p>
        </w:tc>
        <w:tc>
          <w:tcPr>
            <w:tcW w:w="32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0.4</w:t>
            </w:r>
          </w:p>
        </w:tc>
        <w:tc>
          <w:tcPr>
            <w:tcW w:w="140" w:type="dxa"/>
            <w:vAlign w:val="bottom"/>
            <w:shd w:val="clear" w:color="auto" w:fill="EEEEEE"/>
          </w:tcPr>
          <w:p>
            <w:pPr>
              <w:spacing w:after="0"/>
              <w:rPr>
                <w:sz w:val="18"/>
                <w:szCs w:val="18"/>
                <w:color w:val="auto"/>
              </w:rPr>
            </w:pPr>
          </w:p>
        </w:tc>
        <w:tc>
          <w:tcPr>
            <w:tcW w:w="440" w:type="dxa"/>
            <w:vAlign w:val="bottom"/>
            <w:gridSpan w:val="2"/>
            <w:shd w:val="clear" w:color="auto" w:fill="EEEEEE"/>
          </w:tcPr>
          <w:p>
            <w:pPr>
              <w:spacing w:after="0"/>
              <w:rPr>
                <w:sz w:val="18"/>
                <w:szCs w:val="18"/>
                <w:color w:val="auto"/>
              </w:rPr>
            </w:pPr>
          </w:p>
        </w:tc>
        <w:tc>
          <w:tcPr>
            <w:tcW w:w="24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w w:val="87"/>
              </w:rPr>
              <w:t>0.1</w:t>
            </w:r>
          </w:p>
        </w:tc>
        <w:tc>
          <w:tcPr>
            <w:tcW w:w="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060" w:type="dxa"/>
            <w:vAlign w:val="bottom"/>
          </w:tcPr>
          <w:p>
            <w:pPr>
              <w:ind w:left="260"/>
              <w:spacing w:after="0"/>
              <w:rPr>
                <w:sz w:val="20"/>
                <w:szCs w:val="20"/>
                <w:color w:val="auto"/>
              </w:rPr>
            </w:pPr>
            <w:r>
              <w:rPr>
                <w:rFonts w:ascii="Arial" w:cs="Arial" w:eastAsia="Arial" w:hAnsi="Arial"/>
                <w:sz w:val="18"/>
                <w:szCs w:val="18"/>
                <w:color w:val="auto"/>
              </w:rPr>
              <w:t>Total contract research &amp; development revenue</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41.6</w:t>
            </w:r>
          </w:p>
        </w:tc>
        <w:tc>
          <w:tcPr>
            <w:tcW w:w="140" w:type="dxa"/>
            <w:vAlign w:val="bottom"/>
          </w:tcPr>
          <w:p>
            <w:pPr>
              <w:spacing w:after="0"/>
              <w:rPr>
                <w:sz w:val="20"/>
                <w:szCs w:val="20"/>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9.2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EEEEEE"/>
          </w:tcPr>
          <w:p>
            <w:pPr>
              <w:spacing w:after="0"/>
              <w:rPr>
                <w:sz w:val="20"/>
                <w:szCs w:val="20"/>
                <w:color w:val="auto"/>
              </w:rPr>
            </w:pPr>
            <w:r>
              <w:rPr>
                <w:rFonts w:ascii="Arial" w:cs="Arial" w:eastAsia="Arial" w:hAnsi="Arial"/>
                <w:sz w:val="18"/>
                <w:szCs w:val="18"/>
                <w:color w:val="auto"/>
              </w:rPr>
              <w:t>Research progress payment</w:t>
            </w:r>
          </w:p>
        </w:tc>
        <w:tc>
          <w:tcPr>
            <w:tcW w:w="4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17.8</w:t>
            </w:r>
          </w:p>
        </w:tc>
        <w:tc>
          <w:tcPr>
            <w:tcW w:w="1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30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Contract manufacturing revenue</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14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0.7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top w:val="single" w:sz="8" w:color="808080"/>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80808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6060" w:type="dxa"/>
            <w:vAlign w:val="bottom"/>
            <w:shd w:val="clear" w:color="auto" w:fill="EEEEEE"/>
          </w:tcPr>
          <w:p>
            <w:pPr>
              <w:ind w:left="260"/>
              <w:spacing w:after="0"/>
              <w:rPr>
                <w:sz w:val="20"/>
                <w:szCs w:val="20"/>
                <w:color w:val="auto"/>
              </w:rPr>
            </w:pPr>
            <w:r>
              <w:rPr>
                <w:rFonts w:ascii="Arial" w:cs="Arial" w:eastAsia="Arial" w:hAnsi="Arial"/>
                <w:sz w:val="18"/>
                <w:szCs w:val="18"/>
                <w:color w:val="auto"/>
              </w:rPr>
              <w:t>Total revenue</w:t>
            </w:r>
          </w:p>
        </w:tc>
        <w:tc>
          <w:tcPr>
            <w:tcW w:w="4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w w:val="97"/>
              </w:rPr>
              <w:t>$62.0</w:t>
            </w:r>
          </w:p>
        </w:tc>
        <w:tc>
          <w:tcPr>
            <w:tcW w:w="140" w:type="dxa"/>
            <w:vAlign w:val="bottom"/>
            <w:shd w:val="clear" w:color="auto" w:fill="EEEEEE"/>
          </w:tcPr>
          <w:p>
            <w:pPr>
              <w:spacing w:after="0"/>
              <w:rPr>
                <w:sz w:val="18"/>
                <w:szCs w:val="18"/>
                <w:color w:val="auto"/>
              </w:rPr>
            </w:pPr>
          </w:p>
        </w:tc>
        <w:tc>
          <w:tcPr>
            <w:tcW w:w="6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$9.9</w:t>
            </w:r>
          </w:p>
        </w:tc>
        <w:tc>
          <w:tcPr>
            <w:tcW w:w="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060" w:type="dxa"/>
            <w:vAlign w:val="bottom"/>
            <w:tcBorders>
              <w:top w:val="single" w:sz="8" w:color="EEEEEE"/>
            </w:tcBorders>
          </w:tcPr>
          <w:p>
            <w:pPr>
              <w:spacing w:after="0"/>
              <w:rPr>
                <w:sz w:val="3"/>
                <w:szCs w:val="3"/>
                <w:color w:val="auto"/>
              </w:rPr>
            </w:pPr>
          </w:p>
        </w:tc>
        <w:tc>
          <w:tcPr>
            <w:tcW w:w="140" w:type="dxa"/>
            <w:vAlign w:val="bottom"/>
            <w:tcBorders>
              <w:top w:val="single" w:sz="8" w:color="EEEEEE"/>
            </w:tcBorders>
          </w:tcPr>
          <w:p>
            <w:pPr>
              <w:spacing w:after="0"/>
              <w:rPr>
                <w:sz w:val="3"/>
                <w:szCs w:val="3"/>
                <w:color w:val="auto"/>
              </w:rPr>
            </w:pPr>
          </w:p>
        </w:tc>
        <w:tc>
          <w:tcPr>
            <w:tcW w:w="320" w:type="dxa"/>
            <w:vAlign w:val="bottom"/>
            <w:tcBorders>
              <w:top w:val="single" w:sz="8" w:color="808080"/>
            </w:tcBorders>
            <w:shd w:val="clear" w:color="auto" w:fill="808080"/>
          </w:tcPr>
          <w:p>
            <w:pPr>
              <w:spacing w:after="0"/>
              <w:rPr>
                <w:sz w:val="3"/>
                <w:szCs w:val="3"/>
                <w:color w:val="auto"/>
              </w:rPr>
            </w:pPr>
          </w:p>
        </w:tc>
        <w:tc>
          <w:tcPr>
            <w:tcW w:w="140" w:type="dxa"/>
            <w:vAlign w:val="bottom"/>
            <w:tcBorders>
              <w:top w:val="single" w:sz="8" w:color="EEEEEE"/>
            </w:tcBorders>
          </w:tcPr>
          <w:p>
            <w:pPr>
              <w:spacing w:after="0"/>
              <w:rPr>
                <w:sz w:val="3"/>
                <w:szCs w:val="3"/>
                <w:color w:val="auto"/>
              </w:rPr>
            </w:pPr>
          </w:p>
        </w:tc>
        <w:tc>
          <w:tcPr>
            <w:tcW w:w="340" w:type="dxa"/>
            <w:vAlign w:val="bottom"/>
            <w:tcBorders>
              <w:top w:val="single" w:sz="8" w:color="EEEEEE"/>
            </w:tcBorders>
          </w:tcPr>
          <w:p>
            <w:pPr>
              <w:spacing w:after="0"/>
              <w:rPr>
                <w:sz w:val="3"/>
                <w:szCs w:val="3"/>
                <w:color w:val="auto"/>
              </w:rPr>
            </w:pPr>
          </w:p>
        </w:tc>
        <w:tc>
          <w:tcPr>
            <w:tcW w:w="100" w:type="dxa"/>
            <w:vAlign w:val="bottom"/>
            <w:tcBorders>
              <w:top w:val="single" w:sz="8" w:color="EEEEEE"/>
            </w:tcBorders>
          </w:tcPr>
          <w:p>
            <w:pPr>
              <w:spacing w:after="0"/>
              <w:rPr>
                <w:sz w:val="3"/>
                <w:szCs w:val="3"/>
                <w:color w:val="auto"/>
              </w:rPr>
            </w:pPr>
          </w:p>
        </w:tc>
        <w:tc>
          <w:tcPr>
            <w:tcW w:w="240" w:type="dxa"/>
            <w:vAlign w:val="bottom"/>
            <w:tcBorders>
              <w:top w:val="single" w:sz="8" w:color="808080"/>
            </w:tcBorders>
            <w:shd w:val="clear" w:color="auto" w:fill="808080"/>
          </w:tcPr>
          <w:p>
            <w:pPr>
              <w:spacing w:after="0"/>
              <w:rPr>
                <w:sz w:val="3"/>
                <w:szCs w:val="3"/>
                <w:color w:val="auto"/>
              </w:rPr>
            </w:pPr>
          </w:p>
        </w:tc>
        <w:tc>
          <w:tcPr>
            <w:tcW w:w="60" w:type="dxa"/>
            <w:vAlign w:val="bottom"/>
            <w:tcBorders>
              <w:top w:val="single" w:sz="8" w:color="EEEEEE"/>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185" w:lineRule="exact"/>
        <w:rPr>
          <w:sz w:val="20"/>
          <w:szCs w:val="20"/>
          <w:color w:val="auto"/>
        </w:rPr>
      </w:pPr>
    </w:p>
    <w:p>
      <w:pPr>
        <w:ind w:firstLine="225"/>
        <w:spacing w:after="0" w:line="254" w:lineRule="auto"/>
        <w:rPr>
          <w:sz w:val="20"/>
          <w:szCs w:val="20"/>
          <w:color w:val="auto"/>
        </w:rPr>
      </w:pPr>
      <w:r>
        <w:rPr>
          <w:rFonts w:ascii="Arial" w:cs="Arial" w:eastAsia="Arial" w:hAnsi="Arial"/>
          <w:sz w:val="18"/>
          <w:szCs w:val="18"/>
          <w:color w:val="auto"/>
        </w:rPr>
        <w:t xml:space="preserve">Our total revenue increased to $62.0 million in the first quarter of 2004 from $9.9 million for the same period in 2003 primarily from revenue related to our collaboration with Aventis on the VEGF Trap, which commenced in September 2003, and our collaboration with Novartis on the IL-1 Trap, which commenced in March 2003. Contract research and development revenue from collaborators for the first quarter of 2004, as detailed below, consists partly of reimbursement for research and development expenses and partly of the recognition of revenue related to non-refundable, up-front payments. Non-refundable, up-front payments are recorded as deferred revenue and recognized ratably over the period over which we are obligated to perform services in accordance with Staff Accounting Bulletin No. 104, </w:t>
      </w:r>
      <w:r>
        <w:rPr>
          <w:rFonts w:ascii="Arial" w:cs="Arial" w:eastAsia="Arial" w:hAnsi="Arial"/>
          <w:sz w:val="18"/>
          <w:szCs w:val="18"/>
          <w:i w:val="1"/>
          <w:iCs w:val="1"/>
          <w:color w:val="auto"/>
        </w:rPr>
        <w:t>Revenue Recognition</w:t>
      </w:r>
      <w:r>
        <w:rPr>
          <w:rFonts w:ascii="Arial" w:cs="Arial" w:eastAsia="Arial" w:hAnsi="Arial"/>
          <w:sz w:val="18"/>
          <w:szCs w:val="18"/>
          <w:color w:val="auto"/>
        </w:rPr>
        <w:t xml:space="preserve"> (SAB 104). In the first quarter of 2004, Novartis provided notice of its intention not to proceed with the joint development of the IL-1 Trap and the remaining balance of the March 2003 $27.0 million up-front payment from Novartis was recognized as contract research and development revenue.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20" w:name="page21"/>
    <w:bookmarkEnd w:id="2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05" w:lineRule="exact"/>
        <w:rPr>
          <w:sz w:val="20"/>
          <w:szCs w:val="20"/>
          <w:color w:val="auto"/>
        </w:rPr>
      </w:pPr>
    </w:p>
    <w:tbl>
      <w:tblPr>
        <w:tblLayout w:type="fixed"/>
        <w:tblInd w:w="20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0" w:type="dxa"/>
            <w:vAlign w:val="bottom"/>
            <w:gridSpan w:val="11"/>
          </w:tcPr>
          <w:p>
            <w:pPr>
              <w:jc w:val="center"/>
              <w:ind w:right="140"/>
              <w:spacing w:after="0"/>
              <w:rPr>
                <w:sz w:val="20"/>
                <w:szCs w:val="20"/>
                <w:color w:val="auto"/>
              </w:rPr>
            </w:pPr>
            <w:r>
              <w:rPr>
                <w:rFonts w:ascii="Arial" w:cs="Arial" w:eastAsia="Arial" w:hAnsi="Arial"/>
                <w:sz w:val="14"/>
                <w:szCs w:val="14"/>
                <w:b w:val="1"/>
                <w:bCs w:val="1"/>
                <w:color w:val="auto"/>
                <w:w w:val="93"/>
              </w:rPr>
              <w:t>For the three months ended March 31, 2004</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(In millions)</w:t>
            </w: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580" w:type="dxa"/>
            <w:vAlign w:val="bottom"/>
          </w:tcPr>
          <w:p>
            <w:pPr>
              <w:spacing w:after="0"/>
              <w:rPr>
                <w:sz w:val="5"/>
                <w:szCs w:val="5"/>
                <w:color w:val="auto"/>
              </w:rPr>
            </w:pPr>
          </w:p>
        </w:tc>
        <w:tc>
          <w:tcPr>
            <w:tcW w:w="240" w:type="dxa"/>
            <w:vAlign w:val="bottom"/>
            <w:tcBorders>
              <w:bottom w:val="single" w:sz="8" w:color="808080"/>
            </w:tcBorders>
          </w:tcPr>
          <w:p>
            <w:pPr>
              <w:spacing w:after="0"/>
              <w:rPr>
                <w:sz w:val="5"/>
                <w:szCs w:val="5"/>
                <w:color w:val="auto"/>
              </w:rPr>
            </w:pPr>
          </w:p>
        </w:tc>
        <w:tc>
          <w:tcPr>
            <w:tcW w:w="400" w:type="dxa"/>
            <w:vAlign w:val="bottom"/>
            <w:tcBorders>
              <w:bottom w:val="single" w:sz="8" w:color="808080"/>
            </w:tcBorders>
          </w:tcPr>
          <w:p>
            <w:pPr>
              <w:spacing w:after="0"/>
              <w:rPr>
                <w:sz w:val="5"/>
                <w:szCs w:val="5"/>
                <w:color w:val="auto"/>
              </w:rPr>
            </w:pPr>
          </w:p>
        </w:tc>
        <w:tc>
          <w:tcPr>
            <w:tcW w:w="180" w:type="dxa"/>
            <w:vAlign w:val="bottom"/>
            <w:tcBorders>
              <w:bottom w:val="single" w:sz="8" w:color="808080"/>
            </w:tcBorders>
          </w:tcPr>
          <w:p>
            <w:pPr>
              <w:spacing w:after="0"/>
              <w:rPr>
                <w:sz w:val="5"/>
                <w:szCs w:val="5"/>
                <w:color w:val="auto"/>
              </w:rPr>
            </w:pPr>
          </w:p>
        </w:tc>
        <w:tc>
          <w:tcPr>
            <w:tcW w:w="180" w:type="dxa"/>
            <w:vAlign w:val="bottom"/>
            <w:tcBorders>
              <w:bottom w:val="single" w:sz="8" w:color="808080"/>
            </w:tcBorders>
          </w:tcPr>
          <w:p>
            <w:pPr>
              <w:spacing w:after="0"/>
              <w:rPr>
                <w:sz w:val="5"/>
                <w:szCs w:val="5"/>
                <w:color w:val="auto"/>
              </w:rPr>
            </w:pPr>
          </w:p>
        </w:tc>
        <w:tc>
          <w:tcPr>
            <w:tcW w:w="280" w:type="dxa"/>
            <w:vAlign w:val="bottom"/>
            <w:tcBorders>
              <w:bottom w:val="single" w:sz="8" w:color="808080"/>
            </w:tcBorders>
          </w:tcPr>
          <w:p>
            <w:pPr>
              <w:spacing w:after="0"/>
              <w:rPr>
                <w:sz w:val="5"/>
                <w:szCs w:val="5"/>
                <w:color w:val="auto"/>
              </w:rPr>
            </w:pPr>
          </w:p>
        </w:tc>
        <w:tc>
          <w:tcPr>
            <w:tcW w:w="340" w:type="dxa"/>
            <w:vAlign w:val="bottom"/>
            <w:tcBorders>
              <w:bottom w:val="single" w:sz="8" w:color="808080"/>
            </w:tcBorders>
          </w:tcPr>
          <w:p>
            <w:pPr>
              <w:spacing w:after="0"/>
              <w:rPr>
                <w:sz w:val="5"/>
                <w:szCs w:val="5"/>
                <w:color w:val="auto"/>
              </w:rPr>
            </w:pPr>
          </w:p>
        </w:tc>
        <w:tc>
          <w:tcPr>
            <w:tcW w:w="320" w:type="dxa"/>
            <w:vAlign w:val="bottom"/>
            <w:tcBorders>
              <w:bottom w:val="single" w:sz="8" w:color="808080"/>
            </w:tcBorders>
          </w:tcPr>
          <w:p>
            <w:pPr>
              <w:spacing w:after="0"/>
              <w:rPr>
                <w:sz w:val="5"/>
                <w:szCs w:val="5"/>
                <w:color w:val="auto"/>
              </w:rPr>
            </w:pPr>
          </w:p>
        </w:tc>
        <w:tc>
          <w:tcPr>
            <w:tcW w:w="180" w:type="dxa"/>
            <w:vAlign w:val="bottom"/>
            <w:tcBorders>
              <w:bottom w:val="single" w:sz="8" w:color="808080"/>
            </w:tcBorders>
          </w:tcPr>
          <w:p>
            <w:pPr>
              <w:spacing w:after="0"/>
              <w:rPr>
                <w:sz w:val="5"/>
                <w:szCs w:val="5"/>
                <w:color w:val="auto"/>
              </w:rPr>
            </w:pPr>
          </w:p>
        </w:tc>
        <w:tc>
          <w:tcPr>
            <w:tcW w:w="100" w:type="dxa"/>
            <w:vAlign w:val="bottom"/>
            <w:tcBorders>
              <w:bottom w:val="single" w:sz="8" w:color="808080"/>
            </w:tcBorders>
          </w:tcPr>
          <w:p>
            <w:pPr>
              <w:spacing w:after="0"/>
              <w:rPr>
                <w:sz w:val="5"/>
                <w:szCs w:val="5"/>
                <w:color w:val="auto"/>
              </w:rPr>
            </w:pPr>
          </w:p>
        </w:tc>
        <w:tc>
          <w:tcPr>
            <w:tcW w:w="300" w:type="dxa"/>
            <w:vAlign w:val="bottom"/>
            <w:tcBorders>
              <w:bottom w:val="single" w:sz="8" w:color="808080"/>
            </w:tcBorders>
          </w:tcPr>
          <w:p>
            <w:pPr>
              <w:spacing w:after="0"/>
              <w:rPr>
                <w:sz w:val="5"/>
                <w:szCs w:val="5"/>
                <w:color w:val="auto"/>
              </w:rPr>
            </w:pPr>
          </w:p>
        </w:tc>
        <w:tc>
          <w:tcPr>
            <w:tcW w:w="320" w:type="dxa"/>
            <w:vAlign w:val="bottom"/>
            <w:tcBorders>
              <w:bottom w:val="single" w:sz="8" w:color="808080"/>
            </w:tcBorders>
          </w:tcPr>
          <w:p>
            <w:pPr>
              <w:spacing w:after="0"/>
              <w:rPr>
                <w:sz w:val="5"/>
                <w:szCs w:val="5"/>
                <w:color w:val="auto"/>
              </w:rPr>
            </w:pPr>
          </w:p>
        </w:tc>
        <w:tc>
          <w:tcPr>
            <w:tcW w:w="460" w:type="dxa"/>
            <w:vAlign w:val="bottom"/>
            <w:tcBorders>
              <w:bottom w:val="single" w:sz="8" w:color="808080"/>
            </w:tcBorders>
          </w:tcPr>
          <w:p>
            <w:pPr>
              <w:spacing w:after="0"/>
              <w:rPr>
                <w:sz w:val="5"/>
                <w:szCs w:val="5"/>
                <w:color w:val="auto"/>
              </w:rPr>
            </w:pPr>
          </w:p>
        </w:tc>
        <w:tc>
          <w:tcPr>
            <w:tcW w:w="180" w:type="dxa"/>
            <w:vAlign w:val="bottom"/>
            <w:tcBorders>
              <w:bottom w:val="single" w:sz="8" w:color="808080"/>
            </w:tcBorders>
          </w:tcPr>
          <w:p>
            <w:pPr>
              <w:spacing w:after="0"/>
              <w:rPr>
                <w:sz w:val="5"/>
                <w:szCs w:val="5"/>
                <w:color w:val="auto"/>
              </w:rPr>
            </w:pPr>
          </w:p>
        </w:tc>
        <w:tc>
          <w:tcPr>
            <w:tcW w:w="400" w:type="dxa"/>
            <w:vAlign w:val="bottom"/>
            <w:tcBorders>
              <w:bottom w:val="single" w:sz="8" w:color="808080"/>
            </w:tcBorders>
          </w:tcPr>
          <w:p>
            <w:pPr>
              <w:spacing w:after="0"/>
              <w:rPr>
                <w:sz w:val="5"/>
                <w:szCs w:val="5"/>
                <w:color w:val="auto"/>
              </w:rPr>
            </w:pPr>
          </w:p>
        </w:tc>
        <w:tc>
          <w:tcPr>
            <w:tcW w:w="320" w:type="dxa"/>
            <w:vAlign w:val="bottom"/>
            <w:tcBorders>
              <w:bottom w:val="single" w:sz="8" w:color="808080"/>
            </w:tcBorders>
          </w:tcPr>
          <w:p>
            <w:pPr>
              <w:spacing w:after="0"/>
              <w:rPr>
                <w:sz w:val="5"/>
                <w:szCs w:val="5"/>
                <w:color w:val="auto"/>
              </w:rPr>
            </w:pPr>
          </w:p>
        </w:tc>
        <w:tc>
          <w:tcPr>
            <w:tcW w:w="480" w:type="dxa"/>
            <w:vAlign w:val="bottom"/>
            <w:tcBorders>
              <w:bottom w:val="single" w:sz="8" w:color="808080"/>
            </w:tcBorders>
          </w:tcPr>
          <w:p>
            <w:pPr>
              <w:spacing w:after="0"/>
              <w:rPr>
                <w:sz w:val="5"/>
                <w:szCs w:val="5"/>
                <w:color w:val="auto"/>
              </w:rPr>
            </w:pPr>
          </w:p>
        </w:tc>
        <w:tc>
          <w:tcPr>
            <w:tcW w:w="160" w:type="dxa"/>
            <w:vAlign w:val="bottom"/>
            <w:tcBorders>
              <w:bottom w:val="single" w:sz="8" w:color="808080"/>
            </w:tcBorders>
          </w:tcPr>
          <w:p>
            <w:pPr>
              <w:spacing w:after="0"/>
              <w:rPr>
                <w:sz w:val="5"/>
                <w:szCs w:val="5"/>
                <w:color w:val="auto"/>
              </w:rPr>
            </w:pPr>
          </w:p>
        </w:tc>
        <w:tc>
          <w:tcPr>
            <w:tcW w:w="300" w:type="dxa"/>
            <w:vAlign w:val="bottom"/>
            <w:tcBorders>
              <w:bottom w:val="single" w:sz="8" w:color="808080"/>
            </w:tcBorders>
          </w:tcPr>
          <w:p>
            <w:pPr>
              <w:spacing w:after="0"/>
              <w:rPr>
                <w:sz w:val="5"/>
                <w:szCs w:val="5"/>
                <w:color w:val="auto"/>
              </w:rPr>
            </w:pPr>
          </w:p>
        </w:tc>
        <w:tc>
          <w:tcPr>
            <w:tcW w:w="340" w:type="dxa"/>
            <w:vAlign w:val="bottom"/>
            <w:tcBorders>
              <w:bottom w:val="single" w:sz="8" w:color="808080"/>
            </w:tcBorders>
          </w:tcPr>
          <w:p>
            <w:pPr>
              <w:spacing w:after="0"/>
              <w:rPr>
                <w:sz w:val="5"/>
                <w:szCs w:val="5"/>
                <w:color w:val="auto"/>
              </w:rPr>
            </w:pPr>
          </w:p>
        </w:tc>
        <w:tc>
          <w:tcPr>
            <w:tcW w:w="34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5"/>
          </w:tcPr>
          <w:p>
            <w:pPr>
              <w:ind w:left="80"/>
              <w:spacing w:after="0"/>
              <w:rPr>
                <w:sz w:val="20"/>
                <w:szCs w:val="20"/>
                <w:color w:val="auto"/>
              </w:rPr>
            </w:pPr>
            <w:r>
              <w:rPr>
                <w:rFonts w:ascii="Arial" w:cs="Arial" w:eastAsia="Arial" w:hAnsi="Arial"/>
                <w:sz w:val="14"/>
                <w:szCs w:val="14"/>
                <w:b w:val="1"/>
                <w:bCs w:val="1"/>
                <w:color w:val="auto"/>
                <w:w w:val="95"/>
              </w:rPr>
              <w:t>Up-front Payment</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580" w:type="dxa"/>
            <w:vAlign w:val="bottom"/>
          </w:tcPr>
          <w:p>
            <w:pPr>
              <w:spacing w:after="0"/>
              <w:rPr>
                <w:sz w:val="5"/>
                <w:szCs w:val="5"/>
                <w:color w:val="auto"/>
              </w:rPr>
            </w:pPr>
          </w:p>
        </w:tc>
        <w:tc>
          <w:tcPr>
            <w:tcW w:w="240" w:type="dxa"/>
            <w:vAlign w:val="bottom"/>
            <w:tcBorders>
              <w:bottom w:val="single" w:sz="8" w:color="808080"/>
            </w:tcBorders>
          </w:tcPr>
          <w:p>
            <w:pPr>
              <w:spacing w:after="0"/>
              <w:rPr>
                <w:sz w:val="5"/>
                <w:szCs w:val="5"/>
                <w:color w:val="auto"/>
              </w:rPr>
            </w:pPr>
          </w:p>
        </w:tc>
        <w:tc>
          <w:tcPr>
            <w:tcW w:w="400" w:type="dxa"/>
            <w:vAlign w:val="bottom"/>
            <w:tcBorders>
              <w:bottom w:val="single" w:sz="8" w:color="808080"/>
            </w:tcBorders>
          </w:tcPr>
          <w:p>
            <w:pPr>
              <w:spacing w:after="0"/>
              <w:rPr>
                <w:sz w:val="5"/>
                <w:szCs w:val="5"/>
                <w:color w:val="auto"/>
              </w:rPr>
            </w:pPr>
          </w:p>
        </w:tc>
        <w:tc>
          <w:tcPr>
            <w:tcW w:w="180" w:type="dxa"/>
            <w:vAlign w:val="bottom"/>
            <w:tcBorders>
              <w:bottom w:val="single" w:sz="8" w:color="808080"/>
            </w:tcBorders>
          </w:tcPr>
          <w:p>
            <w:pPr>
              <w:spacing w:after="0"/>
              <w:rPr>
                <w:sz w:val="5"/>
                <w:szCs w:val="5"/>
                <w:color w:val="auto"/>
              </w:rPr>
            </w:pPr>
          </w:p>
        </w:tc>
        <w:tc>
          <w:tcPr>
            <w:tcW w:w="180" w:type="dxa"/>
            <w:vAlign w:val="bottom"/>
            <w:tcBorders>
              <w:bottom w:val="single" w:sz="8" w:color="808080"/>
            </w:tcBorders>
          </w:tcPr>
          <w:p>
            <w:pPr>
              <w:spacing w:after="0"/>
              <w:rPr>
                <w:sz w:val="5"/>
                <w:szCs w:val="5"/>
                <w:color w:val="auto"/>
              </w:rPr>
            </w:pPr>
          </w:p>
        </w:tc>
        <w:tc>
          <w:tcPr>
            <w:tcW w:w="280" w:type="dxa"/>
            <w:vAlign w:val="bottom"/>
            <w:tcBorders>
              <w:bottom w:val="single" w:sz="8" w:color="808080"/>
            </w:tcBorders>
          </w:tcPr>
          <w:p>
            <w:pPr>
              <w:spacing w:after="0"/>
              <w:rPr>
                <w:sz w:val="5"/>
                <w:szCs w:val="5"/>
                <w:color w:val="auto"/>
              </w:rPr>
            </w:pPr>
          </w:p>
        </w:tc>
        <w:tc>
          <w:tcPr>
            <w:tcW w:w="340" w:type="dxa"/>
            <w:vAlign w:val="bottom"/>
            <w:tcBorders>
              <w:bottom w:val="single" w:sz="8" w:color="808080"/>
            </w:tcBorders>
          </w:tcPr>
          <w:p>
            <w:pPr>
              <w:spacing w:after="0"/>
              <w:rPr>
                <w:sz w:val="5"/>
                <w:szCs w:val="5"/>
                <w:color w:val="auto"/>
              </w:rPr>
            </w:pPr>
          </w:p>
        </w:tc>
        <w:tc>
          <w:tcPr>
            <w:tcW w:w="320" w:type="dxa"/>
            <w:vAlign w:val="bottom"/>
            <w:tcBorders>
              <w:bottom w:val="single" w:sz="8" w:color="808080"/>
            </w:tcBorders>
          </w:tcPr>
          <w:p>
            <w:pPr>
              <w:spacing w:after="0"/>
              <w:rPr>
                <w:sz w:val="5"/>
                <w:szCs w:val="5"/>
                <w:color w:val="auto"/>
              </w:rPr>
            </w:pPr>
          </w:p>
        </w:tc>
        <w:tc>
          <w:tcPr>
            <w:tcW w:w="180" w:type="dxa"/>
            <w:vAlign w:val="bottom"/>
            <w:tcBorders>
              <w:bottom w:val="single" w:sz="8" w:color="808080"/>
            </w:tcBorders>
          </w:tcPr>
          <w:p>
            <w:pPr>
              <w:spacing w:after="0"/>
              <w:rPr>
                <w:sz w:val="5"/>
                <w:szCs w:val="5"/>
                <w:color w:val="auto"/>
              </w:rPr>
            </w:pPr>
          </w:p>
        </w:tc>
        <w:tc>
          <w:tcPr>
            <w:tcW w:w="100" w:type="dxa"/>
            <w:vAlign w:val="bottom"/>
            <w:tcBorders>
              <w:bottom w:val="single" w:sz="8" w:color="808080"/>
            </w:tcBorders>
          </w:tcPr>
          <w:p>
            <w:pPr>
              <w:spacing w:after="0"/>
              <w:rPr>
                <w:sz w:val="5"/>
                <w:szCs w:val="5"/>
                <w:color w:val="auto"/>
              </w:rPr>
            </w:pPr>
          </w:p>
        </w:tc>
        <w:tc>
          <w:tcPr>
            <w:tcW w:w="300" w:type="dxa"/>
            <w:vAlign w:val="bottom"/>
            <w:tcBorders>
              <w:bottom w:val="single" w:sz="8" w:color="808080"/>
            </w:tcBorders>
          </w:tcPr>
          <w:p>
            <w:pPr>
              <w:spacing w:after="0"/>
              <w:rPr>
                <w:sz w:val="5"/>
                <w:szCs w:val="5"/>
                <w:color w:val="auto"/>
              </w:rPr>
            </w:pPr>
          </w:p>
        </w:tc>
        <w:tc>
          <w:tcPr>
            <w:tcW w:w="320" w:type="dxa"/>
            <w:vAlign w:val="bottom"/>
            <w:tcBorders>
              <w:bottom w:val="single" w:sz="8" w:color="808080"/>
            </w:tcBorders>
          </w:tcPr>
          <w:p>
            <w:pPr>
              <w:spacing w:after="0"/>
              <w:rPr>
                <w:sz w:val="5"/>
                <w:szCs w:val="5"/>
                <w:color w:val="auto"/>
              </w:rPr>
            </w:pPr>
          </w:p>
        </w:tc>
        <w:tc>
          <w:tcPr>
            <w:tcW w:w="460" w:type="dxa"/>
            <w:vAlign w:val="bottom"/>
            <w:tcBorders>
              <w:bottom w:val="single" w:sz="8" w:color="808080"/>
            </w:tcBorders>
          </w:tcPr>
          <w:p>
            <w:pPr>
              <w:spacing w:after="0"/>
              <w:rPr>
                <w:sz w:val="5"/>
                <w:szCs w:val="5"/>
                <w:color w:val="auto"/>
              </w:rPr>
            </w:pPr>
          </w:p>
        </w:tc>
        <w:tc>
          <w:tcPr>
            <w:tcW w:w="180" w:type="dxa"/>
            <w:vAlign w:val="bottom"/>
          </w:tcPr>
          <w:p>
            <w:pPr>
              <w:spacing w:after="0"/>
              <w:rPr>
                <w:sz w:val="5"/>
                <w:szCs w:val="5"/>
                <w:color w:val="auto"/>
              </w:rPr>
            </w:pPr>
          </w:p>
        </w:tc>
        <w:tc>
          <w:tcPr>
            <w:tcW w:w="400" w:type="dxa"/>
            <w:vAlign w:val="bottom"/>
          </w:tcPr>
          <w:p>
            <w:pPr>
              <w:spacing w:after="0"/>
              <w:rPr>
                <w:sz w:val="5"/>
                <w:szCs w:val="5"/>
                <w:color w:val="auto"/>
              </w:rPr>
            </w:pPr>
          </w:p>
        </w:tc>
        <w:tc>
          <w:tcPr>
            <w:tcW w:w="320" w:type="dxa"/>
            <w:vAlign w:val="bottom"/>
          </w:tcPr>
          <w:p>
            <w:pPr>
              <w:spacing w:after="0"/>
              <w:rPr>
                <w:sz w:val="5"/>
                <w:szCs w:val="5"/>
                <w:color w:val="auto"/>
              </w:rPr>
            </w:pPr>
          </w:p>
        </w:tc>
        <w:tc>
          <w:tcPr>
            <w:tcW w:w="480" w:type="dxa"/>
            <w:vAlign w:val="bottom"/>
          </w:tcPr>
          <w:p>
            <w:pPr>
              <w:spacing w:after="0"/>
              <w:rPr>
                <w:sz w:val="5"/>
                <w:szCs w:val="5"/>
                <w:color w:val="auto"/>
              </w:rPr>
            </w:pPr>
          </w:p>
        </w:tc>
        <w:tc>
          <w:tcPr>
            <w:tcW w:w="160" w:type="dxa"/>
            <w:vAlign w:val="bottom"/>
          </w:tcPr>
          <w:p>
            <w:pPr>
              <w:spacing w:after="0"/>
              <w:rPr>
                <w:sz w:val="5"/>
                <w:szCs w:val="5"/>
                <w:color w:val="auto"/>
              </w:rPr>
            </w:pPr>
          </w:p>
        </w:tc>
        <w:tc>
          <w:tcPr>
            <w:tcW w:w="300" w:type="dxa"/>
            <w:vAlign w:val="bottom"/>
          </w:tcPr>
          <w:p>
            <w:pPr>
              <w:spacing w:after="0"/>
              <w:rPr>
                <w:sz w:val="5"/>
                <w:szCs w:val="5"/>
                <w:color w:val="auto"/>
              </w:rPr>
            </w:pPr>
          </w:p>
        </w:tc>
        <w:tc>
          <w:tcPr>
            <w:tcW w:w="340" w:type="dxa"/>
            <w:vAlign w:val="bottom"/>
          </w:tcPr>
          <w:p>
            <w:pPr>
              <w:spacing w:after="0"/>
              <w:rPr>
                <w:sz w:val="5"/>
                <w:szCs w:val="5"/>
                <w:color w:val="auto"/>
              </w:rPr>
            </w:pPr>
          </w:p>
        </w:tc>
        <w:tc>
          <w:tcPr>
            <w:tcW w:w="3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Total</w:t>
            </w:r>
          </w:p>
        </w:tc>
        <w:tc>
          <w:tcPr>
            <w:tcW w:w="180" w:type="dxa"/>
            <w:vAlign w:val="bottom"/>
          </w:tcPr>
          <w:p>
            <w:pPr>
              <w:spacing w:after="0"/>
              <w:rPr>
                <w:sz w:val="16"/>
                <w:szCs w:val="16"/>
                <w:color w:val="auto"/>
              </w:rPr>
            </w:pPr>
          </w:p>
        </w:tc>
        <w:tc>
          <w:tcPr>
            <w:tcW w:w="122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2"/>
              </w:rPr>
              <w:t>Revenue</w:t>
            </w:r>
          </w:p>
        </w:tc>
        <w:tc>
          <w:tcPr>
            <w:tcW w:w="10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Deferred</w:t>
            </w:r>
          </w:p>
        </w:tc>
        <w:tc>
          <w:tcPr>
            <w:tcW w:w="180" w:type="dxa"/>
            <w:vAlign w:val="bottom"/>
          </w:tcPr>
          <w:p>
            <w:pPr>
              <w:spacing w:after="0"/>
              <w:rPr>
                <w:sz w:val="16"/>
                <w:szCs w:val="16"/>
                <w:color w:val="auto"/>
              </w:rPr>
            </w:pPr>
          </w:p>
        </w:tc>
        <w:tc>
          <w:tcPr>
            <w:tcW w:w="1200" w:type="dxa"/>
            <w:vAlign w:val="bottom"/>
            <w:gridSpan w:val="3"/>
            <w:vMerge w:val="restart"/>
          </w:tcPr>
          <w:p>
            <w:pPr>
              <w:jc w:val="center"/>
              <w:ind w:right="20"/>
              <w:spacing w:after="0"/>
              <w:rPr>
                <w:sz w:val="20"/>
                <w:szCs w:val="20"/>
                <w:color w:val="auto"/>
              </w:rPr>
            </w:pPr>
            <w:r>
              <w:rPr>
                <w:rFonts w:ascii="Arial" w:cs="Arial" w:eastAsia="Arial" w:hAnsi="Arial"/>
                <w:sz w:val="14"/>
                <w:szCs w:val="14"/>
                <w:b w:val="1"/>
                <w:bCs w:val="1"/>
                <w:color w:val="auto"/>
                <w:w w:val="86"/>
              </w:rPr>
              <w:t>Expense</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8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8"/>
              </w:rPr>
              <w:t>Original</w:t>
            </w:r>
          </w:p>
        </w:tc>
        <w:tc>
          <w:tcPr>
            <w:tcW w:w="180" w:type="dxa"/>
            <w:vAlign w:val="bottom"/>
          </w:tcPr>
          <w:p>
            <w:pPr>
              <w:spacing w:after="0"/>
              <w:rPr>
                <w:sz w:val="12"/>
                <w:szCs w:val="12"/>
                <w:color w:val="auto"/>
              </w:rPr>
            </w:pPr>
          </w:p>
        </w:tc>
        <w:tc>
          <w:tcPr>
            <w:tcW w:w="1220" w:type="dxa"/>
            <w:vAlign w:val="bottom"/>
            <w:gridSpan w:val="5"/>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Recognized</w:t>
            </w:r>
          </w:p>
        </w:tc>
        <w:tc>
          <w:tcPr>
            <w:tcW w:w="10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Revenue at</w:t>
            </w:r>
          </w:p>
        </w:tc>
        <w:tc>
          <w:tcPr>
            <w:tcW w:w="180" w:type="dxa"/>
            <w:vAlign w:val="bottom"/>
          </w:tcPr>
          <w:p>
            <w:pPr>
              <w:spacing w:after="0"/>
              <w:rPr>
                <w:sz w:val="12"/>
                <w:szCs w:val="12"/>
                <w:color w:val="auto"/>
              </w:rPr>
            </w:pPr>
          </w:p>
        </w:tc>
        <w:tc>
          <w:tcPr>
            <w:tcW w:w="120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9"/>
              </w:rPr>
              <w:t>Revenue</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820" w:type="dxa"/>
            <w:vAlign w:val="bottom"/>
            <w:gridSpan w:val="3"/>
          </w:tcPr>
          <w:p>
            <w:pPr>
              <w:ind w:left="140"/>
              <w:spacing w:after="0"/>
              <w:rPr>
                <w:sz w:val="20"/>
                <w:szCs w:val="20"/>
                <w:color w:val="auto"/>
              </w:rPr>
            </w:pPr>
            <w:r>
              <w:rPr>
                <w:rFonts w:ascii="Arial" w:cs="Arial" w:eastAsia="Arial" w:hAnsi="Arial"/>
                <w:sz w:val="14"/>
                <w:szCs w:val="14"/>
                <w:b w:val="1"/>
                <w:bCs w:val="1"/>
                <w:color w:val="auto"/>
              </w:rPr>
              <w:t>Payment</w:t>
            </w:r>
          </w:p>
        </w:tc>
        <w:tc>
          <w:tcPr>
            <w:tcW w:w="180" w:type="dxa"/>
            <w:vAlign w:val="bottom"/>
          </w:tcPr>
          <w:p>
            <w:pPr>
              <w:spacing w:after="0"/>
              <w:rPr>
                <w:sz w:val="16"/>
                <w:szCs w:val="16"/>
                <w:color w:val="auto"/>
              </w:rPr>
            </w:pPr>
          </w:p>
        </w:tc>
        <w:tc>
          <w:tcPr>
            <w:tcW w:w="122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8"/>
              </w:rPr>
              <w:t>in Quarter</w:t>
            </w:r>
          </w:p>
        </w:tc>
        <w:tc>
          <w:tcPr>
            <w:tcW w:w="10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4"/>
              </w:rPr>
              <w:t>March 31, 2004</w:t>
            </w:r>
          </w:p>
        </w:tc>
        <w:tc>
          <w:tcPr>
            <w:tcW w:w="180" w:type="dxa"/>
            <w:vAlign w:val="bottom"/>
          </w:tcPr>
          <w:p>
            <w:pPr>
              <w:spacing w:after="0"/>
              <w:rPr>
                <w:sz w:val="16"/>
                <w:szCs w:val="16"/>
                <w:color w:val="auto"/>
              </w:rPr>
            </w:pPr>
          </w:p>
        </w:tc>
        <w:tc>
          <w:tcPr>
            <w:tcW w:w="120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2"/>
              </w:rPr>
              <w:t>Reimbursement</w:t>
            </w:r>
          </w:p>
        </w:tc>
        <w:tc>
          <w:tcPr>
            <w:tcW w:w="160" w:type="dxa"/>
            <w:vAlign w:val="bottom"/>
          </w:tcPr>
          <w:p>
            <w:pPr>
              <w:spacing w:after="0"/>
              <w:rPr>
                <w:sz w:val="16"/>
                <w:szCs w:val="16"/>
                <w:color w:val="auto"/>
              </w:rPr>
            </w:pPr>
          </w:p>
        </w:tc>
        <w:tc>
          <w:tcPr>
            <w:tcW w:w="98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Recognized</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580" w:type="dxa"/>
            <w:vAlign w:val="bottom"/>
          </w:tcPr>
          <w:p>
            <w:pPr>
              <w:spacing w:after="0"/>
              <w:rPr>
                <w:sz w:val="5"/>
                <w:szCs w:val="5"/>
                <w:color w:val="auto"/>
              </w:rPr>
            </w:pPr>
          </w:p>
        </w:tc>
        <w:tc>
          <w:tcPr>
            <w:tcW w:w="240" w:type="dxa"/>
            <w:vAlign w:val="bottom"/>
            <w:tcBorders>
              <w:bottom w:val="single" w:sz="8" w:color="808080"/>
            </w:tcBorders>
          </w:tcPr>
          <w:p>
            <w:pPr>
              <w:spacing w:after="0"/>
              <w:rPr>
                <w:sz w:val="5"/>
                <w:szCs w:val="5"/>
                <w:color w:val="auto"/>
              </w:rPr>
            </w:pPr>
          </w:p>
        </w:tc>
        <w:tc>
          <w:tcPr>
            <w:tcW w:w="400" w:type="dxa"/>
            <w:vAlign w:val="bottom"/>
            <w:tcBorders>
              <w:bottom w:val="single" w:sz="8" w:color="808080"/>
            </w:tcBorders>
          </w:tcPr>
          <w:p>
            <w:pPr>
              <w:spacing w:after="0"/>
              <w:rPr>
                <w:sz w:val="5"/>
                <w:szCs w:val="5"/>
                <w:color w:val="auto"/>
              </w:rPr>
            </w:pPr>
          </w:p>
        </w:tc>
        <w:tc>
          <w:tcPr>
            <w:tcW w:w="180" w:type="dxa"/>
            <w:vAlign w:val="bottom"/>
            <w:tcBorders>
              <w:bottom w:val="single" w:sz="8" w:color="808080"/>
            </w:tcBorders>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tcBorders>
              <w:bottom w:val="single" w:sz="8" w:color="808080"/>
            </w:tcBorders>
          </w:tcPr>
          <w:p>
            <w:pPr>
              <w:spacing w:after="0"/>
              <w:rPr>
                <w:sz w:val="5"/>
                <w:szCs w:val="5"/>
                <w:color w:val="auto"/>
              </w:rPr>
            </w:pPr>
          </w:p>
        </w:tc>
        <w:tc>
          <w:tcPr>
            <w:tcW w:w="340" w:type="dxa"/>
            <w:vAlign w:val="bottom"/>
            <w:tcBorders>
              <w:bottom w:val="single" w:sz="8" w:color="808080"/>
            </w:tcBorders>
          </w:tcPr>
          <w:p>
            <w:pPr>
              <w:spacing w:after="0"/>
              <w:rPr>
                <w:sz w:val="5"/>
                <w:szCs w:val="5"/>
                <w:color w:val="auto"/>
              </w:rPr>
            </w:pPr>
          </w:p>
        </w:tc>
        <w:tc>
          <w:tcPr>
            <w:tcW w:w="320" w:type="dxa"/>
            <w:vAlign w:val="bottom"/>
            <w:tcBorders>
              <w:bottom w:val="single" w:sz="8" w:color="808080"/>
            </w:tcBorders>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Borders>
              <w:bottom w:val="single" w:sz="8" w:color="808080"/>
            </w:tcBorders>
          </w:tcPr>
          <w:p>
            <w:pPr>
              <w:spacing w:after="0"/>
              <w:rPr>
                <w:sz w:val="5"/>
                <w:szCs w:val="5"/>
                <w:color w:val="auto"/>
              </w:rPr>
            </w:pPr>
          </w:p>
        </w:tc>
        <w:tc>
          <w:tcPr>
            <w:tcW w:w="300" w:type="dxa"/>
            <w:vAlign w:val="bottom"/>
            <w:tcBorders>
              <w:bottom w:val="single" w:sz="8" w:color="808080"/>
            </w:tcBorders>
          </w:tcPr>
          <w:p>
            <w:pPr>
              <w:spacing w:after="0"/>
              <w:rPr>
                <w:sz w:val="5"/>
                <w:szCs w:val="5"/>
                <w:color w:val="auto"/>
              </w:rPr>
            </w:pPr>
          </w:p>
        </w:tc>
        <w:tc>
          <w:tcPr>
            <w:tcW w:w="320" w:type="dxa"/>
            <w:vAlign w:val="bottom"/>
            <w:tcBorders>
              <w:bottom w:val="single" w:sz="8" w:color="808080"/>
            </w:tcBorders>
          </w:tcPr>
          <w:p>
            <w:pPr>
              <w:spacing w:after="0"/>
              <w:rPr>
                <w:sz w:val="5"/>
                <w:szCs w:val="5"/>
                <w:color w:val="auto"/>
              </w:rPr>
            </w:pPr>
          </w:p>
        </w:tc>
        <w:tc>
          <w:tcPr>
            <w:tcW w:w="460" w:type="dxa"/>
            <w:vAlign w:val="bottom"/>
            <w:tcBorders>
              <w:bottom w:val="single" w:sz="8" w:color="808080"/>
            </w:tcBorders>
          </w:tcPr>
          <w:p>
            <w:pPr>
              <w:spacing w:after="0"/>
              <w:rPr>
                <w:sz w:val="5"/>
                <w:szCs w:val="5"/>
                <w:color w:val="auto"/>
              </w:rPr>
            </w:pPr>
          </w:p>
        </w:tc>
        <w:tc>
          <w:tcPr>
            <w:tcW w:w="180" w:type="dxa"/>
            <w:vAlign w:val="bottom"/>
          </w:tcPr>
          <w:p>
            <w:pPr>
              <w:spacing w:after="0"/>
              <w:rPr>
                <w:sz w:val="5"/>
                <w:szCs w:val="5"/>
                <w:color w:val="auto"/>
              </w:rPr>
            </w:pPr>
          </w:p>
        </w:tc>
        <w:tc>
          <w:tcPr>
            <w:tcW w:w="400" w:type="dxa"/>
            <w:vAlign w:val="bottom"/>
            <w:tcBorders>
              <w:bottom w:val="single" w:sz="8" w:color="808080"/>
            </w:tcBorders>
          </w:tcPr>
          <w:p>
            <w:pPr>
              <w:spacing w:after="0"/>
              <w:rPr>
                <w:sz w:val="5"/>
                <w:szCs w:val="5"/>
                <w:color w:val="auto"/>
              </w:rPr>
            </w:pPr>
          </w:p>
        </w:tc>
        <w:tc>
          <w:tcPr>
            <w:tcW w:w="320" w:type="dxa"/>
            <w:vAlign w:val="bottom"/>
            <w:tcBorders>
              <w:bottom w:val="single" w:sz="8" w:color="808080"/>
            </w:tcBorders>
          </w:tcPr>
          <w:p>
            <w:pPr>
              <w:spacing w:after="0"/>
              <w:rPr>
                <w:sz w:val="5"/>
                <w:szCs w:val="5"/>
                <w:color w:val="auto"/>
              </w:rPr>
            </w:pPr>
          </w:p>
        </w:tc>
        <w:tc>
          <w:tcPr>
            <w:tcW w:w="480" w:type="dxa"/>
            <w:vAlign w:val="bottom"/>
            <w:tcBorders>
              <w:bottom w:val="single" w:sz="8" w:color="808080"/>
            </w:tcBorders>
          </w:tcPr>
          <w:p>
            <w:pPr>
              <w:spacing w:after="0"/>
              <w:rPr>
                <w:sz w:val="5"/>
                <w:szCs w:val="5"/>
                <w:color w:val="auto"/>
              </w:rPr>
            </w:pPr>
          </w:p>
        </w:tc>
        <w:tc>
          <w:tcPr>
            <w:tcW w:w="160" w:type="dxa"/>
            <w:vAlign w:val="bottom"/>
          </w:tcPr>
          <w:p>
            <w:pPr>
              <w:spacing w:after="0"/>
              <w:rPr>
                <w:sz w:val="5"/>
                <w:szCs w:val="5"/>
                <w:color w:val="auto"/>
              </w:rPr>
            </w:pPr>
          </w:p>
        </w:tc>
        <w:tc>
          <w:tcPr>
            <w:tcW w:w="300" w:type="dxa"/>
            <w:vAlign w:val="bottom"/>
            <w:tcBorders>
              <w:bottom w:val="single" w:sz="8" w:color="808080"/>
            </w:tcBorders>
          </w:tcPr>
          <w:p>
            <w:pPr>
              <w:spacing w:after="0"/>
              <w:rPr>
                <w:sz w:val="5"/>
                <w:szCs w:val="5"/>
                <w:color w:val="auto"/>
              </w:rPr>
            </w:pPr>
          </w:p>
        </w:tc>
        <w:tc>
          <w:tcPr>
            <w:tcW w:w="340" w:type="dxa"/>
            <w:vAlign w:val="bottom"/>
            <w:tcBorders>
              <w:bottom w:val="single" w:sz="8" w:color="808080"/>
            </w:tcBorders>
          </w:tcPr>
          <w:p>
            <w:pPr>
              <w:spacing w:after="0"/>
              <w:rPr>
                <w:sz w:val="5"/>
                <w:szCs w:val="5"/>
                <w:color w:val="auto"/>
              </w:rPr>
            </w:pPr>
          </w:p>
        </w:tc>
        <w:tc>
          <w:tcPr>
            <w:tcW w:w="34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15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3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320" w:type="dxa"/>
            <w:vAlign w:val="bottom"/>
          </w:tcPr>
          <w:p>
            <w:pPr>
              <w:spacing w:after="0"/>
              <w:rPr>
                <w:sz w:val="5"/>
                <w:szCs w:val="5"/>
                <w:color w:val="auto"/>
              </w:rPr>
            </w:pPr>
          </w:p>
        </w:tc>
        <w:tc>
          <w:tcPr>
            <w:tcW w:w="4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0" w:type="dxa"/>
            <w:vAlign w:val="bottom"/>
          </w:tcPr>
          <w:p>
            <w:pPr>
              <w:spacing w:after="0"/>
              <w:rPr>
                <w:sz w:val="5"/>
                <w:szCs w:val="5"/>
                <w:color w:val="auto"/>
              </w:rPr>
            </w:pPr>
          </w:p>
        </w:tc>
        <w:tc>
          <w:tcPr>
            <w:tcW w:w="320" w:type="dxa"/>
            <w:vAlign w:val="bottom"/>
          </w:tcPr>
          <w:p>
            <w:pPr>
              <w:spacing w:after="0"/>
              <w:rPr>
                <w:sz w:val="5"/>
                <w:szCs w:val="5"/>
                <w:color w:val="auto"/>
              </w:rPr>
            </w:pPr>
          </w:p>
        </w:tc>
        <w:tc>
          <w:tcPr>
            <w:tcW w:w="480" w:type="dxa"/>
            <w:vAlign w:val="bottom"/>
          </w:tcPr>
          <w:p>
            <w:pPr>
              <w:spacing w:after="0"/>
              <w:rPr>
                <w:sz w:val="5"/>
                <w:szCs w:val="5"/>
                <w:color w:val="auto"/>
              </w:rPr>
            </w:pPr>
          </w:p>
        </w:tc>
        <w:tc>
          <w:tcPr>
            <w:tcW w:w="160" w:type="dxa"/>
            <w:vAlign w:val="bottom"/>
          </w:tcPr>
          <w:p>
            <w:pPr>
              <w:spacing w:after="0"/>
              <w:rPr>
                <w:sz w:val="5"/>
                <w:szCs w:val="5"/>
                <w:color w:val="auto"/>
              </w:rPr>
            </w:pPr>
          </w:p>
        </w:tc>
        <w:tc>
          <w:tcPr>
            <w:tcW w:w="300" w:type="dxa"/>
            <w:vAlign w:val="bottom"/>
          </w:tcPr>
          <w:p>
            <w:pPr>
              <w:spacing w:after="0"/>
              <w:rPr>
                <w:sz w:val="5"/>
                <w:szCs w:val="5"/>
                <w:color w:val="auto"/>
              </w:rPr>
            </w:pPr>
          </w:p>
        </w:tc>
        <w:tc>
          <w:tcPr>
            <w:tcW w:w="340" w:type="dxa"/>
            <w:vAlign w:val="bottom"/>
          </w:tcPr>
          <w:p>
            <w:pPr>
              <w:spacing w:after="0"/>
              <w:rPr>
                <w:sz w:val="5"/>
                <w:szCs w:val="5"/>
                <w:color w:val="auto"/>
              </w:rPr>
            </w:pPr>
          </w:p>
        </w:tc>
        <w:tc>
          <w:tcPr>
            <w:tcW w:w="3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580" w:type="dxa"/>
            <w:vAlign w:val="bottom"/>
            <w:shd w:val="clear" w:color="auto" w:fill="EEEEEE"/>
          </w:tcPr>
          <w:p>
            <w:pPr>
              <w:spacing w:after="0"/>
              <w:rPr>
                <w:sz w:val="20"/>
                <w:szCs w:val="20"/>
                <w:color w:val="auto"/>
              </w:rPr>
            </w:pPr>
            <w:r>
              <w:rPr>
                <w:rFonts w:ascii="Arial" w:cs="Arial" w:eastAsia="Arial" w:hAnsi="Arial"/>
                <w:sz w:val="18"/>
                <w:szCs w:val="18"/>
                <w:color w:val="auto"/>
              </w:rPr>
              <w:t>Aventis</w:t>
            </w:r>
          </w:p>
        </w:tc>
        <w:tc>
          <w:tcPr>
            <w:tcW w:w="240" w:type="dxa"/>
            <w:vAlign w:val="bottom"/>
            <w:tcBorders>
              <w:right w:val="single" w:sz="8" w:color="EEEEEE"/>
            </w:tcBorders>
            <w:shd w:val="clear" w:color="auto" w:fill="EEEEEE"/>
          </w:tcPr>
          <w:p>
            <w:pPr>
              <w:ind w:left="120"/>
              <w:spacing w:after="0"/>
              <w:rPr>
                <w:sz w:val="20"/>
                <w:szCs w:val="20"/>
                <w:color w:val="auto"/>
              </w:rPr>
            </w:pPr>
            <w:r>
              <w:rPr>
                <w:rFonts w:ascii="Arial" w:cs="Arial" w:eastAsia="Arial" w:hAnsi="Arial"/>
                <w:sz w:val="18"/>
                <w:szCs w:val="18"/>
                <w:color w:val="auto"/>
                <w:w w:val="79"/>
              </w:rPr>
              <w:t>$</w:t>
            </w:r>
          </w:p>
        </w:tc>
        <w:tc>
          <w:tcPr>
            <w:tcW w:w="4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80.0</w:t>
            </w:r>
          </w:p>
        </w:tc>
        <w:tc>
          <w:tcPr>
            <w:tcW w:w="180" w:type="dxa"/>
            <w:vAlign w:val="bottom"/>
            <w:shd w:val="clear" w:color="auto" w:fill="EEEEEE"/>
          </w:tcPr>
          <w:p>
            <w:pPr>
              <w:spacing w:after="0"/>
              <w:rPr>
                <w:sz w:val="18"/>
                <w:szCs w:val="18"/>
                <w:color w:val="auto"/>
              </w:rPr>
            </w:pPr>
          </w:p>
        </w:tc>
        <w:tc>
          <w:tcPr>
            <w:tcW w:w="460" w:type="dxa"/>
            <w:vAlign w:val="bottom"/>
            <w:tcBorders>
              <w:right w:val="single" w:sz="8" w:color="EEEEEE"/>
            </w:tcBorders>
            <w:gridSpan w:val="2"/>
            <w:shd w:val="clear" w:color="auto" w:fill="EEEEEE"/>
          </w:tcPr>
          <w:p>
            <w:pPr>
              <w:ind w:left="360"/>
              <w:spacing w:after="0"/>
              <w:rPr>
                <w:sz w:val="20"/>
                <w:szCs w:val="20"/>
                <w:color w:val="auto"/>
              </w:rPr>
            </w:pPr>
            <w:r>
              <w:rPr>
                <w:rFonts w:ascii="Arial" w:cs="Arial" w:eastAsia="Arial" w:hAnsi="Arial"/>
                <w:sz w:val="15"/>
                <w:szCs w:val="15"/>
                <w:color w:val="auto"/>
                <w:w w:val="71"/>
              </w:rPr>
              <w:t>$</w:t>
            </w:r>
          </w:p>
        </w:tc>
        <w:tc>
          <w:tcPr>
            <w:tcW w:w="3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2.7</w:t>
            </w:r>
          </w:p>
        </w:tc>
        <w:tc>
          <w:tcPr>
            <w:tcW w:w="3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62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$73.6</w:t>
            </w:r>
          </w:p>
        </w:tc>
        <w:tc>
          <w:tcPr>
            <w:tcW w:w="460" w:type="dxa"/>
            <w:vAlign w:val="bottom"/>
            <w:shd w:val="clear" w:color="auto" w:fill="EEEEEE"/>
          </w:tcPr>
          <w:p>
            <w:pPr>
              <w:spacing w:after="0"/>
              <w:rPr>
                <w:sz w:val="18"/>
                <w:szCs w:val="18"/>
                <w:color w:val="auto"/>
              </w:rPr>
            </w:pPr>
          </w:p>
        </w:tc>
        <w:tc>
          <w:tcPr>
            <w:tcW w:w="90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$13.7</w:t>
            </w:r>
          </w:p>
        </w:tc>
        <w:tc>
          <w:tcPr>
            <w:tcW w:w="480" w:type="dxa"/>
            <w:vAlign w:val="bottom"/>
            <w:shd w:val="clear" w:color="auto" w:fill="EEEEEE"/>
          </w:tcPr>
          <w:p>
            <w:pPr>
              <w:spacing w:after="0"/>
              <w:rPr>
                <w:sz w:val="18"/>
                <w:szCs w:val="18"/>
                <w:color w:val="auto"/>
              </w:rPr>
            </w:pPr>
          </w:p>
        </w:tc>
        <w:tc>
          <w:tcPr>
            <w:tcW w:w="80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$16.4</w:t>
            </w:r>
          </w:p>
        </w:tc>
        <w:tc>
          <w:tcPr>
            <w:tcW w:w="3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80" w:type="dxa"/>
            <w:vAlign w:val="bottom"/>
          </w:tcPr>
          <w:p>
            <w:pPr>
              <w:spacing w:after="0"/>
              <w:rPr>
                <w:sz w:val="20"/>
                <w:szCs w:val="20"/>
                <w:color w:val="auto"/>
              </w:rPr>
            </w:pPr>
            <w:r>
              <w:rPr>
                <w:rFonts w:ascii="Arial" w:cs="Arial" w:eastAsia="Arial" w:hAnsi="Arial"/>
                <w:sz w:val="18"/>
                <w:szCs w:val="18"/>
                <w:color w:val="auto"/>
              </w:rPr>
              <w:t>Novartis</w:t>
            </w:r>
          </w:p>
        </w:tc>
        <w:tc>
          <w:tcPr>
            <w:tcW w:w="2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27.0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85"/>
              </w:rPr>
              <w:t>22.1</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22.1</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80" w:type="dxa"/>
            <w:vAlign w:val="bottom"/>
            <w:shd w:val="clear" w:color="auto" w:fill="EEEEEE"/>
          </w:tcPr>
          <w:p>
            <w:pPr>
              <w:spacing w:after="0"/>
              <w:rPr>
                <w:sz w:val="20"/>
                <w:szCs w:val="20"/>
                <w:color w:val="auto"/>
              </w:rPr>
            </w:pPr>
            <w:r>
              <w:rPr>
                <w:rFonts w:ascii="Arial" w:cs="Arial" w:eastAsia="Arial" w:hAnsi="Arial"/>
                <w:sz w:val="18"/>
                <w:szCs w:val="18"/>
                <w:color w:val="auto"/>
              </w:rPr>
              <w:t>Procter &amp; Gamble</w:t>
            </w:r>
          </w:p>
        </w:tc>
        <w:tc>
          <w:tcPr>
            <w:tcW w:w="240" w:type="dxa"/>
            <w:vAlign w:val="bottom"/>
            <w:tcBorders>
              <w:right w:val="single" w:sz="8" w:color="EEEEEE"/>
            </w:tcBorders>
            <w:shd w:val="clear" w:color="auto" w:fill="EEEEEE"/>
          </w:tcPr>
          <w:p>
            <w:pPr>
              <w:spacing w:after="0"/>
              <w:rPr>
                <w:sz w:val="18"/>
                <w:szCs w:val="18"/>
                <w:color w:val="auto"/>
              </w:rPr>
            </w:pPr>
          </w:p>
        </w:tc>
        <w:tc>
          <w:tcPr>
            <w:tcW w:w="400" w:type="dxa"/>
            <w:vAlign w:val="bottom"/>
            <w:tcBorders>
              <w:right w:val="single" w:sz="8" w:color="EEEEEE"/>
            </w:tcBorders>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90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2.7</w:t>
            </w:r>
          </w:p>
        </w:tc>
        <w:tc>
          <w:tcPr>
            <w:tcW w:w="480" w:type="dxa"/>
            <w:vAlign w:val="bottom"/>
            <w:shd w:val="clear" w:color="auto" w:fill="EEEEEE"/>
          </w:tcPr>
          <w:p>
            <w:pPr>
              <w:spacing w:after="0"/>
              <w:rPr>
                <w:sz w:val="18"/>
                <w:szCs w:val="18"/>
                <w:color w:val="auto"/>
              </w:rPr>
            </w:pPr>
          </w:p>
        </w:tc>
        <w:tc>
          <w:tcPr>
            <w:tcW w:w="80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2.7</w:t>
            </w:r>
          </w:p>
        </w:tc>
        <w:tc>
          <w:tcPr>
            <w:tcW w:w="3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40" w:type="dxa"/>
            <w:vAlign w:val="bottom"/>
          </w:tcPr>
          <w:p>
            <w:pPr>
              <w:ind w:left="120"/>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808080"/>
            </w:tcBorders>
          </w:tcPr>
          <w:p>
            <w:pPr>
              <w:jc w:val="right"/>
              <w:spacing w:after="0"/>
              <w:rPr>
                <w:sz w:val="20"/>
                <w:szCs w:val="20"/>
                <w:color w:val="auto"/>
              </w:rPr>
            </w:pPr>
            <w:r>
              <w:rPr>
                <w:rFonts w:ascii="Arial" w:cs="Arial" w:eastAsia="Arial" w:hAnsi="Arial"/>
                <w:sz w:val="18"/>
                <w:szCs w:val="18"/>
                <w:color w:val="auto"/>
                <w:w w:val="79"/>
              </w:rPr>
              <w:t>107.0</w:t>
            </w:r>
          </w:p>
        </w:tc>
        <w:tc>
          <w:tcPr>
            <w:tcW w:w="180" w:type="dxa"/>
            <w:vAlign w:val="bottom"/>
          </w:tcPr>
          <w:p>
            <w:pPr>
              <w:spacing w:after="0"/>
              <w:rPr>
                <w:sz w:val="19"/>
                <w:szCs w:val="19"/>
                <w:color w:val="auto"/>
              </w:rPr>
            </w:pPr>
          </w:p>
        </w:tc>
        <w:tc>
          <w:tcPr>
            <w:tcW w:w="460" w:type="dxa"/>
            <w:vAlign w:val="bottom"/>
            <w:gridSpan w:val="2"/>
          </w:tcPr>
          <w:p>
            <w:pPr>
              <w:ind w:left="360"/>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808080"/>
            </w:tcBorders>
          </w:tcPr>
          <w:p>
            <w:pPr>
              <w:jc w:val="right"/>
              <w:spacing w:after="0"/>
              <w:rPr>
                <w:sz w:val="20"/>
                <w:szCs w:val="20"/>
                <w:color w:val="auto"/>
              </w:rPr>
            </w:pPr>
            <w:r>
              <w:rPr>
                <w:rFonts w:ascii="Arial" w:cs="Arial" w:eastAsia="Arial" w:hAnsi="Arial"/>
                <w:sz w:val="18"/>
                <w:szCs w:val="18"/>
                <w:color w:val="auto"/>
                <w:w w:val="85"/>
              </w:rPr>
              <w:t>24.8</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808080"/>
            </w:tcBorders>
          </w:tcPr>
          <w:p>
            <w:pPr>
              <w:jc w:val="right"/>
              <w:spacing w:after="0"/>
              <w:rPr>
                <w:sz w:val="20"/>
                <w:szCs w:val="20"/>
                <w:color w:val="auto"/>
              </w:rPr>
            </w:pPr>
            <w:r>
              <w:rPr>
                <w:rFonts w:ascii="Arial" w:cs="Arial" w:eastAsia="Arial" w:hAnsi="Arial"/>
                <w:sz w:val="18"/>
                <w:szCs w:val="18"/>
                <w:color w:val="auto"/>
                <w:w w:val="79"/>
              </w:rPr>
              <w:t>73.6</w:t>
            </w:r>
          </w:p>
        </w:tc>
        <w:tc>
          <w:tcPr>
            <w:tcW w:w="46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808080"/>
            </w:tcBorders>
          </w:tcPr>
          <w:p>
            <w:pPr>
              <w:jc w:val="right"/>
              <w:spacing w:after="0"/>
              <w:rPr>
                <w:sz w:val="20"/>
                <w:szCs w:val="20"/>
                <w:color w:val="auto"/>
              </w:rPr>
            </w:pPr>
            <w:r>
              <w:rPr>
                <w:rFonts w:ascii="Arial" w:cs="Arial" w:eastAsia="Arial" w:hAnsi="Arial"/>
                <w:sz w:val="18"/>
                <w:szCs w:val="18"/>
                <w:color w:val="auto"/>
                <w:w w:val="79"/>
              </w:rPr>
              <w:t>16.4</w:t>
            </w:r>
          </w:p>
        </w:tc>
        <w:tc>
          <w:tcPr>
            <w:tcW w:w="480" w:type="dxa"/>
            <w:vAlign w:val="bottom"/>
          </w:tcPr>
          <w:p>
            <w:pPr>
              <w:spacing w:after="0"/>
              <w:rPr>
                <w:sz w:val="19"/>
                <w:szCs w:val="19"/>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808080"/>
            </w:tcBorders>
          </w:tcPr>
          <w:p>
            <w:pPr>
              <w:jc w:val="right"/>
              <w:spacing w:after="0"/>
              <w:rPr>
                <w:sz w:val="20"/>
                <w:szCs w:val="20"/>
                <w:color w:val="auto"/>
              </w:rPr>
            </w:pPr>
            <w:r>
              <w:rPr>
                <w:rFonts w:ascii="Arial" w:cs="Arial" w:eastAsia="Arial" w:hAnsi="Arial"/>
                <w:sz w:val="18"/>
                <w:szCs w:val="18"/>
                <w:color w:val="auto"/>
                <w:w w:val="85"/>
              </w:rPr>
              <w:t>41.2</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1580" w:type="dxa"/>
            <w:vAlign w:val="bottom"/>
          </w:tcPr>
          <w:p>
            <w:pPr>
              <w:spacing w:after="0"/>
              <w:rPr>
                <w:sz w:val="5"/>
                <w:szCs w:val="5"/>
                <w:color w:val="auto"/>
              </w:rPr>
            </w:pPr>
          </w:p>
        </w:tc>
        <w:tc>
          <w:tcPr>
            <w:tcW w:w="240" w:type="dxa"/>
            <w:vAlign w:val="bottom"/>
            <w:tcBorders>
              <w:right w:val="single" w:sz="8" w:color="808080"/>
            </w:tcBorders>
          </w:tcPr>
          <w:p>
            <w:pPr>
              <w:spacing w:after="0"/>
              <w:rPr>
                <w:sz w:val="5"/>
                <w:szCs w:val="5"/>
                <w:color w:val="auto"/>
              </w:rPr>
            </w:pPr>
          </w:p>
        </w:tc>
        <w:tc>
          <w:tcPr>
            <w:tcW w:w="400" w:type="dxa"/>
            <w:vAlign w:val="bottom"/>
            <w:tcBorders>
              <w:right w:val="single" w:sz="8" w:color="808080"/>
            </w:tcBorders>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tcBorders>
              <w:right w:val="single" w:sz="8" w:color="808080"/>
            </w:tcBorders>
          </w:tcPr>
          <w:p>
            <w:pPr>
              <w:spacing w:after="0"/>
              <w:rPr>
                <w:sz w:val="5"/>
                <w:szCs w:val="5"/>
                <w:color w:val="auto"/>
              </w:rPr>
            </w:pPr>
          </w:p>
        </w:tc>
        <w:tc>
          <w:tcPr>
            <w:tcW w:w="340" w:type="dxa"/>
            <w:vAlign w:val="bottom"/>
            <w:tcBorders>
              <w:right w:val="single" w:sz="8" w:color="808080"/>
            </w:tcBorders>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Borders>
              <w:right w:val="single" w:sz="8" w:color="808080"/>
            </w:tcBorders>
          </w:tcPr>
          <w:p>
            <w:pPr>
              <w:spacing w:after="0"/>
              <w:rPr>
                <w:sz w:val="5"/>
                <w:szCs w:val="5"/>
                <w:color w:val="auto"/>
              </w:rPr>
            </w:pPr>
          </w:p>
        </w:tc>
        <w:tc>
          <w:tcPr>
            <w:tcW w:w="320" w:type="dxa"/>
            <w:vAlign w:val="bottom"/>
            <w:tcBorders>
              <w:right w:val="single" w:sz="8" w:color="808080"/>
            </w:tcBorders>
            <w:shd w:val="clear" w:color="auto" w:fill="808080"/>
          </w:tcPr>
          <w:p>
            <w:pPr>
              <w:spacing w:after="0"/>
              <w:rPr>
                <w:sz w:val="5"/>
                <w:szCs w:val="5"/>
                <w:color w:val="auto"/>
              </w:rPr>
            </w:pPr>
          </w:p>
        </w:tc>
        <w:tc>
          <w:tcPr>
            <w:tcW w:w="4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0" w:type="dxa"/>
            <w:vAlign w:val="bottom"/>
            <w:tcBorders>
              <w:right w:val="single" w:sz="8" w:color="808080"/>
            </w:tcBorders>
          </w:tcPr>
          <w:p>
            <w:pPr>
              <w:spacing w:after="0"/>
              <w:rPr>
                <w:sz w:val="5"/>
                <w:szCs w:val="5"/>
                <w:color w:val="auto"/>
              </w:rPr>
            </w:pPr>
          </w:p>
        </w:tc>
        <w:tc>
          <w:tcPr>
            <w:tcW w:w="320" w:type="dxa"/>
            <w:vAlign w:val="bottom"/>
            <w:tcBorders>
              <w:right w:val="single" w:sz="8" w:color="808080"/>
            </w:tcBorders>
            <w:shd w:val="clear" w:color="auto" w:fill="808080"/>
          </w:tcPr>
          <w:p>
            <w:pPr>
              <w:spacing w:after="0"/>
              <w:rPr>
                <w:sz w:val="5"/>
                <w:szCs w:val="5"/>
                <w:color w:val="auto"/>
              </w:rPr>
            </w:pPr>
          </w:p>
        </w:tc>
        <w:tc>
          <w:tcPr>
            <w:tcW w:w="480" w:type="dxa"/>
            <w:vAlign w:val="bottom"/>
          </w:tcPr>
          <w:p>
            <w:pPr>
              <w:spacing w:after="0"/>
              <w:rPr>
                <w:sz w:val="5"/>
                <w:szCs w:val="5"/>
                <w:color w:val="auto"/>
              </w:rPr>
            </w:pPr>
          </w:p>
        </w:tc>
        <w:tc>
          <w:tcPr>
            <w:tcW w:w="160" w:type="dxa"/>
            <w:vAlign w:val="bottom"/>
          </w:tcPr>
          <w:p>
            <w:pPr>
              <w:spacing w:after="0"/>
              <w:rPr>
                <w:sz w:val="5"/>
                <w:szCs w:val="5"/>
                <w:color w:val="auto"/>
              </w:rPr>
            </w:pPr>
          </w:p>
        </w:tc>
        <w:tc>
          <w:tcPr>
            <w:tcW w:w="300" w:type="dxa"/>
            <w:vAlign w:val="bottom"/>
            <w:tcBorders>
              <w:right w:val="single" w:sz="8" w:color="808080"/>
            </w:tcBorders>
          </w:tcPr>
          <w:p>
            <w:pPr>
              <w:spacing w:after="0"/>
              <w:rPr>
                <w:sz w:val="5"/>
                <w:szCs w:val="5"/>
                <w:color w:val="auto"/>
              </w:rPr>
            </w:pPr>
          </w:p>
        </w:tc>
        <w:tc>
          <w:tcPr>
            <w:tcW w:w="340" w:type="dxa"/>
            <w:vAlign w:val="bottom"/>
            <w:tcBorders>
              <w:right w:val="single" w:sz="8" w:color="808080"/>
            </w:tcBorders>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85" w:lineRule="exact"/>
        <w:rPr>
          <w:sz w:val="20"/>
          <w:szCs w:val="20"/>
          <w:color w:val="auto"/>
        </w:rPr>
      </w:pPr>
    </w:p>
    <w:p>
      <w:pPr>
        <w:ind w:right="340" w:firstLine="225"/>
        <w:spacing w:after="0" w:line="277" w:lineRule="auto"/>
        <w:rPr>
          <w:sz w:val="20"/>
          <w:szCs w:val="20"/>
          <w:color w:val="auto"/>
        </w:rPr>
      </w:pPr>
      <w:r>
        <w:rPr>
          <w:rFonts w:ascii="Arial" w:cs="Arial" w:eastAsia="Arial" w:hAnsi="Arial"/>
          <w:sz w:val="18"/>
          <w:szCs w:val="18"/>
          <w:color w:val="auto"/>
        </w:rPr>
        <w:t>In the first quarter of 2003 we recognized $5.1 million in revenue related to the reimbursement of research and development expenses by Novartis and $1.4 million in revenue related to the $27.0 million, up-front payment made in March 2003.</w:t>
      </w:r>
    </w:p>
    <w:p>
      <w:pPr>
        <w:spacing w:after="0" w:line="130" w:lineRule="exact"/>
        <w:rPr>
          <w:sz w:val="20"/>
          <w:szCs w:val="20"/>
          <w:color w:val="auto"/>
        </w:rPr>
      </w:pPr>
    </w:p>
    <w:p>
      <w:pPr>
        <w:ind w:right="580" w:firstLine="225"/>
        <w:spacing w:after="0" w:line="277" w:lineRule="auto"/>
        <w:rPr>
          <w:sz w:val="20"/>
          <w:szCs w:val="20"/>
          <w:color w:val="auto"/>
        </w:rPr>
      </w:pPr>
      <w:r>
        <w:rPr>
          <w:rFonts w:ascii="Arial" w:cs="Arial" w:eastAsia="Arial" w:hAnsi="Arial"/>
          <w:sz w:val="18"/>
          <w:szCs w:val="18"/>
          <w:color w:val="auto"/>
        </w:rPr>
        <w:t>In March 2004, Novartis forgave all its outstanding loans, including accrued interest, to Regeneron totaling $17.8 million, based upon Regeneron’s achieving a pre-defined development milestone, which was recognized as a research progress payment.</w:t>
      </w:r>
    </w:p>
    <w:p>
      <w:pPr>
        <w:spacing w:after="0" w:line="130" w:lineRule="exact"/>
        <w:rPr>
          <w:sz w:val="20"/>
          <w:szCs w:val="20"/>
          <w:color w:val="auto"/>
        </w:rPr>
      </w:pPr>
    </w:p>
    <w:p>
      <w:pPr>
        <w:ind w:firstLine="225"/>
        <w:spacing w:after="0" w:line="293" w:lineRule="auto"/>
        <w:rPr>
          <w:sz w:val="20"/>
          <w:szCs w:val="20"/>
          <w:color w:val="auto"/>
        </w:rPr>
      </w:pPr>
      <w:r>
        <w:rPr>
          <w:rFonts w:ascii="Arial" w:cs="Arial" w:eastAsia="Arial" w:hAnsi="Arial"/>
          <w:sz w:val="16"/>
          <w:szCs w:val="16"/>
          <w:color w:val="auto"/>
        </w:rPr>
        <w:t>Contract manufacturing revenue relates primarily to our long-term agreement with Merck, which expires in October of 2005, unless extended by mutual agreement, to manufacture a vaccine intermediate at our Rensselaer, New York facility. Contract manufacturing revenue increased to $2.6 million in the first quarter of 2004 from $0.7 million for the same period in 2003 because we shipped more product to Merck. Revenue and the related manufacturing expense are recognized as product is shipped, after acceptance by Merck. Included in contract manufacturing revenue in the first three months of 2004 was $0.5 million of deferred revenue associated with capital improvement reimbursements paid by Merck prior to commencement of production. This deferred revenue is being recognized as product is shipped to Merck based on the total amount of product expected to be shipped over the life of the agreement.</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85" w:lineRule="exact"/>
        <w:rPr>
          <w:sz w:val="20"/>
          <w:szCs w:val="20"/>
          <w:color w:val="auto"/>
        </w:rPr>
      </w:pPr>
    </w:p>
    <w:p>
      <w:pPr>
        <w:ind w:right="100" w:firstLine="225"/>
        <w:spacing w:after="0" w:line="255" w:lineRule="auto"/>
        <w:rPr>
          <w:sz w:val="20"/>
          <w:szCs w:val="20"/>
          <w:color w:val="auto"/>
        </w:rPr>
      </w:pPr>
      <w:r>
        <w:rPr>
          <w:rFonts w:ascii="Arial" w:cs="Arial" w:eastAsia="Arial" w:hAnsi="Arial"/>
          <w:sz w:val="18"/>
          <w:szCs w:val="18"/>
          <w:color w:val="auto"/>
        </w:rPr>
        <w:t>Research and development (R&amp;D) expenses decreased to $32.2 million in the first quarter of 2004 from $34.4 million in 2003, due primarily to (i) a $4.2 million decrease in clinical trial expenses associated primarily with the completion of the double-blind treatment portion of our AXOKINE phase 3 clinical trial for the treatment of obesity in the first quarter of 2003 and the completion of our IL-1 Trap phase 2 clinical trial for the treatment of rheumatoid arthritis in the third quarter of 2003 and (ii) a $1.0 million decrease in lab supply, outside testing, and research contract expenses. These decreases were offset by a $3.0 million increase in other R&amp;D expenses, primarily facility expenses at our expanded Rensselaer facility such as rent, utilities, insurance, and depreciation.</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Manufacturing Expenses:</w:t>
      </w:r>
    </w:p>
    <w:p>
      <w:pPr>
        <w:spacing w:after="0" w:line="198" w:lineRule="exact"/>
        <w:rPr>
          <w:sz w:val="20"/>
          <w:szCs w:val="20"/>
          <w:color w:val="auto"/>
        </w:rPr>
      </w:pPr>
    </w:p>
    <w:p>
      <w:pPr>
        <w:ind w:right="340" w:firstLine="225"/>
        <w:spacing w:after="0" w:line="277" w:lineRule="auto"/>
        <w:rPr>
          <w:sz w:val="20"/>
          <w:szCs w:val="20"/>
          <w:color w:val="auto"/>
        </w:rPr>
      </w:pPr>
      <w:r>
        <w:rPr>
          <w:rFonts w:ascii="Arial" w:cs="Arial" w:eastAsia="Arial" w:hAnsi="Arial"/>
          <w:sz w:val="18"/>
          <w:szCs w:val="18"/>
          <w:color w:val="auto"/>
        </w:rPr>
        <w:t>Contract manufacturing expenses increased to $2.2 million in the first quarter of 2004, compared to $0.7 million in the same period in 2003, primarily because we shipped more product to Merck.</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85" w:lineRule="exact"/>
        <w:rPr>
          <w:sz w:val="20"/>
          <w:szCs w:val="20"/>
          <w:color w:val="auto"/>
        </w:rPr>
      </w:pPr>
    </w:p>
    <w:p>
      <w:pPr>
        <w:ind w:right="180" w:firstLine="225"/>
        <w:spacing w:after="0" w:line="277" w:lineRule="auto"/>
        <w:rPr>
          <w:sz w:val="20"/>
          <w:szCs w:val="20"/>
          <w:color w:val="auto"/>
        </w:rPr>
      </w:pPr>
      <w:r>
        <w:rPr>
          <w:rFonts w:ascii="Arial" w:cs="Arial" w:eastAsia="Arial" w:hAnsi="Arial"/>
          <w:sz w:val="18"/>
          <w:szCs w:val="18"/>
          <w:color w:val="auto"/>
        </w:rPr>
        <w:t>General and administrative expenses increased to $3.8 million in the first quarter of 2004 from $3.5 million in the same period of 2003, due primarily to increases in professional fees.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and Expense:</w:t>
      </w:r>
    </w:p>
    <w:p>
      <w:pPr>
        <w:spacing w:after="0" w:line="185" w:lineRule="exact"/>
        <w:rPr>
          <w:sz w:val="20"/>
          <w:szCs w:val="20"/>
          <w:color w:val="auto"/>
        </w:rPr>
      </w:pPr>
    </w:p>
    <w:p>
      <w:pPr>
        <w:ind w:right="100" w:firstLine="225"/>
        <w:spacing w:after="0" w:line="264" w:lineRule="auto"/>
        <w:rPr>
          <w:sz w:val="20"/>
          <w:szCs w:val="20"/>
          <w:color w:val="auto"/>
        </w:rPr>
      </w:pPr>
      <w:r>
        <w:rPr>
          <w:rFonts w:ascii="Arial" w:cs="Arial" w:eastAsia="Arial" w:hAnsi="Arial"/>
          <w:sz w:val="18"/>
          <w:szCs w:val="18"/>
          <w:color w:val="auto"/>
        </w:rPr>
        <w:t>In the first quarter of 2004, Novartis notified us of its decision to forgo its right under the collaboration to jointly develop the IL-1 Trap and agreed to pay us $42.75 million to satisfy its obligation to fund development costs for the IL-1 Trap for the nine-month period following its notification and for the two months prior to that notice. The $42.75 million was included in other contract income in the first quarter of 2004.</w:t>
      </w:r>
    </w:p>
    <w:p>
      <w:pPr>
        <w:spacing w:after="0" w:line="141" w:lineRule="exact"/>
        <w:rPr>
          <w:sz w:val="20"/>
          <w:szCs w:val="20"/>
          <w:color w:val="auto"/>
        </w:rPr>
      </w:pPr>
    </w:p>
    <w:p>
      <w:pPr>
        <w:ind w:firstLine="225"/>
        <w:spacing w:after="0" w:line="302" w:lineRule="auto"/>
        <w:rPr>
          <w:sz w:val="20"/>
          <w:szCs w:val="20"/>
          <w:color w:val="auto"/>
        </w:rPr>
      </w:pPr>
      <w:r>
        <w:rPr>
          <w:rFonts w:ascii="Arial" w:cs="Arial" w:eastAsia="Arial" w:hAnsi="Arial"/>
          <w:sz w:val="16"/>
          <w:szCs w:val="16"/>
          <w:color w:val="auto"/>
        </w:rPr>
        <w:t>Interest expense is attributable principally to $200.0 million of convertible notes issued in October 2001, which mature in 2008 and bear interest at 5.5% per annum. Investment income decreased to $1.1 million in 2004 from $1.2 million in 2003 due to lower effective interest rates on investment securities. Interest expense increased to $3.1 million in the first quarter of 2004 from $2.9 million in the same period of 2003 primarily because of interest on loans from Novartis to fund our share of 2003 IL-1 Trap development costs. (These Novartis loans were forgiven in March 2004 as described above.)</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89" w:lineRule="exact"/>
        <w:rPr>
          <w:sz w:val="20"/>
          <w:szCs w:val="20"/>
          <w:color w:val="auto"/>
        </w:rPr>
      </w:pPr>
    </w:p>
    <w:p>
      <w:pPr>
        <w:ind w:right="60" w:firstLine="225"/>
        <w:spacing w:after="0" w:line="308" w:lineRule="auto"/>
        <w:rPr>
          <w:sz w:val="20"/>
          <w:szCs w:val="20"/>
          <w:color w:val="auto"/>
        </w:rPr>
      </w:pPr>
      <w:r>
        <w:rPr>
          <w:rFonts w:ascii="Arial" w:cs="Arial" w:eastAsia="Arial" w:hAnsi="Arial"/>
          <w:sz w:val="17"/>
          <w:szCs w:val="17"/>
          <w:color w:val="auto"/>
        </w:rPr>
        <w:t>Since our inception in 1988, we have financed our operations primarily through offerings of our equity securities, a private placement of convertible debt, revenue earned under our agreements with Aventis, Novartis, Merck, Procter &amp; Gamble, Serono, and other companies, and investment income.</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 2004 and 2003</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(Used in) Provided by Operations:</w:t>
      </w:r>
    </w:p>
    <w:p>
      <w:pPr>
        <w:spacing w:after="0" w:line="185"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At March 31, 2004, we had $351.4 million in cash, cash equivalents, marketable securities, and restricted marketable securities. Restricted marketable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securities are pledged U.S. government securities which will be sufficient upon receipt of scheduled principal and interest payments to provide for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payment in full of the interest payments on the convertible senior subordinated notes through 2004. In the first quarter of 2004, our net income was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$64.5 million but we used $18.6 million of cash in operations. The difference between net income and cash usage was primarily due to the above-described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$42.75 million of other contract income, which was receivable from Novartis at the end of the first quarter (and paid in April 2004) and the recognition of</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$39.9 million of non-cash deferred and</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research progress payment revenue related to Novartis. In the first quarter of 2003, our net loss was $30.3 million but we provided $1.2 million of cash from operations, principally due to the receipt of a $27.0 million non-refundable, up-front payment from Novartis in the first quarter of 2003, of which only $1.4 million was recognized as revenue during the quarter</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Provided by Investing Activities:</w:t>
      </w:r>
    </w:p>
    <w:p>
      <w:pPr>
        <w:spacing w:after="0" w:line="185" w:lineRule="exact"/>
        <w:rPr>
          <w:sz w:val="20"/>
          <w:szCs w:val="20"/>
          <w:color w:val="auto"/>
        </w:rPr>
      </w:pPr>
    </w:p>
    <w:p>
      <w:pPr>
        <w:ind w:right="20" w:firstLine="225"/>
        <w:spacing w:after="0" w:line="264" w:lineRule="auto"/>
        <w:rPr>
          <w:sz w:val="20"/>
          <w:szCs w:val="20"/>
          <w:color w:val="auto"/>
        </w:rPr>
      </w:pPr>
      <w:r>
        <w:rPr>
          <w:rFonts w:ascii="Arial" w:cs="Arial" w:eastAsia="Arial" w:hAnsi="Arial"/>
          <w:sz w:val="18"/>
          <w:szCs w:val="18"/>
          <w:color w:val="auto"/>
        </w:rPr>
        <w:t>Net cash provided by investing activities was $70.2 million in the first quarter of 2004 compared to $61.8 million in the same period in 2003. The increase is due primarily to a decrease in payments for capital expenditures (resulting from the completion of the Rensselaer plant expansion in 2003) partially offset by lower cash proceeds from sales or maturities of investment securities.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Provided by Financing Activities:</w:t>
      </w:r>
    </w:p>
    <w:p>
      <w:pPr>
        <w:spacing w:after="0" w:line="198" w:lineRule="exact"/>
        <w:rPr>
          <w:sz w:val="20"/>
          <w:szCs w:val="20"/>
          <w:color w:val="auto"/>
        </w:rPr>
      </w:pPr>
    </w:p>
    <w:p>
      <w:pPr>
        <w:ind w:right="220" w:firstLine="225"/>
        <w:spacing w:after="0" w:line="342" w:lineRule="auto"/>
        <w:rPr>
          <w:sz w:val="20"/>
          <w:szCs w:val="20"/>
          <w:color w:val="auto"/>
        </w:rPr>
      </w:pPr>
      <w:r>
        <w:rPr>
          <w:rFonts w:ascii="Arial" w:cs="Arial" w:eastAsia="Arial" w:hAnsi="Arial"/>
          <w:sz w:val="16"/>
          <w:szCs w:val="16"/>
          <w:color w:val="auto"/>
        </w:rPr>
        <w:t>Cash provided by financing activities decreased to $4.1 million in the first quarter of 2004 compared to $48.5 million in the same period in 2003. In March 2003, we sold $48.0 million of newly issued unregistered shares of our Common Stock to Novartis in connection with our collaboration agreement.</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Aventis Agreement:</w:t>
      </w:r>
    </w:p>
    <w:p>
      <w:pPr>
        <w:spacing w:after="0" w:line="185" w:lineRule="exact"/>
        <w:rPr>
          <w:sz w:val="20"/>
          <w:szCs w:val="20"/>
          <w:color w:val="auto"/>
        </w:rPr>
      </w:pPr>
    </w:p>
    <w:p>
      <w:pPr>
        <w:ind w:firstLine="225"/>
        <w:spacing w:after="0" w:line="312" w:lineRule="auto"/>
        <w:rPr>
          <w:sz w:val="20"/>
          <w:szCs w:val="20"/>
          <w:color w:val="auto"/>
        </w:rPr>
      </w:pPr>
      <w:r>
        <w:rPr>
          <w:rFonts w:ascii="Arial" w:cs="Arial" w:eastAsia="Arial" w:hAnsi="Arial"/>
          <w:sz w:val="16"/>
          <w:szCs w:val="16"/>
          <w:color w:val="auto"/>
        </w:rPr>
        <w:t>Under the collaboration agreement with Aventis, we and Aventis will share co-promotion rights and profits on sales, if any, of the VEGF Trap. Aventis has agreed to make a $25.0 million payment to us upon achievement of an early-stage clinical milestone. We may also receive up to $360.0 million in additional milestone payments upon receipt of specified marketing approvals for up to eight VEGF Trap indications in Europe or the United States.</w:t>
      </w:r>
    </w:p>
    <w:p>
      <w:pPr>
        <w:spacing w:after="0" w:line="120" w:lineRule="exact"/>
        <w:rPr>
          <w:sz w:val="20"/>
          <w:szCs w:val="20"/>
          <w:color w:val="auto"/>
        </w:rPr>
      </w:pPr>
    </w:p>
    <w:p>
      <w:pPr>
        <w:ind w:firstLine="222"/>
        <w:spacing w:after="0" w:line="255" w:lineRule="auto"/>
        <w:rPr>
          <w:sz w:val="20"/>
          <w:szCs w:val="20"/>
          <w:color w:val="auto"/>
        </w:rPr>
      </w:pPr>
      <w:r>
        <w:rPr>
          <w:rFonts w:ascii="Arial" w:cs="Arial" w:eastAsia="Arial" w:hAnsi="Arial"/>
          <w:sz w:val="18"/>
          <w:szCs w:val="18"/>
          <w:color w:val="auto"/>
        </w:rPr>
        <w:t>We have agreed to continue to manufacture clinical supplies of the VEGF Trap at our plant in Rensselaer, New York. Aventis has agreed to be responsible for providing commercial scale manufacturing capacity for the VEGF Trap. Under the collaboration agreement, agreed upon development expenses incurred by both companies during the term of the agreement, including costs associated with the manufacture of clinical drug supply, will be funded by Aventis. If the collaboration becomes profitable, we will reimburse Aventis for 50 percent of the VEGF Trap development expenses in accordance with a formula based on the amount of development expenses and our share of the collaboration profits, or at a faster rate at our option. We have the option to conduct additional pre-phase 3 studies at our own expense.</w:t>
      </w:r>
    </w:p>
    <w:p>
      <w:pPr>
        <w:spacing w:after="0" w:line="153" w:lineRule="exact"/>
        <w:rPr>
          <w:sz w:val="20"/>
          <w:szCs w:val="20"/>
          <w:color w:val="auto"/>
        </w:rPr>
      </w:pPr>
    </w:p>
    <w:p>
      <w:pPr>
        <w:ind w:right="60" w:firstLine="225"/>
        <w:spacing w:after="0" w:line="286" w:lineRule="auto"/>
        <w:rPr>
          <w:sz w:val="20"/>
          <w:szCs w:val="20"/>
          <w:color w:val="auto"/>
        </w:rPr>
      </w:pPr>
      <w:r>
        <w:rPr>
          <w:rFonts w:ascii="Arial" w:cs="Arial" w:eastAsia="Arial" w:hAnsi="Arial"/>
          <w:sz w:val="17"/>
          <w:szCs w:val="17"/>
          <w:color w:val="auto"/>
        </w:rPr>
        <w:t>In 2004, we and Aventis plan to invest approximately $100 million to support the development of the VEGF Trap. The broad based development program will include multiple phase 1 studies to evaluate the VEGF Trap in combination with other therapies in various cancer indications, phase 2 single-agent studies of the VEGF Trap in separate cancer indications, and multiple phase 1 studies of the VEGF Trap in certain eye diseases.</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Expenditures:</w:t>
      </w:r>
    </w:p>
    <w:p>
      <w:pPr>
        <w:spacing w:after="0" w:line="198" w:lineRule="exact"/>
        <w:rPr>
          <w:sz w:val="20"/>
          <w:szCs w:val="20"/>
          <w:color w:val="auto"/>
        </w:rPr>
      </w:pPr>
    </w:p>
    <w:p>
      <w:pPr>
        <w:jc w:val="both"/>
        <w:ind w:right="40" w:firstLine="225"/>
        <w:spacing w:after="0" w:line="264" w:lineRule="auto"/>
        <w:rPr>
          <w:sz w:val="20"/>
          <w:szCs w:val="20"/>
          <w:color w:val="auto"/>
        </w:rPr>
      </w:pPr>
      <w:r>
        <w:rPr>
          <w:rFonts w:ascii="Arial" w:cs="Arial" w:eastAsia="Arial" w:hAnsi="Arial"/>
          <w:sz w:val="18"/>
          <w:szCs w:val="18"/>
          <w:color w:val="auto"/>
        </w:rPr>
        <w:t>Our additions to property, plant, and equipment totaled $0.7 million and $8.1 million for the first three months of 2004 and 2003, respectively. During the remainder of 2004, we expect to incur approximately $5 million to $8 million in capital expenditures which primarily consists of equipment for our expanded manufacturing, research, and development activities.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85" w:lineRule="exact"/>
        <w:rPr>
          <w:sz w:val="20"/>
          <w:szCs w:val="20"/>
          <w:color w:val="auto"/>
        </w:rPr>
      </w:pPr>
    </w:p>
    <w:p>
      <w:pPr>
        <w:ind w:firstLine="222"/>
        <w:spacing w:after="0" w:line="257" w:lineRule="auto"/>
        <w:rPr>
          <w:sz w:val="20"/>
          <w:szCs w:val="20"/>
          <w:color w:val="auto"/>
        </w:rPr>
      </w:pPr>
      <w:r>
        <w:rPr>
          <w:rFonts w:ascii="Arial" w:cs="Arial" w:eastAsia="Arial" w:hAnsi="Arial"/>
          <w:sz w:val="18"/>
          <w:szCs w:val="18"/>
          <w:color w:val="auto"/>
        </w:rPr>
        <w:t>We expect to continue to incur substantial funding requirements primarily for research and development activities (including preclinical and clinical testing). We currently anticipate that for the remainder of 2004 approximately 50-70% of our expenditures will be directed toward the preclinical and clinical development of product candidates, including the VEGF Trap, IL-1 Trap, IL-4/13 Trap, and AXOKINE; approximately 10-20% of our expenditures will cover our basic research activities and the continued development of our novel technology platforms; and the remainder of our expenditures will be for capital expenditures and general corporate purposes, including working capital.</w:t>
      </w:r>
    </w:p>
    <w:p>
      <w:pPr>
        <w:spacing w:after="0" w:line="161" w:lineRule="exact"/>
        <w:rPr>
          <w:sz w:val="20"/>
          <w:szCs w:val="20"/>
          <w:color w:val="auto"/>
        </w:rPr>
      </w:pPr>
    </w:p>
    <w:p>
      <w:pPr>
        <w:ind w:right="80" w:firstLine="222"/>
        <w:spacing w:after="0" w:line="287" w:lineRule="auto"/>
        <w:rPr>
          <w:sz w:val="20"/>
          <w:szCs w:val="20"/>
          <w:color w:val="auto"/>
        </w:rPr>
      </w:pPr>
      <w:r>
        <w:rPr>
          <w:rFonts w:ascii="Arial" w:cs="Arial" w:eastAsia="Arial" w:hAnsi="Arial"/>
          <w:sz w:val="16"/>
          <w:szCs w:val="16"/>
          <w:color w:val="auto"/>
        </w:rPr>
        <w:t>The amount we need to fund operations will depend on various factors, including the status of competitive products, the success of our research and development programs, the potential future need to expand our professional and support staff and facilities, the status of patents and other intellectual property rights, the delay or failure of a clinical trial of any of our potential drug candidates, and the continuation, extent, and success of any collaborative research and development collaborations (including those with Aventis and Procter &amp; Gamble). Clinical trial costs are dependent, among other things, on the size and duration of trials, fees charged for services provided by clinical trial investigators and other third parties, the costs for manufacturing the product candidate for use in the trials, supplies, laboratory tests, and other expenses. The amount of funding that will be required for our clinical programs depends upon the results of our research and preclinical programs and early-stage clinical trials, regulatory requirements, the clinical trials underway plus additional clinical trials that we decide to initiate, and the various factors that affect the cost of each trial as described above. In the future, if we are able to successfully develop, market, and sell certain of our product candidates, we may be required to pay royalties or otherwise share the profits generated on such sales in connection with our collaboration and licensing agreements. Also, under the terms of the Aventis collaboration agreement, if the collaboration becomes profitable, we will reimburse Aventis for 50 percent of the VEGF Trap development expenses in accordance with a formula based on the amount of development expenses and our share of the collaboration profits, or at a faster rate at our option.</w:t>
      </w:r>
    </w:p>
    <w:p>
      <w:pPr>
        <w:spacing w:after="0" w:line="128" w:lineRule="exact"/>
        <w:rPr>
          <w:sz w:val="20"/>
          <w:szCs w:val="20"/>
          <w:color w:val="auto"/>
        </w:rPr>
      </w:pPr>
    </w:p>
    <w:p>
      <w:pPr>
        <w:ind w:right="320" w:firstLine="222"/>
        <w:spacing w:after="0" w:line="277" w:lineRule="auto"/>
        <w:rPr>
          <w:sz w:val="20"/>
          <w:szCs w:val="20"/>
          <w:color w:val="auto"/>
        </w:rPr>
      </w:pPr>
      <w:r>
        <w:rPr>
          <w:rFonts w:ascii="Arial" w:cs="Arial" w:eastAsia="Arial" w:hAnsi="Arial"/>
          <w:sz w:val="18"/>
          <w:szCs w:val="18"/>
          <w:color w:val="auto"/>
        </w:rPr>
        <w:t>We expect that expenses related to the filing, prosecution, defense, and enforcement of patent and other intellectual property claims will continue to be substantial as a result of patent filings and prosecutions in the United States and foreign countries.</w:t>
      </w:r>
    </w:p>
    <w:p>
      <w:pPr>
        <w:spacing w:after="0" w:line="130" w:lineRule="exact"/>
        <w:rPr>
          <w:sz w:val="20"/>
          <w:szCs w:val="20"/>
          <w:color w:val="auto"/>
        </w:rPr>
      </w:pPr>
    </w:p>
    <w:p>
      <w:pPr>
        <w:jc w:val="both"/>
        <w:ind w:right="200" w:firstLine="222"/>
        <w:spacing w:after="0" w:line="264" w:lineRule="auto"/>
        <w:rPr>
          <w:sz w:val="20"/>
          <w:szCs w:val="20"/>
          <w:color w:val="auto"/>
        </w:rPr>
      </w:pPr>
      <w:r>
        <w:rPr>
          <w:rFonts w:ascii="Arial" w:cs="Arial" w:eastAsia="Arial" w:hAnsi="Arial"/>
          <w:sz w:val="18"/>
          <w:szCs w:val="18"/>
          <w:color w:val="auto"/>
        </w:rPr>
        <w:t>We believe that our existing capital resources will enable us to meet operating needs through at least the end of 2005 and expect to end 2004 with a cash balance of $300 to $325 million. However, this is a forward-looking statement based on our current operating plan, and there may be a change in projected revenues or expenses that would lead to our capital being consumed</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significantly before such time. If there is insufficient capital to fund all of our planned operations and activities, we believe we would prioritize available capital to fund preclinical and clinical development of our product candidates. We have no off-balance sheet arrangements and do not guarantee the obligations of any other entity. As of March 31, 2004, we had no established banking arrangements through which we could obtain short-term financing or a line of credit. In the event we need additional financing for the operation of our business, we will consider collaborative arrangements and additional public or private financing, including additional equity financing. Factors influencing the availability of additional financing include our progress in product development, investor perception of our prospects, and the general condition of the financial markets. We may not be able to secure the necessary funding through new collaborative arrangements or additional public or private offerings. If we cannot raise adequate funds to satisfy our capital requirements, we may have to delay, scale-back, or eliminate certain of our research and development activities or future operations. This could harm our business.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Impact of Recently Issued Accounting Standards</w:t>
      </w:r>
    </w:p>
    <w:p>
      <w:pPr>
        <w:spacing w:after="0" w:line="189" w:lineRule="exact"/>
        <w:rPr>
          <w:sz w:val="20"/>
          <w:szCs w:val="20"/>
          <w:color w:val="auto"/>
        </w:rPr>
      </w:pPr>
    </w:p>
    <w:p>
      <w:pPr>
        <w:ind w:right="60" w:firstLine="225"/>
        <w:spacing w:after="0" w:line="291" w:lineRule="auto"/>
        <w:rPr>
          <w:sz w:val="20"/>
          <w:szCs w:val="20"/>
          <w:color w:val="auto"/>
        </w:rPr>
      </w:pPr>
      <w:r>
        <w:rPr>
          <w:rFonts w:ascii="Arial" w:cs="Arial" w:eastAsia="Arial" w:hAnsi="Arial"/>
          <w:sz w:val="16"/>
          <w:szCs w:val="16"/>
          <w:color w:val="auto"/>
        </w:rPr>
        <w:t xml:space="preserve">In April 2004, the Emerging Issues Task Force issued Statement No. 03-6, </w:t>
      </w:r>
      <w:r>
        <w:rPr>
          <w:rFonts w:ascii="Arial" w:cs="Arial" w:eastAsia="Arial" w:hAnsi="Arial"/>
          <w:sz w:val="16"/>
          <w:szCs w:val="16"/>
          <w:i w:val="1"/>
          <w:iCs w:val="1"/>
          <w:color w:val="auto"/>
        </w:rPr>
        <w:t>Participating Securities and the Two-Class Method under FASB Statement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No. 128, Earnings per Share </w:t>
      </w:r>
      <w:r>
        <w:rPr>
          <w:rFonts w:ascii="Arial" w:cs="Arial" w:eastAsia="Arial" w:hAnsi="Arial"/>
          <w:sz w:val="16"/>
          <w:szCs w:val="16"/>
          <w:color w:val="auto"/>
        </w:rPr>
        <w:t>(EITF 03-6). EITF 03-6 addresses a number of questions regarding the computation of earnings per share (EPS) by companies</w:t>
      </w:r>
      <w:r>
        <w:rPr>
          <w:rFonts w:ascii="Arial" w:cs="Arial" w:eastAsia="Arial" w:hAnsi="Arial"/>
          <w:sz w:val="16"/>
          <w:szCs w:val="16"/>
          <w:i w:val="1"/>
          <w:iCs w:val="1"/>
          <w:color w:val="auto"/>
        </w:rPr>
        <w:t xml:space="preserve"> </w:t>
      </w:r>
      <w:r>
        <w:rPr>
          <w:rFonts w:ascii="Arial" w:cs="Arial" w:eastAsia="Arial" w:hAnsi="Arial"/>
          <w:sz w:val="16"/>
          <w:szCs w:val="16"/>
          <w:color w:val="auto"/>
        </w:rPr>
        <w:t>that have issued securities other than common stock that contractually entitle the holder to participate in dividends and earnings of the company when, and if, it declares dividends on its common stock. EITF 03-6 defines participation rights based solely on whether the holder would be entitled to receive any dividends if the entity declared them during the period and requires the use of the two-class method for computing basic EPS when participating convertible securities exist. In addition, EITF 03-6 expands the use of the two-class method to encompass other forms of participating securities and is effective for fiscal periods beginning after March 31, 2004. We do not expect the adoption of EITF 03-6 to have a material impact on our financial statements.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w:t>
      </w:r>
    </w:p>
    <w:p>
      <w:pPr>
        <w:spacing w:after="0" w:line="202" w:lineRule="exact"/>
        <w:rPr>
          <w:sz w:val="20"/>
          <w:szCs w:val="20"/>
          <w:color w:val="auto"/>
        </w:rPr>
      </w:pPr>
    </w:p>
    <w:p>
      <w:pPr>
        <w:ind w:right="160" w:firstLine="222"/>
        <w:spacing w:after="0" w:line="297" w:lineRule="auto"/>
        <w:rPr>
          <w:sz w:val="20"/>
          <w:szCs w:val="20"/>
          <w:color w:val="auto"/>
        </w:rPr>
      </w:pPr>
      <w:r>
        <w:rPr>
          <w:rFonts w:ascii="Arial" w:cs="Arial" w:eastAsia="Arial" w:hAnsi="Arial"/>
          <w:sz w:val="16"/>
          <w:szCs w:val="16"/>
          <w:color w:val="auto"/>
        </w:rPr>
        <w:t>We operate in an environment that involves a number of significant risks and uncertainties. We caution you to read the following risk factors, which have affected, and/or in the future could affect, our business, operating results, financial condition, and cash flows. The risks described below include forward-looking statements, and our actual results may differ substantially from those discussed in these forward-looking statements. Additional risks and uncertainties not currently known to us or that we currently deem immaterial may also impair our business operations. Furthermore, additional risks and uncertainties are included under other captions in this report and in our Annual Report on Form 10-K and should be considered by our investors.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Results and Need for Additional Financing</w:t>
      </w:r>
    </w:p>
    <w:p>
      <w:pPr>
        <w:spacing w:after="0" w:line="18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We have had a history of operating losses and we may never achieve profitability. If we continue to incur operating losses, we may be unable to continue our operations.</w:t>
      </w:r>
    </w:p>
    <w:p>
      <w:pPr>
        <w:spacing w:after="0" w:line="143" w:lineRule="exact"/>
        <w:rPr>
          <w:sz w:val="20"/>
          <w:szCs w:val="20"/>
          <w:color w:val="auto"/>
        </w:rPr>
      </w:pPr>
    </w:p>
    <w:p>
      <w:pPr>
        <w:ind w:right="160" w:firstLine="225"/>
        <w:spacing w:after="0" w:line="277" w:lineRule="auto"/>
        <w:rPr>
          <w:sz w:val="20"/>
          <w:szCs w:val="20"/>
          <w:color w:val="auto"/>
        </w:rPr>
      </w:pPr>
      <w:r>
        <w:rPr>
          <w:rFonts w:ascii="Arial" w:cs="Arial" w:eastAsia="Arial" w:hAnsi="Arial"/>
          <w:sz w:val="18"/>
          <w:szCs w:val="18"/>
          <w:color w:val="auto"/>
        </w:rPr>
        <w:t>From inception on January 8, 1988 through March 31, 2004, we had a cumulative loss of $467.0 million. If we continue to incur operating losses and fail to become a profitable company,</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we may be unable to continue our operations. We have no products that are available for sale and do not know when we will have products available for sale, if ever. In the absence of revenue from the sale of products or other sources, the amount, timing, nature, or source of which cannot be predicted, our losses will continue as we conduct our research and development activities.</w:t>
      </w:r>
    </w:p>
    <w:p>
      <w:pPr>
        <w:spacing w:after="0" w:line="15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We will need additional funding in the future, which may not be available to us, and which would then force us to delay, reduce, or eliminate our product development programs or commercialization efforts.</w:t>
      </w:r>
    </w:p>
    <w:p>
      <w:pPr>
        <w:spacing w:after="0" w:line="130" w:lineRule="exact"/>
        <w:rPr>
          <w:sz w:val="20"/>
          <w:szCs w:val="20"/>
          <w:color w:val="auto"/>
        </w:rPr>
      </w:pPr>
    </w:p>
    <w:p>
      <w:pPr>
        <w:ind w:right="80" w:firstLine="222"/>
        <w:spacing w:after="0" w:line="290" w:lineRule="auto"/>
        <w:rPr>
          <w:sz w:val="20"/>
          <w:szCs w:val="20"/>
          <w:color w:val="auto"/>
        </w:rPr>
      </w:pPr>
      <w:r>
        <w:rPr>
          <w:rFonts w:ascii="Arial" w:cs="Arial" w:eastAsia="Arial" w:hAnsi="Arial"/>
          <w:sz w:val="16"/>
          <w:szCs w:val="16"/>
          <w:color w:val="auto"/>
        </w:rPr>
        <w:t>We will need to expend substantial resources for research and development, including costs associated with clinical testing of our product candidates. We believe our existing capital resources will enable us to meet operating needs through at least the end of 2005. However, our projected revenue may decrease or our expenses may increase and that would lead to our capital being consumed significantly before such time. We will likely require additional financing in the future and we may not be able to raise such additional funds. If we are able to obtain additional financing through the sale of equity or convertible debt securities, such sales may be dilutive to our shareholders. Debt financing arrangements may require us to pledge certain assets or enter into covenants that would restrict certain business activities or our ability to incur further indebtedness and may contain other terms that are not favorable to our shareholders. If we are unable to raise sufficient funds to complete the development of our product candidates, we may face delay, reduction, or elimination of our research and development programs or preclinical or clinical trials, in which case our business, financial condition, or results of operations may be materially harmed.</w:t>
      </w:r>
    </w:p>
    <w:p>
      <w:pPr>
        <w:spacing w:after="0" w:line="126"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have a significant amount of debt and may have insufficient cash to satisfy our debt service and repayment obligations. In addition, the amount of our debt could impede our operations and flexibility.</w:t>
      </w:r>
    </w:p>
    <w:p>
      <w:pPr>
        <w:spacing w:after="0" w:line="143" w:lineRule="exact"/>
        <w:rPr>
          <w:sz w:val="20"/>
          <w:szCs w:val="20"/>
          <w:color w:val="auto"/>
        </w:rPr>
      </w:pPr>
    </w:p>
    <w:p>
      <w:pPr>
        <w:ind w:firstLine="222"/>
        <w:spacing w:after="0" w:line="255" w:lineRule="auto"/>
        <w:rPr>
          <w:sz w:val="20"/>
          <w:szCs w:val="20"/>
          <w:color w:val="auto"/>
        </w:rPr>
      </w:pPr>
      <w:r>
        <w:rPr>
          <w:rFonts w:ascii="Arial" w:cs="Arial" w:eastAsia="Arial" w:hAnsi="Arial"/>
          <w:sz w:val="18"/>
          <w:szCs w:val="18"/>
          <w:color w:val="auto"/>
        </w:rPr>
        <w:t>We have a significant amount of convertible debt and semi-annual interest payment obligations. This debt, unless converted to shares of our Common Stock, will mature in October 2008. We may be unable to generate sufficient cash flow or otherwise obtain funds necessary to make required payments on our debt. Even if we are able to meet our debt service obligations, the amount of debt we already have could hurt our ability to obtain any necessary financing in the future for working capital, capital expenditures, debt service requirements, or other purposes. In addition, our debt obligations could require us to use a substantial portion of cash to pay principal and interest on our debt, instead of applying those funds to other purposes, such as research and development, working capital, and capital expenditures.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Development of our Product Candidates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Successful development of any of our product candidates is highly uncertain.</w:t>
      </w:r>
    </w:p>
    <w:p>
      <w:pPr>
        <w:spacing w:after="0" w:line="198" w:lineRule="exact"/>
        <w:rPr>
          <w:sz w:val="20"/>
          <w:szCs w:val="20"/>
          <w:color w:val="auto"/>
        </w:rPr>
      </w:pPr>
    </w:p>
    <w:p>
      <w:pPr>
        <w:ind w:right="80" w:firstLine="225"/>
        <w:spacing w:after="0" w:line="277" w:lineRule="auto"/>
        <w:rPr>
          <w:sz w:val="20"/>
          <w:szCs w:val="20"/>
          <w:color w:val="auto"/>
        </w:rPr>
      </w:pPr>
      <w:r>
        <w:rPr>
          <w:rFonts w:ascii="Arial" w:cs="Arial" w:eastAsia="Arial" w:hAnsi="Arial"/>
          <w:sz w:val="18"/>
          <w:szCs w:val="18"/>
          <w:color w:val="auto"/>
        </w:rPr>
        <w:t>Only a small minority of all research and development programs ultimately result in commercially successful drugs. We have never developed a drug that has been approved for marketing and sale and we may never succeed in developing an approved drug. Even if clinical</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trials demonstrate safety and effectiveness of any of our product candidates for a specific disease and the necessary regulatory approvals are obtained, the commercial success of any of our product candidates will depend upon their acceptance by patients, the medical community, and third-party payors and on our and our partners’ ability to successfully manufacture and commercialize our product candidates. Our product candidates are delivered either by intravenous or subcutaneous injections, which are generally less well received by patients than tablet or capsule delivery. If our products are not successfully commercialized, we will not be able to recover the significant investment we have made in developing such products and our business would be severely harmed.</w:t>
      </w:r>
    </w:p>
    <w:p>
      <w:pPr>
        <w:spacing w:after="0" w:line="166"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b w:val="1"/>
          <w:bCs w:val="1"/>
          <w:i w:val="1"/>
          <w:iCs w:val="1"/>
          <w:color w:val="auto"/>
        </w:rPr>
        <w:t>Clinical trials required for our product candidates are expensive and time-consuming, and their outcome is highly uncertain. If any of our drug trials are delayed or achieve unfavorable results, we will have to delay or may be unable to obtain regulatory approval for our product candidates.</w:t>
      </w:r>
    </w:p>
    <w:p>
      <w:pPr>
        <w:spacing w:after="0" w:line="83" w:lineRule="exact"/>
        <w:rPr>
          <w:sz w:val="20"/>
          <w:szCs w:val="20"/>
          <w:color w:val="auto"/>
        </w:rPr>
      </w:pPr>
    </w:p>
    <w:p>
      <w:pPr>
        <w:ind w:firstLine="222"/>
        <w:spacing w:after="0" w:line="269" w:lineRule="auto"/>
        <w:rPr>
          <w:sz w:val="20"/>
          <w:szCs w:val="20"/>
          <w:color w:val="auto"/>
        </w:rPr>
      </w:pPr>
      <w:r>
        <w:rPr>
          <w:rFonts w:ascii="Arial" w:cs="Arial" w:eastAsia="Arial" w:hAnsi="Arial"/>
          <w:sz w:val="17"/>
          <w:szCs w:val="17"/>
          <w:color w:val="auto"/>
        </w:rPr>
        <w:t>We must conduct extensive testing of our product candidates before we can obtain regulatory approval to market and sell them. We need to conduct both preclinical animal testing and human clinical trials. Conducting these trials is a lengthy, time-consuming, and expensive process. These tests and trials may not achieve favorable results for many reasons, including, among others, failure of the product candidate to demonstrate safety or efficacy, the development of serious or life-threatening adverse events (or side effects) caused by or connected with exposure to the product candidate, difficulty in enrolling and maintaining subjects in the clinical trial, lack of sufficient supplies of the product candidate, and the failure of clinical investigators, trial monitors and other consultants, or trial subjects to comply with the trial plan or protocol. A clinical trial may also fail because it did not include a sufficient number of patients to detect the endpoint being measured or reach statistical significance. For example, the pending trials studying the maintenance of weight loss following short-term treatment regimens with AXOKINE may not have enrolled a sufficient number of patients to detect statistically significant differences between patients treated with AXOKINE and those taking placebo. These trials were designed before we had access to the data from the completed pivotal phase 3 AXOKINE trial, which demonstrated that the magnitude of the average difference in weight loss observed between all AXOKINE-treated subjects and those taking placebo was small.</w:t>
      </w:r>
    </w:p>
    <w:p>
      <w:pPr>
        <w:spacing w:after="0" w:line="142" w:lineRule="exact"/>
        <w:rPr>
          <w:sz w:val="20"/>
          <w:szCs w:val="20"/>
          <w:color w:val="auto"/>
        </w:rPr>
      </w:pPr>
    </w:p>
    <w:p>
      <w:pPr>
        <w:ind w:right="120" w:firstLine="222"/>
        <w:spacing w:after="0" w:line="276" w:lineRule="auto"/>
        <w:rPr>
          <w:sz w:val="20"/>
          <w:szCs w:val="20"/>
          <w:color w:val="auto"/>
        </w:rPr>
      </w:pPr>
      <w:r>
        <w:rPr>
          <w:rFonts w:ascii="Arial" w:cs="Arial" w:eastAsia="Arial" w:hAnsi="Arial"/>
          <w:sz w:val="17"/>
          <w:szCs w:val="17"/>
          <w:color w:val="auto"/>
        </w:rPr>
        <w:t>We will need to reevaluate any drug candidate that does not test favorably and either conduct new trials, which are expensive and time consuming, or abandon the drug development program. Even if we obtain positive results from preclinical or clinical trials, we may not achieve the same success in future trials. Many companies in the biopharmaceutical industry, including us, have suffered significant setbacks in clinical trials, even after promising results have been obtained in earlier trials. The failure of clinical trials to demonstrate safety and effectiveness for our desired indications could harm the development of the product candidate, and our business, financial condition, and results of operations may be materially harmed.</w:t>
      </w:r>
    </w:p>
    <w:p>
      <w:pPr>
        <w:spacing w:after="0" w:line="146"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The development of serious or life-threatening side effects with any of our product candidates would lead to delay or discontinuation of development, which could severely harm our business.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225"/>
        <w:spacing w:after="0" w:line="272" w:lineRule="auto"/>
        <w:rPr>
          <w:sz w:val="20"/>
          <w:szCs w:val="20"/>
          <w:color w:val="auto"/>
        </w:rPr>
      </w:pPr>
      <w:r>
        <w:rPr>
          <w:rFonts w:ascii="Arial" w:cs="Arial" w:eastAsia="Arial" w:hAnsi="Arial"/>
          <w:sz w:val="17"/>
          <w:szCs w:val="17"/>
          <w:color w:val="auto"/>
        </w:rPr>
        <w:t>During the conduct of clinical trials, patients report changes in their health, including illnesses, injuries, and discomforts to their study doctor. Often, it is not possible to determine whether or not the drug candidate being studied caused these conditions. Various illnesses, injuries, and discomforts have been reported from time-to-time during clinical trials of our product candidates. Although our current drug candidates appeared to be generally well tolerated in clinical trials, it is possible as we test any of them in larger, longer, and more extensive clinical programs, illnesses, injuries, and discomforts that were observed in earlier trials, as well as conditions that did not occur or went undetected in smaller previous trials, will be reported by patients. If additional clinical experience indicates that any of our product candidates has many side effects or causes serious or life-threatening side effects, the development of the product candidate may fail or be delayed, which would severely harm our business.</w:t>
      </w:r>
    </w:p>
    <w:p>
      <w:pPr>
        <w:spacing w:after="0" w:line="151" w:lineRule="exact"/>
        <w:rPr>
          <w:sz w:val="20"/>
          <w:szCs w:val="20"/>
          <w:color w:val="auto"/>
        </w:rPr>
      </w:pPr>
    </w:p>
    <w:p>
      <w:pPr>
        <w:ind w:right="180" w:firstLine="225"/>
        <w:spacing w:after="0" w:line="264" w:lineRule="auto"/>
        <w:rPr>
          <w:sz w:val="20"/>
          <w:szCs w:val="20"/>
          <w:color w:val="auto"/>
        </w:rPr>
      </w:pPr>
      <w:r>
        <w:rPr>
          <w:rFonts w:ascii="Arial" w:cs="Arial" w:eastAsia="Arial" w:hAnsi="Arial"/>
          <w:sz w:val="18"/>
          <w:szCs w:val="18"/>
          <w:color w:val="auto"/>
        </w:rPr>
        <w:t>Our VEGF Trap is being studied for the potential treatment of certain types of cancer and diseases of the eye. There are many potential safety concerns associated with significant blockade of vascular endothelial growth factor, or VEGF. These safety concerns may limit our ability to successfully develop the VEGF Trap.</w:t>
      </w:r>
    </w:p>
    <w:p>
      <w:pPr>
        <w:spacing w:after="0" w:line="141" w:lineRule="exact"/>
        <w:rPr>
          <w:sz w:val="20"/>
          <w:szCs w:val="20"/>
          <w:color w:val="auto"/>
        </w:rPr>
      </w:pPr>
    </w:p>
    <w:p>
      <w:pPr>
        <w:ind w:right="40" w:firstLine="225"/>
        <w:spacing w:after="0" w:line="290" w:lineRule="auto"/>
        <w:rPr>
          <w:sz w:val="20"/>
          <w:szCs w:val="20"/>
          <w:color w:val="auto"/>
        </w:rPr>
      </w:pPr>
      <w:r>
        <w:rPr>
          <w:rFonts w:ascii="Arial" w:cs="Arial" w:eastAsia="Arial" w:hAnsi="Arial"/>
          <w:sz w:val="16"/>
          <w:szCs w:val="16"/>
          <w:color w:val="auto"/>
        </w:rPr>
        <w:t>Genentech and Eyetech are developing VEGF inhibiting molecules for certain diseases of the eye that will be delivered by direct administration to the eye. We are studying the VEGF Trap for the potential treatment of certain diseases of the eye through intravitreal injections in the eye or general administration through intravenous infusions or subcutaneous injections. Although we believe that there are potential clinical advantages to general administration over injections directly in the eye (including patient comfort and acceptance), there are unique potential risks to patients associated with systemic blockade of VEGF by intravenous infusions or subcutaneous injections that could limit or end the VEGF Trap development program. These risks, based on the clinical and preclinical experience of systemically delivered VEGF inhibitors, include bleeding, hypertension, and proteinuria. In addition, patients given infusions of any protein, including the VEGF Trap, may develop severe hypersensitivity reactions, referred to as infusion reactions. There may be additional complications or side effects that could harm the development of the VEGF Trap for either the treatment of cancer or diseases of the eye.</w:t>
      </w:r>
    </w:p>
    <w:p>
      <w:pPr>
        <w:spacing w:after="0" w:line="126"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b w:val="1"/>
          <w:bCs w:val="1"/>
          <w:i w:val="1"/>
          <w:iCs w:val="1"/>
          <w:color w:val="auto"/>
        </w:rPr>
        <w:t>Our product candidates in development are recombinant proteins that could cause an immune response, resulting in the creation of harmful or neutralizing antibodies against the therapeutic protein.</w:t>
      </w:r>
    </w:p>
    <w:p>
      <w:pPr>
        <w:spacing w:after="0" w:line="143" w:lineRule="exact"/>
        <w:rPr>
          <w:sz w:val="20"/>
          <w:szCs w:val="20"/>
          <w:color w:val="auto"/>
        </w:rPr>
      </w:pPr>
    </w:p>
    <w:p>
      <w:pPr>
        <w:ind w:firstLine="225"/>
        <w:spacing w:after="0" w:line="254" w:lineRule="auto"/>
        <w:rPr>
          <w:sz w:val="20"/>
          <w:szCs w:val="20"/>
          <w:color w:val="auto"/>
        </w:rPr>
      </w:pPr>
      <w:r>
        <w:rPr>
          <w:rFonts w:ascii="Arial" w:cs="Arial" w:eastAsia="Arial" w:hAnsi="Arial"/>
          <w:sz w:val="18"/>
          <w:szCs w:val="18"/>
          <w:color w:val="auto"/>
        </w:rPr>
        <w:t>In addition to the safety, efficacy, manufacturing, and regulatory hurdles faced by our product candidates, the administration of recombinant proteins frequently causes an immune response, resulting in the creation of antibodies against the therapeutic protein. The antibodies can have no effect or can totally neutralize the effectiveness of the protein, or require that higher doses be used to obtain a therapeutic effect. In some cases, the antibody can cross react with the patient’s own proteins, resulting in an “auto-immune” type disease. Whether antibodies will be created can often not be predicted from preclinical or clinical experiments, and their appearance is often delayed, so that there can be no assurance that neutralizing antibodies will not be created at a later date – in some cases even after pivotal clinical trials have been completed. Approximately two-thirds of the subjects who received AXOKINE in the completed phase 3 study developed neutralizing antibodies. In addition, subjects who received the IL-1 Trap in clinical trials have developed antibodies. It is possible that as we test the VEGF Trap in different patient</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populations and larger clinical trials, subjects given the VEGF Trap will develop antibodies to the product candidate.</w:t>
      </w:r>
    </w:p>
    <w:p>
      <w:pPr>
        <w:spacing w:after="0" w:line="19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A previous phase 3 study evaluating AXOKINE demonstrated modest average weight loss over a 12-month period. In addition, a completed phase 2 study evaluating the IL-1 Trap in patients with rheumatoid arthritis failed to achieve its primary endpoint.</w:t>
      </w:r>
    </w:p>
    <w:p>
      <w:pPr>
        <w:spacing w:after="0" w:line="130" w:lineRule="exact"/>
        <w:rPr>
          <w:sz w:val="20"/>
          <w:szCs w:val="20"/>
          <w:color w:val="auto"/>
        </w:rPr>
      </w:pPr>
    </w:p>
    <w:p>
      <w:pPr>
        <w:jc w:val="both"/>
        <w:ind w:right="120" w:firstLine="225"/>
        <w:spacing w:after="0" w:line="264" w:lineRule="auto"/>
        <w:rPr>
          <w:sz w:val="20"/>
          <w:szCs w:val="20"/>
          <w:color w:val="auto"/>
        </w:rPr>
      </w:pPr>
      <w:r>
        <w:rPr>
          <w:rFonts w:ascii="Arial" w:cs="Arial" w:eastAsia="Arial" w:hAnsi="Arial"/>
          <w:sz w:val="18"/>
          <w:szCs w:val="18"/>
          <w:color w:val="auto"/>
        </w:rPr>
        <w:t>In March 2003, we reported data from the 12-month treatment period of our initial phase 3 pivotal trial of AXOKINE. Although the phase 3 study met its primary endpoints and many individuals achieved a medically meaningful weight loss, the average weight loss was small and limited by the development of antibodies.</w:t>
      </w:r>
    </w:p>
    <w:p>
      <w:pPr>
        <w:spacing w:after="0" w:line="141" w:lineRule="exact"/>
        <w:rPr>
          <w:sz w:val="20"/>
          <w:szCs w:val="20"/>
          <w:color w:val="auto"/>
        </w:rPr>
      </w:pPr>
    </w:p>
    <w:p>
      <w:pPr>
        <w:ind w:firstLine="225"/>
        <w:spacing w:after="0" w:line="272" w:lineRule="auto"/>
        <w:rPr>
          <w:sz w:val="20"/>
          <w:szCs w:val="20"/>
          <w:color w:val="auto"/>
        </w:rPr>
      </w:pPr>
      <w:r>
        <w:rPr>
          <w:rFonts w:ascii="Arial" w:cs="Arial" w:eastAsia="Arial" w:hAnsi="Arial"/>
          <w:sz w:val="17"/>
          <w:szCs w:val="17"/>
          <w:color w:val="auto"/>
        </w:rPr>
        <w:t>In October 2003, we reported results from the first phase 2 trial of our IL-1 Trap. While patients treated with the highest dose, 100 milligrams of the IL-1 Trap once a week, exhibited improvements in the primary endpoint of the trial, the proportion of ACR 20 responses versus placebo, the results did not achieve statistical significance. We plan to conduct a phase 2b study of the IL-1 Trap in a larger patient population, testing higher doses than were tested in the previous phase 2 trial and for a longer period of time. However, higher doses may not lead to better results than were demonstrated in the previous phase 2 trial. In addition, safety or tolerability concerns may arise which limit our ability to deliver higher doses of the IL-1 Trap to patients. We plan to study higher doses of the IL-1 Trap through increased subcutaneous injections and intravenous delivery. Either approach may affect the safety and/or tolerability of the IL-1 Trap, which may limit its commercial potential if the product candidate is ever approved for marketing and sale.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and Litigation Risks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do not obtain regulatory approval for our product candidates, we will not be able to market or sell them.</w:t>
      </w:r>
    </w:p>
    <w:p>
      <w:pPr>
        <w:spacing w:after="0" w:line="185" w:lineRule="exact"/>
        <w:rPr>
          <w:sz w:val="20"/>
          <w:szCs w:val="20"/>
          <w:color w:val="auto"/>
        </w:rPr>
      </w:pPr>
    </w:p>
    <w:p>
      <w:pPr>
        <w:ind w:right="100" w:firstLine="222"/>
        <w:spacing w:after="0" w:line="255" w:lineRule="auto"/>
        <w:rPr>
          <w:sz w:val="20"/>
          <w:szCs w:val="20"/>
          <w:color w:val="auto"/>
        </w:rPr>
      </w:pPr>
      <w:r>
        <w:rPr>
          <w:rFonts w:ascii="Arial" w:cs="Arial" w:eastAsia="Arial" w:hAnsi="Arial"/>
          <w:sz w:val="18"/>
          <w:szCs w:val="18"/>
          <w:color w:val="auto"/>
        </w:rPr>
        <w:t>We cannot sell or market products without regulatory approval. If we do not obtain and maintain regulatory approval for our product candidates, the value of our company and our results of operations will be harmed. In the United States, we must obtain and maintain approval from the FDA for each drug we intend to sell. Obtaining FDA approval is typically a lengthy and expensive process, and approval is highly uncertain. Foreign governments also regulate drugs distributed in their country and approval in any country is likely to be a lengthy and expensive process, and approval is highly uncertain. None of our product candidates has ever received regulatory approval to be marketed and sold in the United States or any other country. We may never receive regulatory approval for any of our product candidates.</w:t>
      </w:r>
    </w:p>
    <w:p>
      <w:pPr>
        <w:spacing w:after="0" w:line="166" w:lineRule="exact"/>
        <w:rPr>
          <w:sz w:val="20"/>
          <w:szCs w:val="20"/>
          <w:color w:val="auto"/>
        </w:rPr>
      </w:pPr>
    </w:p>
    <w:p>
      <w:pPr>
        <w:ind w:right="460"/>
        <w:spacing w:after="0" w:line="342" w:lineRule="auto"/>
        <w:rPr>
          <w:sz w:val="20"/>
          <w:szCs w:val="20"/>
          <w:color w:val="auto"/>
        </w:rPr>
      </w:pPr>
      <w:r>
        <w:rPr>
          <w:rFonts w:ascii="Arial" w:cs="Arial" w:eastAsia="Arial" w:hAnsi="Arial"/>
          <w:sz w:val="16"/>
          <w:szCs w:val="16"/>
          <w:b w:val="1"/>
          <w:bCs w:val="1"/>
          <w:i w:val="1"/>
          <w:iCs w:val="1"/>
          <w:color w:val="auto"/>
        </w:rPr>
        <w:t>If the testing or use of our products harms people, we could be subject to costly and damaging product liability claims. We could also face costly and damaging claims arising from employment law, securities law, environmental law, or other applicable laws governing our operations.</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222"/>
        <w:spacing w:after="0" w:line="257" w:lineRule="auto"/>
        <w:rPr>
          <w:sz w:val="20"/>
          <w:szCs w:val="20"/>
          <w:color w:val="auto"/>
        </w:rPr>
      </w:pPr>
      <w:r>
        <w:rPr>
          <w:rFonts w:ascii="Arial" w:cs="Arial" w:eastAsia="Arial" w:hAnsi="Arial"/>
          <w:sz w:val="18"/>
          <w:szCs w:val="18"/>
          <w:color w:val="auto"/>
        </w:rPr>
        <w:t>The testing, manufacturing, marketing, and sale of drugs for use in people expose us to product liability risk. We are currently involved in a product liability lawsuit brought by a subject who participated in a clinical trial of one of our drug candidates. Any informed consent or waivers obtained from people who sign up for our clinical trials may not protect us from liability or the cost of litigation. Our product liability insurance may not cover all potential liabilities or may not completely cover any liability arising from any such litigation. Moreover, we may not have access to liability insurance or be able to maintain our insurance on acceptable terms.</w:t>
      </w:r>
    </w:p>
    <w:p>
      <w:pPr>
        <w:spacing w:after="0" w:line="161" w:lineRule="exact"/>
        <w:rPr>
          <w:sz w:val="20"/>
          <w:szCs w:val="20"/>
          <w:color w:val="auto"/>
        </w:rPr>
      </w:pPr>
    </w:p>
    <w:p>
      <w:pPr>
        <w:ind w:right="20" w:firstLine="225"/>
        <w:spacing w:after="0" w:line="255" w:lineRule="auto"/>
        <w:rPr>
          <w:sz w:val="20"/>
          <w:szCs w:val="20"/>
          <w:color w:val="auto"/>
        </w:rPr>
      </w:pPr>
      <w:r>
        <w:rPr>
          <w:rFonts w:ascii="Arial" w:cs="Arial" w:eastAsia="Arial" w:hAnsi="Arial"/>
          <w:sz w:val="18"/>
          <w:szCs w:val="18"/>
          <w:color w:val="auto"/>
        </w:rPr>
        <w:t>In May 2003, securities class action lawsuits were commenced against Regeneron and certain of its officers and directors in the United States District Court for the Southern District of New York. A consolidated amended class action complaint was filed in October 2003. The complaint, which purports to be brought on behalf of a class consisting of investors in our publicly traded securities between March 28, 2000 and March 30, 2003, alleges that the defendants misstated or omitted material information concerning the safety and efficacy of AXOKINE, in violation of Sections 10(b) and 20(a) of the Securities and Exchange Act of 1934, and Rule 10b-5 promulgated thereunder. Damages are sought in an unspecified amount. No reserve for damages has been established because we do not believe that a loss is probable. However, if the outcome of the litigation is adverse to us, we could be subject to significant liability, which could exceed our insurance coverage.</w:t>
      </w:r>
    </w:p>
    <w:p>
      <w:pPr>
        <w:spacing w:after="0" w:line="14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Our operations may involve hazardous materials and are subject to environmental, health, and safety laws and regulations. We may incur substantial liability arising from our activities involving the use of hazardous materials.</w:t>
      </w:r>
    </w:p>
    <w:p>
      <w:pPr>
        <w:spacing w:after="0" w:line="130" w:lineRule="exact"/>
        <w:rPr>
          <w:sz w:val="20"/>
          <w:szCs w:val="20"/>
          <w:color w:val="auto"/>
        </w:rPr>
      </w:pPr>
    </w:p>
    <w:p>
      <w:pPr>
        <w:ind w:right="60" w:firstLine="215"/>
        <w:spacing w:after="0" w:line="276" w:lineRule="auto"/>
        <w:rPr>
          <w:sz w:val="20"/>
          <w:szCs w:val="20"/>
          <w:color w:val="auto"/>
        </w:rPr>
      </w:pPr>
      <w:r>
        <w:rPr>
          <w:rFonts w:ascii="Arial" w:cs="Arial" w:eastAsia="Arial" w:hAnsi="Arial"/>
          <w:sz w:val="17"/>
          <w:szCs w:val="17"/>
          <w:color w:val="auto"/>
        </w:rPr>
        <w:t>As a biopharmaceutical company with significant manufacturing operations, we are subject to extensive environmental, health, and safety laws and regulations, including those governing the use of hazardous materials. Our research and development and manufacturing activities involve the controlled use of chemicals, viruses, radioactive compounds, and other hazardous materials. The cost of compliance with environmental, health, and safety regulations is substantial. If an accident involving these materials or an environmental discharge were to occur, we could be held liable for any resulting damages, or face regulatory actions, which could exceed our resources or insurance coverage.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189"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b w:val="1"/>
          <w:bCs w:val="1"/>
          <w:i w:val="1"/>
          <w:iCs w:val="1"/>
          <w:color w:val="auto"/>
        </w:rPr>
        <w:t>On February 27, 2004, Novartis provided notice to us that they would not participate in the continued development and commercialization of the IL-1 Trap under our collaboration agreement. This may harm our ability to develop and commercialize the IL-1 Trap.</w:t>
      </w:r>
    </w:p>
    <w:p>
      <w:pPr>
        <w:spacing w:after="0" w:line="83" w:lineRule="exact"/>
        <w:rPr>
          <w:sz w:val="20"/>
          <w:szCs w:val="20"/>
          <w:color w:val="auto"/>
        </w:rPr>
      </w:pPr>
    </w:p>
    <w:p>
      <w:pPr>
        <w:ind w:right="180" w:firstLine="222"/>
        <w:spacing w:after="0" w:line="259" w:lineRule="auto"/>
        <w:rPr>
          <w:sz w:val="20"/>
          <w:szCs w:val="20"/>
          <w:color w:val="auto"/>
        </w:rPr>
      </w:pPr>
      <w:r>
        <w:rPr>
          <w:rFonts w:ascii="Arial" w:cs="Arial" w:eastAsia="Arial" w:hAnsi="Arial"/>
          <w:sz w:val="18"/>
          <w:szCs w:val="18"/>
          <w:color w:val="auto"/>
        </w:rPr>
        <w:t>We relied heavily on Novartis to provide their expertise, resources, funding, manufacturing capacity, clinical expertise, and commercial infrastructure to support the IL-1 Trap program. Novartis’ decision to withdraw from participating in the development and commercialization of the IL-1 Trap may delay or disrupt the IL-1 Trap program. We do not have the resources and skills to replace those of Novartis, which could result in significant delays in the development and potential commercialization of the IL-1 Trap. In addition, we will have to fund the</w:t>
      </w:r>
    </w:p>
    <w:p>
      <w:pPr>
        <w:spacing w:after="0" w:line="16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development and commercialization of the IL-1 Trap without Novartis’ long-term commitment, which will require substantially greater expenditures on our part.</w:t>
      </w:r>
    </w:p>
    <w:p>
      <w:pPr>
        <w:spacing w:after="0" w:line="143"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If our collaboration with Aventis for the VEGF Trap is terminated, our ability to develop and commercialize the VEGF Trap in the time expected, or at all, and our business operations would be harmed.</w:t>
      </w:r>
    </w:p>
    <w:p>
      <w:pPr>
        <w:spacing w:after="0" w:line="130" w:lineRule="exact"/>
        <w:rPr>
          <w:sz w:val="20"/>
          <w:szCs w:val="20"/>
          <w:color w:val="auto"/>
        </w:rPr>
      </w:pPr>
    </w:p>
    <w:p>
      <w:pPr>
        <w:ind w:right="120" w:firstLine="222"/>
        <w:spacing w:after="0" w:line="290" w:lineRule="auto"/>
        <w:rPr>
          <w:sz w:val="20"/>
          <w:szCs w:val="20"/>
          <w:color w:val="auto"/>
        </w:rPr>
      </w:pPr>
      <w:r>
        <w:rPr>
          <w:rFonts w:ascii="Arial" w:cs="Arial" w:eastAsia="Arial" w:hAnsi="Arial"/>
          <w:sz w:val="16"/>
          <w:szCs w:val="16"/>
          <w:color w:val="auto"/>
        </w:rPr>
        <w:t>We rely heavily on Aventis to assist with the development of the VEGF Trap. If the VEGF Trap program continues, we will rely on Aventis to assist with providing commercial manufacturing capacity, enrolling and monitoring clinical trials, obtaining regulatory approval, particularly outside the United States, and providing sales and marketing support. While we cannot assure you that the VEGF Trap will ever be successfully developed and commercialized, if Aventis does not perform its obligations in a timely manner, or at all, our ability to develop, manufacture, and commercialize the VEGF Trap will be significantly adversely affected. Aventis has the right to terminate its collaboration agreement with us at any time. If Aventis were to terminate its collaboration agreement with us, we might not have the resources or skills to replace those of our partner, which could cause significant delays in the development and/or manufacture of the VEGF Trap and result in substantial additional costs to us. We have no sales, marketing, or distribution capabilities. Termination of the Aventis collaboration agreement would create new and additional risks to the successful development of the VEGF Trap.</w:t>
      </w:r>
    </w:p>
    <w:p>
      <w:pPr>
        <w:spacing w:after="0" w:line="126" w:lineRule="exact"/>
        <w:rPr>
          <w:sz w:val="20"/>
          <w:szCs w:val="20"/>
          <w:color w:val="auto"/>
        </w:rPr>
      </w:pPr>
    </w:p>
    <w:p>
      <w:pPr>
        <w:ind w:firstLine="225"/>
        <w:spacing w:after="0" w:line="264" w:lineRule="auto"/>
        <w:rPr>
          <w:sz w:val="20"/>
          <w:szCs w:val="20"/>
          <w:color w:val="auto"/>
        </w:rPr>
      </w:pPr>
      <w:r>
        <w:rPr>
          <w:rFonts w:ascii="Arial" w:cs="Arial" w:eastAsia="Arial" w:hAnsi="Arial"/>
          <w:sz w:val="18"/>
          <w:szCs w:val="18"/>
          <w:color w:val="auto"/>
        </w:rPr>
        <w:t>Sanofi-Synthelabo and Aventis have reached agreement on a merger. It is unclear what the impact of this or any other business combination involving Aventis would have on the VEGF Trap collaboration, including the possibility of a termination of the collaboration agreement and a delay in, or disruption to, the VEGF Trap development program.</w:t>
      </w:r>
    </w:p>
    <w:p>
      <w:pPr>
        <w:spacing w:after="0" w:line="15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Our collaborators and service providers may fail to perform adequately in their efforts to support the development, manufacture, and commercialization of our drug candidates</w:t>
      </w:r>
      <w:r>
        <w:rPr>
          <w:rFonts w:ascii="Arial" w:cs="Arial" w:eastAsia="Arial" w:hAnsi="Arial"/>
          <w:sz w:val="18"/>
          <w:szCs w:val="18"/>
          <w:b w:val="1"/>
          <w:bCs w:val="1"/>
          <w:color w:val="auto"/>
        </w:rPr>
        <w:t>.</w:t>
      </w:r>
    </w:p>
    <w:p>
      <w:pPr>
        <w:spacing w:after="0" w:line="130" w:lineRule="exact"/>
        <w:rPr>
          <w:sz w:val="20"/>
          <w:szCs w:val="20"/>
          <w:color w:val="auto"/>
        </w:rPr>
      </w:pPr>
    </w:p>
    <w:p>
      <w:pPr>
        <w:ind w:right="40" w:firstLine="222"/>
        <w:spacing w:after="0" w:line="257" w:lineRule="auto"/>
        <w:rPr>
          <w:sz w:val="20"/>
          <w:szCs w:val="20"/>
          <w:color w:val="auto"/>
        </w:rPr>
      </w:pPr>
      <w:r>
        <w:rPr>
          <w:rFonts w:ascii="Arial" w:cs="Arial" w:eastAsia="Arial" w:hAnsi="Arial"/>
          <w:sz w:val="18"/>
          <w:szCs w:val="18"/>
          <w:color w:val="auto"/>
        </w:rPr>
        <w:t>We depend upon third-party collaborators, including Aventis and service providers such as clinical research organizations, outside testing laboratories, clinical investigator sites, and third party manufacturers and product packagers and labelers, to assist us in the development of our product candidates. If any of our existing collaborators or service providers breaches or terminates its agreement with us or does not perform its development or manufacturing services under an agreement in a timely manner or at all, we would experience additional costs, delays, and difficulties in the development or ultimate commercialization of our product candidates.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Manufacture of our Product Candidates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limited manufacturing capacity, which could inhibit our ability to successfully develop or commercialize our drugs.</w:t>
      </w:r>
    </w:p>
    <w:p>
      <w:pPr>
        <w:spacing w:after="0" w:line="185" w:lineRule="exact"/>
        <w:rPr>
          <w:sz w:val="20"/>
          <w:szCs w:val="20"/>
          <w:color w:val="auto"/>
        </w:rPr>
      </w:pPr>
    </w:p>
    <w:p>
      <w:pPr>
        <w:ind w:right="300" w:firstLine="225"/>
        <w:spacing w:after="0" w:line="264" w:lineRule="auto"/>
        <w:rPr>
          <w:sz w:val="20"/>
          <w:szCs w:val="20"/>
          <w:color w:val="auto"/>
        </w:rPr>
      </w:pPr>
      <w:r>
        <w:rPr>
          <w:rFonts w:ascii="Arial" w:cs="Arial" w:eastAsia="Arial" w:hAnsi="Arial"/>
          <w:sz w:val="18"/>
          <w:szCs w:val="18"/>
          <w:color w:val="auto"/>
        </w:rPr>
        <w:t>Before approving a new drug or biologic product, the FDA requires that the facilities at which the product will be manufactured be in compliance with current good manufacturing practices, or cGMP requirements. Manufacturing product candidates in compliance with these regulatory requirements is complex, time-consuming, and expensive. To be successful, our</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products must be manufactured for development and, following approval, in commercial quantities, in compliance with regulatory requirements and at competitive costs. If we or any of our product collaborators or third-party manufacturers, fillers, or labelers are unable to maintain regulatory compliance, the FDA can impose regulatory sanctions, including, among other things, refusal to approve a pending application for a new drug or biologic product, or revocation of a pre-existing approval. As a result, our business, financial condition, and results of operations may be materially harmed.</w:t>
      </w:r>
    </w:p>
    <w:p>
      <w:pPr>
        <w:spacing w:after="0" w:line="127"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color w:val="auto"/>
        </w:rPr>
        <w:t>Our manufacturing facility is likely to be inadequate to produce sufficient quantities of product for commercial sale. We intend to rely on our corporate collaborators, as well as contract manufacturers, to produce the large quantities of drug material needed for commercialization of our products. We rely entirely on third party manufacturers for filling and finishing services. We will have to depend on these manufacturers to deliver material on a timely basis and to comply with regulatory requirements. If we are unable to supply sufficient material on acceptable terms, or if we should encounter delays or difficulties in our relationships with our corporate collaborators or contract manufacturers, our business, financial condition, and results of operations may be materially harmed.</w:t>
      </w:r>
    </w:p>
    <w:p>
      <w:pPr>
        <w:spacing w:after="0" w:line="153" w:lineRule="exact"/>
        <w:rPr>
          <w:sz w:val="20"/>
          <w:szCs w:val="20"/>
          <w:color w:val="auto"/>
        </w:rPr>
      </w:pPr>
    </w:p>
    <w:p>
      <w:pPr>
        <w:ind w:right="60" w:firstLine="222"/>
        <w:spacing w:after="0" w:line="255" w:lineRule="auto"/>
        <w:rPr>
          <w:sz w:val="20"/>
          <w:szCs w:val="20"/>
          <w:color w:val="auto"/>
        </w:rPr>
      </w:pPr>
      <w:r>
        <w:rPr>
          <w:rFonts w:ascii="Arial" w:cs="Arial" w:eastAsia="Arial" w:hAnsi="Arial"/>
          <w:sz w:val="18"/>
          <w:szCs w:val="18"/>
          <w:color w:val="auto"/>
        </w:rPr>
        <w:t>We may expand our own manufacturing capacity to support commercial production of active pharmaceutical ingredients, or API, for our product candidates. This will require substantial additional funds, and we will need to hire and train significant numbers of employees and managerial personnel to staff our facility. Start-up costs can be large and scale-up entails significant risks related to process development and manufacturing yields. We may be unable to develop manufacturing facilities that are sufficient to produce drug material for clinical trials or commercial use. In addition, we may be unable to secure adequate filling and finishing services to support our products. As a result, our business, financial condition, and results of operations may be materially harmed.</w:t>
      </w:r>
    </w:p>
    <w:p>
      <w:pPr>
        <w:spacing w:after="0" w:line="153" w:lineRule="exact"/>
        <w:rPr>
          <w:sz w:val="20"/>
          <w:szCs w:val="20"/>
          <w:color w:val="auto"/>
        </w:rPr>
      </w:pPr>
    </w:p>
    <w:p>
      <w:pPr>
        <w:ind w:right="260" w:firstLine="222"/>
        <w:spacing w:after="0" w:line="286" w:lineRule="auto"/>
        <w:rPr>
          <w:sz w:val="20"/>
          <w:szCs w:val="20"/>
          <w:color w:val="auto"/>
        </w:rPr>
      </w:pPr>
      <w:r>
        <w:rPr>
          <w:rFonts w:ascii="Arial" w:cs="Arial" w:eastAsia="Arial" w:hAnsi="Arial"/>
          <w:sz w:val="17"/>
          <w:szCs w:val="17"/>
          <w:color w:val="auto"/>
        </w:rPr>
        <w:t>We may be unable to obtain key raw materials and supplies for the manufacture of our product candidates. In addition, we may face difficulties in developing or acquiring production technology and managerial personnel to manufacture sufficient quantities of our product candidates at reasonable costs and in compliance with applicable quality assurance and environmental regulations and governmental permitting requirements.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any of our clinical programs are discontinued, we may face costs related to the unused capacity at our manufacturing facilities.</w:t>
      </w:r>
    </w:p>
    <w:p>
      <w:pPr>
        <w:spacing w:after="0" w:line="185" w:lineRule="exact"/>
        <w:rPr>
          <w:sz w:val="20"/>
          <w:szCs w:val="20"/>
          <w:color w:val="auto"/>
        </w:rPr>
      </w:pPr>
    </w:p>
    <w:p>
      <w:pPr>
        <w:ind w:right="40" w:firstLine="222"/>
        <w:spacing w:after="0" w:line="279" w:lineRule="auto"/>
        <w:rPr>
          <w:sz w:val="20"/>
          <w:szCs w:val="20"/>
          <w:color w:val="auto"/>
        </w:rPr>
      </w:pPr>
      <w:r>
        <w:rPr>
          <w:rFonts w:ascii="Arial" w:cs="Arial" w:eastAsia="Arial" w:hAnsi="Arial"/>
          <w:sz w:val="17"/>
          <w:szCs w:val="17"/>
          <w:color w:val="auto"/>
        </w:rPr>
        <w:t>We maintain an 8,000 square foot manufacturing facility in Tarrytown, New York and have large-scale manufacturing operations in Rensselaer, New York. Under a long-term manufacturing agreement with Merck, we produce an intermediate for a Merck pediatric vaccine at our facility in Rensselaer, New York. We also use our facilities to produce API for our own clinical and preclinical candidates. If we no longer use our facilities to manufacture the Merck intermediate or clinical candidates are discontinued, we would have to absorb overhead costs and inefficiencies.</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Certain of our raw materials are single-sourced from third parties; third-party supply failures could adversely affect our ability to supply our products.</w:t>
      </w:r>
    </w:p>
    <w:p>
      <w:pPr>
        <w:spacing w:after="0" w:line="233" w:lineRule="exact"/>
        <w:rPr>
          <w:sz w:val="20"/>
          <w:szCs w:val="20"/>
          <w:color w:val="auto"/>
        </w:rPr>
      </w:pPr>
    </w:p>
    <w:p>
      <w:pPr>
        <w:ind w:right="80" w:firstLine="225"/>
        <w:spacing w:after="0" w:line="297" w:lineRule="auto"/>
        <w:rPr>
          <w:sz w:val="20"/>
          <w:szCs w:val="20"/>
          <w:color w:val="auto"/>
        </w:rPr>
      </w:pPr>
      <w:r>
        <w:rPr>
          <w:rFonts w:ascii="Arial" w:cs="Arial" w:eastAsia="Arial" w:hAnsi="Arial"/>
          <w:sz w:val="16"/>
          <w:szCs w:val="16"/>
          <w:color w:val="auto"/>
        </w:rPr>
        <w:t>Certain raw materials necessary for manufacturing and formulation of our product candidates are provided by single-source unaffiliated third-party suppliers. We would be unable to obtain these raw materials for an indeterminate period of time if these third-party single-source suppliers were to cease or interrupt production or otherwise fail to supply these materials or products to us for any reason, including due to regulatory requirements or action, due to adverse financial developments at or affecting the supplier, or due to labor shortages or disputes. This, in turn, could materially and adversely affect our ability to manufacture our product candidates for use in clinical trials, which could materially and adversely affect our operating results.</w:t>
      </w:r>
    </w:p>
    <w:p>
      <w:pPr>
        <w:spacing w:after="0" w:line="118" w:lineRule="exact"/>
        <w:rPr>
          <w:sz w:val="20"/>
          <w:szCs w:val="20"/>
          <w:color w:val="auto"/>
        </w:rPr>
      </w:pPr>
    </w:p>
    <w:p>
      <w:pPr>
        <w:ind w:firstLine="215"/>
        <w:spacing w:after="0" w:line="259" w:lineRule="auto"/>
        <w:rPr>
          <w:sz w:val="20"/>
          <w:szCs w:val="20"/>
          <w:color w:val="auto"/>
        </w:rPr>
      </w:pPr>
      <w:r>
        <w:rPr>
          <w:rFonts w:ascii="Arial" w:cs="Arial" w:eastAsia="Arial" w:hAnsi="Arial"/>
          <w:sz w:val="18"/>
          <w:szCs w:val="18"/>
          <w:color w:val="auto"/>
        </w:rPr>
        <w:t>Also, certain of the raw materials required in the manufacturing and the formulation of our clinical candidates may be derived from biological sources, including mammalian tissues, bovine serum and human serum albumin, or HSA. There are certain European regulatory restrictions on using these biological source materials. If we are required to substitute these sources to comply with European regulatory requirements, our clinical development activities may be delayed or interrupted.</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Commercialization of Products</w:t>
      </w:r>
    </w:p>
    <w:p>
      <w:pPr>
        <w:spacing w:after="0" w:line="202"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If we are unable to establish sales, marketing, and distribution capabilities, or enter into agreements with third parties to do so, we will be unable to successfully market and sell future products.</w:t>
      </w:r>
    </w:p>
    <w:p>
      <w:pPr>
        <w:spacing w:after="0" w:line="130" w:lineRule="exact"/>
        <w:rPr>
          <w:sz w:val="20"/>
          <w:szCs w:val="20"/>
          <w:color w:val="auto"/>
        </w:rPr>
      </w:pPr>
    </w:p>
    <w:p>
      <w:pPr>
        <w:ind w:right="320" w:firstLine="222"/>
        <w:spacing w:after="0" w:line="291" w:lineRule="auto"/>
        <w:rPr>
          <w:sz w:val="20"/>
          <w:szCs w:val="20"/>
          <w:color w:val="auto"/>
        </w:rPr>
      </w:pPr>
      <w:r>
        <w:rPr>
          <w:rFonts w:ascii="Arial" w:cs="Arial" w:eastAsia="Arial" w:hAnsi="Arial"/>
          <w:sz w:val="16"/>
          <w:szCs w:val="16"/>
          <w:color w:val="auto"/>
        </w:rPr>
        <w:t>We have no sales or distribution personnel or capabilities and have only a small staff with marketing capabilities. If we are unable to obtain those capabilities, either by developing our own organizations or entering into agreements with service providers, we will not be able to successfully sell any products that we may bring to market in the future. In that event, we will not be able to generate significant revenue, even if our product candidates are approved. We cannot guarantee that we will be able to hire the qualified sales and marketing personnel we need or that we will be able to enter into marketing, or distribution agreements with third-party providers on acceptable terms, if at all. Currently, we rely on Aventis for sales, marketing, and distribution of the VEGF Trap. We will have to rely on a third party or devote significant resources to develop our own sales, marketing and distribution capabilities for our other product candidates and we may be unsuccessful in developing our own sales, marketing, and distribution organization.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formulate or manufacture our product candidates in a way that is suitable for clinical or commercial use.</w:t>
      </w:r>
    </w:p>
    <w:p>
      <w:pPr>
        <w:spacing w:after="0" w:line="198" w:lineRule="exact"/>
        <w:rPr>
          <w:sz w:val="20"/>
          <w:szCs w:val="20"/>
          <w:color w:val="auto"/>
        </w:rPr>
      </w:pPr>
    </w:p>
    <w:p>
      <w:pPr>
        <w:ind w:firstLine="225"/>
        <w:spacing w:after="0" w:line="259" w:lineRule="auto"/>
        <w:rPr>
          <w:sz w:val="20"/>
          <w:szCs w:val="20"/>
          <w:color w:val="auto"/>
        </w:rPr>
      </w:pPr>
      <w:r>
        <w:rPr>
          <w:rFonts w:ascii="Arial" w:cs="Arial" w:eastAsia="Arial" w:hAnsi="Arial"/>
          <w:sz w:val="18"/>
          <w:szCs w:val="18"/>
          <w:color w:val="auto"/>
        </w:rPr>
        <w:t>Changes in product formulations and manufacturing processes may be required as product candidates progress in clinical development and are ultimately commercialized. If we are unable to develop suitable product formulations or manufacturing processes to support large scale clinical testing of our product candidates, including VEGF Trap, IL-1 Trap, IL-4/13 Trap and AXOKINE, we may be unable to supply necessary materials for our clinical trials, which would</w:t>
      </w:r>
    </w:p>
    <w:p>
      <w:pPr>
        <w:spacing w:after="0" w:line="14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419" w:right="3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delay the development of our product candidates. Similarly, if we are unable to supply sufficient quantities of product or develop product formulations suitable for commercial use, we will not be able to successfully commercialize our product candidates. For example, AXOKINE is currently formulated for delivery in single use vials. We are in the process of developing a formulation that may be used in multiple use vials. If we are unable to develop this multiple use vial formulation, potential future AXOKINE sales and profitability may be limited. In addition, we are in the process of developing formulations that would allow delivery of higher doses of the IL-1 Trap to test in clinical trials. This includes formulations for subcutaneous and intravenous administration. If we are unable to develop or manufacture such a higher dose formulation that can be produced in a cost-effective manner, potential future IL-1 Trap sales and profitability may be limited.</w:t>
      </w:r>
    </w:p>
    <w:p>
      <w:pPr>
        <w:spacing w:after="0" w:line="162"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Even if our product candidates are ever approved, their commercial success is highly uncertain because our competitors may get to the marketplace before we do with better or lower cost drugs.</w:t>
      </w:r>
    </w:p>
    <w:p>
      <w:pPr>
        <w:spacing w:after="0" w:line="130" w:lineRule="exact"/>
        <w:rPr>
          <w:sz w:val="20"/>
          <w:szCs w:val="20"/>
          <w:color w:val="auto"/>
        </w:rPr>
      </w:pPr>
    </w:p>
    <w:p>
      <w:pPr>
        <w:ind w:firstLine="222"/>
        <w:spacing w:after="0" w:line="284" w:lineRule="auto"/>
        <w:rPr>
          <w:sz w:val="20"/>
          <w:szCs w:val="20"/>
          <w:color w:val="auto"/>
        </w:rPr>
      </w:pPr>
      <w:r>
        <w:rPr>
          <w:rFonts w:ascii="Arial" w:cs="Arial" w:eastAsia="Arial" w:hAnsi="Arial"/>
          <w:sz w:val="16"/>
          <w:szCs w:val="16"/>
          <w:color w:val="auto"/>
        </w:rPr>
        <w:t>There is substantial competition in the biotechnology and pharmaceutical industries from pharmaceutical, biotechnology, and chemical companies. Many of our competitors have substantially greater research, preclinical, and clinical product development and manufacturing capabilities, and financial, marketing, and human resources than we do. Our smaller competitors may also be significant if they acquire or discover patentable inventions, form collaborative arrangements, or merge with large pharmaceutical companies. Even if we achieve product commercialization, our competitors have achieved, and may continue to achieve product commercialization before our products are approved for marketing and sale. Genentech has an approved VEGF antagonist on the market and many different pharmaceutical and biotechnology companies are working to develop competing VEGF antagonists, including Novartis and Pfizer. Many of these molecules are farther along in development than the VEGF Trap and may offer competitive advantages over our molecule. The marketing</w:t>
      </w:r>
    </w:p>
    <w:p>
      <w:pPr>
        <w:spacing w:after="0" w:line="3" w:lineRule="exact"/>
        <w:rPr>
          <w:sz w:val="20"/>
          <w:szCs w:val="20"/>
          <w:color w:val="auto"/>
        </w:rPr>
      </w:pPr>
    </w:p>
    <w:p>
      <w:pPr>
        <w:ind w:right="180"/>
        <w:spacing w:after="0" w:line="205" w:lineRule="auto"/>
        <w:rPr>
          <w:sz w:val="20"/>
          <w:szCs w:val="20"/>
          <w:color w:val="auto"/>
        </w:rPr>
      </w:pPr>
      <w:r>
        <w:rPr>
          <w:rFonts w:ascii="Arial" w:cs="Arial" w:eastAsia="Arial" w:hAnsi="Arial"/>
          <w:sz w:val="18"/>
          <w:szCs w:val="18"/>
          <w:color w:val="auto"/>
        </w:rPr>
        <w:t>approval for Genentech’s VEGF antagonist, Avastin</w:t>
      </w:r>
      <w:r>
        <w:rPr>
          <w:rFonts w:ascii="Arial" w:cs="Arial" w:eastAsia="Arial" w:hAnsi="Arial"/>
          <w:sz w:val="30"/>
          <w:szCs w:val="30"/>
          <w:color w:val="auto"/>
          <w:vertAlign w:val="superscript"/>
        </w:rPr>
        <w:t>TM</w:t>
      </w:r>
      <w:r>
        <w:rPr>
          <w:rFonts w:ascii="Arial" w:cs="Arial" w:eastAsia="Arial" w:hAnsi="Arial"/>
          <w:sz w:val="18"/>
          <w:szCs w:val="18"/>
          <w:color w:val="auto"/>
        </w:rPr>
        <w:t>, may make it more difficult for us to enroll patients in clinical trials to support the VEGF Trap. This may delay or impair our ability to successfully develop and commercialize the VEGF Trap.</w:t>
      </w:r>
    </w:p>
    <w:p>
      <w:pPr>
        <w:spacing w:after="0" w:line="162" w:lineRule="exact"/>
        <w:rPr>
          <w:sz w:val="20"/>
          <w:szCs w:val="20"/>
          <w:color w:val="auto"/>
        </w:rPr>
      </w:pPr>
    </w:p>
    <w:p>
      <w:pPr>
        <w:ind w:right="440" w:firstLine="222"/>
        <w:spacing w:after="0" w:line="242" w:lineRule="auto"/>
        <w:rPr>
          <w:sz w:val="20"/>
          <w:szCs w:val="20"/>
          <w:color w:val="auto"/>
        </w:rPr>
      </w:pPr>
      <w:r>
        <w:rPr>
          <w:rFonts w:ascii="Arial" w:cs="Arial" w:eastAsia="Arial" w:hAnsi="Arial"/>
          <w:sz w:val="16"/>
          <w:szCs w:val="16"/>
          <w:color w:val="auto"/>
        </w:rPr>
        <w:t>The markets for both rheumatoid arthritis and asthma are both very competitive. Several highly successful medicines are available for these diseases. Examples include the TNF-antagonists Enbrel</w:t>
      </w:r>
      <w:r>
        <w:rPr>
          <w:rFonts w:ascii="Arial" w:cs="Arial" w:eastAsia="Arial" w:hAnsi="Arial"/>
          <w:sz w:val="26"/>
          <w:szCs w:val="26"/>
          <w:color w:val="auto"/>
          <w:vertAlign w:val="superscript"/>
        </w:rPr>
        <w:t>®</w:t>
      </w:r>
      <w:r>
        <w:rPr>
          <w:rFonts w:ascii="Arial" w:cs="Arial" w:eastAsia="Arial" w:hAnsi="Arial"/>
          <w:sz w:val="16"/>
          <w:szCs w:val="16"/>
          <w:color w:val="auto"/>
        </w:rPr>
        <w:t xml:space="preserve"> (a registered trademark of Amgen), Remicade</w:t>
      </w:r>
      <w:r>
        <w:rPr>
          <w:rFonts w:ascii="Arial" w:cs="Arial" w:eastAsia="Arial" w:hAnsi="Arial"/>
          <w:sz w:val="26"/>
          <w:szCs w:val="26"/>
          <w:color w:val="auto"/>
          <w:vertAlign w:val="superscript"/>
        </w:rPr>
        <w:t>®</w:t>
      </w:r>
      <w:r>
        <w:rPr>
          <w:rFonts w:ascii="Arial" w:cs="Arial" w:eastAsia="Arial" w:hAnsi="Arial"/>
          <w:sz w:val="16"/>
          <w:szCs w:val="16"/>
          <w:color w:val="auto"/>
        </w:rPr>
        <w:t xml:space="preserve"> (a registered trademark of Centocor), and Humira</w:t>
      </w:r>
      <w:r>
        <w:rPr>
          <w:rFonts w:ascii="Arial" w:cs="Arial" w:eastAsia="Arial" w:hAnsi="Arial"/>
          <w:sz w:val="26"/>
          <w:szCs w:val="26"/>
          <w:color w:val="auto"/>
          <w:vertAlign w:val="superscript"/>
        </w:rPr>
        <w:t>®</w:t>
      </w:r>
      <w:r>
        <w:rPr>
          <w:rFonts w:ascii="Arial" w:cs="Arial" w:eastAsia="Arial" w:hAnsi="Arial"/>
          <w:sz w:val="16"/>
          <w:szCs w:val="16"/>
          <w:color w:val="auto"/>
        </w:rPr>
        <w:t xml:space="preserve"> (a</w:t>
      </w:r>
    </w:p>
    <w:p>
      <w:pPr>
        <w:spacing w:after="0" w:line="1" w:lineRule="exact"/>
        <w:rPr>
          <w:sz w:val="20"/>
          <w:szCs w:val="20"/>
          <w:color w:val="auto"/>
        </w:rPr>
      </w:pPr>
    </w:p>
    <w:p>
      <w:pPr>
        <w:ind w:right="80"/>
        <w:spacing w:after="0" w:line="234" w:lineRule="auto"/>
        <w:rPr>
          <w:sz w:val="20"/>
          <w:szCs w:val="20"/>
          <w:color w:val="auto"/>
        </w:rPr>
      </w:pPr>
      <w:r>
        <w:rPr>
          <w:rFonts w:ascii="Arial" w:cs="Arial" w:eastAsia="Arial" w:hAnsi="Arial"/>
          <w:sz w:val="18"/>
          <w:szCs w:val="18"/>
          <w:color w:val="auto"/>
        </w:rPr>
        <w:t>registered trademark of Abbott) for rheumatoid arthritis, and the leukotriene-modifier Singulair</w:t>
      </w:r>
      <w:r>
        <w:rPr>
          <w:rFonts w:ascii="Arial" w:cs="Arial" w:eastAsia="Arial" w:hAnsi="Arial"/>
          <w:sz w:val="30"/>
          <w:szCs w:val="30"/>
          <w:color w:val="auto"/>
          <w:vertAlign w:val="superscript"/>
        </w:rPr>
        <w:t>®</w:t>
      </w:r>
      <w:r>
        <w:rPr>
          <w:rFonts w:ascii="Arial" w:cs="Arial" w:eastAsia="Arial" w:hAnsi="Arial"/>
          <w:sz w:val="18"/>
          <w:szCs w:val="18"/>
          <w:color w:val="auto"/>
        </w:rPr>
        <w:t xml:space="preserve"> (a registered trademark of Merck), as well as various inexpensive corticosteroid medicines for asthma. The availability of highly effective FDA approved TNF-antagonists makes it more difficult to successfully develop the IL-1 Trap for the treatment of rheumatoid arthritis, since it will be difficult to enroll patients with rheumatoid arthritis to participate in clinical trials of the IL-1 Trap. This may delay or impair our ability to successfully develop the drug candidate. In addition, even if the IL-1 Trap is ever approved for sale, it will be difficult for our drug to compete against these FDA approved TNF-antagonists because doctors and patients will have significant experience using these effective medicines. Moreover, these approved therapeutics may offer competitive advantages over the IL-1 Trap, such as requiring fewer injections.</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222"/>
        <w:spacing w:after="0" w:line="276" w:lineRule="auto"/>
        <w:rPr>
          <w:sz w:val="20"/>
          <w:szCs w:val="20"/>
          <w:color w:val="auto"/>
        </w:rPr>
      </w:pPr>
      <w:r>
        <w:rPr>
          <w:rFonts w:ascii="Arial" w:cs="Arial" w:eastAsia="Arial" w:hAnsi="Arial"/>
          <w:sz w:val="17"/>
          <w:szCs w:val="17"/>
          <w:color w:val="auto"/>
        </w:rPr>
        <w:t>There is also substantial competition in the discovery and development of treatments for obesity, as well as established, cost-effective, and emerging surgical, prescription, and over-the-counter treatments for the disease that may offer competitive advantages over AXOKINE. AXOKINE is available only in injectible form, while the currently available marketed medicines for the treatment of obesity, and a late-stage product candidate in development by Sanofi-Synthelabo, are delivered in pill form, which is generally favored over injectible medicines. Therefore, even if AXOKINE is approved for sale, the fact that it must be delivered by injection may severely limit its market acceptance among patients and physicians.</w:t>
      </w:r>
    </w:p>
    <w:p>
      <w:pPr>
        <w:spacing w:after="0" w:line="14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The successful commercialization of our product candidates will depend on obtaining coverage and reimbursement for use of these products from third-party payors.</w:t>
      </w:r>
    </w:p>
    <w:p>
      <w:pPr>
        <w:spacing w:after="0" w:line="130" w:lineRule="exact"/>
        <w:rPr>
          <w:sz w:val="20"/>
          <w:szCs w:val="20"/>
          <w:color w:val="auto"/>
        </w:rPr>
      </w:pPr>
    </w:p>
    <w:p>
      <w:pPr>
        <w:ind w:right="120" w:firstLine="225"/>
        <w:spacing w:after="0" w:line="257" w:lineRule="auto"/>
        <w:rPr>
          <w:sz w:val="20"/>
          <w:szCs w:val="20"/>
          <w:color w:val="auto"/>
        </w:rPr>
      </w:pPr>
      <w:r>
        <w:rPr>
          <w:rFonts w:ascii="Arial" w:cs="Arial" w:eastAsia="Arial" w:hAnsi="Arial"/>
          <w:sz w:val="18"/>
          <w:szCs w:val="18"/>
          <w:color w:val="auto"/>
        </w:rPr>
        <w:t>Sales of biopharmaceutical products largely depend on the reimbursement of patients’ medical expenses by government health care programs and private health insurers. Without the financial support of the governments or third-party payors, the market for any biopharmaceutical product will be limited. These third-party payors increasingly challenge the price and examining the cost-effectiveness of products and services. Significant uncertainty exists as to the reimbursement status of any new therapeutic, particularly if there exist lower-cost standards of care. Third-party payors may not reimburse sales of our products, which would harm our business.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Employees</w:t>
      </w:r>
    </w:p>
    <w:p>
      <w:pPr>
        <w:spacing w:after="0" w:line="202"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We are dependent on our key personnel and if we cannot recruit and retain leaders in our research, development, manufacturing, and commercial organizations, our business will be harmed.</w:t>
      </w:r>
    </w:p>
    <w:p>
      <w:pPr>
        <w:spacing w:after="0" w:line="130" w:lineRule="exact"/>
        <w:rPr>
          <w:sz w:val="20"/>
          <w:szCs w:val="20"/>
          <w:color w:val="auto"/>
        </w:rPr>
      </w:pPr>
    </w:p>
    <w:p>
      <w:pPr>
        <w:jc w:val="both"/>
        <w:ind w:firstLine="222"/>
        <w:spacing w:after="0" w:line="288" w:lineRule="auto"/>
        <w:rPr>
          <w:sz w:val="20"/>
          <w:szCs w:val="20"/>
          <w:color w:val="auto"/>
        </w:rPr>
      </w:pPr>
      <w:r>
        <w:rPr>
          <w:rFonts w:ascii="Arial" w:cs="Arial" w:eastAsia="Arial" w:hAnsi="Arial"/>
          <w:sz w:val="16"/>
          <w:szCs w:val="16"/>
          <w:color w:val="auto"/>
        </w:rPr>
        <w:t>We are highly dependent on our executive officers. If we are not able to retain any of these persons or our Chairman, our business may suffer. In particular, we depend on the services of Roy Vagelos, M.D., the Chairman of our Board of Directors, Leonard Schleifer, M.D., Ph.D., our President and Chief Executive Officer, and George D. Yancopoulos, M.D., Ph.D., our Executive Vice President, Chief Scientific Officer and President, Regeneron Research Laboratories.</w:t>
      </w:r>
    </w:p>
    <w:p>
      <w:pPr>
        <w:ind w:right="880"/>
        <w:spacing w:after="0" w:line="323" w:lineRule="auto"/>
        <w:rPr>
          <w:sz w:val="20"/>
          <w:szCs w:val="20"/>
          <w:color w:val="auto"/>
        </w:rPr>
      </w:pPr>
      <w:r>
        <w:rPr>
          <w:rFonts w:ascii="Arial" w:cs="Arial" w:eastAsia="Arial" w:hAnsi="Arial"/>
          <w:sz w:val="16"/>
          <w:szCs w:val="16"/>
          <w:color w:val="auto"/>
        </w:rPr>
        <w:t>There is intense competition in the biotechnology industry for qualified scientists and managerial personnel in the development, manufacture, and commercialization of drugs. We may not be able to continue to attract and retain the qualified personnel necessary for developing our business.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20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If we cannot protect the confidentiality of our trade secrets or our patents are insufficient to protect our proprietary rights, our business and competitive position will be harmed.</w:t>
      </w:r>
    </w:p>
    <w:p>
      <w:pPr>
        <w:spacing w:after="0" w:line="130" w:lineRule="exact"/>
        <w:rPr>
          <w:sz w:val="20"/>
          <w:szCs w:val="20"/>
          <w:color w:val="auto"/>
        </w:rPr>
      </w:pPr>
    </w:p>
    <w:p>
      <w:pPr>
        <w:ind w:right="480" w:firstLine="225"/>
        <w:spacing w:after="0" w:line="308" w:lineRule="auto"/>
        <w:rPr>
          <w:sz w:val="20"/>
          <w:szCs w:val="20"/>
          <w:color w:val="auto"/>
        </w:rPr>
      </w:pPr>
      <w:r>
        <w:rPr>
          <w:rFonts w:ascii="Arial" w:cs="Arial" w:eastAsia="Arial" w:hAnsi="Arial"/>
          <w:sz w:val="17"/>
          <w:szCs w:val="17"/>
          <w:color w:val="auto"/>
        </w:rPr>
        <w:t>Our business requires using sensitive and proprietary technology and other information that we protect as trade secrets. We seek to prevent improper disclosure of these trade secrets through confidentiality agreements. If our trade secrets are improperly exposed, either by our</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own employees or our collaborators, it would help our competitors and adversely affect our business. We will be able to protect our proprietary rights from unauthorized use by third parties only to the extent that our rights are covered by valid and enforceable patents or are effectively maintained as trade secrets. The patent position of biotechnology companies involves complex legal and factual questions and, therefore, enforceability cannot be predicted with certainty. Our patents may be challenged, invalidated, or circumvented. Patent applications filed outside the United States may be challenged by third parties who file an opposition. Such opposition proceedings are increasingly common in the European Union and are costly to defend. We have patent applications that are being opposed and it is likely that we will need to defend additional patent applications in the future. Our patent rights may not provide us with a proprietary position or competitive advantages against competitors. Furthermore, even if the outcome is favorable to us, the enforcement of our intellectual property rights can be expensive and time consuming.</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restricted in our development and/or commercialization activities by third party patents.</w:t>
      </w:r>
    </w:p>
    <w:p>
      <w:pPr>
        <w:spacing w:after="0" w:line="185" w:lineRule="exact"/>
        <w:rPr>
          <w:sz w:val="20"/>
          <w:szCs w:val="20"/>
          <w:color w:val="auto"/>
        </w:rPr>
      </w:pPr>
    </w:p>
    <w:p>
      <w:pPr>
        <w:ind w:right="160" w:firstLine="225"/>
        <w:spacing w:after="0" w:line="272" w:lineRule="auto"/>
        <w:rPr>
          <w:sz w:val="20"/>
          <w:szCs w:val="20"/>
          <w:color w:val="auto"/>
        </w:rPr>
      </w:pPr>
      <w:r>
        <w:rPr>
          <w:rFonts w:ascii="Arial" w:cs="Arial" w:eastAsia="Arial" w:hAnsi="Arial"/>
          <w:sz w:val="17"/>
          <w:szCs w:val="17"/>
          <w:color w:val="auto"/>
        </w:rPr>
        <w:t>Our commercial success depends significantly on our ability to operate without infringing the patents and other proprietary rights of third parties. Other parties may allege to have blocking patents to our Trap products in clinical development, either because they claim to hold proprietary rights to fusion proteins or proprietary rights to components of the Trap or the way it is manufactured. We are aware of certain United States and foreign patents relating to particular IL-4 and IL-13 receptors. Our IL-4/13 Trap includes portions of the IL-4 and IL-13 receptors. In addition, we are aware of a broad patent held by Genentech relating to proteins fused to certain immunoglobulin domains. Our Trap product candidates include proteins fused to immunoglobulin domains. Although we do not believe that we are infringing third party patents, the holders of these patents may sue us for infringement and a court may find that we are infringing one or more validly issued patents, which may materially harm our business.</w:t>
      </w:r>
    </w:p>
    <w:p>
      <w:pPr>
        <w:spacing w:after="0" w:line="137" w:lineRule="exact"/>
        <w:rPr>
          <w:sz w:val="20"/>
          <w:szCs w:val="20"/>
          <w:color w:val="auto"/>
        </w:rPr>
      </w:pPr>
    </w:p>
    <w:p>
      <w:pPr>
        <w:ind w:firstLine="215"/>
        <w:spacing w:after="0" w:line="257" w:lineRule="auto"/>
        <w:rPr>
          <w:sz w:val="20"/>
          <w:szCs w:val="20"/>
          <w:color w:val="auto"/>
        </w:rPr>
      </w:pPr>
      <w:r>
        <w:rPr>
          <w:rFonts w:ascii="Arial" w:cs="Arial" w:eastAsia="Arial" w:hAnsi="Arial"/>
          <w:sz w:val="18"/>
          <w:szCs w:val="18"/>
          <w:color w:val="auto"/>
        </w:rPr>
        <w:t>Any patent holders could sue us for damages and seek to prevent us from manufacturing, selling, or developing our drug candidates, and a court may find that we are infringing validly issued patents of third parties. In the event that the manufacture, use, or sale of any of our clinical candidates infringes on the patents or violates other proprietary rights of third parties, we may be prevented from pursuing product development, manufacturing, and commercialization of our drugs and may be required to pay costly damages. Such a result may materially harm our business, financial condition, and results of operations. Legal disputes are likely to be costly and time consuming to defend.</w:t>
      </w:r>
    </w:p>
    <w:p>
      <w:pPr>
        <w:spacing w:after="0" w:line="161" w:lineRule="exact"/>
        <w:rPr>
          <w:sz w:val="20"/>
          <w:szCs w:val="20"/>
          <w:color w:val="auto"/>
        </w:rPr>
      </w:pPr>
    </w:p>
    <w:p>
      <w:pPr>
        <w:ind w:right="140" w:firstLine="222"/>
        <w:spacing w:after="0" w:line="264" w:lineRule="auto"/>
        <w:rPr>
          <w:sz w:val="20"/>
          <w:szCs w:val="20"/>
          <w:color w:val="auto"/>
        </w:rPr>
      </w:pPr>
      <w:r>
        <w:rPr>
          <w:rFonts w:ascii="Arial" w:cs="Arial" w:eastAsia="Arial" w:hAnsi="Arial"/>
          <w:sz w:val="18"/>
          <w:szCs w:val="18"/>
          <w:color w:val="auto"/>
        </w:rPr>
        <w:t>We seek to obtain licenses to patents when, in our judgment, such licenses are needed. If any licenses are required, we may not be able to obtain such licenses on commercially reasonable terms, if at all. The failure to obtain any such license could prevent us from developing or commercializing any one or more of our product candidates, which could severely harm our business.</w:t>
      </w:r>
    </w:p>
    <w:p>
      <w:pPr>
        <w:spacing w:after="0" w:line="14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may be extremely volatile.</w:t>
      </w:r>
    </w:p>
    <w:p>
      <w:pPr>
        <w:spacing w:after="0" w:line="185" w:lineRule="exact"/>
        <w:rPr>
          <w:sz w:val="20"/>
          <w:szCs w:val="20"/>
          <w:color w:val="auto"/>
        </w:rPr>
      </w:pPr>
    </w:p>
    <w:p>
      <w:pPr>
        <w:ind w:right="440" w:firstLine="222"/>
        <w:spacing w:after="0" w:line="308" w:lineRule="auto"/>
        <w:rPr>
          <w:sz w:val="20"/>
          <w:szCs w:val="20"/>
          <w:color w:val="auto"/>
        </w:rPr>
      </w:pPr>
      <w:r>
        <w:rPr>
          <w:rFonts w:ascii="Arial" w:cs="Arial" w:eastAsia="Arial" w:hAnsi="Arial"/>
          <w:sz w:val="17"/>
          <w:szCs w:val="17"/>
          <w:color w:val="auto"/>
        </w:rPr>
        <w:t>There has been significant volatility in our stock price and generally in the market prices of biotechnology companies’ securities. Various factors and events may have a significant impact on the market price of our Common Stock. These factors include, by way of example:</w:t>
      </w:r>
    </w:p>
    <w:p>
      <w:pPr>
        <w:spacing w:after="0" w:line="147" w:lineRule="exact"/>
        <w:rPr>
          <w:sz w:val="20"/>
          <w:szCs w:val="20"/>
          <w:color w:val="auto"/>
        </w:rPr>
      </w:pPr>
    </w:p>
    <w:p>
      <w:pPr>
        <w:ind w:left="220" w:hanging="167"/>
        <w:spacing w:after="0"/>
        <w:tabs>
          <w:tab w:leader="none" w:pos="2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progress, delays, or adverse results in clinical trials;</w:t>
      </w:r>
    </w:p>
    <w:p>
      <w:pPr>
        <w:spacing w:after="0" w:line="225" w:lineRule="exact"/>
        <w:rPr>
          <w:rFonts w:ascii="Arial" w:cs="Arial" w:eastAsia="Arial" w:hAnsi="Arial"/>
          <w:sz w:val="18"/>
          <w:szCs w:val="18"/>
          <w:color w:val="auto"/>
        </w:rPr>
      </w:pPr>
    </w:p>
    <w:p>
      <w:pPr>
        <w:ind w:left="220" w:hanging="167"/>
        <w:spacing w:after="0"/>
        <w:tabs>
          <w:tab w:leader="none" w:pos="2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announcement of technological innovations or product candidates by us or competitors;</w:t>
      </w:r>
    </w:p>
    <w:p>
      <w:pPr>
        <w:spacing w:after="0" w:line="225" w:lineRule="exact"/>
        <w:rPr>
          <w:rFonts w:ascii="Arial" w:cs="Arial" w:eastAsia="Arial" w:hAnsi="Arial"/>
          <w:sz w:val="18"/>
          <w:szCs w:val="18"/>
          <w:color w:val="auto"/>
        </w:rPr>
      </w:pPr>
    </w:p>
    <w:p>
      <w:pPr>
        <w:ind w:left="220" w:hanging="167"/>
        <w:spacing w:after="0"/>
        <w:tabs>
          <w:tab w:leader="none" w:pos="2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fluctuations in our operating results;</w:t>
      </w:r>
    </w:p>
    <w:p>
      <w:pPr>
        <w:spacing w:after="0" w:line="225" w:lineRule="exact"/>
        <w:rPr>
          <w:rFonts w:ascii="Arial" w:cs="Arial" w:eastAsia="Arial" w:hAnsi="Arial"/>
          <w:sz w:val="18"/>
          <w:szCs w:val="18"/>
          <w:color w:val="auto"/>
        </w:rPr>
      </w:pPr>
    </w:p>
    <w:p>
      <w:pPr>
        <w:ind w:left="220" w:hanging="167"/>
        <w:spacing w:after="0"/>
        <w:tabs>
          <w:tab w:leader="none" w:pos="2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public concern as to the safety or effectiveness of our product candidates;</w:t>
      </w:r>
    </w:p>
    <w:p>
      <w:pPr>
        <w:spacing w:after="0" w:line="225" w:lineRule="exact"/>
        <w:rPr>
          <w:rFonts w:ascii="Arial" w:cs="Arial" w:eastAsia="Arial" w:hAnsi="Arial"/>
          <w:sz w:val="18"/>
          <w:szCs w:val="18"/>
          <w:color w:val="auto"/>
        </w:rPr>
      </w:pPr>
    </w:p>
    <w:p>
      <w:pPr>
        <w:ind w:left="220" w:hanging="167"/>
        <w:spacing w:after="0"/>
        <w:tabs>
          <w:tab w:leader="none" w:pos="2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developments in our relationship with collaborative partners;</w:t>
      </w:r>
    </w:p>
    <w:p>
      <w:pPr>
        <w:spacing w:after="0" w:line="225" w:lineRule="exact"/>
        <w:rPr>
          <w:rFonts w:ascii="Arial" w:cs="Arial" w:eastAsia="Arial" w:hAnsi="Arial"/>
          <w:sz w:val="18"/>
          <w:szCs w:val="18"/>
          <w:color w:val="auto"/>
        </w:rPr>
      </w:pPr>
    </w:p>
    <w:p>
      <w:pPr>
        <w:ind w:left="220" w:hanging="167"/>
        <w:spacing w:after="0"/>
        <w:tabs>
          <w:tab w:leader="none" w:pos="2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developments in the biotechnology industry or in government regulation of healthcare;</w:t>
      </w:r>
    </w:p>
    <w:p>
      <w:pPr>
        <w:spacing w:after="0" w:line="225" w:lineRule="exact"/>
        <w:rPr>
          <w:rFonts w:ascii="Arial" w:cs="Arial" w:eastAsia="Arial" w:hAnsi="Arial"/>
          <w:sz w:val="18"/>
          <w:szCs w:val="18"/>
          <w:color w:val="auto"/>
        </w:rPr>
      </w:pPr>
    </w:p>
    <w:p>
      <w:pPr>
        <w:ind w:left="220" w:hanging="167"/>
        <w:spacing w:after="0"/>
        <w:tabs>
          <w:tab w:leader="none" w:pos="2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large sales of our common stock by our executive officers, directors, or significant shareholders;</w:t>
      </w:r>
    </w:p>
    <w:p>
      <w:pPr>
        <w:spacing w:after="0" w:line="225" w:lineRule="exact"/>
        <w:rPr>
          <w:rFonts w:ascii="Arial" w:cs="Arial" w:eastAsia="Arial" w:hAnsi="Arial"/>
          <w:sz w:val="18"/>
          <w:szCs w:val="18"/>
          <w:color w:val="auto"/>
        </w:rPr>
      </w:pPr>
    </w:p>
    <w:p>
      <w:pPr>
        <w:ind w:left="220" w:hanging="167"/>
        <w:spacing w:after="0"/>
        <w:tabs>
          <w:tab w:leader="none" w:pos="2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arrivals and departures of key personnel; and</w:t>
      </w:r>
    </w:p>
    <w:p>
      <w:pPr>
        <w:spacing w:after="0" w:line="225" w:lineRule="exact"/>
        <w:rPr>
          <w:rFonts w:ascii="Arial" w:cs="Arial" w:eastAsia="Arial" w:hAnsi="Arial"/>
          <w:sz w:val="18"/>
          <w:szCs w:val="18"/>
          <w:color w:val="auto"/>
        </w:rPr>
      </w:pPr>
    </w:p>
    <w:p>
      <w:pPr>
        <w:ind w:left="220" w:hanging="167"/>
        <w:spacing w:after="0"/>
        <w:tabs>
          <w:tab w:leader="none" w:pos="2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general market conditions.</w:t>
      </w:r>
    </w:p>
    <w:p>
      <w:pPr>
        <w:spacing w:after="0" w:line="225"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trading price of our Common Stock has been, and could continue to be, subject to wide fluctuations in response to these and other factors, including the sale or attempted sale of a large amount of our Common Stock in the market. Broad market fluctuations may also adversely affect the market price of our Common Stock.</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sales of our Common Stock by our significant shareholders or us may depress our stock price.</w:t>
      </w:r>
    </w:p>
    <w:p>
      <w:pPr>
        <w:spacing w:after="0" w:line="198" w:lineRule="exact"/>
        <w:rPr>
          <w:sz w:val="20"/>
          <w:szCs w:val="20"/>
          <w:color w:val="auto"/>
        </w:rPr>
      </w:pPr>
    </w:p>
    <w:p>
      <w:pPr>
        <w:ind w:right="60" w:firstLine="215"/>
        <w:spacing w:after="0" w:line="312" w:lineRule="auto"/>
        <w:rPr>
          <w:sz w:val="20"/>
          <w:szCs w:val="20"/>
          <w:color w:val="auto"/>
        </w:rPr>
      </w:pPr>
      <w:r>
        <w:rPr>
          <w:rFonts w:ascii="Arial" w:cs="Arial" w:eastAsia="Arial" w:hAnsi="Arial"/>
          <w:sz w:val="16"/>
          <w:szCs w:val="16"/>
          <w:color w:val="auto"/>
        </w:rPr>
        <w:t>A number of our shareholders own a substantial amount of our Common Stock. If our significant shareholders or we sell substantial amounts of our Common Stock in the public market, the market price of our Common Stock could fall. Sales by our significant shareholders, including Amgen, Aventis, and Novartis, also might make it more difficult for us to sell equity or equity-related securities in the future at a time and price that we deemed appropriate.</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 About Market Risk.</w:t>
      </w:r>
    </w:p>
    <w:p>
      <w:pPr>
        <w:spacing w:after="0" w:line="189"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color w:val="auto"/>
        </w:rPr>
        <w:t>Our earnings and cash flows are subject to fluctuations due to changes in interest rates primarily from our investment of available cash balances in investment grade corporate and U.S. government securities. We do not believe we are materially exposed to changes in interest rates. Under our current policies we do not use interest rate derivative instruments to manage exposure to interest rate changes. We estimated that a one percent change in interest rates would result in an approximately $0.9 million and $0.4 million change in the fair market value of our investment portfolio at March 31, 2004 and 2003, respectively. The increase is due primarily to a higher investment portfolio balance and slightly longer duration to maturity as of March 31, 2004 in comparison to 2003.</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02" w:lineRule="exact"/>
        <w:rPr>
          <w:sz w:val="20"/>
          <w:szCs w:val="20"/>
          <w:color w:val="auto"/>
        </w:rPr>
      </w:pPr>
    </w:p>
    <w:p>
      <w:pPr>
        <w:ind w:right="20" w:firstLine="222"/>
        <w:spacing w:after="0" w:line="273" w:lineRule="auto"/>
        <w:rPr>
          <w:sz w:val="20"/>
          <w:szCs w:val="20"/>
          <w:color w:val="auto"/>
        </w:rPr>
      </w:pPr>
      <w:r>
        <w:rPr>
          <w:rFonts w:ascii="Arial" w:cs="Arial" w:eastAsia="Arial" w:hAnsi="Arial"/>
          <w:sz w:val="17"/>
          <w:szCs w:val="17"/>
          <w:color w:val="auto"/>
        </w:rPr>
        <w:t>We conducted an evaluation of the effectiveness of our disclosure controls and procedures as of the end of the period covered by this Quarterly Report on Form 10-Q. The evaluation was conducted under the supervision and with the participation of Leonard S. Schleifer, our President and Chief Executive Officer, and Murray A. Goldberg, our Chief Financial Officer. Based upon this evaluation, each of Dr. Schleifer and Mr. Goldberg concluded that our disclosure controls and procedures are effective in timely alerting them to material information required to be included in our filings under the Securities Exchange Act of 1934. There has been no significant change in our internal controls over financial reporting during the period covered by this report that has materially affected, or is reasonably likely to materially affect, our internal control over financial reporting.</w:t>
      </w:r>
    </w:p>
    <w:p>
      <w:pPr>
        <w:spacing w:after="0" w:line="138" w:lineRule="exact"/>
        <w:rPr>
          <w:sz w:val="20"/>
          <w:szCs w:val="20"/>
          <w:color w:val="auto"/>
        </w:rPr>
      </w:pPr>
    </w:p>
    <w:p>
      <w:pPr>
        <w:ind w:firstLine="225"/>
        <w:spacing w:after="0" w:line="273" w:lineRule="auto"/>
        <w:rPr>
          <w:sz w:val="20"/>
          <w:szCs w:val="20"/>
          <w:color w:val="auto"/>
        </w:rPr>
      </w:pPr>
      <w:r>
        <w:rPr>
          <w:rFonts w:ascii="Arial" w:cs="Arial" w:eastAsia="Arial" w:hAnsi="Arial"/>
          <w:sz w:val="17"/>
          <w:szCs w:val="17"/>
          <w:color w:val="auto"/>
        </w:rPr>
        <w:t>Our management, including our Chief Executive Officer and Chief Financial Officer, does not expect that our disclosure controls and procedures or internal controls over financial reporting will prevent all errors and all fraud. A control system, no matter how well conceived and operated, can provide only reasonable, not absolute, assurance that the objectives of the system are met and cannot detect all deviations. Because of the inherent limitations in all control systems, no evaluation of controls can provide absolute assurance that all control issues and instances of fraud or deviations, if any, within the company have been detected. While we believe that our disclosure controls and procedures have been effective, in light of the foregoing, we intend to continue to examine and refine our disclosure controls and procedures and monitor ongoing developments in this area.</w:t>
      </w:r>
    </w:p>
    <w:p>
      <w:pPr>
        <w:spacing w:after="0" w:line="13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19" w:right="31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89" w:lineRule="exact"/>
        <w:rPr>
          <w:sz w:val="20"/>
          <w:szCs w:val="20"/>
          <w:color w:val="auto"/>
        </w:rPr>
      </w:pPr>
    </w:p>
    <w:p>
      <w:pPr>
        <w:ind w:firstLine="225"/>
        <w:spacing w:after="0" w:line="293" w:lineRule="auto"/>
        <w:rPr>
          <w:sz w:val="20"/>
          <w:szCs w:val="20"/>
          <w:color w:val="auto"/>
        </w:rPr>
      </w:pPr>
      <w:r>
        <w:rPr>
          <w:rFonts w:ascii="Arial" w:cs="Arial" w:eastAsia="Arial" w:hAnsi="Arial"/>
          <w:sz w:val="16"/>
          <w:szCs w:val="16"/>
          <w:color w:val="auto"/>
        </w:rPr>
        <w:t>In May 2003, securities class action lawsuits were commenced against Regeneron and certain of its officers and directors in the United States District Court for the Southern District of New York. A consolidated amended class action complaint was filed in October 2003. The complaint, which purport to be brought on behalf of a class consisting of investors in our publicly traded securities between March 28, 2000 and March 30, 2003, alleges that the defendants misstated or omitted material information concerning the safety and efficacy of AXOKINE, in violation of Sections 10(b) and 20(a) of the Securities and Exchange Act of 1934, and Rule 10b-5 promulgated thereunder. Damages are sought in an unspecified amount. We believe that the lawsuit is without merit and in December 2003, we filed a motion to dismiss the lawsuit. Because we do not believe that a loss is probable, no legal reserve has been established.</w:t>
      </w:r>
    </w:p>
    <w:p>
      <w:pPr>
        <w:spacing w:after="0" w:line="124" w:lineRule="exact"/>
        <w:rPr>
          <w:sz w:val="20"/>
          <w:szCs w:val="20"/>
          <w:color w:val="auto"/>
        </w:rPr>
      </w:pPr>
    </w:p>
    <w:p>
      <w:pPr>
        <w:ind w:right="20" w:firstLine="225"/>
        <w:spacing w:after="0" w:line="277" w:lineRule="auto"/>
        <w:rPr>
          <w:sz w:val="20"/>
          <w:szCs w:val="20"/>
          <w:color w:val="auto"/>
        </w:rPr>
      </w:pPr>
      <w:r>
        <w:rPr>
          <w:rFonts w:ascii="Arial" w:cs="Arial" w:eastAsia="Arial" w:hAnsi="Arial"/>
          <w:sz w:val="18"/>
          <w:szCs w:val="18"/>
          <w:color w:val="auto"/>
        </w:rPr>
        <w:t>From time to time we are a party to other legal proceedings in the course of our business. We do not expect any other legal proceedings to have a material adverse effect on our business or financial condition.</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 and Reports on Form 8-K</w:t>
      </w:r>
    </w:p>
    <w:p>
      <w:pPr>
        <w:spacing w:after="0" w:line="18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 Exhibits</w:t>
      </w:r>
    </w:p>
    <w:p>
      <w:pPr>
        <w:spacing w:after="0" w:line="380"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8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360" w:type="dxa"/>
            <w:vAlign w:val="bottom"/>
            <w:vMerge w:val="restart"/>
          </w:tcPr>
          <w:p>
            <w:pPr>
              <w:ind w:left="230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6"/>
        </w:trPr>
        <w:tc>
          <w:tcPr>
            <w:tcW w:w="680" w:type="dxa"/>
            <w:vAlign w:val="bottom"/>
          </w:tcPr>
          <w:p>
            <w:pPr>
              <w:spacing w:after="0"/>
              <w:rPr>
                <w:sz w:val="20"/>
                <w:szCs w:val="20"/>
                <w:color w:val="auto"/>
              </w:rPr>
            </w:pPr>
            <w:r>
              <w:rPr>
                <w:rFonts w:ascii="Arial" w:cs="Arial" w:eastAsia="Arial" w:hAnsi="Arial"/>
                <w:sz w:val="14"/>
                <w:szCs w:val="14"/>
                <w:b w:val="1"/>
                <w:bCs w:val="1"/>
                <w:color w:val="auto"/>
              </w:rPr>
              <w:t>Number</w:t>
            </w:r>
          </w:p>
        </w:tc>
        <w:tc>
          <w:tcPr>
            <w:tcW w:w="4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3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680" w:type="dxa"/>
            <w:vAlign w:val="bottom"/>
            <w:tcBorders>
              <w:bottom w:val="single" w:sz="8" w:color="808080"/>
            </w:tcBorders>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Borders>
              <w:bottom w:val="single" w:sz="8" w:color="808080"/>
            </w:tcBorders>
          </w:tcPr>
          <w:p>
            <w:pPr>
              <w:spacing w:after="0"/>
              <w:rPr>
                <w:sz w:val="5"/>
                <w:szCs w:val="5"/>
                <w:color w:val="auto"/>
              </w:rPr>
            </w:pPr>
          </w:p>
        </w:tc>
        <w:tc>
          <w:tcPr>
            <w:tcW w:w="620" w:type="dxa"/>
            <w:vAlign w:val="bottom"/>
            <w:tcBorders>
              <w:bottom w:val="single" w:sz="8" w:color="808080"/>
            </w:tcBorders>
          </w:tcPr>
          <w:p>
            <w:pPr>
              <w:spacing w:after="0"/>
              <w:rPr>
                <w:sz w:val="5"/>
                <w:szCs w:val="5"/>
                <w:color w:val="auto"/>
              </w:rPr>
            </w:pPr>
          </w:p>
        </w:tc>
        <w:tc>
          <w:tcPr>
            <w:tcW w:w="636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680" w:type="dxa"/>
            <w:vAlign w:val="bottom"/>
          </w:tcPr>
          <w:p>
            <w:pPr>
              <w:spacing w:after="0"/>
              <w:rPr>
                <w:sz w:val="20"/>
                <w:szCs w:val="20"/>
                <w:color w:val="auto"/>
              </w:rPr>
            </w:pPr>
            <w:r>
              <w:rPr>
                <w:rFonts w:ascii="Arial" w:cs="Arial" w:eastAsia="Arial" w:hAnsi="Arial"/>
                <w:sz w:val="18"/>
                <w:szCs w:val="18"/>
                <w:color w:val="auto"/>
              </w:rPr>
              <w:t>3.1</w:t>
            </w:r>
          </w:p>
        </w:tc>
        <w:tc>
          <w:tcPr>
            <w:tcW w:w="440" w:type="dxa"/>
            <w:vAlign w:val="bottom"/>
          </w:tcPr>
          <w:p>
            <w:pPr>
              <w:spacing w:after="0"/>
              <w:rPr>
                <w:sz w:val="22"/>
                <w:szCs w:val="22"/>
                <w:color w:val="auto"/>
              </w:rPr>
            </w:pPr>
          </w:p>
        </w:tc>
        <w:tc>
          <w:tcPr>
            <w:tcW w:w="440" w:type="dxa"/>
            <w:vAlign w:val="bottom"/>
          </w:tcPr>
          <w:p>
            <w:pPr>
              <w:spacing w:after="0"/>
              <w:rPr>
                <w:sz w:val="20"/>
                <w:szCs w:val="20"/>
                <w:color w:val="auto"/>
              </w:rPr>
            </w:pPr>
            <w:r>
              <w:rPr>
                <w:rFonts w:ascii="Arial" w:cs="Arial" w:eastAsia="Arial" w:hAnsi="Arial"/>
                <w:sz w:val="18"/>
                <w:szCs w:val="18"/>
                <w:color w:val="auto"/>
              </w:rPr>
              <w:t>(a)</w:t>
            </w:r>
          </w:p>
        </w:tc>
        <w:tc>
          <w:tcPr>
            <w:tcW w:w="6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6360" w:type="dxa"/>
            <w:vAlign w:val="bottom"/>
          </w:tcPr>
          <w:p>
            <w:pPr>
              <w:ind w:left="300"/>
              <w:spacing w:after="0"/>
              <w:rPr>
                <w:sz w:val="20"/>
                <w:szCs w:val="20"/>
                <w:color w:val="auto"/>
              </w:rPr>
            </w:pPr>
            <w:r>
              <w:rPr>
                <w:rFonts w:ascii="Arial" w:cs="Arial" w:eastAsia="Arial" w:hAnsi="Arial"/>
                <w:sz w:val="18"/>
                <w:szCs w:val="18"/>
                <w:color w:val="auto"/>
                <w:w w:val="96"/>
              </w:rPr>
              <w:t>Restated Certificate of Incorporation of Regeneron Pharmaceuticals, Inc., as of</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360" w:type="dxa"/>
            <w:vAlign w:val="bottom"/>
          </w:tcPr>
          <w:p>
            <w:pPr>
              <w:ind w:left="300"/>
              <w:spacing w:after="0"/>
              <w:rPr>
                <w:sz w:val="20"/>
                <w:szCs w:val="20"/>
                <w:color w:val="auto"/>
              </w:rPr>
            </w:pPr>
            <w:r>
              <w:rPr>
                <w:rFonts w:ascii="Arial" w:cs="Arial" w:eastAsia="Arial" w:hAnsi="Arial"/>
                <w:sz w:val="18"/>
                <w:szCs w:val="18"/>
                <w:color w:val="auto"/>
              </w:rPr>
              <w:t>June 21, 1991.</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20"/>
                <w:szCs w:val="20"/>
                <w:color w:val="auto"/>
              </w:rPr>
            </w:pPr>
            <w:r>
              <w:rPr>
                <w:rFonts w:ascii="Arial" w:cs="Arial" w:eastAsia="Arial" w:hAnsi="Arial"/>
                <w:sz w:val="18"/>
                <w:szCs w:val="18"/>
                <w:color w:val="auto"/>
              </w:rPr>
              <w:t>3.2</w:t>
            </w:r>
          </w:p>
        </w:tc>
        <w:tc>
          <w:tcPr>
            <w:tcW w:w="440" w:type="dxa"/>
            <w:vAlign w:val="bottom"/>
          </w:tcPr>
          <w:p>
            <w:pPr>
              <w:spacing w:after="0"/>
              <w:rPr>
                <w:sz w:val="18"/>
                <w:szCs w:val="18"/>
                <w:color w:val="auto"/>
              </w:rPr>
            </w:pPr>
          </w:p>
        </w:tc>
        <w:tc>
          <w:tcPr>
            <w:tcW w:w="440" w:type="dxa"/>
            <w:vAlign w:val="bottom"/>
          </w:tcPr>
          <w:p>
            <w:pPr>
              <w:spacing w:after="0"/>
              <w:rPr>
                <w:sz w:val="20"/>
                <w:szCs w:val="20"/>
                <w:color w:val="auto"/>
              </w:rPr>
            </w:pPr>
            <w:r>
              <w:rPr>
                <w:rFonts w:ascii="Arial" w:cs="Arial" w:eastAsia="Arial" w:hAnsi="Arial"/>
                <w:sz w:val="18"/>
                <w:szCs w:val="18"/>
                <w:color w:val="auto"/>
              </w:rPr>
              <w:t>(b)</w:t>
            </w:r>
          </w:p>
        </w:tc>
        <w:tc>
          <w:tcPr>
            <w:tcW w:w="6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6360" w:type="dxa"/>
            <w:vAlign w:val="bottom"/>
          </w:tcPr>
          <w:p>
            <w:pPr>
              <w:ind w:left="300"/>
              <w:spacing w:after="0"/>
              <w:rPr>
                <w:sz w:val="20"/>
                <w:szCs w:val="20"/>
                <w:color w:val="auto"/>
              </w:rPr>
            </w:pPr>
            <w:r>
              <w:rPr>
                <w:rFonts w:ascii="Arial" w:cs="Arial" w:eastAsia="Arial" w:hAnsi="Arial"/>
                <w:sz w:val="18"/>
                <w:szCs w:val="18"/>
                <w:color w:val="auto"/>
                <w:w w:val="95"/>
              </w:rPr>
              <w:t>By-Laws of the Company, currently in effect (amended as of January 22, 1995).</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20"/>
                <w:szCs w:val="20"/>
                <w:color w:val="auto"/>
              </w:rPr>
            </w:pPr>
            <w:r>
              <w:rPr>
                <w:rFonts w:ascii="Arial" w:cs="Arial" w:eastAsia="Arial" w:hAnsi="Arial"/>
                <w:sz w:val="18"/>
                <w:szCs w:val="18"/>
                <w:color w:val="auto"/>
              </w:rPr>
              <w:t>10.1</w:t>
            </w:r>
          </w:p>
        </w:tc>
        <w:tc>
          <w:tcPr>
            <w:tcW w:w="440" w:type="dxa"/>
            <w:vAlign w:val="bottom"/>
          </w:tcPr>
          <w:p>
            <w:pPr>
              <w:spacing w:after="0"/>
              <w:rPr>
                <w:sz w:val="18"/>
                <w:szCs w:val="18"/>
                <w:color w:val="auto"/>
              </w:rPr>
            </w:pPr>
          </w:p>
        </w:tc>
        <w:tc>
          <w:tcPr>
            <w:tcW w:w="440" w:type="dxa"/>
            <w:vAlign w:val="bottom"/>
          </w:tcPr>
          <w:p>
            <w:pPr>
              <w:spacing w:after="0"/>
              <w:rPr>
                <w:sz w:val="20"/>
                <w:szCs w:val="20"/>
                <w:color w:val="auto"/>
              </w:rPr>
            </w:pPr>
            <w:r>
              <w:rPr>
                <w:rFonts w:ascii="Arial" w:cs="Arial" w:eastAsia="Arial" w:hAnsi="Arial"/>
                <w:sz w:val="18"/>
                <w:szCs w:val="18"/>
                <w:color w:val="auto"/>
              </w:rPr>
              <w:t>(c)</w:t>
            </w:r>
          </w:p>
        </w:tc>
        <w:tc>
          <w:tcPr>
            <w:tcW w:w="6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6360" w:type="dxa"/>
            <w:vAlign w:val="bottom"/>
          </w:tcPr>
          <w:p>
            <w:pPr>
              <w:ind w:left="300"/>
              <w:spacing w:after="0"/>
              <w:rPr>
                <w:sz w:val="20"/>
                <w:szCs w:val="20"/>
                <w:color w:val="auto"/>
              </w:rPr>
            </w:pPr>
            <w:r>
              <w:rPr>
                <w:rFonts w:ascii="Arial" w:cs="Arial" w:eastAsia="Arial" w:hAnsi="Arial"/>
                <w:sz w:val="18"/>
                <w:szCs w:val="18"/>
                <w:color w:val="auto"/>
                <w:w w:val="91"/>
              </w:rPr>
              <w:t>Certificate of Amendment of the Restated Certificate of Incorporation of Regeneron</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360" w:type="dxa"/>
            <w:vAlign w:val="bottom"/>
          </w:tcPr>
          <w:p>
            <w:pPr>
              <w:ind w:left="300"/>
              <w:spacing w:after="0"/>
              <w:rPr>
                <w:sz w:val="20"/>
                <w:szCs w:val="20"/>
                <w:color w:val="auto"/>
              </w:rPr>
            </w:pPr>
            <w:r>
              <w:rPr>
                <w:rFonts w:ascii="Arial" w:cs="Arial" w:eastAsia="Arial" w:hAnsi="Arial"/>
                <w:sz w:val="18"/>
                <w:szCs w:val="18"/>
                <w:color w:val="auto"/>
              </w:rPr>
              <w:t>Pharmaceuticals, Inc., as of October 18, 1996.</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20"/>
                <w:szCs w:val="20"/>
                <w:color w:val="auto"/>
              </w:rPr>
            </w:pPr>
            <w:r>
              <w:rPr>
                <w:rFonts w:ascii="Arial" w:cs="Arial" w:eastAsia="Arial" w:hAnsi="Arial"/>
                <w:sz w:val="18"/>
                <w:szCs w:val="18"/>
                <w:color w:val="auto"/>
              </w:rPr>
              <w:t>10.2</w:t>
            </w:r>
          </w:p>
        </w:tc>
        <w:tc>
          <w:tcPr>
            <w:tcW w:w="440" w:type="dxa"/>
            <w:vAlign w:val="bottom"/>
          </w:tcPr>
          <w:p>
            <w:pPr>
              <w:spacing w:after="0"/>
              <w:rPr>
                <w:sz w:val="18"/>
                <w:szCs w:val="18"/>
                <w:color w:val="auto"/>
              </w:rPr>
            </w:pPr>
          </w:p>
        </w:tc>
        <w:tc>
          <w:tcPr>
            <w:tcW w:w="440" w:type="dxa"/>
            <w:vAlign w:val="bottom"/>
          </w:tcPr>
          <w:p>
            <w:pPr>
              <w:spacing w:after="0"/>
              <w:rPr>
                <w:sz w:val="20"/>
                <w:szCs w:val="20"/>
                <w:color w:val="auto"/>
              </w:rPr>
            </w:pPr>
            <w:r>
              <w:rPr>
                <w:rFonts w:ascii="Arial" w:cs="Arial" w:eastAsia="Arial" w:hAnsi="Arial"/>
                <w:sz w:val="18"/>
                <w:szCs w:val="18"/>
                <w:color w:val="auto"/>
              </w:rPr>
              <w:t>(d)</w:t>
            </w:r>
          </w:p>
        </w:tc>
        <w:tc>
          <w:tcPr>
            <w:tcW w:w="6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6360" w:type="dxa"/>
            <w:vAlign w:val="bottom"/>
          </w:tcPr>
          <w:p>
            <w:pPr>
              <w:ind w:left="300"/>
              <w:spacing w:after="0"/>
              <w:rPr>
                <w:sz w:val="20"/>
                <w:szCs w:val="20"/>
                <w:color w:val="auto"/>
              </w:rPr>
            </w:pPr>
            <w:r>
              <w:rPr>
                <w:rFonts w:ascii="Arial" w:cs="Arial" w:eastAsia="Arial" w:hAnsi="Arial"/>
                <w:sz w:val="18"/>
                <w:szCs w:val="18"/>
                <w:color w:val="auto"/>
              </w:rPr>
              <w:t>Certificate of Amendment of the Certificate of Incorporation of Regeneron</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360" w:type="dxa"/>
            <w:vAlign w:val="bottom"/>
          </w:tcPr>
          <w:p>
            <w:pPr>
              <w:ind w:left="300"/>
              <w:spacing w:after="0"/>
              <w:rPr>
                <w:sz w:val="20"/>
                <w:szCs w:val="20"/>
                <w:color w:val="auto"/>
              </w:rPr>
            </w:pPr>
            <w:r>
              <w:rPr>
                <w:rFonts w:ascii="Arial" w:cs="Arial" w:eastAsia="Arial" w:hAnsi="Arial"/>
                <w:sz w:val="18"/>
                <w:szCs w:val="18"/>
                <w:color w:val="auto"/>
              </w:rPr>
              <w:t>Pharmaceuticals, Inc., as of December 17, 2001.</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20"/>
                <w:szCs w:val="20"/>
                <w:color w:val="auto"/>
              </w:rPr>
            </w:pPr>
            <w:r>
              <w:rPr>
                <w:rFonts w:ascii="Arial" w:cs="Arial" w:eastAsia="Arial" w:hAnsi="Arial"/>
                <w:sz w:val="18"/>
                <w:szCs w:val="18"/>
                <w:color w:val="auto"/>
              </w:rPr>
              <w:t>31</w:t>
            </w: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6360" w:type="dxa"/>
            <w:vAlign w:val="bottom"/>
          </w:tcPr>
          <w:p>
            <w:pPr>
              <w:ind w:left="300"/>
              <w:spacing w:after="0"/>
              <w:rPr>
                <w:sz w:val="20"/>
                <w:szCs w:val="20"/>
                <w:color w:val="auto"/>
              </w:rPr>
            </w:pPr>
            <w:r>
              <w:rPr>
                <w:rFonts w:ascii="Arial" w:cs="Arial" w:eastAsia="Arial" w:hAnsi="Arial"/>
                <w:sz w:val="18"/>
                <w:szCs w:val="18"/>
                <w:color w:val="auto"/>
                <w:w w:val="91"/>
              </w:rPr>
              <w:t>Certification of CEO and CFO pursuant to Rule 13a-14(a) under the Securities and</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360" w:type="dxa"/>
            <w:vAlign w:val="bottom"/>
          </w:tcPr>
          <w:p>
            <w:pPr>
              <w:ind w:left="300"/>
              <w:spacing w:after="0"/>
              <w:rPr>
                <w:sz w:val="20"/>
                <w:szCs w:val="20"/>
                <w:color w:val="auto"/>
              </w:rPr>
            </w:pPr>
            <w:r>
              <w:rPr>
                <w:rFonts w:ascii="Arial" w:cs="Arial" w:eastAsia="Arial" w:hAnsi="Arial"/>
                <w:sz w:val="18"/>
                <w:szCs w:val="18"/>
                <w:color w:val="auto"/>
              </w:rPr>
              <w:t>Exchange Act of 1934.</w:t>
            </w:r>
          </w:p>
        </w:tc>
        <w:tc>
          <w:tcPr>
            <w:tcW w:w="0" w:type="dxa"/>
            <w:vAlign w:val="bottom"/>
          </w:tcPr>
          <w:p>
            <w:pPr>
              <w:spacing w:after="0"/>
              <w:rPr>
                <w:sz w:val="1"/>
                <w:szCs w:val="1"/>
                <w:color w:val="auto"/>
              </w:rPr>
            </w:pP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32</w:t>
            </w:r>
          </w:p>
        </w:tc>
        <w:tc>
          <w:tcPr>
            <w:tcW w:w="4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6360" w:type="dxa"/>
            <w:vAlign w:val="bottom"/>
          </w:tcPr>
          <w:p>
            <w:pPr>
              <w:ind w:left="300"/>
              <w:spacing w:after="0"/>
              <w:rPr>
                <w:sz w:val="20"/>
                <w:szCs w:val="20"/>
                <w:color w:val="auto"/>
              </w:rPr>
            </w:pPr>
            <w:r>
              <w:rPr>
                <w:rFonts w:ascii="Arial" w:cs="Arial" w:eastAsia="Arial" w:hAnsi="Arial"/>
                <w:sz w:val="18"/>
                <w:szCs w:val="18"/>
                <w:color w:val="auto"/>
              </w:rPr>
              <w:t>Certification of CEO and CFO pursuant to 18 U.S.C. Section 1350.</w:t>
            </w:r>
          </w:p>
        </w:tc>
        <w:tc>
          <w:tcPr>
            <w:tcW w:w="0" w:type="dxa"/>
            <w:vAlign w:val="bottom"/>
          </w:tcPr>
          <w:p>
            <w:pPr>
              <w:spacing w:after="0"/>
              <w:rPr>
                <w:sz w:val="1"/>
                <w:szCs w:val="1"/>
                <w:color w:val="auto"/>
              </w:rPr>
            </w:pPr>
          </w:p>
        </w:tc>
      </w:tr>
    </w:tbl>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Description:</w:t>
      </w:r>
    </w:p>
    <w:p>
      <w:pPr>
        <w:spacing w:after="0" w:line="229" w:lineRule="exact"/>
        <w:rPr>
          <w:sz w:val="20"/>
          <w:szCs w:val="20"/>
          <w:color w:val="auto"/>
        </w:rPr>
      </w:pPr>
    </w:p>
    <w:p>
      <w:pPr>
        <w:ind w:left="540" w:hanging="313"/>
        <w:spacing w:after="0"/>
        <w:tabs>
          <w:tab w:leader="none" w:pos="5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Incorporated by reference from the Form 10-Q for Regeneron Pharmaceuticals, Inc. for the quarter ended June 30, 1991, filed August 13, 1991.</w:t>
      </w:r>
    </w:p>
    <w:p>
      <w:pPr>
        <w:spacing w:after="0" w:line="248" w:lineRule="exact"/>
        <w:rPr>
          <w:rFonts w:ascii="Arial" w:cs="Arial" w:eastAsia="Arial" w:hAnsi="Arial"/>
          <w:sz w:val="16"/>
          <w:szCs w:val="16"/>
          <w:color w:val="auto"/>
        </w:rPr>
      </w:pPr>
    </w:p>
    <w:p>
      <w:pPr>
        <w:ind w:left="5620"/>
        <w:spacing w:after="0"/>
        <w:rPr>
          <w:rFonts w:ascii="Arial" w:cs="Arial" w:eastAsia="Arial" w:hAnsi="Arial"/>
          <w:sz w:val="16"/>
          <w:szCs w:val="16"/>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419" w:right="3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20" w:right="560" w:hanging="309"/>
        <w:spacing w:after="0" w:line="277" w:lineRule="auto"/>
        <w:tabs>
          <w:tab w:leader="none" w:pos="1120" w:val="left"/>
        </w:tabs>
        <w:numPr>
          <w:ilvl w:val="1"/>
          <w:numId w:val="18"/>
        </w:numPr>
        <w:rPr>
          <w:rFonts w:ascii="Arial" w:cs="Arial" w:eastAsia="Arial" w:hAnsi="Arial"/>
          <w:sz w:val="18"/>
          <w:szCs w:val="18"/>
          <w:color w:val="auto"/>
        </w:rPr>
      </w:pPr>
      <w:r>
        <w:rPr>
          <w:rFonts w:ascii="Arial" w:cs="Arial" w:eastAsia="Arial" w:hAnsi="Arial"/>
          <w:sz w:val="18"/>
          <w:szCs w:val="18"/>
          <w:color w:val="auto"/>
        </w:rPr>
        <w:t>Incorporated by reference from the Form 10-K for Regeneron Pharmaceuticals, Inc. for the fiscal year ended December 31, 1994, filed March 30, 1995.</w:t>
      </w:r>
    </w:p>
    <w:p>
      <w:pPr>
        <w:spacing w:after="0" w:line="170" w:lineRule="exact"/>
        <w:rPr>
          <w:rFonts w:ascii="Arial" w:cs="Arial" w:eastAsia="Arial" w:hAnsi="Arial"/>
          <w:sz w:val="18"/>
          <w:szCs w:val="18"/>
          <w:color w:val="auto"/>
        </w:rPr>
      </w:pPr>
    </w:p>
    <w:p>
      <w:pPr>
        <w:ind w:left="1120" w:right="760" w:hanging="299"/>
        <w:spacing w:after="0" w:line="277" w:lineRule="auto"/>
        <w:tabs>
          <w:tab w:leader="none" w:pos="1120" w:val="left"/>
        </w:tabs>
        <w:numPr>
          <w:ilvl w:val="1"/>
          <w:numId w:val="18"/>
        </w:numPr>
        <w:rPr>
          <w:rFonts w:ascii="Arial" w:cs="Arial" w:eastAsia="Arial" w:hAnsi="Arial"/>
          <w:sz w:val="18"/>
          <w:szCs w:val="18"/>
          <w:color w:val="auto"/>
        </w:rPr>
      </w:pPr>
      <w:r>
        <w:rPr>
          <w:rFonts w:ascii="Arial" w:cs="Arial" w:eastAsia="Arial" w:hAnsi="Arial"/>
          <w:sz w:val="18"/>
          <w:szCs w:val="18"/>
          <w:color w:val="auto"/>
        </w:rPr>
        <w:t>Incorporated by reference from the Form 10-Q for Regeneron Pharmaceuticals, Inc. for the quarter ended September 30, 1996, filed November 5, 1996.</w:t>
      </w:r>
    </w:p>
    <w:p>
      <w:pPr>
        <w:spacing w:after="0" w:line="170" w:lineRule="exact"/>
        <w:rPr>
          <w:rFonts w:ascii="Arial" w:cs="Arial" w:eastAsia="Arial" w:hAnsi="Arial"/>
          <w:sz w:val="18"/>
          <w:szCs w:val="18"/>
          <w:color w:val="auto"/>
        </w:rPr>
      </w:pPr>
    </w:p>
    <w:p>
      <w:pPr>
        <w:ind w:left="1120" w:right="560" w:hanging="309"/>
        <w:spacing w:after="0" w:line="277" w:lineRule="auto"/>
        <w:tabs>
          <w:tab w:leader="none" w:pos="1120" w:val="left"/>
        </w:tabs>
        <w:numPr>
          <w:ilvl w:val="1"/>
          <w:numId w:val="18"/>
        </w:numPr>
        <w:rPr>
          <w:rFonts w:ascii="Arial" w:cs="Arial" w:eastAsia="Arial" w:hAnsi="Arial"/>
          <w:sz w:val="18"/>
          <w:szCs w:val="18"/>
          <w:color w:val="auto"/>
        </w:rPr>
      </w:pPr>
      <w:r>
        <w:rPr>
          <w:rFonts w:ascii="Arial" w:cs="Arial" w:eastAsia="Arial" w:hAnsi="Arial"/>
          <w:sz w:val="18"/>
          <w:szCs w:val="18"/>
          <w:color w:val="auto"/>
        </w:rPr>
        <w:t>Incorporated by reference from the Form 10-K for Regeneron Pharmaceuticals, Inc. for the fiscal year ended December 31, 2001, filed March 22, 2002.</w:t>
      </w:r>
    </w:p>
    <w:p>
      <w:pPr>
        <w:spacing w:after="0" w:line="170" w:lineRule="exact"/>
        <w:rPr>
          <w:rFonts w:ascii="Arial" w:cs="Arial" w:eastAsia="Arial" w:hAnsi="Arial"/>
          <w:sz w:val="18"/>
          <w:szCs w:val="18"/>
          <w:color w:val="auto"/>
        </w:rPr>
      </w:pPr>
    </w:p>
    <w:p>
      <w:pPr>
        <w:ind w:left="480" w:hanging="247"/>
        <w:spacing w:after="0"/>
        <w:tabs>
          <w:tab w:leader="none" w:pos="4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Reports</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7"/>
          <w:szCs w:val="17"/>
          <w:color w:val="auto"/>
        </w:rPr>
        <w:t>Form 8-K, filed April 27, 2004: On April 26, 2004, we issued a press release announcing our first quarter 2004 financial and operating results.</w:t>
      </w:r>
    </w:p>
    <w:p>
      <w:pPr>
        <w:spacing w:after="0" w:line="237" w:lineRule="exact"/>
        <w:rPr>
          <w:sz w:val="20"/>
          <w:szCs w:val="20"/>
          <w:color w:val="auto"/>
        </w:rPr>
      </w:pPr>
    </w:p>
    <w:p>
      <w:pPr>
        <w:ind w:left="580"/>
        <w:spacing w:after="0" w:line="308" w:lineRule="auto"/>
        <w:rPr>
          <w:sz w:val="20"/>
          <w:szCs w:val="20"/>
          <w:color w:val="auto"/>
        </w:rPr>
      </w:pPr>
      <w:r>
        <w:rPr>
          <w:rFonts w:ascii="Arial" w:cs="Arial" w:eastAsia="Arial" w:hAnsi="Arial"/>
          <w:sz w:val="17"/>
          <w:szCs w:val="17"/>
          <w:color w:val="auto"/>
        </w:rPr>
        <w:t>Form 8-K, filed April 28, 2004: On April 28, 2004, we announced that we gave our consent to Amgen Inc. to enter into a forward contract for the sale of approximately 2.9 million shares of our Common Stock, representing Amgen’s entire holding of our Common Stock.</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SIGNATURE</w:t>
      </w:r>
    </w:p>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46"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Regeneron Pharmaceuticals, Inc.</w:t>
      </w:r>
    </w:p>
    <w:p>
      <w:pPr>
        <w:spacing w:after="0" w:line="225" w:lineRule="exact"/>
        <w:rPr>
          <w:sz w:val="20"/>
          <w:szCs w:val="20"/>
          <w:color w:val="auto"/>
        </w:rPr>
      </w:pPr>
    </w:p>
    <w:p>
      <w:pPr>
        <w:spacing w:after="0"/>
        <w:tabs>
          <w:tab w:leader="none" w:pos="4700" w:val="left"/>
          <w:tab w:leader="none" w:pos="5180" w:val="left"/>
        </w:tabs>
        <w:rPr>
          <w:sz w:val="20"/>
          <w:szCs w:val="20"/>
          <w:color w:val="auto"/>
        </w:rPr>
      </w:pPr>
      <w:r>
        <w:rPr>
          <w:rFonts w:ascii="Arial" w:cs="Arial" w:eastAsia="Arial" w:hAnsi="Arial"/>
          <w:sz w:val="18"/>
          <w:szCs w:val="18"/>
          <w:color w:val="auto"/>
        </w:rPr>
        <w:t>Date: May 6, 2004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Murray A. Goldberg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3307080</wp:posOffset>
            </wp:positionH>
            <wp:positionV relativeFrom="paragraph">
              <wp:posOffset>74930</wp:posOffset>
            </wp:positionV>
            <wp:extent cx="15951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59512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Murray A. Goldberg</w:t>
      </w:r>
    </w:p>
    <w:p>
      <w:pPr>
        <w:spacing w:after="0" w:line="23"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Senior Vice President, Finance &amp; Administration,</w:t>
      </w:r>
    </w:p>
    <w:p>
      <w:pPr>
        <w:spacing w:after="0" w:line="9"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Chief Financial Officer,Treasurer, and</w:t>
      </w:r>
    </w:p>
    <w:p>
      <w:pPr>
        <w:spacing w:after="0" w:line="9"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Assistant Secretary</w:t>
      </w:r>
    </w:p>
    <w:p>
      <w:pPr>
        <w:spacing w:after="0" w:line="17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80"/>
          </w:cols>
          <w:pgMar w:left="240" w:top="419" w:right="37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color w:val="auto"/>
        </w:rPr>
        <w:t>Exhibit 31</w:t>
      </w:r>
    </w:p>
    <w:p>
      <w:pPr>
        <w:spacing w:after="0" w:line="194"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Rule 13a-14(a) under the Securities Exchange Act</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of 1934, as Adopted Pursuant to</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 Leonard S. Schleifer, certify that:</w:t>
      </w:r>
    </w:p>
    <w:p>
      <w:pPr>
        <w:spacing w:after="0" w:line="225" w:lineRule="exact"/>
        <w:rPr>
          <w:sz w:val="20"/>
          <w:szCs w:val="20"/>
          <w:color w:val="auto"/>
        </w:rPr>
      </w:pPr>
    </w:p>
    <w:p>
      <w:pPr>
        <w:ind w:left="260" w:hanging="252"/>
        <w:spacing w:after="0"/>
        <w:tabs>
          <w:tab w:leader="none" w:pos="2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Regeneron Pharmaceuticals, Inc.;</w:t>
      </w:r>
    </w:p>
    <w:p>
      <w:pPr>
        <w:spacing w:after="0" w:line="225" w:lineRule="exact"/>
        <w:rPr>
          <w:rFonts w:ascii="Arial" w:cs="Arial" w:eastAsia="Arial" w:hAnsi="Arial"/>
          <w:sz w:val="18"/>
          <w:szCs w:val="18"/>
          <w:color w:val="auto"/>
        </w:rPr>
      </w:pPr>
    </w:p>
    <w:p>
      <w:pPr>
        <w:ind w:left="260" w:hanging="252"/>
        <w:spacing w:after="0" w:line="342" w:lineRule="auto"/>
        <w:tabs>
          <w:tab w:leader="none" w:pos="2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260" w:right="240" w:hanging="252"/>
        <w:spacing w:after="0" w:line="308" w:lineRule="auto"/>
        <w:tabs>
          <w:tab w:leader="none" w:pos="2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260" w:right="140" w:hanging="252"/>
        <w:spacing w:after="0" w:line="277" w:lineRule="auto"/>
        <w:tabs>
          <w:tab w:leader="none" w:pos="2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720" w:hanging="244"/>
        <w:spacing w:after="0" w:line="264" w:lineRule="auto"/>
        <w:tabs>
          <w:tab w:leader="none" w:pos="72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is made known to us by others within the registrant, particularly during the period in which this quarterly report is being prepared;</w:t>
      </w:r>
    </w:p>
    <w:p>
      <w:pPr>
        <w:spacing w:after="0" w:line="181" w:lineRule="exact"/>
        <w:rPr>
          <w:rFonts w:ascii="Arial" w:cs="Arial" w:eastAsia="Arial" w:hAnsi="Arial"/>
          <w:sz w:val="18"/>
          <w:szCs w:val="18"/>
          <w:color w:val="auto"/>
        </w:rPr>
      </w:pPr>
    </w:p>
    <w:p>
      <w:pPr>
        <w:ind w:left="720" w:right="300" w:hanging="254"/>
        <w:spacing w:after="0" w:line="342" w:lineRule="auto"/>
        <w:tabs>
          <w:tab w:leader="none" w:pos="720" w:val="left"/>
        </w:tabs>
        <w:numPr>
          <w:ilvl w:val="1"/>
          <w:numId w:val="2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quarterly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720" w:right="40" w:hanging="244"/>
        <w:spacing w:after="0" w:line="342" w:lineRule="auto"/>
        <w:tabs>
          <w:tab w:leader="none" w:pos="720" w:val="left"/>
        </w:tabs>
        <w:numPr>
          <w:ilvl w:val="1"/>
          <w:numId w:val="20"/>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23" w:lineRule="exact"/>
        <w:rPr>
          <w:rFonts w:ascii="Arial" w:cs="Arial" w:eastAsia="Arial" w:hAnsi="Arial"/>
          <w:sz w:val="16"/>
          <w:szCs w:val="16"/>
          <w:color w:val="auto"/>
        </w:rPr>
      </w:pPr>
    </w:p>
    <w:p>
      <w:pPr>
        <w:ind w:left="260" w:right="580" w:hanging="252"/>
        <w:spacing w:after="0" w:line="277" w:lineRule="auto"/>
        <w:tabs>
          <w:tab w:leader="none" w:pos="2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389890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42" w:name="page43"/>
    <w:bookmarkEnd w:id="42"/>
    <w:p>
      <w:pPr>
        <w:ind w:left="220"/>
        <w:spacing w:after="0"/>
        <w:rPr>
          <w:sz w:val="20"/>
          <w:szCs w:val="20"/>
          <w:color w:val="auto"/>
        </w:rPr>
      </w:pPr>
      <w:r>
        <w:rPr>
          <w:rFonts w:ascii="Arial" w:cs="Arial" w:eastAsia="Arial" w:hAnsi="Arial"/>
          <w:sz w:val="18"/>
          <w:szCs w:val="18"/>
          <w:color w:val="auto"/>
        </w:rPr>
        <w:t>auditors and the audit committee of registrant’s board of directors (or persons performing the equivalent functions):</w:t>
      </w:r>
    </w:p>
    <w:p>
      <w:pPr>
        <w:spacing w:after="0" w:line="225" w:lineRule="exact"/>
        <w:rPr>
          <w:sz w:val="20"/>
          <w:szCs w:val="20"/>
          <w:color w:val="auto"/>
        </w:rPr>
      </w:pPr>
    </w:p>
    <w:p>
      <w:pPr>
        <w:ind w:left="720" w:right="40" w:hanging="244"/>
        <w:spacing w:after="0" w:line="277" w:lineRule="auto"/>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720" w:hanging="254"/>
        <w:spacing w:after="0" w:line="277" w:lineRule="auto"/>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spacing w:after="0"/>
        <w:tabs>
          <w:tab w:leader="none" w:pos="4720" w:val="left"/>
          <w:tab w:leader="none" w:pos="5200" w:val="left"/>
        </w:tabs>
        <w:rPr>
          <w:sz w:val="20"/>
          <w:szCs w:val="20"/>
          <w:color w:val="auto"/>
        </w:rPr>
      </w:pPr>
      <w:r>
        <w:rPr>
          <w:rFonts w:ascii="Arial" w:cs="Arial" w:eastAsia="Arial" w:hAnsi="Arial"/>
          <w:sz w:val="18"/>
          <w:szCs w:val="18"/>
          <w:color w:val="auto"/>
        </w:rPr>
        <w:t>Date: May 6, 2004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Leonard S. Schleifer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3315335</wp:posOffset>
            </wp:positionH>
            <wp:positionV relativeFrom="paragraph">
              <wp:posOffset>74930</wp:posOffset>
            </wp:positionV>
            <wp:extent cx="15951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59512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Leonard S. Schleifer, M.D., Ph.D.</w:t>
      </w:r>
    </w:p>
    <w:p>
      <w:pPr>
        <w:spacing w:after="0" w:line="23"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398145</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80"/>
          </w:cols>
          <w:pgMar w:left="240" w:top="1152" w:right="579" w:bottom="1440" w:gutter="0" w:footer="0" w:header="0"/>
        </w:sectPr>
      </w:pPr>
    </w:p>
    <w:bookmarkStart w:id="43" w:name="page44"/>
    <w:bookmarkEnd w:id="43"/>
    <w:p>
      <w:pPr>
        <w:spacing w:after="0"/>
        <w:rPr>
          <w:sz w:val="20"/>
          <w:szCs w:val="20"/>
          <w:color w:val="auto"/>
        </w:rPr>
      </w:pPr>
      <w:r>
        <w:rPr>
          <w:rFonts w:ascii="Arial" w:cs="Arial" w:eastAsia="Arial" w:hAnsi="Arial"/>
          <w:sz w:val="18"/>
          <w:szCs w:val="18"/>
          <w:color w:val="auto"/>
        </w:rPr>
        <w:t>I, Murray A. Goldberg, certify that:</w:t>
      </w:r>
    </w:p>
    <w:p>
      <w:pPr>
        <w:spacing w:after="0" w:line="225" w:lineRule="exact"/>
        <w:rPr>
          <w:sz w:val="20"/>
          <w:szCs w:val="20"/>
          <w:color w:val="auto"/>
        </w:rPr>
      </w:pPr>
    </w:p>
    <w:p>
      <w:pPr>
        <w:ind w:left="260" w:hanging="252"/>
        <w:spacing w:after="0"/>
        <w:tabs>
          <w:tab w:leader="none" w:pos="2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Regeneron Pharmaceuticals, Inc.;</w:t>
      </w:r>
    </w:p>
    <w:p>
      <w:pPr>
        <w:spacing w:after="0" w:line="225" w:lineRule="exact"/>
        <w:rPr>
          <w:rFonts w:ascii="Arial" w:cs="Arial" w:eastAsia="Arial" w:hAnsi="Arial"/>
          <w:sz w:val="18"/>
          <w:szCs w:val="18"/>
          <w:color w:val="auto"/>
        </w:rPr>
      </w:pPr>
    </w:p>
    <w:p>
      <w:pPr>
        <w:ind w:left="260" w:hanging="252"/>
        <w:spacing w:after="0" w:line="342" w:lineRule="auto"/>
        <w:tabs>
          <w:tab w:leader="none" w:pos="2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260" w:right="240" w:hanging="252"/>
        <w:spacing w:after="0" w:line="308" w:lineRule="auto"/>
        <w:tabs>
          <w:tab w:leader="none" w:pos="2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260" w:right="140" w:hanging="252"/>
        <w:spacing w:after="0" w:line="277" w:lineRule="auto"/>
        <w:tabs>
          <w:tab w:leader="none" w:pos="2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720" w:hanging="244"/>
        <w:spacing w:after="0" w:line="264" w:lineRule="auto"/>
        <w:tabs>
          <w:tab w:leader="none" w:pos="720" w:val="left"/>
        </w:tabs>
        <w:numPr>
          <w:ilvl w:val="2"/>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is made known to us by others within the registrant, particularly during the period in which this quarterly report is being prepared;</w:t>
      </w:r>
    </w:p>
    <w:p>
      <w:pPr>
        <w:spacing w:after="0" w:line="181" w:lineRule="exact"/>
        <w:rPr>
          <w:rFonts w:ascii="Arial" w:cs="Arial" w:eastAsia="Arial" w:hAnsi="Arial"/>
          <w:sz w:val="18"/>
          <w:szCs w:val="18"/>
          <w:color w:val="auto"/>
        </w:rPr>
      </w:pPr>
    </w:p>
    <w:p>
      <w:pPr>
        <w:ind w:left="720" w:right="300" w:hanging="254"/>
        <w:spacing w:after="0" w:line="342" w:lineRule="auto"/>
        <w:tabs>
          <w:tab w:leader="none" w:pos="720" w:val="left"/>
        </w:tabs>
        <w:numPr>
          <w:ilvl w:val="2"/>
          <w:numId w:val="2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quarterly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720" w:right="40" w:hanging="244"/>
        <w:spacing w:after="0" w:line="342" w:lineRule="auto"/>
        <w:tabs>
          <w:tab w:leader="none" w:pos="720" w:val="left"/>
        </w:tabs>
        <w:numPr>
          <w:ilvl w:val="2"/>
          <w:numId w:val="22"/>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23" w:lineRule="exact"/>
        <w:rPr>
          <w:rFonts w:ascii="Arial" w:cs="Arial" w:eastAsia="Arial" w:hAnsi="Arial"/>
          <w:sz w:val="16"/>
          <w:szCs w:val="16"/>
          <w:color w:val="auto"/>
        </w:rPr>
      </w:pPr>
    </w:p>
    <w:p>
      <w:pPr>
        <w:ind w:left="260" w:right="580" w:hanging="252"/>
        <w:spacing w:after="0" w:line="308" w:lineRule="auto"/>
        <w:tabs>
          <w:tab w:leader="none" w:pos="2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46" w:lineRule="exact"/>
        <w:rPr>
          <w:rFonts w:ascii="Arial" w:cs="Arial" w:eastAsia="Arial" w:hAnsi="Arial"/>
          <w:sz w:val="17"/>
          <w:szCs w:val="17"/>
          <w:color w:val="auto"/>
        </w:rPr>
      </w:pPr>
    </w:p>
    <w:p>
      <w:pPr>
        <w:ind w:left="720" w:right="400" w:hanging="257"/>
        <w:spacing w:after="0" w:line="277" w:lineRule="auto"/>
        <w:tabs>
          <w:tab w:leader="none" w:pos="7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389890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44" w:name="page45"/>
    <w:bookmarkEnd w:id="44"/>
    <w:p>
      <w:pPr>
        <w:ind w:left="720" w:hanging="254"/>
        <w:spacing w:after="0" w:line="277" w:lineRule="auto"/>
        <w:tabs>
          <w:tab w:leader="none" w:pos="7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spacing w:after="0"/>
        <w:tabs>
          <w:tab w:leader="none" w:pos="4700" w:val="left"/>
          <w:tab w:leader="none" w:pos="5180" w:val="left"/>
        </w:tabs>
        <w:rPr>
          <w:sz w:val="20"/>
          <w:szCs w:val="20"/>
          <w:color w:val="auto"/>
        </w:rPr>
      </w:pPr>
      <w:r>
        <w:rPr>
          <w:rFonts w:ascii="Arial" w:cs="Arial" w:eastAsia="Arial" w:hAnsi="Arial"/>
          <w:sz w:val="18"/>
          <w:szCs w:val="18"/>
          <w:color w:val="auto"/>
        </w:rPr>
        <w:t>Date: May 6, 2004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Murray A. Goldberg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3307080</wp:posOffset>
            </wp:positionH>
            <wp:positionV relativeFrom="paragraph">
              <wp:posOffset>74930</wp:posOffset>
            </wp:positionV>
            <wp:extent cx="15951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59512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Murray A. Goldberg</w:t>
      </w:r>
    </w:p>
    <w:p>
      <w:pPr>
        <w:spacing w:after="0" w:line="23"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Senior Vice President, Finance &amp;</w:t>
      </w:r>
    </w:p>
    <w:p>
      <w:pPr>
        <w:spacing w:after="0" w:line="9"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Administration, Chief Financial Officer,</w:t>
      </w:r>
    </w:p>
    <w:p>
      <w:pPr>
        <w:spacing w:after="0" w:line="9"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Treasurer, and Assistant Secretary</w:t>
      </w:r>
    </w:p>
    <w:p>
      <w:pPr>
        <w:sectPr>
          <w:pgSz w:w="11900" w:h="16838" w:orient="portrait"/>
          <w:cols w:equalWidth="0" w:num="1">
            <w:col w:w="11080"/>
          </w:cols>
          <w:pgMar w:left="240" w:top="935" w:right="57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color w:val="auto"/>
        </w:rPr>
        <w:t>Exhibit 32</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27"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70"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In connection with the Quarterly Report of Regeneron Pharmaceuticals, Inc. (the “Company”) on Form 10-Q for the quarterly period ending March 31, 2004 as filed with the Securities and Exchange Commission on the date hereof (the “Report”), Leonard S. Schleifer, M.D., Ph.D., as Chief Executive Officer of the Company, and Murray A. Goldberg, as Chief Financial Officer of the Company, each hereby certifies, pursuant to 18 U.S.C. § 1350, as adopted pursuant to § 906 of the Sarbanes-Oxley Act of 2002, to the best of his knowledge, that:</w:t>
      </w:r>
    </w:p>
    <w:p>
      <w:pPr>
        <w:spacing w:after="0" w:line="146" w:lineRule="exact"/>
        <w:rPr>
          <w:sz w:val="20"/>
          <w:szCs w:val="20"/>
          <w:color w:val="auto"/>
        </w:rPr>
      </w:pPr>
    </w:p>
    <w:p>
      <w:pPr>
        <w:ind w:left="480" w:hanging="247"/>
        <w:spacing w:after="0"/>
        <w:tabs>
          <w:tab w:leader="none" w:pos="4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98" w:lineRule="exact"/>
        <w:rPr>
          <w:rFonts w:ascii="Arial" w:cs="Arial" w:eastAsia="Arial" w:hAnsi="Arial"/>
          <w:sz w:val="18"/>
          <w:szCs w:val="18"/>
          <w:color w:val="auto"/>
        </w:rPr>
      </w:pPr>
    </w:p>
    <w:p>
      <w:pPr>
        <w:ind w:right="480" w:firstLine="233"/>
        <w:spacing w:after="0" w:line="481" w:lineRule="auto"/>
        <w:tabs>
          <w:tab w:leader="none" w:pos="477"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/s/ Leonard S. Schleifer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-19685</wp:posOffset>
            </wp:positionV>
            <wp:extent cx="324167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241675" cy="8890"/>
                    </a:xfrm>
                    <a:prstGeom prst="rect">
                      <a:avLst/>
                    </a:prstGeom>
                    <a:noFill/>
                  </pic:spPr>
                </pic:pic>
              </a:graphicData>
            </a:graphic>
          </wp:anchor>
        </w:drawing>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color w:val="auto"/>
        </w:rPr>
        <w:t>Leonard S. Schleifer, M.D., Ph.D.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6, 2004</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 Murray A. Goldberg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135255</wp:posOffset>
            </wp:positionV>
            <wp:extent cx="324167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241675" cy="8890"/>
                    </a:xfrm>
                    <a:prstGeom prst="rect">
                      <a:avLst/>
                    </a:prstGeom>
                    <a:noFill/>
                  </pic:spPr>
                </pic:pic>
              </a:graphicData>
            </a:graphic>
          </wp:anchor>
        </w:drawing>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Murray A. Goldberg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6, 2004</w:t>
      </w:r>
    </w:p>
    <w:p>
      <w:pPr>
        <w:spacing w:after="0" w:line="184"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This certification accompanies the Report pursuant to § 906 of the Sarbanes-Oxley Act of 2002 and shall not, except to the extent required by the Sarbanes-Oxley Act of 2002, be deemed filed by the Company for purposes of § 18 of the Securities Exchange Act of 1934, as amended.</w:t>
      </w:r>
    </w:p>
    <w:sectPr>
      <w:pgSz w:w="11900" w:h="16838" w:orient="portrait"/>
      <w:cols w:equalWidth="0" w:num="1">
        <w:col w:w="11420"/>
      </w:cols>
      <w:pgMar w:left="240" w:top="93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40E0F76"/>
    <w:multiLevelType w:val="hybridMultilevel"/>
    <w:lvl w:ilvl="0">
      <w:lvlJc w:val="left"/>
      <w:lvlText w:val="(%1)"/>
      <w:numFmt w:val="upperLetter"/>
      <w:start w:val="24"/>
    </w:lvl>
  </w:abstractNum>
  <w:abstractNum w:abstractNumId="1">
    <w:nsid w:val="3352255A"/>
    <w:multiLevelType w:val="hybridMultilevel"/>
    <w:lvl w:ilvl="0">
      <w:lvlJc w:val="left"/>
      <w:lvlText w:val="%1."/>
      <w:numFmt w:val="decimal"/>
      <w:start w:val="1"/>
    </w:lvl>
  </w:abstractNum>
  <w:abstractNum w:abstractNumId="2">
    <w:nsid w:val="109CF92E"/>
    <w:multiLevelType w:val="hybridMultilevel"/>
    <w:lvl w:ilvl="0">
      <w:lvlJc w:val="left"/>
      <w:lvlText w:val="%1."/>
      <w:numFmt w:val="decimal"/>
      <w:start w:val="3"/>
    </w:lvl>
  </w:abstractNum>
  <w:abstractNum w:abstractNumId="3">
    <w:nsid w:val="DED7263"/>
    <w:multiLevelType w:val="hybridMultilevel"/>
    <w:lvl w:ilvl="0">
      <w:lvlJc w:val="left"/>
      <w:lvlText w:val="%1."/>
      <w:numFmt w:val="decimal"/>
      <w:start w:val="4"/>
    </w:lvl>
  </w:abstractNum>
  <w:abstractNum w:abstractNumId="4">
    <w:nsid w:val="7FDCC233"/>
    <w:multiLevelType w:val="hybridMultilevel"/>
    <w:lvl w:ilvl="0">
      <w:lvlJc w:val="left"/>
      <w:lvlText w:val="%1."/>
      <w:numFmt w:val="decimal"/>
      <w:start w:val="6"/>
    </w:lvl>
  </w:abstractNum>
  <w:abstractNum w:abstractNumId="5">
    <w:nsid w:val="1BEFD79F"/>
    <w:multiLevelType w:val="hybridMultilevel"/>
    <w:lvl w:ilvl="0">
      <w:lvlJc w:val="left"/>
      <w:lvlText w:val="%1"/>
      <w:numFmt w:val="decimal"/>
      <w:start w:val="1"/>
    </w:lvl>
    <w:lvl w:ilvl="1">
      <w:lvlJc w:val="left"/>
      <w:lvlText w:val="(%2)"/>
      <w:numFmt w:val="decimal"/>
      <w:start w:val="1"/>
    </w:lvl>
  </w:abstractNum>
  <w:abstractNum w:abstractNumId="6">
    <w:nsid w:val="41A7C4C9"/>
    <w:multiLevelType w:val="hybridMultilevel"/>
    <w:lvl w:ilvl="0">
      <w:lvlJc w:val="left"/>
      <w:lvlText w:val="%1."/>
      <w:numFmt w:val="decimal"/>
      <w:start w:val="7"/>
    </w:lvl>
    <w:lvl w:ilvl="1">
      <w:lvlJc w:val="left"/>
      <w:lvlText w:val="%2"/>
      <w:numFmt w:val="decimal"/>
      <w:start w:val="1"/>
    </w:lvl>
  </w:abstractNum>
  <w:abstractNum w:abstractNumId="7">
    <w:nsid w:val="6B68079A"/>
    <w:multiLevelType w:val="hybridMultilevel"/>
    <w:lvl w:ilvl="0">
      <w:lvlJc w:val="left"/>
      <w:lvlText w:val="%1."/>
      <w:numFmt w:val="decimal"/>
      <w:start w:val="8"/>
    </w:lvl>
  </w:abstractNum>
  <w:abstractNum w:abstractNumId="8">
    <w:nsid w:val="4E6AFB66"/>
    <w:multiLevelType w:val="hybridMultilevel"/>
    <w:lvl w:ilvl="0">
      <w:lvlJc w:val="left"/>
      <w:lvlText w:val="%1."/>
      <w:numFmt w:val="decimal"/>
      <w:start w:val="9"/>
    </w:lvl>
  </w:abstractNum>
  <w:abstractNum w:abstractNumId="9">
    <w:nsid w:val="25E45D32"/>
    <w:multiLevelType w:val="hybridMultilevel"/>
    <w:lvl w:ilvl="0">
      <w:lvlJc w:val="left"/>
      <w:lvlText w:val="%1."/>
      <w:numFmt w:val="decimal"/>
      <w:start w:val="10"/>
    </w:lvl>
  </w:abstractNum>
  <w:abstractNum w:abstractNumId="10">
    <w:nsid w:val="519B500D"/>
    <w:multiLevelType w:val="hybridMultilevel"/>
    <w:lvl w:ilvl="0">
      <w:lvlJc w:val="left"/>
      <w:lvlText w:val="%1."/>
      <w:numFmt w:val="decimal"/>
      <w:start w:val="11"/>
    </w:lvl>
  </w:abstractNum>
  <w:abstractNum w:abstractNumId="11">
    <w:nsid w:val="431BD7B7"/>
    <w:multiLevelType w:val="hybridMultilevel"/>
    <w:lvl w:ilvl="0">
      <w:lvlJc w:val="left"/>
      <w:lvlText w:val="•"/>
      <w:numFmt w:val="bullet"/>
      <w:start w:val="1"/>
    </w:lvl>
  </w:abstractNum>
  <w:abstractNum w:abstractNumId="12">
    <w:nsid w:val="3F2DBA31"/>
    <w:multiLevelType w:val="hybridMultilevel"/>
    <w:lvl w:ilvl="0">
      <w:lvlJc w:val="left"/>
      <w:lvlText w:val="•"/>
      <w:numFmt w:val="bullet"/>
      <w:start w:val="1"/>
    </w:lvl>
  </w:abstractNum>
  <w:abstractNum w:abstractNumId="13">
    <w:nsid w:val="7C83E458"/>
    <w:multiLevelType w:val="hybridMultilevel"/>
    <w:lvl w:ilvl="0">
      <w:lvlJc w:val="left"/>
      <w:lvlText w:val="•"/>
      <w:numFmt w:val="bullet"/>
      <w:start w:val="1"/>
    </w:lvl>
  </w:abstractNum>
  <w:abstractNum w:abstractNumId="14">
    <w:nsid w:val="257130A3"/>
    <w:multiLevelType w:val="hybridMultilevel"/>
    <w:lvl w:ilvl="0">
      <w:lvlJc w:val="left"/>
      <w:lvlText w:val="•"/>
      <w:numFmt w:val="bullet"/>
      <w:start w:val="1"/>
    </w:lvl>
  </w:abstractNum>
  <w:abstractNum w:abstractNumId="15">
    <w:nsid w:val="62BBD95A"/>
    <w:multiLevelType w:val="hybridMultilevel"/>
    <w:lvl w:ilvl="0">
      <w:lvlJc w:val="left"/>
      <w:lvlText w:val="•"/>
      <w:numFmt w:val="bullet"/>
      <w:start w:val="1"/>
    </w:lvl>
  </w:abstractNum>
  <w:abstractNum w:abstractNumId="16">
    <w:nsid w:val="436C6125"/>
    <w:multiLevelType w:val="hybridMultilevel"/>
    <w:lvl w:ilvl="0">
      <w:lvlJc w:val="left"/>
      <w:lvlText w:val="(%1)"/>
      <w:numFmt w:val="lowerLetter"/>
      <w:start w:val="1"/>
    </w:lvl>
  </w:abstractNum>
  <w:abstractNum w:abstractNumId="17">
    <w:nsid w:val="628C895D"/>
    <w:multiLevelType w:val="hybridMultilevel"/>
    <w:lvl w:ilvl="0">
      <w:lvlJc w:val="left"/>
      <w:lvlText w:val="%1"/>
      <w:numFmt w:val="lowerLetter"/>
      <w:start w:val="1"/>
    </w:lvl>
    <w:lvl w:ilvl="1">
      <w:lvlJc w:val="left"/>
      <w:lvlText w:val="(%2)"/>
      <w:numFmt w:val="lowerLetter"/>
      <w:start w:val="2"/>
    </w:lvl>
  </w:abstractNum>
  <w:abstractNum w:abstractNumId="18">
    <w:nsid w:val="333AB105"/>
    <w:multiLevelType w:val="hybridMultilevel"/>
    <w:lvl w:ilvl="0">
      <w:lvlJc w:val="left"/>
      <w:lvlText w:val="(%1)"/>
      <w:numFmt w:val="lowerLetter"/>
      <w:start w:val="2"/>
    </w:lvl>
    <w:lvl w:ilvl="1">
      <w:lvlJc w:val="left"/>
      <w:lvlText w:val="%2"/>
      <w:numFmt w:val="lowerLetter"/>
      <w:start w:val="1"/>
    </w:lvl>
  </w:abstractNum>
  <w:abstractNum w:abstractNumId="19">
    <w:nsid w:val="721DA317"/>
    <w:multiLevelType w:val="hybridMultilevel"/>
    <w:lvl w:ilvl="0">
      <w:lvlJc w:val="left"/>
      <w:lvlText w:val="%1."/>
      <w:numFmt w:val="decimal"/>
      <w:start w:val="1"/>
    </w:lvl>
    <w:lvl w:ilvl="1">
      <w:lvlJc w:val="left"/>
      <w:lvlText w:val="%2)"/>
      <w:numFmt w:val="lowerLetter"/>
      <w:start w:val="1"/>
    </w:lvl>
  </w:abstractNum>
  <w:abstractNum w:abstractNumId="20">
    <w:nsid w:val="2443A858"/>
    <w:multiLevelType w:val="hybridMultilevel"/>
    <w:lvl w:ilvl="0">
      <w:lvlJc w:val="left"/>
      <w:lvlText w:val="%1)"/>
      <w:numFmt w:val="lowerLetter"/>
      <w:start w:val="1"/>
    </w:lvl>
  </w:abstractNum>
  <w:abstractNum w:abstractNumId="21">
    <w:nsid w:val="2D1D5AE9"/>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22">
    <w:nsid w:val="6763845E"/>
    <w:multiLevelType w:val="hybridMultilevel"/>
    <w:lvl w:ilvl="0">
      <w:lvlJc w:val="left"/>
      <w:lvlText w:val="%1)"/>
      <w:numFmt w:val="lowerLetter"/>
      <w:start w:val="2"/>
    </w:lvl>
  </w:abstractNum>
  <w:abstractNum w:abstractNumId="23">
    <w:nsid w:val="75A2A8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2019-12-20T02:23:57Z</dcterms:created>
  <dcterms:modified xsi:type="dcterms:W3CDTF">2019-12-20T02:23:57Z</dcterms:modified>
</cp:coreProperties>
</file>