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220"/>
        <w:spacing w:after="0"/>
        <w:rPr>
          <w:sz w:val="20"/>
          <w:szCs w:val="20"/>
          <w:color w:val="auto"/>
        </w:rPr>
      </w:pPr>
      <w:r>
        <w:rPr>
          <w:rFonts w:ascii="Times New Roman" w:cs="Times New Roman" w:eastAsia="Times New Roman" w:hAnsi="Times New Roman"/>
          <w:sz w:val="25"/>
          <w:szCs w:val="25"/>
          <w:color w:val="auto"/>
        </w:rPr>
        <w:t>SECURITIES AND EXCHANGE COMMISSION</w:t>
      </w:r>
    </w:p>
    <w:p>
      <w:pPr>
        <w:spacing w:after="0" w:line="262"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2354580</wp:posOffset>
            </wp:positionH>
            <wp:positionV relativeFrom="paragraph">
              <wp:posOffset>122555</wp:posOffset>
            </wp:positionV>
            <wp:extent cx="254698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200" w:lineRule="exact"/>
        <w:rPr>
          <w:sz w:val="20"/>
          <w:szCs w:val="20"/>
          <w:color w:val="auto"/>
        </w:rPr>
      </w:pPr>
    </w:p>
    <w:p>
      <w:pPr>
        <w:spacing w:after="0" w:line="264"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337" w:lineRule="exact"/>
        <w:rPr>
          <w:sz w:val="20"/>
          <w:szCs w:val="20"/>
          <w:color w:val="auto"/>
        </w:rPr>
      </w:pPr>
    </w:p>
    <w:p>
      <w:pPr>
        <w:jc w:val="center"/>
        <w:ind w:right="-122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206" w:lineRule="exact"/>
        <w:rPr>
          <w:sz w:val="20"/>
          <w:szCs w:val="20"/>
          <w:color w:val="auto"/>
        </w:rPr>
      </w:pPr>
    </w:p>
    <w:p>
      <w:pPr>
        <w:jc w:val="center"/>
        <w:ind w:right="-1220"/>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w:t>
      </w:r>
    </w:p>
    <w:p>
      <w:pPr>
        <w:spacing w:after="0" w:line="206" w:lineRule="exact"/>
        <w:rPr>
          <w:sz w:val="20"/>
          <w:szCs w:val="20"/>
          <w:color w:val="auto"/>
        </w:rPr>
      </w:pPr>
    </w:p>
    <w:p>
      <w:pPr>
        <w:jc w:val="center"/>
        <w:ind w:right="-1220"/>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215"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July 27, 2004 (July 26, 2004)</w:t>
      </w:r>
    </w:p>
    <w:p>
      <w:pPr>
        <w:spacing w:after="0" w:line="200" w:lineRule="exact"/>
        <w:rPr>
          <w:sz w:val="20"/>
          <w:szCs w:val="20"/>
          <w:color w:val="auto"/>
        </w:rPr>
      </w:pPr>
    </w:p>
    <w:p>
      <w:pPr>
        <w:spacing w:after="0" w:line="212" w:lineRule="exact"/>
        <w:rPr>
          <w:sz w:val="20"/>
          <w:szCs w:val="20"/>
          <w:color w:val="auto"/>
        </w:rPr>
      </w:pPr>
    </w:p>
    <w:p>
      <w:pPr>
        <w:jc w:val="right"/>
        <w:ind w:right="259"/>
        <w:spacing w:after="0"/>
        <w:rPr>
          <w:sz w:val="20"/>
          <w:szCs w:val="20"/>
          <w:color w:val="auto"/>
        </w:rPr>
      </w:pPr>
      <w:r>
        <w:rPr>
          <w:rFonts w:ascii="Times New Roman" w:cs="Times New Roman" w:eastAsia="Times New Roman" w:hAnsi="Times New Roman"/>
          <w:sz w:val="43"/>
          <w:szCs w:val="43"/>
          <w:b w:val="1"/>
          <w:bCs w:val="1"/>
          <w:color w:val="auto"/>
        </w:rPr>
        <w:t>REGENERON PHARMACEUTICALS,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356870</wp:posOffset>
            </wp:positionH>
            <wp:positionV relativeFrom="paragraph">
              <wp:posOffset>310515</wp:posOffset>
            </wp:positionV>
            <wp:extent cx="65430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543040" cy="8890"/>
                    </a:xfrm>
                    <a:prstGeom prst="rect">
                      <a:avLst/>
                    </a:prstGeom>
                    <a:noFill/>
                  </pic:spPr>
                </pic:pic>
              </a:graphicData>
            </a:graphic>
          </wp:anchor>
        </w:drawing>
      </w:r>
    </w:p>
    <w:p>
      <w:pPr>
        <w:spacing w:after="0" w:line="200" w:lineRule="exact"/>
        <w:rPr>
          <w:sz w:val="20"/>
          <w:szCs w:val="20"/>
          <w:color w:val="auto"/>
        </w:rPr>
      </w:pPr>
    </w:p>
    <w:p>
      <w:pPr>
        <w:spacing w:after="0" w:line="359"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25" w:lineRule="exact"/>
        <w:rPr>
          <w:sz w:val="20"/>
          <w:szCs w:val="20"/>
          <w:color w:val="auto"/>
        </w:rPr>
      </w:pPr>
    </w:p>
    <w:tbl>
      <w:tblPr>
        <w:tblLayout w:type="fixed"/>
        <w:tblInd w:w="200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p>
        </w:tc>
        <w:tc>
          <w:tcPr>
            <w:tcW w:w="1660" w:type="dxa"/>
            <w:vAlign w:val="bottom"/>
          </w:tcPr>
          <w:p>
            <w:pPr>
              <w:jc w:val="center"/>
              <w:ind w:right="490"/>
              <w:spacing w:after="0"/>
              <w:rPr>
                <w:sz w:val="20"/>
                <w:szCs w:val="20"/>
                <w:color w:val="auto"/>
              </w:rPr>
            </w:pPr>
            <w:r>
              <w:rPr>
                <w:rFonts w:ascii="Times New Roman" w:cs="Times New Roman" w:eastAsia="Times New Roman" w:hAnsi="Times New Roman"/>
                <w:sz w:val="18"/>
                <w:szCs w:val="18"/>
                <w:color w:val="auto"/>
                <w:w w:val="99"/>
              </w:rPr>
              <w:t>NEW YORK</w:t>
            </w:r>
          </w:p>
        </w:tc>
        <w:tc>
          <w:tcPr>
            <w:tcW w:w="2600" w:type="dxa"/>
            <w:vAlign w:val="bottom"/>
            <w:gridSpan w:val="2"/>
          </w:tcPr>
          <w:p>
            <w:pPr>
              <w:jc w:val="center"/>
              <w:ind w:left="270"/>
              <w:spacing w:after="0"/>
              <w:rPr>
                <w:sz w:val="20"/>
                <w:szCs w:val="20"/>
                <w:color w:val="auto"/>
              </w:rPr>
            </w:pPr>
            <w:r>
              <w:rPr>
                <w:rFonts w:ascii="Times New Roman" w:cs="Times New Roman" w:eastAsia="Times New Roman" w:hAnsi="Times New Roman"/>
                <w:sz w:val="18"/>
                <w:szCs w:val="18"/>
                <w:color w:val="auto"/>
                <w:w w:val="99"/>
              </w:rPr>
              <w:t>0-19034</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No. 13-3444607</w:t>
            </w:r>
          </w:p>
        </w:tc>
      </w:tr>
      <w:tr>
        <w:trPr>
          <w:trHeight w:val="81"/>
        </w:trPr>
        <w:tc>
          <w:tcPr>
            <w:tcW w:w="580" w:type="dxa"/>
            <w:vAlign w:val="bottom"/>
            <w:tcBorders>
              <w:bottom w:val="single" w:sz="8" w:color="808080"/>
            </w:tcBorders>
          </w:tcPr>
          <w:p>
            <w:pPr>
              <w:spacing w:after="0"/>
              <w:rPr>
                <w:sz w:val="7"/>
                <w:szCs w:val="7"/>
                <w:color w:val="auto"/>
              </w:rPr>
            </w:pPr>
          </w:p>
        </w:tc>
        <w:tc>
          <w:tcPr>
            <w:tcW w:w="1660" w:type="dxa"/>
            <w:vAlign w:val="bottom"/>
            <w:tcBorders>
              <w:bottom w:val="single" w:sz="8" w:color="808080"/>
            </w:tcBorders>
          </w:tcPr>
          <w:p>
            <w:pPr>
              <w:spacing w:after="0"/>
              <w:rPr>
                <w:sz w:val="7"/>
                <w:szCs w:val="7"/>
                <w:color w:val="auto"/>
              </w:rPr>
            </w:pPr>
          </w:p>
        </w:tc>
        <w:tc>
          <w:tcPr>
            <w:tcW w:w="380" w:type="dxa"/>
            <w:vAlign w:val="bottom"/>
          </w:tcPr>
          <w:p>
            <w:pPr>
              <w:spacing w:after="0"/>
              <w:rPr>
                <w:sz w:val="7"/>
                <w:szCs w:val="7"/>
                <w:color w:val="auto"/>
              </w:rPr>
            </w:pPr>
          </w:p>
        </w:tc>
        <w:tc>
          <w:tcPr>
            <w:tcW w:w="2220" w:type="dxa"/>
            <w:vAlign w:val="bottom"/>
            <w:tcBorders>
              <w:bottom w:val="single" w:sz="8" w:color="808080"/>
            </w:tcBorders>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660" w:type="dxa"/>
            <w:vAlign w:val="bottom"/>
            <w:tcBorders>
              <w:bottom w:val="single" w:sz="8" w:color="808080"/>
            </w:tcBorders>
          </w:tcPr>
          <w:p>
            <w:pPr>
              <w:spacing w:after="0"/>
              <w:rPr>
                <w:sz w:val="7"/>
                <w:szCs w:val="7"/>
                <w:color w:val="auto"/>
              </w:rPr>
            </w:pPr>
          </w:p>
        </w:tc>
        <w:tc>
          <w:tcPr>
            <w:tcW w:w="560" w:type="dxa"/>
            <w:vAlign w:val="bottom"/>
            <w:tcBorders>
              <w:bottom w:val="single" w:sz="8" w:color="808080"/>
            </w:tcBorders>
          </w:tcPr>
          <w:p>
            <w:pPr>
              <w:spacing w:after="0"/>
              <w:rPr>
                <w:sz w:val="7"/>
                <w:szCs w:val="7"/>
                <w:color w:val="auto"/>
              </w:rPr>
            </w:pPr>
          </w:p>
        </w:tc>
      </w:tr>
      <w:tr>
        <w:trPr>
          <w:trHeight w:val="286"/>
        </w:trPr>
        <w:tc>
          <w:tcPr>
            <w:tcW w:w="22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(State or other jurisdiction</w:t>
            </w:r>
          </w:p>
        </w:tc>
        <w:tc>
          <w:tcPr>
            <w:tcW w:w="380" w:type="dxa"/>
            <w:vAlign w:val="bottom"/>
          </w:tcPr>
          <w:p>
            <w:pPr>
              <w:spacing w:after="0"/>
              <w:rPr>
                <w:sz w:val="24"/>
                <w:szCs w:val="24"/>
                <w:color w:val="auto"/>
              </w:rPr>
            </w:pPr>
          </w:p>
        </w:tc>
        <w:tc>
          <w:tcPr>
            <w:tcW w:w="2580" w:type="dxa"/>
            <w:vAlign w:val="bottom"/>
            <w:gridSpan w:val="4"/>
          </w:tcPr>
          <w:p>
            <w:pPr>
              <w:jc w:val="center"/>
              <w:ind w:right="360"/>
              <w:spacing w:after="0"/>
              <w:rPr>
                <w:sz w:val="20"/>
                <w:szCs w:val="20"/>
                <w:color w:val="auto"/>
              </w:rPr>
            </w:pPr>
            <w:r>
              <w:rPr>
                <w:rFonts w:ascii="Times New Roman" w:cs="Times New Roman" w:eastAsia="Times New Roman" w:hAnsi="Times New Roman"/>
                <w:sz w:val="18"/>
                <w:szCs w:val="18"/>
                <w:color w:val="auto"/>
              </w:rPr>
              <w:t>(Commission</w:t>
            </w:r>
          </w:p>
        </w:tc>
        <w:tc>
          <w:tcPr>
            <w:tcW w:w="22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22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of incorporation)</w:t>
            </w:r>
          </w:p>
        </w:tc>
        <w:tc>
          <w:tcPr>
            <w:tcW w:w="380" w:type="dxa"/>
            <w:vAlign w:val="bottom"/>
          </w:tcPr>
          <w:p>
            <w:pPr>
              <w:spacing w:after="0"/>
              <w:rPr>
                <w:sz w:val="20"/>
                <w:szCs w:val="20"/>
                <w:color w:val="auto"/>
              </w:rPr>
            </w:pPr>
          </w:p>
        </w:tc>
        <w:tc>
          <w:tcPr>
            <w:tcW w:w="2580" w:type="dxa"/>
            <w:vAlign w:val="bottom"/>
            <w:gridSpan w:val="4"/>
          </w:tcPr>
          <w:p>
            <w:pPr>
              <w:jc w:val="center"/>
              <w:ind w:right="360"/>
              <w:spacing w:after="0"/>
              <w:rPr>
                <w:sz w:val="20"/>
                <w:szCs w:val="20"/>
                <w:color w:val="auto"/>
              </w:rPr>
            </w:pPr>
            <w:r>
              <w:rPr>
                <w:rFonts w:ascii="Times New Roman" w:cs="Times New Roman" w:eastAsia="Times New Roman" w:hAnsi="Times New Roman"/>
                <w:sz w:val="18"/>
                <w:szCs w:val="18"/>
                <w:color w:val="auto"/>
              </w:rPr>
              <w:t>File Number)</w:t>
            </w:r>
          </w:p>
        </w:tc>
        <w:tc>
          <w:tcPr>
            <w:tcW w:w="22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32"/>
        </w:trPr>
        <w:tc>
          <w:tcPr>
            <w:tcW w:w="5200" w:type="dxa"/>
            <w:vAlign w:val="bottom"/>
            <w:gridSpan w:val="7"/>
          </w:tcPr>
          <w:p>
            <w:pPr>
              <w:jc w:val="center"/>
              <w:ind w:left="170"/>
              <w:spacing w:after="0"/>
              <w:rPr>
                <w:sz w:val="20"/>
                <w:szCs w:val="20"/>
                <w:color w:val="auto"/>
              </w:rPr>
            </w:pPr>
            <w:r>
              <w:rPr>
                <w:rFonts w:ascii="Times New Roman" w:cs="Times New Roman" w:eastAsia="Times New Roman" w:hAnsi="Times New Roman"/>
                <w:sz w:val="18"/>
                <w:szCs w:val="18"/>
                <w:color w:val="auto"/>
                <w:w w:val="98"/>
              </w:rPr>
              <w:t>777 OLD SAW MILL RIVER ROAD, TARRYTOWN, NY</w:t>
            </w:r>
          </w:p>
        </w:tc>
        <w:tc>
          <w:tcPr>
            <w:tcW w:w="166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10591-6707</w:t>
            </w:r>
          </w:p>
        </w:tc>
        <w:tc>
          <w:tcPr>
            <w:tcW w:w="560" w:type="dxa"/>
            <w:vAlign w:val="bottom"/>
          </w:tcPr>
          <w:p>
            <w:pPr>
              <w:spacing w:after="0"/>
              <w:rPr>
                <w:sz w:val="24"/>
                <w:szCs w:val="24"/>
                <w:color w:val="auto"/>
              </w:rPr>
            </w:pPr>
          </w:p>
        </w:tc>
      </w:tr>
      <w:tr>
        <w:trPr>
          <w:trHeight w:val="81"/>
        </w:trPr>
        <w:tc>
          <w:tcPr>
            <w:tcW w:w="580" w:type="dxa"/>
            <w:vAlign w:val="bottom"/>
          </w:tcPr>
          <w:p>
            <w:pPr>
              <w:spacing w:after="0"/>
              <w:rPr>
                <w:sz w:val="7"/>
                <w:szCs w:val="7"/>
                <w:color w:val="auto"/>
              </w:rPr>
            </w:pPr>
          </w:p>
        </w:tc>
        <w:tc>
          <w:tcPr>
            <w:tcW w:w="4320" w:type="dxa"/>
            <w:vAlign w:val="bottom"/>
            <w:tcBorders>
              <w:bottom w:val="single" w:sz="8" w:color="808080"/>
            </w:tcBorders>
            <w:gridSpan w:val="4"/>
          </w:tcPr>
          <w:p>
            <w:pPr>
              <w:spacing w:after="0"/>
              <w:rPr>
                <w:sz w:val="7"/>
                <w:szCs w:val="7"/>
                <w:color w:val="auto"/>
              </w:rPr>
            </w:pPr>
          </w:p>
        </w:tc>
        <w:tc>
          <w:tcPr>
            <w:tcW w:w="160" w:type="dxa"/>
            <w:vAlign w:val="bottom"/>
          </w:tcPr>
          <w:p>
            <w:pPr>
              <w:spacing w:after="0"/>
              <w:rPr>
                <w:sz w:val="7"/>
                <w:szCs w:val="7"/>
                <w:color w:val="auto"/>
              </w:rPr>
            </w:pPr>
          </w:p>
        </w:tc>
        <w:tc>
          <w:tcPr>
            <w:tcW w:w="140" w:type="dxa"/>
            <w:vAlign w:val="bottom"/>
            <w:tcBorders>
              <w:bottom w:val="single" w:sz="8" w:color="808080"/>
            </w:tcBorders>
          </w:tcPr>
          <w:p>
            <w:pPr>
              <w:spacing w:after="0"/>
              <w:rPr>
                <w:sz w:val="7"/>
                <w:szCs w:val="7"/>
                <w:color w:val="auto"/>
              </w:rPr>
            </w:pPr>
          </w:p>
        </w:tc>
        <w:tc>
          <w:tcPr>
            <w:tcW w:w="1660" w:type="dxa"/>
            <w:vAlign w:val="bottom"/>
            <w:tcBorders>
              <w:bottom w:val="single" w:sz="8" w:color="808080"/>
            </w:tcBorders>
          </w:tcPr>
          <w:p>
            <w:pPr>
              <w:spacing w:after="0"/>
              <w:rPr>
                <w:sz w:val="7"/>
                <w:szCs w:val="7"/>
                <w:color w:val="auto"/>
              </w:rPr>
            </w:pPr>
          </w:p>
        </w:tc>
        <w:tc>
          <w:tcPr>
            <w:tcW w:w="560" w:type="dxa"/>
            <w:vAlign w:val="bottom"/>
          </w:tcPr>
          <w:p>
            <w:pPr>
              <w:spacing w:after="0"/>
              <w:rPr>
                <w:sz w:val="7"/>
                <w:szCs w:val="7"/>
                <w:color w:val="auto"/>
              </w:rPr>
            </w:pPr>
          </w:p>
        </w:tc>
      </w:tr>
      <w:tr>
        <w:trPr>
          <w:trHeight w:val="304"/>
        </w:trPr>
        <w:tc>
          <w:tcPr>
            <w:tcW w:w="580" w:type="dxa"/>
            <w:vAlign w:val="bottom"/>
          </w:tcPr>
          <w:p>
            <w:pPr>
              <w:spacing w:after="0"/>
              <w:rPr>
                <w:sz w:val="24"/>
                <w:szCs w:val="24"/>
                <w:color w:val="auto"/>
              </w:rPr>
            </w:pPr>
          </w:p>
        </w:tc>
        <w:tc>
          <w:tcPr>
            <w:tcW w:w="4620" w:type="dxa"/>
            <w:vAlign w:val="bottom"/>
            <w:gridSpan w:val="6"/>
          </w:tcPr>
          <w:p>
            <w:pPr>
              <w:jc w:val="center"/>
              <w:ind w:right="32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2220" w:type="dxa"/>
            <w:vAlign w:val="bottom"/>
            <w:gridSpan w:val="2"/>
          </w:tcPr>
          <w:p>
            <w:pPr>
              <w:jc w:val="center"/>
              <w:ind w:right="720"/>
              <w:spacing w:after="0"/>
              <w:rPr>
                <w:sz w:val="20"/>
                <w:szCs w:val="20"/>
                <w:color w:val="auto"/>
              </w:rPr>
            </w:pPr>
            <w:r>
              <w:rPr>
                <w:rFonts w:ascii="Times New Roman" w:cs="Times New Roman" w:eastAsia="Times New Roman" w:hAnsi="Times New Roman"/>
                <w:sz w:val="18"/>
                <w:szCs w:val="18"/>
                <w:color w:val="auto"/>
                <w:w w:val="98"/>
              </w:rPr>
              <w:t>(Zip Code)</w:t>
            </w:r>
          </w:p>
        </w:tc>
      </w:tr>
    </w:tbl>
    <w:p>
      <w:pPr>
        <w:spacing w:after="0" w:line="157" w:lineRule="exact"/>
        <w:rPr>
          <w:sz w:val="20"/>
          <w:szCs w:val="20"/>
          <w:color w:val="auto"/>
        </w:rPr>
      </w:pPr>
    </w:p>
    <w:p>
      <w:pPr>
        <w:jc w:val="center"/>
        <w:ind w:right="-1220"/>
        <w:spacing w:after="0"/>
        <w:rPr>
          <w:sz w:val="20"/>
          <w:szCs w:val="20"/>
          <w:color w:val="auto"/>
        </w:rPr>
      </w:pPr>
      <w:r>
        <w:rPr>
          <w:rFonts w:ascii="Times New Roman" w:cs="Times New Roman" w:eastAsia="Times New Roman" w:hAnsi="Times New Roman"/>
          <w:sz w:val="18"/>
          <w:szCs w:val="18"/>
          <w:color w:val="auto"/>
        </w:rPr>
        <w:t>Registrant’s telephone number, including area code (914) 347-7000</w:t>
      </w:r>
    </w:p>
    <w:p>
      <w:pPr>
        <w:spacing w:after="0" w:line="185" w:lineRule="exact"/>
        <w:rPr>
          <w:sz w:val="20"/>
          <w:szCs w:val="20"/>
          <w:color w:val="auto"/>
        </w:rPr>
      </w:pPr>
    </w:p>
    <w:p>
      <w:pPr>
        <w:jc w:val="center"/>
        <w:ind w:right="-12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1805940</wp:posOffset>
            </wp:positionH>
            <wp:positionV relativeFrom="paragraph">
              <wp:posOffset>137795</wp:posOffset>
            </wp:positionV>
            <wp:extent cx="36449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644900" cy="8890"/>
                    </a:xfrm>
                    <a:prstGeom prst="rect">
                      <a:avLst/>
                    </a:prstGeom>
                    <a:noFill/>
                  </pic:spPr>
                </pic:pic>
              </a:graphicData>
            </a:graphic>
          </wp:anchor>
        </w:drawing>
      </w:r>
    </w:p>
    <w:p>
      <w:pPr>
        <w:spacing w:after="0" w:line="273"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409575</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18" w:right="1440" w:bottom="1440" w:gutter="0" w:footer="0" w:header="0"/>
        </w:sectPr>
      </w:pPr>
    </w:p>
    <w:bookmarkStart w:id="2" w:name="page3"/>
    <w:bookmarkEnd w:id="2"/>
    <w:p>
      <w:pPr>
        <w:ind w:left="3980"/>
        <w:spacing w:after="0"/>
        <w:rPr>
          <w:sz w:val="20"/>
          <w:szCs w:val="20"/>
          <w:color w:val="auto"/>
        </w:rPr>
      </w:pPr>
      <w:r>
        <w:rPr>
          <w:rFonts w:ascii="Times New Roman" w:cs="Times New Roman" w:eastAsia="Times New Roman" w:hAnsi="Times New Roman"/>
          <w:sz w:val="22"/>
          <w:szCs w:val="22"/>
          <w:b w:val="1"/>
          <w:bCs w:val="1"/>
          <w:u w:val="single" w:color="auto"/>
          <w:color w:val="auto"/>
        </w:rPr>
        <w:t>TABLE OF CONTENTS</w:t>
      </w:r>
    </w:p>
    <w:p>
      <w:pPr>
        <w:spacing w:after="0" w:line="211" w:lineRule="exact"/>
        <w:rPr>
          <w:sz w:val="20"/>
          <w:szCs w:val="20"/>
          <w:color w:val="auto"/>
        </w:rPr>
      </w:pPr>
    </w:p>
    <w:p>
      <w:pPr>
        <w:ind w:left="320"/>
        <w:spacing w:after="0"/>
        <w:rPr>
          <w:rFonts w:ascii="Times New Roman" w:cs="Times New Roman" w:eastAsia="Times New Roman" w:hAnsi="Times New Roman"/>
          <w:sz w:val="22"/>
          <w:szCs w:val="22"/>
          <w:u w:val="single" w:color="auto"/>
          <w:color w:val="0000EE"/>
        </w:rPr>
      </w:pPr>
      <w:hyperlink w:anchor="page4">
        <w:r>
          <w:rPr>
            <w:rFonts w:ascii="Times New Roman" w:cs="Times New Roman" w:eastAsia="Times New Roman" w:hAnsi="Times New Roman"/>
            <w:sz w:val="22"/>
            <w:szCs w:val="22"/>
            <w:u w:val="single" w:color="auto"/>
            <w:color w:val="0000EE"/>
          </w:rPr>
          <w:t>Item 5. Other Events</w:t>
        </w:r>
      </w:hyperlink>
    </w:p>
    <w:p>
      <w:pPr>
        <w:spacing w:after="0" w:line="4" w:lineRule="exact"/>
        <w:rPr>
          <w:sz w:val="20"/>
          <w:szCs w:val="20"/>
          <w:color w:val="auto"/>
        </w:rPr>
      </w:pPr>
    </w:p>
    <w:p>
      <w:pPr>
        <w:ind w:left="320"/>
        <w:spacing w:after="0"/>
        <w:rPr>
          <w:rFonts w:ascii="Times New Roman" w:cs="Times New Roman" w:eastAsia="Times New Roman" w:hAnsi="Times New Roman"/>
          <w:sz w:val="22"/>
          <w:szCs w:val="22"/>
          <w:u w:val="single" w:color="auto"/>
          <w:color w:val="0000EE"/>
        </w:rPr>
      </w:pPr>
      <w:hyperlink w:anchor="page4">
        <w:r>
          <w:rPr>
            <w:rFonts w:ascii="Times New Roman" w:cs="Times New Roman" w:eastAsia="Times New Roman" w:hAnsi="Times New Roman"/>
            <w:sz w:val="22"/>
            <w:szCs w:val="22"/>
            <w:u w:val="single" w:color="auto"/>
            <w:color w:val="0000EE"/>
          </w:rPr>
          <w:t>Item 7. Financial Statements and Exhibits</w:t>
        </w:r>
      </w:hyperlink>
    </w:p>
    <w:p>
      <w:pPr>
        <w:ind w:left="320"/>
        <w:spacing w:after="0"/>
        <w:rPr>
          <w:rFonts w:ascii="Times New Roman" w:cs="Times New Roman" w:eastAsia="Times New Roman" w:hAnsi="Times New Roman"/>
          <w:sz w:val="21"/>
          <w:szCs w:val="21"/>
          <w:u w:val="single" w:color="auto"/>
          <w:color w:val="0000EE"/>
        </w:rPr>
      </w:pPr>
      <w:hyperlink w:anchor="page4">
        <w:r>
          <w:rPr>
            <w:rFonts w:ascii="Times New Roman" w:cs="Times New Roman" w:eastAsia="Times New Roman" w:hAnsi="Times New Roman"/>
            <w:sz w:val="21"/>
            <w:szCs w:val="21"/>
            <w:u w:val="single" w:color="auto"/>
            <w:color w:val="0000EE"/>
          </w:rPr>
          <w:t>Item 9, Regulation FD Disclosure and Item 12, Disclosure of Operations and Financial Condition</w:t>
        </w:r>
      </w:hyperlink>
    </w:p>
    <w:p>
      <w:pPr>
        <w:spacing w:after="0" w:line="232" w:lineRule="auto"/>
        <w:rPr>
          <w:rFonts w:ascii="Times New Roman" w:cs="Times New Roman" w:eastAsia="Times New Roman" w:hAnsi="Times New Roman"/>
          <w:sz w:val="22"/>
          <w:szCs w:val="22"/>
          <w:u w:val="single" w:color="auto"/>
          <w:color w:val="0000EE"/>
        </w:rPr>
      </w:pPr>
      <w:hyperlink w:anchor="page5">
        <w:r>
          <w:rPr>
            <w:rFonts w:ascii="Times New Roman" w:cs="Times New Roman" w:eastAsia="Times New Roman" w:hAnsi="Times New Roman"/>
            <w:sz w:val="22"/>
            <w:szCs w:val="22"/>
            <w:u w:val="single" w:color="auto"/>
            <w:color w:val="0000EE"/>
          </w:rPr>
          <w:t>SIGNATURE</w:t>
        </w:r>
      </w:hyperlink>
    </w:p>
    <w:p>
      <w:pPr>
        <w:spacing w:after="0"/>
        <w:rPr>
          <w:sz w:val="20"/>
          <w:szCs w:val="20"/>
          <w:color w:val="auto"/>
        </w:rPr>
      </w:pPr>
      <w:r>
        <w:rPr>
          <w:rFonts w:ascii="Times New Roman" w:cs="Times New Roman" w:eastAsia="Times New Roman" w:hAnsi="Times New Roman"/>
          <w:sz w:val="22"/>
          <w:szCs w:val="22"/>
          <w:u w:val="single" w:color="auto"/>
          <w:color w:val="0000EE"/>
        </w:rPr>
        <w:t>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130810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639"/>
          </w:cols>
          <w:pgMar w:left="820" w:top="108" w:right="1440" w:bottom="1440" w:gutter="0" w:footer="0" w:header="0"/>
        </w:sectPr>
      </w:pPr>
    </w:p>
    <w:bookmarkStart w:id="3" w:name="page4"/>
    <w:bookmarkEnd w:id="3"/>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TO BE INCLUDED IN REPORT</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Events.</w:t>
      </w:r>
    </w:p>
    <w:p>
      <w:pPr>
        <w:spacing w:after="0" w:line="18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Dr. William Roberts has been appointed acting Vice President, Clinical Sciences, in addition to his role as Vice President, Regulatory Development.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Dr. Hans-Peter Guler, the former Vice President, Clinical Sciences, resigned from the Company effective July 23, 2004 to pursue other opportunities.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Financial Statements and Exhibits.</w:t>
      </w:r>
    </w:p>
    <w:p>
      <w:pPr>
        <w:spacing w:after="0" w:line="20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(c) Exhibits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99(a) Press Release dated July 26, 2004.</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Regulation FD Disclosure and Item 12, Disclosure of Operations and Financial Condition.</w:t>
      </w:r>
    </w:p>
    <w:p>
      <w:pPr>
        <w:spacing w:after="0" w:line="189" w:lineRule="exact"/>
        <w:rPr>
          <w:sz w:val="20"/>
          <w:szCs w:val="20"/>
          <w:color w:val="auto"/>
        </w:rPr>
      </w:pPr>
    </w:p>
    <w:p>
      <w:pPr>
        <w:ind w:right="100" w:firstLine="222"/>
        <w:spacing w:after="0" w:line="266" w:lineRule="auto"/>
        <w:rPr>
          <w:sz w:val="20"/>
          <w:szCs w:val="20"/>
          <w:color w:val="auto"/>
        </w:rPr>
      </w:pPr>
      <w:r>
        <w:rPr>
          <w:rFonts w:ascii="Times New Roman" w:cs="Times New Roman" w:eastAsia="Times New Roman" w:hAnsi="Times New Roman"/>
          <w:sz w:val="18"/>
          <w:szCs w:val="18"/>
          <w:color w:val="auto"/>
        </w:rPr>
        <w:t>The following information is furnished pursuant to “Item 9. Regulation FD Disclosure” and “Item 12. Disclosure of Results of Operations and Financial Condition.” On Monday, July 26, 2004, Regeneron Pharmaceuticals, Inc. issued a press release to report the company’s financial results for the fiscal quarter ended June 30, 2004. A copy of the press release is attached hereto as Exhibit 99(a).</w:t>
      </w:r>
    </w:p>
    <w:p>
      <w:pPr>
        <w:spacing w:after="0" w:line="136" w:lineRule="exact"/>
        <w:rPr>
          <w:sz w:val="20"/>
          <w:szCs w:val="20"/>
          <w:color w:val="auto"/>
        </w:rPr>
      </w:pPr>
    </w:p>
    <w:p>
      <w:pPr>
        <w:ind w:firstLine="222"/>
        <w:spacing w:after="0" w:line="282" w:lineRule="auto"/>
        <w:rPr>
          <w:sz w:val="20"/>
          <w:szCs w:val="20"/>
          <w:color w:val="auto"/>
        </w:rPr>
      </w:pPr>
      <w:r>
        <w:rPr>
          <w:rFonts w:ascii="Times New Roman" w:cs="Times New Roman" w:eastAsia="Times New Roman" w:hAnsi="Times New Roman"/>
          <w:sz w:val="18"/>
          <w:szCs w:val="18"/>
          <w:color w:val="auto"/>
        </w:rPr>
        <w:t>The information included in this Current Report on Form 8-K shall not be deemed “filed” for purposes of, nor shall it be deemed incorporated by reference in, any filing under the Securities Act of 1933 or the Securities Exchange Act of 1934, except as expressly set forth by specific reference in such a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369570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5" w:right="259" w:bottom="1440" w:gutter="0" w:footer="0" w:header="0"/>
        </w:sectPr>
      </w:pPr>
    </w:p>
    <w:bookmarkStart w:id="4" w:name="page5"/>
    <w:bookmarkEnd w:id="4"/>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0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333"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b w:val="1"/>
          <w:bCs w:val="1"/>
          <w:color w:val="auto"/>
        </w:rPr>
        <w:t>Regeneron Pharmaceuticals, Inc.</w:t>
      </w:r>
    </w:p>
    <w:p>
      <w:pPr>
        <w:spacing w:after="0" w:line="229"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By: /s/ Stuart Kolinski</w:t>
      </w:r>
    </w:p>
    <w:p>
      <w:pPr>
        <w:spacing w:after="0" w:line="225"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Stuart Kolinski</w:t>
      </w:r>
    </w:p>
    <w:p>
      <w:pPr>
        <w:spacing w:after="0" w:line="27"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Vice President &amp; General Counsel</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July 27, 2004</w:t>
      </w:r>
    </w:p>
    <w:p>
      <w:pPr>
        <w:sectPr>
          <w:pgSz w:w="11900" w:h="16838" w:orient="portrait"/>
          <w:cols w:equalWidth="0" w:num="1">
            <w:col w:w="11280"/>
          </w:cols>
          <w:pgMar w:left="240" w:top="415" w:right="37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b w:val="1"/>
          <w:bCs w:val="1"/>
          <w:color w:val="auto"/>
        </w:rPr>
        <w:t>Exhibit 99(a)</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IMMEDIATE RELEASE</w:t>
      </w:r>
    </w:p>
    <w:p>
      <w:pPr>
        <w:spacing w:after="0" w:line="185"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18"/>
          <w:szCs w:val="18"/>
          <w:b w:val="1"/>
          <w:bCs w:val="1"/>
          <w:color w:val="auto"/>
        </w:rPr>
        <w:t>REGENERON REPORTS SECOND QUARTER FINANCIAL AND OPERATING RESULTS</w:t>
      </w:r>
    </w:p>
    <w:p>
      <w:pPr>
        <w:spacing w:after="0" w:line="185"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color w:val="auto"/>
        </w:rPr>
        <w:t xml:space="preserve">Tarrytown, New York (July 26, 2004) — Regeneron Pharmaceuticals, Inc. (Nasdaq: </w:t>
      </w:r>
      <w:r>
        <w:rPr>
          <w:rFonts w:ascii="Times New Roman" w:cs="Times New Roman" w:eastAsia="Times New Roman" w:hAnsi="Times New Roman"/>
          <w:sz w:val="18"/>
          <w:szCs w:val="18"/>
          <w:b w:val="1"/>
          <w:bCs w:val="1"/>
          <w:color w:val="auto"/>
        </w:rPr>
        <w:t>REGN</w:t>
      </w:r>
      <w:r>
        <w:rPr>
          <w:rFonts w:ascii="Times New Roman" w:cs="Times New Roman" w:eastAsia="Times New Roman" w:hAnsi="Times New Roman"/>
          <w:sz w:val="18"/>
          <w:szCs w:val="18"/>
          <w:color w:val="auto"/>
        </w:rPr>
        <w:t>) today announced financial and operating results for the second quarter ended June 30, 2004.</w:t>
      </w:r>
    </w:p>
    <w:p>
      <w:pPr>
        <w:spacing w:after="0" w:line="132"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Regeneron reported a net loss of $14.5 million, or $0.26 per share (basic and diluted) for the second quarter of 2004 compared with a net loss of $30.4 million, or $0.61 per share (basic and diluted), for the second quarter of 2003. The Company reported net income of $50.0 million, or $0.90 per basic share and $0.88 per diluted share, for the six months ended June 30, 2004 compared with a net loss of $60.7 million, or $1.29 per share (basic and diluted), for the same period in 2003. The increase in net income for the first half of 2004 was due in part to contract research and development revenue related to the Company’s collaboration with Aventis Pharmaceuticals Inc. for the joint development and commercialization of the VEGF Trap. In addition, Regeneron recognized non-recurring income in the first quarter of 2004 related to the Company’s collaboration with Novartis Pharma AG following Novartis’ decision to forgo its rights to jointly develop the Interleuken-1 (IL-1) Trap.</w:t>
      </w:r>
    </w:p>
    <w:p>
      <w:pPr>
        <w:spacing w:after="0" w:line="149" w:lineRule="exact"/>
        <w:rPr>
          <w:sz w:val="20"/>
          <w:szCs w:val="20"/>
          <w:color w:val="auto"/>
        </w:rPr>
      </w:pPr>
    </w:p>
    <w:p>
      <w:pPr>
        <w:jc w:val="both"/>
        <w:ind w:right="340"/>
        <w:spacing w:after="0" w:line="266" w:lineRule="auto"/>
        <w:rPr>
          <w:sz w:val="20"/>
          <w:szCs w:val="20"/>
          <w:color w:val="auto"/>
        </w:rPr>
      </w:pPr>
      <w:r>
        <w:rPr>
          <w:rFonts w:ascii="Times New Roman" w:cs="Times New Roman" w:eastAsia="Times New Roman" w:hAnsi="Times New Roman"/>
          <w:sz w:val="18"/>
          <w:szCs w:val="18"/>
          <w:color w:val="auto"/>
        </w:rPr>
        <w:t>At June 30, 2004, cash, marketable securities, and restricted marketable securities totaled $367.7 million compared with $366.6 million at December 31, 2003. The Company expects to end the year with a cash balance of $300 to $325 million. The Company’s $200.0 million of convertible notes, which bear interest at 5.5% per annum, mature in 2008.</w:t>
      </w:r>
    </w:p>
    <w:p>
      <w:pPr>
        <w:spacing w:after="0" w:line="136"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Regeneron’s total revenue increased to $28.4 million in the second quarter of 2004 from $8.9 million in the same period of 2003. The Company’s total revenue for the first six months of 2004 increased to $90.4 million from $18.8 million for the same period of 2003. Contract research and development revenue increased to $27.2 million in the second quarter of 2004 from $8.2 million in the comparable quarter of 2003, and to $68.8 million for the first six months of 2004 from $17.4 million for the same period of 2003, due principally to revenues earned from Aventis and Novartis.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381000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27" w:right="239" w:bottom="1440" w:gutter="0" w:footer="0" w:header="0"/>
        </w:sectPr>
      </w:pPr>
    </w:p>
    <w:bookmarkStart w:id="6" w:name="page7"/>
    <w:bookmarkEnd w:id="6"/>
    <w:p>
      <w:pPr>
        <w:ind w:right="20"/>
        <w:spacing w:after="0" w:line="258" w:lineRule="auto"/>
        <w:rPr>
          <w:sz w:val="20"/>
          <w:szCs w:val="20"/>
          <w:color w:val="auto"/>
        </w:rPr>
      </w:pPr>
      <w:r>
        <w:rPr>
          <w:rFonts w:ascii="Times New Roman" w:cs="Times New Roman" w:eastAsia="Times New Roman" w:hAnsi="Times New Roman"/>
          <w:sz w:val="18"/>
          <w:szCs w:val="18"/>
          <w:color w:val="auto"/>
        </w:rPr>
        <w:t xml:space="preserve">Regeneron recognized contract research and development revenue of $23.4 million in the second quarter of 2004 and $39.8 million for the first six months of 2004 related to the Company’s collaboration with Aventis. The Aventis revenue for the first half of 2004 consisted of $34.3 million for reimbursement of VEGF Trap development expenses and $5.5 million related to a September 2003 up-front, non-refundable payment. The Company recognizes revenue in connection with collaborations in accordance with Staff Accounting Bulletin No. 104, </w:t>
      </w:r>
      <w:r>
        <w:rPr>
          <w:rFonts w:ascii="Times New Roman" w:cs="Times New Roman" w:eastAsia="Times New Roman" w:hAnsi="Times New Roman"/>
          <w:sz w:val="18"/>
          <w:szCs w:val="18"/>
          <w:i w:val="1"/>
          <w:iCs w:val="1"/>
          <w:color w:val="auto"/>
        </w:rPr>
        <w:t>Revenue Recognition</w:t>
      </w:r>
      <w:r>
        <w:rPr>
          <w:rFonts w:ascii="Times New Roman" w:cs="Times New Roman" w:eastAsia="Times New Roman" w:hAnsi="Times New Roman"/>
          <w:sz w:val="18"/>
          <w:szCs w:val="18"/>
          <w:color w:val="auto"/>
        </w:rPr>
        <w:t>. As a result, $70.9 million of the Aventis up-front payment has been deferred as of June 30, 2004 and will be recognized as revenue in future periods.</w:t>
      </w:r>
    </w:p>
    <w:p>
      <w:pPr>
        <w:spacing w:after="0" w:line="157"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18"/>
          <w:szCs w:val="18"/>
          <w:color w:val="auto"/>
        </w:rPr>
        <w:t>Contract research and development revenue related to the Novartis collaboration was $22.1 million for the first six months of 2004, which represented the remaining amount of a March 2003 up-front, non-refundable payment from Novartis under the collaboration that had previously been deferred. This compares to $11.9 million of contract research and development revenue under the Novartis collaboration for the same period in 2003. Regeneron does not expect to recognize any future contract research and development revenue from Novartis. Novartis also forgave all of its outstanding loans to Regeneron in the first quarter of 2004, totaling $17.8 million, based on Regeneron’s achieving a pre-defined development milestone, which was recognized as a research progress payment.</w:t>
      </w:r>
    </w:p>
    <w:p>
      <w:pPr>
        <w:spacing w:after="0" w:line="147" w:lineRule="exact"/>
        <w:rPr>
          <w:sz w:val="20"/>
          <w:szCs w:val="20"/>
          <w:color w:val="auto"/>
        </w:rPr>
      </w:pPr>
    </w:p>
    <w:p>
      <w:pPr>
        <w:ind w:right="300"/>
        <w:spacing w:after="0" w:line="258" w:lineRule="auto"/>
        <w:rPr>
          <w:sz w:val="20"/>
          <w:szCs w:val="20"/>
          <w:color w:val="auto"/>
        </w:rPr>
      </w:pPr>
      <w:r>
        <w:rPr>
          <w:rFonts w:ascii="Times New Roman" w:cs="Times New Roman" w:eastAsia="Times New Roman" w:hAnsi="Times New Roman"/>
          <w:sz w:val="18"/>
          <w:szCs w:val="18"/>
          <w:color w:val="auto"/>
        </w:rPr>
        <w:t>Contract manufacturing revenue relates to Regeneron’s long-term manufacturing agreement with Merck &amp; Co., Inc. Contract manufacturing revenue increased to $1.3 million in the second quarter of 2004 from $0.8 million in the comparable quarter of 2003, and to $3.9 million for the first six months of 2004 from $1.5 million for the same period of 2003. The increase in manufacturing revenue principally resulted from an increase in product shipments to Merck in 2004 compared to the same periods in 2003. The Company recognizes revenue and the related manufacturing expense as product is shipped to Merck.</w:t>
      </w:r>
    </w:p>
    <w:p>
      <w:pPr>
        <w:spacing w:after="0" w:line="14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Total operating expenses for the second quarter of 2004 were $41.1 million, 10% higher than the comparable quarter in 2003, and $79.3 million for the first six months of 2004, 4% higher than the same period in 2003. Research and development (R&amp;D) expenses increased 8% to $36.3 million in the second quarter of 2004; and increased 1% to $68.5 million in the first half of 2004 compared with the same periods in 2003. In 2004, the Company has incurred higher VEGF Trap development expenses, which are being fully funded by Aventis, offset primarily by a decline in expenses for the Company’s AXOKINE® and IL-1 Trap clinical development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383540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1" w:right="259" w:bottom="1440" w:gutter="0" w:footer="0" w:header="0"/>
        </w:sectPr>
      </w:pPr>
    </w:p>
    <w:bookmarkStart w:id="7" w:name="page8"/>
    <w:bookmarkEnd w:id="7"/>
    <w:p>
      <w:pPr>
        <w:spacing w:after="0" w:line="261" w:lineRule="auto"/>
        <w:rPr>
          <w:sz w:val="20"/>
          <w:szCs w:val="20"/>
          <w:color w:val="auto"/>
        </w:rPr>
      </w:pPr>
      <w:r>
        <w:rPr>
          <w:rFonts w:ascii="Times New Roman" w:cs="Times New Roman" w:eastAsia="Times New Roman" w:hAnsi="Times New Roman"/>
          <w:sz w:val="18"/>
          <w:szCs w:val="18"/>
          <w:color w:val="auto"/>
        </w:rPr>
        <w:t>Contract manufacturing expense, which relates to the Merck agreement, increased to $0.5 million in the second quarter of 2004 from $0.3 million in the comparable quarter of 2003, and to $2.8 million for the first six months of 2004 from $0.9 million for the same period of 2003, because more product was shipped to Merck. General and administrative expenses increased 21% to $4.2 million in the second quarter of 2004 and increased 16% to $8.0 million for the first six months of 2004 versus the comparable periods in the prior year due primarily to increases in professional fees and patent-related expenses.</w:t>
      </w:r>
    </w:p>
    <w:p>
      <w:pPr>
        <w:spacing w:after="0" w:line="153"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In the first quarter of 2004, Novartis agreed to pay Regeneron $42.75 million to satisfy certain funding obligations under the collaboration, which was recognized as other contract income. Investment income remained relatively unchanged in the second quarter and for the first six months of 2004 and 2003. Interest expense increased 4% in the second quarter of 2004 and increased 5% for the first six months of 2004 compared with the same periods in 2003. Interest expense is attributable primarily to the Company’s convertible notes.</w:t>
      </w:r>
    </w:p>
    <w:p>
      <w:pPr>
        <w:spacing w:after="0" w:line="140"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Per share amounts are based on the weighted average number of shares of the Company’s Common Stock and Class A Stock outstanding. For the six months ended June 30, 2004, the weighted average number of shares outstanding (basic) increased to 55.3 million shares compared with 46.9 million shares in the same period last year, due primarily to the sale of 7.5 million and 2.8 million shares of the Company’s Common Stock to Novartis and Aventis, respectively, in 2003.</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Current Business Highlights</w:t>
      </w:r>
    </w:p>
    <w:p>
      <w:pPr>
        <w:spacing w:after="0" w:line="202" w:lineRule="exact"/>
        <w:rPr>
          <w:sz w:val="20"/>
          <w:szCs w:val="20"/>
          <w:color w:val="auto"/>
        </w:rPr>
      </w:pPr>
    </w:p>
    <w:p>
      <w:pPr>
        <w:ind w:right="160"/>
        <w:spacing w:after="0" w:line="313" w:lineRule="auto"/>
        <w:rPr>
          <w:sz w:val="20"/>
          <w:szCs w:val="20"/>
          <w:color w:val="auto"/>
        </w:rPr>
      </w:pPr>
      <w:r>
        <w:rPr>
          <w:rFonts w:ascii="Times New Roman" w:cs="Times New Roman" w:eastAsia="Times New Roman" w:hAnsi="Times New Roman"/>
          <w:sz w:val="17"/>
          <w:szCs w:val="17"/>
          <w:color w:val="auto"/>
        </w:rPr>
        <w:t>Regeneron has a diversified pipeline of clinical development programs. These programs are in oncology, eye diseases, rheumatoid arthritis, asthma, and obesity. Regeneron’s lead product candidate, the VEGF Trap, is partnered with Aventis and is being tested in settings of oncology and selected eye diseases.</w:t>
      </w:r>
    </w:p>
    <w:p>
      <w:pPr>
        <w:spacing w:after="0" w:line="98"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During the last quarter, Regeneron and Aventis expanded the VEGF Trap oncology program by initiating a phase 1 trial, which is designed to test the safety and tolerability of intravenous delivery of the VEGF Trap in advanced cancer patients. This trial is designed to evaluate higher doses of the VEGF Trap than were administered with subcutaneous injections in the initial phase 1 trial.</w:t>
      </w:r>
    </w:p>
    <w:p>
      <w:pPr>
        <w:spacing w:after="0" w:line="13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companies reported preliminary results from the initial phase 1 trial of the subcutaneous VEGF Trap in a presentation at the annual meeting of the American Society of Clinical Oncology (ASCO) in June 2004. The preliminary results of the trial indicated that the VEGF Trap was generally well-tolerated as the majority of adverse events encountered were mild to moderate in severity, and a maximum tolerated dose was not reached. Circulating plasma levels of the VEGF Trap at the highest dose tested (1.6 milligrams per kilogram per week) were consistent with those observed to be effective at blocking tumor growth in preclinical models.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383540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1" w:right="259" w:bottom="1440" w:gutter="0" w:footer="0" w:header="0"/>
        </w:sectPr>
      </w:pPr>
    </w:p>
    <w:bookmarkStart w:id="8" w:name="page9"/>
    <w:bookmarkEnd w:id="8"/>
    <w:p>
      <w:pPr>
        <w:spacing w:after="0" w:line="261" w:lineRule="auto"/>
        <w:rPr>
          <w:sz w:val="20"/>
          <w:szCs w:val="20"/>
          <w:color w:val="auto"/>
        </w:rPr>
      </w:pPr>
      <w:r>
        <w:rPr>
          <w:rFonts w:ascii="Times New Roman" w:cs="Times New Roman" w:eastAsia="Times New Roman" w:hAnsi="Times New Roman"/>
          <w:sz w:val="18"/>
          <w:szCs w:val="18"/>
          <w:color w:val="auto"/>
        </w:rPr>
        <w:t>In the first quarter of 2004, Aventis and Regeneron expanded the VEGF Trap clinical development program to include eye diseases by initiating a phase 1 clinical trial of the VEGF Trap in patients with the neovascular or “wet” form of age-related macular degeneration (wet AMD), a major cause of severe vision impairment and blindness in adults over 55 years old. This study of intravenous VEGF Trap in wet AMD patients is continuing as planned. The VEGF Trap ocular program is expected to expand over time to include additional ocular indications, where the excess growth of blood vessels can cause blindness.</w:t>
      </w:r>
    </w:p>
    <w:p>
      <w:pPr>
        <w:spacing w:after="0" w:line="153"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At the Company’s annual meeting, a majority of shareholder votes were cast in favor of the three items that were presented for approval. In the first item, shareholders re-elected three members to the Board of Directors: Leonard S. Schleifer, M.D., Ph.D., Regeneron’s President and Chief Executive Officer; Eric M. Shooter, Ph.D., Professor at the Stanford University School of Medicine and a co-founder of Regeneron; and George D. Yancopoulos, M.D., Ph.D., Regeneron’s Executive Vice President and Chief Scientific Officer. Shareholders also approved an amendment to the 2000 Long-Term Incentive Plan to increase the number of shares of common stock reserved for issuance under that plan by 7,500,000 shares. The appointment of PricewaterhouseCoopers LLP as independent auditors for the Company for 2004 was also ratified at the meeting.</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Regeneron</w:t>
      </w:r>
    </w:p>
    <w:p>
      <w:pPr>
        <w:spacing w:after="0" w:line="189"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Regeneron is a biopharmaceutical company that discovers, develops, and intends to commercialize therapeutic medicines for the treatment of serious medical conditions. Regeneron has therapeutic candidates in clinical trials for the potential treatment of cancer, eye diseases, rheumatoid arthritis, asthma, and obesity and has preclinical programs in other diseases and disorders.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378460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1" w:right="259" w:bottom="1440" w:gutter="0" w:footer="0" w:header="0"/>
        </w:sectPr>
      </w:pPr>
    </w:p>
    <w:bookmarkStart w:id="9" w:name="page10"/>
    <w:bookmarkEnd w:id="9"/>
    <w:p>
      <w:pPr>
        <w:spacing w:after="0" w:line="255" w:lineRule="auto"/>
        <w:rPr>
          <w:sz w:val="20"/>
          <w:szCs w:val="20"/>
          <w:color w:val="auto"/>
        </w:rPr>
      </w:pPr>
      <w:r>
        <w:rPr>
          <w:rFonts w:ascii="Times New Roman" w:cs="Times New Roman" w:eastAsia="Times New Roman" w:hAnsi="Times New Roman"/>
          <w:sz w:val="18"/>
          <w:szCs w:val="18"/>
          <w:color w:val="auto"/>
        </w:rPr>
        <w:t>This news release discusses historical information and includes forward-looking statements about Regeneron and its products, programs, finances, and business, all of which involve a number of risks and uncertainties, such as risks associated with preclinical and clinical development of drugs and biologics, determinations by regulatory and administrative governmental authorities, competitive factors, technological developments, the availability and cost of capital, the costs of developing, producing, and selling products, the potential for any collaboration agreement to be canceled or to terminate without any product success, and other material risks. A more complete description of these risks can be found in Regeneron’s filings with the United States Securities and Exchange Commission, including its Form 10-K/A for the year ended December 31, 2003 and its Form 10-Q for the quarter ended March 31, 2004. Regeneron does not undertake any obligation to update publicly any forward-looking statement, whether as a result of new information, future events, or otherwise unless required by law.</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00" w:type="dxa"/>
            <w:vAlign w:val="bottom"/>
          </w:tcPr>
          <w:p>
            <w:pPr>
              <w:spacing w:after="0"/>
              <w:rPr>
                <w:sz w:val="20"/>
                <w:szCs w:val="20"/>
                <w:color w:val="auto"/>
              </w:rPr>
            </w:pPr>
          </w:p>
        </w:tc>
        <w:tc>
          <w:tcPr>
            <w:tcW w:w="7520" w:type="dxa"/>
            <w:vAlign w:val="bottom"/>
          </w:tcPr>
          <w:p>
            <w:pPr>
              <w:ind w:left="1680"/>
              <w:spacing w:after="0"/>
              <w:rPr>
                <w:sz w:val="20"/>
                <w:szCs w:val="20"/>
                <w:color w:val="auto"/>
              </w:rPr>
            </w:pPr>
            <w:r>
              <w:rPr>
                <w:rFonts w:ascii="Times New Roman" w:cs="Times New Roman" w:eastAsia="Times New Roman" w:hAnsi="Times New Roman"/>
                <w:sz w:val="18"/>
                <w:szCs w:val="18"/>
                <w:color w:val="auto"/>
              </w:rPr>
              <w:t>###</w:t>
            </w:r>
          </w:p>
        </w:tc>
      </w:tr>
      <w:tr>
        <w:trPr>
          <w:trHeight w:val="589"/>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Contacts:</w:t>
            </w:r>
          </w:p>
        </w:tc>
        <w:tc>
          <w:tcPr>
            <w:tcW w:w="7520" w:type="dxa"/>
            <w:vAlign w:val="bottom"/>
          </w:tcPr>
          <w:p>
            <w:pPr>
              <w:spacing w:after="0"/>
              <w:rPr>
                <w:sz w:val="24"/>
                <w:szCs w:val="24"/>
                <w:color w:val="auto"/>
              </w:rPr>
            </w:pP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Investors</w:t>
            </w:r>
          </w:p>
        </w:tc>
        <w:tc>
          <w:tcPr>
            <w:tcW w:w="7520" w:type="dxa"/>
            <w:vAlign w:val="bottom"/>
          </w:tcPr>
          <w:p>
            <w:pPr>
              <w:ind w:left="2620"/>
              <w:spacing w:after="0"/>
              <w:rPr>
                <w:sz w:val="20"/>
                <w:szCs w:val="20"/>
                <w:color w:val="auto"/>
              </w:rPr>
            </w:pPr>
            <w:r>
              <w:rPr>
                <w:rFonts w:ascii="Times New Roman" w:cs="Times New Roman" w:eastAsia="Times New Roman" w:hAnsi="Times New Roman"/>
                <w:sz w:val="18"/>
                <w:szCs w:val="18"/>
                <w:color w:val="auto"/>
              </w:rPr>
              <w:t>Media:</w:t>
            </w: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Charles Poole</w:t>
            </w:r>
          </w:p>
        </w:tc>
        <w:tc>
          <w:tcPr>
            <w:tcW w:w="7520" w:type="dxa"/>
            <w:vAlign w:val="bottom"/>
          </w:tcPr>
          <w:p>
            <w:pPr>
              <w:ind w:left="2620"/>
              <w:spacing w:after="0"/>
              <w:rPr>
                <w:sz w:val="20"/>
                <w:szCs w:val="20"/>
                <w:color w:val="auto"/>
              </w:rPr>
            </w:pPr>
            <w:r>
              <w:rPr>
                <w:rFonts w:ascii="Times New Roman" w:cs="Times New Roman" w:eastAsia="Times New Roman" w:hAnsi="Times New Roman"/>
                <w:sz w:val="18"/>
                <w:szCs w:val="18"/>
                <w:color w:val="auto"/>
              </w:rPr>
              <w:t>Lauren Tortorete</w:t>
            </w: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VP, Investor Relations</w:t>
            </w:r>
          </w:p>
        </w:tc>
        <w:tc>
          <w:tcPr>
            <w:tcW w:w="7520" w:type="dxa"/>
            <w:vAlign w:val="bottom"/>
          </w:tcPr>
          <w:p>
            <w:pPr>
              <w:ind w:left="2620"/>
              <w:spacing w:after="0"/>
              <w:rPr>
                <w:sz w:val="20"/>
                <w:szCs w:val="20"/>
                <w:color w:val="auto"/>
              </w:rPr>
            </w:pPr>
            <w:r>
              <w:rPr>
                <w:rFonts w:ascii="Times New Roman" w:cs="Times New Roman" w:eastAsia="Times New Roman" w:hAnsi="Times New Roman"/>
                <w:sz w:val="18"/>
                <w:szCs w:val="18"/>
                <w:color w:val="auto"/>
              </w:rPr>
              <w:t>Biosecto2</w:t>
            </w: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914.345.7641</w:t>
            </w:r>
          </w:p>
        </w:tc>
        <w:tc>
          <w:tcPr>
            <w:tcW w:w="7520" w:type="dxa"/>
            <w:vAlign w:val="bottom"/>
          </w:tcPr>
          <w:p>
            <w:pPr>
              <w:ind w:left="2620"/>
              <w:spacing w:after="0"/>
              <w:rPr>
                <w:sz w:val="20"/>
                <w:szCs w:val="20"/>
                <w:color w:val="auto"/>
              </w:rPr>
            </w:pPr>
            <w:r>
              <w:rPr>
                <w:rFonts w:ascii="Times New Roman" w:cs="Times New Roman" w:eastAsia="Times New Roman" w:hAnsi="Times New Roman"/>
                <w:sz w:val="18"/>
                <w:szCs w:val="18"/>
                <w:color w:val="auto"/>
              </w:rPr>
              <w:t>212.845.5609</w:t>
            </w:r>
          </w:p>
        </w:tc>
      </w:tr>
      <w:tr>
        <w:trPr>
          <w:trHeight w:val="234"/>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charles.poole@regeneron.com</w:t>
            </w:r>
          </w:p>
        </w:tc>
        <w:tc>
          <w:tcPr>
            <w:tcW w:w="7520" w:type="dxa"/>
            <w:vAlign w:val="bottom"/>
          </w:tcPr>
          <w:p>
            <w:pPr>
              <w:ind w:left="2620"/>
              <w:spacing w:after="0"/>
              <w:rPr>
                <w:sz w:val="20"/>
                <w:szCs w:val="20"/>
                <w:color w:val="auto"/>
              </w:rPr>
            </w:pPr>
            <w:r>
              <w:rPr>
                <w:rFonts w:ascii="Times New Roman" w:cs="Times New Roman" w:eastAsia="Times New Roman" w:hAnsi="Times New Roman"/>
                <w:sz w:val="18"/>
                <w:szCs w:val="18"/>
                <w:color w:val="auto"/>
              </w:rPr>
              <w:t>ltortorete@biosector2.com</w:t>
            </w:r>
          </w:p>
        </w:tc>
      </w:tr>
      <w:tr>
        <w:trPr>
          <w:trHeight w:val="618"/>
        </w:trPr>
        <w:tc>
          <w:tcPr>
            <w:tcW w:w="3900" w:type="dxa"/>
            <w:vAlign w:val="bottom"/>
            <w:tcBorders>
              <w:bottom w:val="single" w:sz="8" w:color="808080"/>
            </w:tcBorders>
          </w:tcPr>
          <w:p>
            <w:pPr>
              <w:spacing w:after="0"/>
              <w:rPr>
                <w:sz w:val="24"/>
                <w:szCs w:val="24"/>
                <w:color w:val="auto"/>
              </w:rPr>
            </w:pPr>
          </w:p>
        </w:tc>
        <w:tc>
          <w:tcPr>
            <w:tcW w:w="75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REGENERON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BALANCE SHEETS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79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520" w:type="dxa"/>
            <w:vAlign w:val="bottom"/>
          </w:tcPr>
          <w:p>
            <w:pPr>
              <w:spacing w:after="0"/>
              <w:rPr>
                <w:sz w:val="13"/>
                <w:szCs w:val="13"/>
                <w:color w:val="auto"/>
              </w:rPr>
            </w:pPr>
          </w:p>
        </w:tc>
        <w:tc>
          <w:tcPr>
            <w:tcW w:w="1480" w:type="dxa"/>
            <w:vAlign w:val="bottom"/>
            <w:gridSpan w:val="3"/>
          </w:tcPr>
          <w:p>
            <w:pPr>
              <w:ind w:left="3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9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80" w:type="dxa"/>
            <w:vAlign w:val="bottom"/>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2004</w:t>
            </w:r>
          </w:p>
        </w:tc>
        <w:tc>
          <w:tcPr>
            <w:tcW w:w="4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80" w:type="dxa"/>
            <w:vAlign w:val="bottom"/>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2003</w:t>
            </w: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980" w:type="dxa"/>
            <w:vAlign w:val="bottom"/>
          </w:tcPr>
          <w:p>
            <w:pPr>
              <w:spacing w:after="0"/>
              <w:rPr>
                <w:sz w:val="4"/>
                <w:szCs w:val="4"/>
                <w:color w:val="auto"/>
              </w:rPr>
            </w:pPr>
          </w:p>
        </w:tc>
        <w:tc>
          <w:tcPr>
            <w:tcW w:w="440" w:type="dxa"/>
            <w:vAlign w:val="bottom"/>
            <w:tcBorders>
              <w:bottom w:val="single" w:sz="8" w:color="808080"/>
            </w:tcBorders>
          </w:tcPr>
          <w:p>
            <w:pPr>
              <w:spacing w:after="0"/>
              <w:rPr>
                <w:sz w:val="4"/>
                <w:szCs w:val="4"/>
                <w:color w:val="auto"/>
              </w:rPr>
            </w:pPr>
          </w:p>
        </w:tc>
        <w:tc>
          <w:tcPr>
            <w:tcW w:w="580" w:type="dxa"/>
            <w:vAlign w:val="bottom"/>
            <w:tcBorders>
              <w:bottom w:val="single" w:sz="8" w:color="808080"/>
            </w:tcBorders>
          </w:tcPr>
          <w:p>
            <w:pPr>
              <w:spacing w:after="0"/>
              <w:rPr>
                <w:sz w:val="4"/>
                <w:szCs w:val="4"/>
                <w:color w:val="auto"/>
              </w:rPr>
            </w:pPr>
          </w:p>
        </w:tc>
        <w:tc>
          <w:tcPr>
            <w:tcW w:w="400" w:type="dxa"/>
            <w:vAlign w:val="bottom"/>
            <w:tcBorders>
              <w:bottom w:val="single" w:sz="8" w:color="808080"/>
            </w:tcBorders>
          </w:tcPr>
          <w:p>
            <w:pPr>
              <w:spacing w:after="0"/>
              <w:rPr>
                <w:sz w:val="4"/>
                <w:szCs w:val="4"/>
                <w:color w:val="auto"/>
              </w:rPr>
            </w:pPr>
          </w:p>
        </w:tc>
        <w:tc>
          <w:tcPr>
            <w:tcW w:w="520" w:type="dxa"/>
            <w:vAlign w:val="bottom"/>
          </w:tcPr>
          <w:p>
            <w:pPr>
              <w:spacing w:after="0"/>
              <w:rPr>
                <w:sz w:val="4"/>
                <w:szCs w:val="4"/>
                <w:color w:val="auto"/>
              </w:rPr>
            </w:pPr>
          </w:p>
        </w:tc>
        <w:tc>
          <w:tcPr>
            <w:tcW w:w="460" w:type="dxa"/>
            <w:vAlign w:val="bottom"/>
            <w:tcBorders>
              <w:bottom w:val="single" w:sz="8" w:color="808080"/>
            </w:tcBorders>
          </w:tcPr>
          <w:p>
            <w:pPr>
              <w:spacing w:after="0"/>
              <w:rPr>
                <w:sz w:val="4"/>
                <w:szCs w:val="4"/>
                <w:color w:val="auto"/>
              </w:rPr>
            </w:pPr>
          </w:p>
        </w:tc>
        <w:tc>
          <w:tcPr>
            <w:tcW w:w="580" w:type="dxa"/>
            <w:vAlign w:val="bottom"/>
            <w:tcBorders>
              <w:bottom w:val="single" w:sz="8" w:color="808080"/>
            </w:tcBorders>
          </w:tcPr>
          <w:p>
            <w:pPr>
              <w:spacing w:after="0"/>
              <w:rPr>
                <w:sz w:val="4"/>
                <w:szCs w:val="4"/>
                <w:color w:val="auto"/>
              </w:rPr>
            </w:pPr>
          </w:p>
        </w:tc>
        <w:tc>
          <w:tcPr>
            <w:tcW w:w="44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7980" w:type="dxa"/>
            <w:vAlign w:val="bottom"/>
          </w:tcPr>
          <w:p>
            <w:pPr>
              <w:spacing w:after="0"/>
              <w:rPr>
                <w:sz w:val="6"/>
                <w:szCs w:val="6"/>
                <w:color w:val="auto"/>
              </w:rPr>
            </w:pPr>
          </w:p>
        </w:tc>
        <w:tc>
          <w:tcPr>
            <w:tcW w:w="440" w:type="dxa"/>
            <w:vAlign w:val="bottom"/>
          </w:tcPr>
          <w:p>
            <w:pPr>
              <w:spacing w:after="0"/>
              <w:rPr>
                <w:sz w:val="6"/>
                <w:szCs w:val="6"/>
                <w:color w:val="auto"/>
              </w:rPr>
            </w:pPr>
          </w:p>
        </w:tc>
        <w:tc>
          <w:tcPr>
            <w:tcW w:w="580" w:type="dxa"/>
            <w:vAlign w:val="bottom"/>
          </w:tcPr>
          <w:p>
            <w:pPr>
              <w:spacing w:after="0"/>
              <w:rPr>
                <w:sz w:val="6"/>
                <w:szCs w:val="6"/>
                <w:color w:val="auto"/>
              </w:rPr>
            </w:pPr>
          </w:p>
        </w:tc>
        <w:tc>
          <w:tcPr>
            <w:tcW w:w="400" w:type="dxa"/>
            <w:vAlign w:val="bottom"/>
          </w:tcPr>
          <w:p>
            <w:pPr>
              <w:spacing w:after="0"/>
              <w:rPr>
                <w:sz w:val="6"/>
                <w:szCs w:val="6"/>
                <w:color w:val="auto"/>
              </w:rPr>
            </w:pPr>
          </w:p>
        </w:tc>
        <w:tc>
          <w:tcPr>
            <w:tcW w:w="520" w:type="dxa"/>
            <w:vAlign w:val="bottom"/>
          </w:tcPr>
          <w:p>
            <w:pPr>
              <w:spacing w:after="0"/>
              <w:rPr>
                <w:sz w:val="6"/>
                <w:szCs w:val="6"/>
                <w:color w:val="auto"/>
              </w:rPr>
            </w:pPr>
          </w:p>
        </w:tc>
        <w:tc>
          <w:tcPr>
            <w:tcW w:w="460" w:type="dxa"/>
            <w:vAlign w:val="bottom"/>
          </w:tcPr>
          <w:p>
            <w:pPr>
              <w:spacing w:after="0"/>
              <w:rPr>
                <w:sz w:val="6"/>
                <w:szCs w:val="6"/>
                <w:color w:val="auto"/>
              </w:rPr>
            </w:pPr>
          </w:p>
        </w:tc>
        <w:tc>
          <w:tcPr>
            <w:tcW w:w="580" w:type="dxa"/>
            <w:vAlign w:val="bottom"/>
          </w:tcPr>
          <w:p>
            <w:pPr>
              <w:spacing w:after="0"/>
              <w:rPr>
                <w:sz w:val="6"/>
                <w:szCs w:val="6"/>
                <w:color w:val="auto"/>
              </w:rPr>
            </w:pPr>
          </w:p>
        </w:tc>
        <w:tc>
          <w:tcPr>
            <w:tcW w:w="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ASSETS</w:t>
            </w:r>
          </w:p>
        </w:tc>
        <w:tc>
          <w:tcPr>
            <w:tcW w:w="44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46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Times New Roman" w:cs="Times New Roman" w:eastAsia="Times New Roman" w:hAnsi="Times New Roman"/>
                <w:sz w:val="18"/>
                <w:szCs w:val="18"/>
                <w:color w:val="auto"/>
              </w:rPr>
              <w:t>Cash, marketable securities, and restricted marketable securities</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367,673</w:t>
            </w:r>
          </w:p>
        </w:tc>
        <w:tc>
          <w:tcPr>
            <w:tcW w:w="40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366,566</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Receivables</w:t>
            </w:r>
          </w:p>
        </w:tc>
        <w:tc>
          <w:tcPr>
            <w:tcW w:w="44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25,397</w:t>
            </w:r>
          </w:p>
        </w:tc>
        <w:tc>
          <w:tcPr>
            <w:tcW w:w="40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46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15,529</w:t>
            </w:r>
          </w:p>
        </w:tc>
        <w:tc>
          <w:tcPr>
            <w:tcW w:w="4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Times New Roman" w:cs="Times New Roman" w:eastAsia="Times New Roman" w:hAnsi="Times New Roman"/>
                <w:sz w:val="18"/>
                <w:szCs w:val="18"/>
                <w:color w:val="auto"/>
              </w:rPr>
              <w:t>Inventory</w:t>
            </w:r>
          </w:p>
        </w:tc>
        <w:tc>
          <w:tcPr>
            <w:tcW w:w="4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10,850</w:t>
            </w:r>
          </w:p>
        </w:tc>
        <w:tc>
          <w:tcPr>
            <w:tcW w:w="4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9,006</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44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75,986</w:t>
            </w:r>
          </w:p>
        </w:tc>
        <w:tc>
          <w:tcPr>
            <w:tcW w:w="40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46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80,723</w:t>
            </w:r>
          </w:p>
        </w:tc>
        <w:tc>
          <w:tcPr>
            <w:tcW w:w="4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440" w:type="dxa"/>
            <w:vAlign w:val="bottom"/>
          </w:tcPr>
          <w:p>
            <w:pPr>
              <w:spacing w:after="0"/>
              <w:rPr>
                <w:sz w:val="18"/>
                <w:szCs w:val="18"/>
                <w:color w:val="auto"/>
              </w:rPr>
            </w:pPr>
          </w:p>
        </w:tc>
        <w:tc>
          <w:tcPr>
            <w:tcW w:w="58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8,268</w:t>
            </w:r>
          </w:p>
        </w:tc>
        <w:tc>
          <w:tcPr>
            <w:tcW w:w="4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7,731</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2"/>
                <w:szCs w:val="22"/>
                <w:color w:val="auto"/>
              </w:rPr>
            </w:pPr>
          </w:p>
        </w:tc>
        <w:tc>
          <w:tcPr>
            <w:tcW w:w="7980" w:type="dxa"/>
            <w:vAlign w:val="bottom"/>
            <w:tcBorders>
              <w:bottom w:val="single" w:sz="8" w:color="EEEEEE"/>
            </w:tcBorders>
            <w:shd w:val="clear" w:color="auto" w:fill="EEEEEE"/>
          </w:tcPr>
          <w:p>
            <w:pPr>
              <w:ind w:left="120"/>
              <w:spacing w:after="0"/>
              <w:rPr>
                <w:sz w:val="20"/>
                <w:szCs w:val="20"/>
                <w:color w:val="auto"/>
              </w:rPr>
            </w:pPr>
            <w:r>
              <w:rPr>
                <w:rFonts w:ascii="Times New Roman" w:cs="Times New Roman" w:eastAsia="Times New Roman" w:hAnsi="Times New Roman"/>
                <w:sz w:val="18"/>
                <w:szCs w:val="18"/>
                <w:color w:val="auto"/>
              </w:rPr>
              <w:t>Total assets</w:t>
            </w:r>
          </w:p>
        </w:tc>
        <w:tc>
          <w:tcPr>
            <w:tcW w:w="440" w:type="dxa"/>
            <w:vAlign w:val="bottom"/>
            <w:tcBorders>
              <w:bottom w:val="single" w:sz="8" w:color="EEEEEE"/>
              <w:right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808080"/>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95"/>
              </w:rPr>
              <w:t>488,174</w:t>
            </w:r>
          </w:p>
        </w:tc>
        <w:tc>
          <w:tcPr>
            <w:tcW w:w="400" w:type="dxa"/>
            <w:vAlign w:val="bottom"/>
            <w:tcBorders>
              <w:bottom w:val="single" w:sz="8" w:color="EEEEEE"/>
            </w:tcBorders>
            <w:shd w:val="clear" w:color="auto" w:fill="EEEEEE"/>
          </w:tcPr>
          <w:p>
            <w:pPr>
              <w:spacing w:after="0"/>
              <w:rPr>
                <w:sz w:val="22"/>
                <w:szCs w:val="22"/>
                <w:color w:val="auto"/>
              </w:rPr>
            </w:pPr>
          </w:p>
        </w:tc>
        <w:tc>
          <w:tcPr>
            <w:tcW w:w="980" w:type="dxa"/>
            <w:vAlign w:val="bottom"/>
            <w:tcBorders>
              <w:bottom w:val="single" w:sz="8" w:color="EEEEEE"/>
              <w:right w:val="single" w:sz="8" w:color="EEEEEE"/>
            </w:tcBorders>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808080"/>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95"/>
              </w:rPr>
              <w:t>479,555</w:t>
            </w:r>
          </w:p>
        </w:tc>
        <w:tc>
          <w:tcPr>
            <w:tcW w:w="440" w:type="dxa"/>
            <w:vAlign w:val="bottom"/>
            <w:tcBorders>
              <w:bottom w:val="single" w:sz="8" w:color="EEEEEE"/>
            </w:tcBorders>
            <w:shd w:val="clear" w:color="auto" w:fill="EEEEEE"/>
          </w:tcPr>
          <w:p>
            <w:pPr>
              <w:spacing w:after="0"/>
              <w:rPr>
                <w:sz w:val="22"/>
                <w:szCs w:val="22"/>
                <w:color w:val="auto"/>
              </w:rPr>
            </w:pPr>
          </w:p>
        </w:tc>
        <w:tc>
          <w:tcPr>
            <w:tcW w:w="0" w:type="dxa"/>
            <w:vAlign w:val="bottom"/>
          </w:tcPr>
          <w:p>
            <w:pPr>
              <w:spacing w:after="0"/>
              <w:rPr>
                <w:sz w:val="1"/>
                <w:szCs w:val="1"/>
                <w:color w:val="auto"/>
              </w:rPr>
            </w:pPr>
          </w:p>
        </w:tc>
      </w:tr>
      <w:tr>
        <w:trPr>
          <w:trHeight w:val="240"/>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LIABILITIES AND STOCKHOLDERS’ EQUITY</w:t>
            </w:r>
          </w:p>
        </w:tc>
        <w:tc>
          <w:tcPr>
            <w:tcW w:w="4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440" w:type="dxa"/>
            <w:vAlign w:val="bottom"/>
            <w:tcBorders>
              <w:right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15,743</w:t>
            </w:r>
          </w:p>
        </w:tc>
        <w:tc>
          <w:tcPr>
            <w:tcW w:w="400" w:type="dxa"/>
            <w:vAlign w:val="bottom"/>
            <w:shd w:val="clear" w:color="auto" w:fill="EEEEEE"/>
          </w:tcPr>
          <w:p>
            <w:pPr>
              <w:spacing w:after="0"/>
              <w:rPr>
                <w:sz w:val="18"/>
                <w:szCs w:val="18"/>
                <w:color w:val="auto"/>
              </w:rPr>
            </w:pPr>
          </w:p>
        </w:tc>
        <w:tc>
          <w:tcPr>
            <w:tcW w:w="980" w:type="dxa"/>
            <w:vAlign w:val="bottom"/>
            <w:tcBorders>
              <w:right w:val="single" w:sz="8" w:color="EEEEEE"/>
            </w:tcBorders>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18,933</w:t>
            </w:r>
          </w:p>
        </w:tc>
        <w:tc>
          <w:tcPr>
            <w:tcW w:w="4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4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82,227</w:t>
            </w:r>
          </w:p>
        </w:tc>
        <w:tc>
          <w:tcPr>
            <w:tcW w:w="4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109,003</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Notes payable</w:t>
            </w:r>
          </w:p>
        </w:tc>
        <w:tc>
          <w:tcPr>
            <w:tcW w:w="44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95"/>
              </w:rPr>
              <w:t>200,000</w:t>
            </w:r>
          </w:p>
        </w:tc>
        <w:tc>
          <w:tcPr>
            <w:tcW w:w="40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46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95"/>
              </w:rPr>
              <w:t>200,000</w:t>
            </w:r>
          </w:p>
        </w:tc>
        <w:tc>
          <w:tcPr>
            <w:tcW w:w="4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4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4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13,976</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440" w:type="dxa"/>
            <w:vAlign w:val="bottom"/>
            <w:tcBorders>
              <w:right w:val="single" w:sz="8" w:color="EEEEEE"/>
            </w:tcBorders>
            <w:shd w:val="clear" w:color="auto" w:fill="EEEEEE"/>
          </w:tcPr>
          <w:p>
            <w:pPr>
              <w:spacing w:after="0"/>
              <w:rPr>
                <w:sz w:val="18"/>
                <w:szCs w:val="18"/>
                <w:color w:val="auto"/>
              </w:rPr>
            </w:pPr>
          </w:p>
        </w:tc>
        <w:tc>
          <w:tcPr>
            <w:tcW w:w="580" w:type="dxa"/>
            <w:vAlign w:val="bottom"/>
            <w:tcBorders>
              <w:bottom w:val="single" w:sz="8" w:color="808080"/>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95"/>
              </w:rPr>
              <w:t>190,130</w:t>
            </w:r>
          </w:p>
        </w:tc>
        <w:tc>
          <w:tcPr>
            <w:tcW w:w="40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460" w:type="dxa"/>
            <w:vAlign w:val="bottom"/>
            <w:tcBorders>
              <w:right w:val="single" w:sz="8" w:color="EEEEEE"/>
            </w:tcBorders>
            <w:shd w:val="clear" w:color="auto" w:fill="EEEEEE"/>
          </w:tcPr>
          <w:p>
            <w:pPr>
              <w:spacing w:after="0"/>
              <w:rPr>
                <w:sz w:val="18"/>
                <w:szCs w:val="18"/>
                <w:color w:val="auto"/>
              </w:rPr>
            </w:pPr>
          </w:p>
        </w:tc>
        <w:tc>
          <w:tcPr>
            <w:tcW w:w="580" w:type="dxa"/>
            <w:vAlign w:val="bottom"/>
            <w:tcBorders>
              <w:bottom w:val="single" w:sz="8" w:color="808080"/>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95"/>
              </w:rPr>
              <w:t>137,643</w:t>
            </w:r>
          </w:p>
        </w:tc>
        <w:tc>
          <w:tcPr>
            <w:tcW w:w="4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488,174</w:t>
            </w:r>
          </w:p>
        </w:tc>
        <w:tc>
          <w:tcPr>
            <w:tcW w:w="40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479,555</w:t>
            </w: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980" w:type="dxa"/>
            <w:vAlign w:val="bottom"/>
          </w:tcPr>
          <w:p>
            <w:pPr>
              <w:spacing w:after="0"/>
              <w:rPr>
                <w:sz w:val="5"/>
                <w:szCs w:val="5"/>
                <w:color w:val="auto"/>
              </w:rPr>
            </w:pPr>
          </w:p>
        </w:tc>
        <w:tc>
          <w:tcPr>
            <w:tcW w:w="440" w:type="dxa"/>
            <w:vAlign w:val="bottom"/>
            <w:tcBorders>
              <w:right w:val="single" w:sz="8" w:color="808080"/>
            </w:tcBorders>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400" w:type="dxa"/>
            <w:vAlign w:val="bottom"/>
          </w:tcPr>
          <w:p>
            <w:pPr>
              <w:spacing w:after="0"/>
              <w:rPr>
                <w:sz w:val="5"/>
                <w:szCs w:val="5"/>
                <w:color w:val="auto"/>
              </w:rPr>
            </w:pPr>
          </w:p>
        </w:tc>
        <w:tc>
          <w:tcPr>
            <w:tcW w:w="520" w:type="dxa"/>
            <w:vAlign w:val="bottom"/>
          </w:tcPr>
          <w:p>
            <w:pPr>
              <w:spacing w:after="0"/>
              <w:rPr>
                <w:sz w:val="5"/>
                <w:szCs w:val="5"/>
                <w:color w:val="auto"/>
              </w:rPr>
            </w:pPr>
          </w:p>
        </w:tc>
        <w:tc>
          <w:tcPr>
            <w:tcW w:w="460" w:type="dxa"/>
            <w:vAlign w:val="bottom"/>
            <w:tcBorders>
              <w:right w:val="single" w:sz="8" w:color="808080"/>
            </w:tcBorders>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42"/>
        </w:trPr>
        <w:tc>
          <w:tcPr>
            <w:tcW w:w="20" w:type="dxa"/>
            <w:vAlign w:val="bottom"/>
          </w:tcPr>
          <w:p>
            <w:pPr>
              <w:spacing w:after="0"/>
              <w:rPr>
                <w:sz w:val="24"/>
                <w:szCs w:val="24"/>
                <w:color w:val="auto"/>
              </w:rPr>
            </w:pPr>
          </w:p>
        </w:tc>
        <w:tc>
          <w:tcPr>
            <w:tcW w:w="7980" w:type="dxa"/>
            <w:vAlign w:val="bottom"/>
            <w:tcBorders>
              <w:bottom w:val="single" w:sz="8" w:color="808080"/>
            </w:tcBorders>
          </w:tcPr>
          <w:p>
            <w:pPr>
              <w:spacing w:after="0"/>
              <w:rPr>
                <w:sz w:val="24"/>
                <w:szCs w:val="24"/>
                <w:color w:val="auto"/>
              </w:rPr>
            </w:pPr>
          </w:p>
        </w:tc>
        <w:tc>
          <w:tcPr>
            <w:tcW w:w="44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c>
          <w:tcPr>
            <w:tcW w:w="400" w:type="dxa"/>
            <w:vAlign w:val="bottom"/>
            <w:tcBorders>
              <w:bottom w:val="single" w:sz="8" w:color="808080"/>
            </w:tcBorders>
          </w:tcPr>
          <w:p>
            <w:pPr>
              <w:spacing w:after="0"/>
              <w:rPr>
                <w:sz w:val="24"/>
                <w:szCs w:val="24"/>
                <w:color w:val="auto"/>
              </w:rPr>
            </w:pPr>
          </w:p>
        </w:tc>
        <w:tc>
          <w:tcPr>
            <w:tcW w:w="520" w:type="dxa"/>
            <w:vAlign w:val="bottom"/>
            <w:tcBorders>
              <w:bottom w:val="single" w:sz="8" w:color="808080"/>
            </w:tcBorders>
          </w:tcPr>
          <w:p>
            <w:pPr>
              <w:spacing w:after="0"/>
              <w:rPr>
                <w:sz w:val="24"/>
                <w:szCs w:val="24"/>
                <w:color w:val="auto"/>
              </w:rPr>
            </w:pPr>
          </w:p>
        </w:tc>
        <w:tc>
          <w:tcPr>
            <w:tcW w:w="46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c>
          <w:tcPr>
            <w:tcW w:w="4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27" w:right="239" w:bottom="1440" w:gutter="0" w:footer="0" w:header="0"/>
        </w:sectPr>
      </w:pPr>
    </w:p>
    <w:bookmarkStart w:id="11" w:name="page12"/>
    <w:bookmarkEnd w:id="11"/>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REGENERON PHARMACEUTICALS, INC. CONDENSED STATEMENTS OF OPERATIONS (Unaudited) (In thousands, except per share data)</w:t>
      </w: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8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620" w:type="dxa"/>
            <w:vAlign w:val="bottom"/>
            <w:gridSpan w:val="6"/>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For the three months</w:t>
            </w: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900" w:type="dxa"/>
            <w:vAlign w:val="bottom"/>
            <w:gridSpan w:val="6"/>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For the six 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1000" w:type="dxa"/>
            <w:vAlign w:val="bottom"/>
            <w:gridSpan w:val="2"/>
            <w:vMerge w:val="restart"/>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2004</w:t>
            </w:r>
          </w:p>
        </w:tc>
        <w:tc>
          <w:tcPr>
            <w:tcW w:w="96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ended June 30,</w:t>
            </w:r>
          </w:p>
        </w:tc>
        <w:tc>
          <w:tcPr>
            <w:tcW w:w="660" w:type="dxa"/>
            <w:vAlign w:val="bottom"/>
            <w:vMerge w:val="restart"/>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2003</w:t>
            </w: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vMerge w:val="restart"/>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2004</w:t>
            </w:r>
          </w:p>
        </w:tc>
        <w:tc>
          <w:tcPr>
            <w:tcW w:w="80" w:type="dxa"/>
            <w:vAlign w:val="bottom"/>
          </w:tcPr>
          <w:p>
            <w:pPr>
              <w:spacing w:after="0"/>
              <w:rPr>
                <w:sz w:val="12"/>
                <w:szCs w:val="12"/>
                <w:color w:val="auto"/>
              </w:rPr>
            </w:pPr>
          </w:p>
        </w:tc>
        <w:tc>
          <w:tcPr>
            <w:tcW w:w="1820" w:type="dxa"/>
            <w:vAlign w:val="bottom"/>
            <w:gridSpan w:val="5"/>
          </w:tcPr>
          <w:p>
            <w:pPr>
              <w:jc w:val="right"/>
              <w:ind w:right="880"/>
              <w:spacing w:after="0" w:line="149" w:lineRule="exact"/>
              <w:rPr>
                <w:sz w:val="20"/>
                <w:szCs w:val="20"/>
                <w:color w:val="auto"/>
              </w:rPr>
            </w:pPr>
            <w:r>
              <w:rPr>
                <w:rFonts w:ascii="Times New Roman" w:cs="Times New Roman" w:eastAsia="Times New Roman" w:hAnsi="Times New Roman"/>
                <w:sz w:val="14"/>
                <w:szCs w:val="14"/>
                <w:b w:val="1"/>
                <w:bCs w:val="1"/>
                <w:color w:val="auto"/>
              </w:rPr>
              <w:t>ended June 30,</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60" w:type="dxa"/>
            <w:vAlign w:val="bottom"/>
            <w:gridSpan w:val="4"/>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2003</w:t>
            </w: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820" w:type="dxa"/>
            <w:vAlign w:val="bottom"/>
          </w:tcPr>
          <w:p>
            <w:pPr>
              <w:spacing w:after="0"/>
              <w:rPr>
                <w:sz w:val="4"/>
                <w:szCs w:val="4"/>
                <w:color w:val="auto"/>
              </w:rPr>
            </w:pPr>
          </w:p>
        </w:tc>
        <w:tc>
          <w:tcPr>
            <w:tcW w:w="360" w:type="dxa"/>
            <w:vAlign w:val="bottom"/>
            <w:tcBorders>
              <w:bottom w:val="single" w:sz="8" w:color="808080"/>
            </w:tcBorders>
          </w:tcPr>
          <w:p>
            <w:pPr>
              <w:spacing w:after="0"/>
              <w:rPr>
                <w:sz w:val="4"/>
                <w:szCs w:val="4"/>
                <w:color w:val="auto"/>
              </w:rPr>
            </w:pPr>
          </w:p>
        </w:tc>
        <w:tc>
          <w:tcPr>
            <w:tcW w:w="640" w:type="dxa"/>
            <w:vAlign w:val="bottom"/>
            <w:tcBorders>
              <w:bottom w:val="single" w:sz="8" w:color="808080"/>
            </w:tcBorders>
          </w:tcPr>
          <w:p>
            <w:pPr>
              <w:spacing w:after="0"/>
              <w:rPr>
                <w:sz w:val="4"/>
                <w:szCs w:val="4"/>
                <w:color w:val="auto"/>
              </w:rPr>
            </w:pPr>
          </w:p>
        </w:tc>
        <w:tc>
          <w:tcPr>
            <w:tcW w:w="380" w:type="dxa"/>
            <w:vAlign w:val="bottom"/>
            <w:tcBorders>
              <w:bottom w:val="single" w:sz="8" w:color="808080"/>
            </w:tcBorders>
          </w:tcPr>
          <w:p>
            <w:pPr>
              <w:spacing w:after="0"/>
              <w:rPr>
                <w:sz w:val="4"/>
                <w:szCs w:val="4"/>
                <w:color w:val="auto"/>
              </w:rPr>
            </w:pPr>
          </w:p>
        </w:tc>
        <w:tc>
          <w:tcPr>
            <w:tcW w:w="220" w:type="dxa"/>
            <w:vAlign w:val="bottom"/>
          </w:tcPr>
          <w:p>
            <w:pPr>
              <w:spacing w:after="0"/>
              <w:rPr>
                <w:sz w:val="4"/>
                <w:szCs w:val="4"/>
                <w:color w:val="auto"/>
              </w:rPr>
            </w:pPr>
          </w:p>
        </w:tc>
        <w:tc>
          <w:tcPr>
            <w:tcW w:w="360" w:type="dxa"/>
            <w:vAlign w:val="bottom"/>
            <w:tcBorders>
              <w:bottom w:val="single" w:sz="8" w:color="808080"/>
            </w:tcBorders>
          </w:tcPr>
          <w:p>
            <w:pPr>
              <w:spacing w:after="0"/>
              <w:rPr>
                <w:sz w:val="4"/>
                <w:szCs w:val="4"/>
                <w:color w:val="auto"/>
              </w:rPr>
            </w:pPr>
          </w:p>
        </w:tc>
        <w:tc>
          <w:tcPr>
            <w:tcW w:w="660" w:type="dxa"/>
            <w:vAlign w:val="bottom"/>
            <w:tcBorders>
              <w:bottom w:val="single" w:sz="8" w:color="808080"/>
            </w:tcBorders>
          </w:tcPr>
          <w:p>
            <w:pPr>
              <w:spacing w:after="0"/>
              <w:rPr>
                <w:sz w:val="4"/>
                <w:szCs w:val="4"/>
                <w:color w:val="auto"/>
              </w:rPr>
            </w:pPr>
          </w:p>
        </w:tc>
        <w:tc>
          <w:tcPr>
            <w:tcW w:w="360" w:type="dxa"/>
            <w:vAlign w:val="bottom"/>
            <w:tcBorders>
              <w:bottom w:val="single" w:sz="8" w:color="808080"/>
            </w:tcBorders>
          </w:tcPr>
          <w:p>
            <w:pPr>
              <w:spacing w:after="0"/>
              <w:rPr>
                <w:sz w:val="4"/>
                <w:szCs w:val="4"/>
                <w:color w:val="auto"/>
              </w:rPr>
            </w:pPr>
          </w:p>
        </w:tc>
        <w:tc>
          <w:tcPr>
            <w:tcW w:w="220" w:type="dxa"/>
            <w:vAlign w:val="bottom"/>
          </w:tcPr>
          <w:p>
            <w:pPr>
              <w:spacing w:after="0"/>
              <w:rPr>
                <w:sz w:val="4"/>
                <w:szCs w:val="4"/>
                <w:color w:val="auto"/>
              </w:rPr>
            </w:pPr>
          </w:p>
        </w:tc>
        <w:tc>
          <w:tcPr>
            <w:tcW w:w="260" w:type="dxa"/>
            <w:vAlign w:val="bottom"/>
            <w:tcBorders>
              <w:bottom w:val="single" w:sz="8" w:color="808080"/>
            </w:tcBorders>
          </w:tcPr>
          <w:p>
            <w:pPr>
              <w:spacing w:after="0"/>
              <w:rPr>
                <w:sz w:val="4"/>
                <w:szCs w:val="4"/>
                <w:color w:val="auto"/>
              </w:rPr>
            </w:pPr>
          </w:p>
        </w:tc>
        <w:tc>
          <w:tcPr>
            <w:tcW w:w="500" w:type="dxa"/>
            <w:vAlign w:val="bottom"/>
            <w:tcBorders>
              <w:bottom w:val="single" w:sz="8" w:color="808080"/>
            </w:tcBorders>
          </w:tcPr>
          <w:p>
            <w:pPr>
              <w:spacing w:after="0"/>
              <w:rPr>
                <w:sz w:val="4"/>
                <w:szCs w:val="4"/>
                <w:color w:val="auto"/>
              </w:rPr>
            </w:pPr>
          </w:p>
        </w:tc>
        <w:tc>
          <w:tcPr>
            <w:tcW w:w="80" w:type="dxa"/>
            <w:vAlign w:val="bottom"/>
            <w:tcBorders>
              <w:bottom w:val="single" w:sz="8" w:color="808080"/>
            </w:tcBorders>
          </w:tcPr>
          <w:p>
            <w:pPr>
              <w:spacing w:after="0"/>
              <w:rPr>
                <w:sz w:val="4"/>
                <w:szCs w:val="4"/>
                <w:color w:val="auto"/>
              </w:rPr>
            </w:pPr>
          </w:p>
        </w:tc>
        <w:tc>
          <w:tcPr>
            <w:tcW w:w="200" w:type="dxa"/>
            <w:vAlign w:val="bottom"/>
            <w:tcBorders>
              <w:bottom w:val="single" w:sz="8" w:color="808080"/>
            </w:tcBorders>
          </w:tcPr>
          <w:p>
            <w:pPr>
              <w:spacing w:after="0"/>
              <w:rPr>
                <w:sz w:val="4"/>
                <w:szCs w:val="4"/>
                <w:color w:val="auto"/>
              </w:rPr>
            </w:pPr>
          </w:p>
        </w:tc>
        <w:tc>
          <w:tcPr>
            <w:tcW w:w="240" w:type="dxa"/>
            <w:vAlign w:val="bottom"/>
          </w:tcPr>
          <w:p>
            <w:pPr>
              <w:spacing w:after="0"/>
              <w:rPr>
                <w:sz w:val="4"/>
                <w:szCs w:val="4"/>
                <w:color w:val="auto"/>
              </w:rPr>
            </w:pPr>
          </w:p>
        </w:tc>
        <w:tc>
          <w:tcPr>
            <w:tcW w:w="380" w:type="dxa"/>
            <w:vAlign w:val="bottom"/>
            <w:tcBorders>
              <w:bottom w:val="single" w:sz="8" w:color="808080"/>
            </w:tcBorders>
          </w:tcPr>
          <w:p>
            <w:pPr>
              <w:spacing w:after="0"/>
              <w:rPr>
                <w:sz w:val="4"/>
                <w:szCs w:val="4"/>
                <w:color w:val="auto"/>
              </w:rPr>
            </w:pPr>
          </w:p>
        </w:tc>
        <w:tc>
          <w:tcPr>
            <w:tcW w:w="640" w:type="dxa"/>
            <w:vAlign w:val="bottom"/>
            <w:tcBorders>
              <w:bottom w:val="single" w:sz="8" w:color="808080"/>
            </w:tcBorders>
          </w:tcPr>
          <w:p>
            <w:pPr>
              <w:spacing w:after="0"/>
              <w:rPr>
                <w:sz w:val="4"/>
                <w:szCs w:val="4"/>
                <w:color w:val="auto"/>
              </w:rPr>
            </w:pPr>
          </w:p>
        </w:tc>
        <w:tc>
          <w:tcPr>
            <w:tcW w:w="36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3820" w:type="dxa"/>
            <w:vAlign w:val="bottom"/>
          </w:tcPr>
          <w:p>
            <w:pPr>
              <w:spacing w:after="0"/>
              <w:rPr>
                <w:sz w:val="6"/>
                <w:szCs w:val="6"/>
                <w:color w:val="auto"/>
              </w:rPr>
            </w:pPr>
          </w:p>
        </w:tc>
        <w:tc>
          <w:tcPr>
            <w:tcW w:w="360" w:type="dxa"/>
            <w:vAlign w:val="bottom"/>
          </w:tcPr>
          <w:p>
            <w:pPr>
              <w:spacing w:after="0"/>
              <w:rPr>
                <w:sz w:val="6"/>
                <w:szCs w:val="6"/>
                <w:color w:val="auto"/>
              </w:rPr>
            </w:pPr>
          </w:p>
        </w:tc>
        <w:tc>
          <w:tcPr>
            <w:tcW w:w="640" w:type="dxa"/>
            <w:vAlign w:val="bottom"/>
          </w:tcPr>
          <w:p>
            <w:pPr>
              <w:spacing w:after="0"/>
              <w:rPr>
                <w:sz w:val="6"/>
                <w:szCs w:val="6"/>
                <w:color w:val="auto"/>
              </w:rPr>
            </w:pPr>
          </w:p>
        </w:tc>
        <w:tc>
          <w:tcPr>
            <w:tcW w:w="380" w:type="dxa"/>
            <w:vAlign w:val="bottom"/>
          </w:tcPr>
          <w:p>
            <w:pPr>
              <w:spacing w:after="0"/>
              <w:rPr>
                <w:sz w:val="6"/>
                <w:szCs w:val="6"/>
                <w:color w:val="auto"/>
              </w:rPr>
            </w:pPr>
          </w:p>
        </w:tc>
        <w:tc>
          <w:tcPr>
            <w:tcW w:w="220" w:type="dxa"/>
            <w:vAlign w:val="bottom"/>
          </w:tcPr>
          <w:p>
            <w:pPr>
              <w:spacing w:after="0"/>
              <w:rPr>
                <w:sz w:val="6"/>
                <w:szCs w:val="6"/>
                <w:color w:val="auto"/>
              </w:rPr>
            </w:pPr>
          </w:p>
        </w:tc>
        <w:tc>
          <w:tcPr>
            <w:tcW w:w="360" w:type="dxa"/>
            <w:vAlign w:val="bottom"/>
          </w:tcPr>
          <w:p>
            <w:pPr>
              <w:spacing w:after="0"/>
              <w:rPr>
                <w:sz w:val="6"/>
                <w:szCs w:val="6"/>
                <w:color w:val="auto"/>
              </w:rPr>
            </w:pPr>
          </w:p>
        </w:tc>
        <w:tc>
          <w:tcPr>
            <w:tcW w:w="660" w:type="dxa"/>
            <w:vAlign w:val="bottom"/>
          </w:tcPr>
          <w:p>
            <w:pPr>
              <w:spacing w:after="0"/>
              <w:rPr>
                <w:sz w:val="6"/>
                <w:szCs w:val="6"/>
                <w:color w:val="auto"/>
              </w:rPr>
            </w:pPr>
          </w:p>
        </w:tc>
        <w:tc>
          <w:tcPr>
            <w:tcW w:w="360" w:type="dxa"/>
            <w:vAlign w:val="bottom"/>
          </w:tcPr>
          <w:p>
            <w:pPr>
              <w:spacing w:after="0"/>
              <w:rPr>
                <w:sz w:val="6"/>
                <w:szCs w:val="6"/>
                <w:color w:val="auto"/>
              </w:rPr>
            </w:pPr>
          </w:p>
        </w:tc>
        <w:tc>
          <w:tcPr>
            <w:tcW w:w="220" w:type="dxa"/>
            <w:vAlign w:val="bottom"/>
          </w:tcPr>
          <w:p>
            <w:pPr>
              <w:spacing w:after="0"/>
              <w:rPr>
                <w:sz w:val="6"/>
                <w:szCs w:val="6"/>
                <w:color w:val="auto"/>
              </w:rPr>
            </w:pPr>
          </w:p>
        </w:tc>
        <w:tc>
          <w:tcPr>
            <w:tcW w:w="260" w:type="dxa"/>
            <w:vAlign w:val="bottom"/>
          </w:tcPr>
          <w:p>
            <w:pPr>
              <w:spacing w:after="0"/>
              <w:rPr>
                <w:sz w:val="6"/>
                <w:szCs w:val="6"/>
                <w:color w:val="auto"/>
              </w:rPr>
            </w:pPr>
          </w:p>
        </w:tc>
        <w:tc>
          <w:tcPr>
            <w:tcW w:w="50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240" w:type="dxa"/>
            <w:vAlign w:val="bottom"/>
          </w:tcPr>
          <w:p>
            <w:pPr>
              <w:spacing w:after="0"/>
              <w:rPr>
                <w:sz w:val="6"/>
                <w:szCs w:val="6"/>
                <w:color w:val="auto"/>
              </w:rPr>
            </w:pPr>
          </w:p>
        </w:tc>
        <w:tc>
          <w:tcPr>
            <w:tcW w:w="380" w:type="dxa"/>
            <w:vAlign w:val="bottom"/>
          </w:tcPr>
          <w:p>
            <w:pPr>
              <w:spacing w:after="0"/>
              <w:rPr>
                <w:sz w:val="6"/>
                <w:szCs w:val="6"/>
                <w:color w:val="auto"/>
              </w:rPr>
            </w:pPr>
          </w:p>
        </w:tc>
        <w:tc>
          <w:tcPr>
            <w:tcW w:w="640" w:type="dxa"/>
            <w:vAlign w:val="bottom"/>
          </w:tcPr>
          <w:p>
            <w:pPr>
              <w:spacing w:after="0"/>
              <w:rPr>
                <w:sz w:val="6"/>
                <w:szCs w:val="6"/>
                <w:color w:val="auto"/>
              </w:rPr>
            </w:pPr>
          </w:p>
        </w:tc>
        <w:tc>
          <w:tcPr>
            <w:tcW w:w="3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Revenues</w:t>
            </w:r>
          </w:p>
        </w:tc>
        <w:tc>
          <w:tcPr>
            <w:tcW w:w="36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380" w:type="dxa"/>
            <w:vAlign w:val="bottom"/>
            <w:tcBorders>
              <w:left w:val="single" w:sz="8" w:color="EEEEEE"/>
            </w:tcBorders>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60" w:type="dxa"/>
            <w:vAlign w:val="bottom"/>
            <w:tcBorders>
              <w:right w:val="single" w:sz="8" w:color="EEEEEE"/>
            </w:tcBorders>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Contract research and development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27,146</w:t>
            </w:r>
          </w:p>
        </w:tc>
        <w:tc>
          <w:tcPr>
            <w:tcW w:w="38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8,150</w:t>
            </w:r>
          </w:p>
        </w:tc>
        <w:tc>
          <w:tcPr>
            <w:tcW w:w="360" w:type="dxa"/>
            <w:vAlign w:val="bottom"/>
          </w:tcPr>
          <w:p>
            <w:pPr>
              <w:spacing w:after="0"/>
              <w:rPr>
                <w:sz w:val="18"/>
                <w:szCs w:val="18"/>
                <w:color w:val="auto"/>
              </w:rPr>
            </w:pP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2"/>
              </w:rPr>
              <w:t>68,756</w:t>
            </w:r>
          </w:p>
        </w:tc>
        <w:tc>
          <w:tcPr>
            <w:tcW w:w="80" w:type="dxa"/>
            <w:vAlign w:val="bottom"/>
          </w:tcPr>
          <w:p>
            <w:pPr>
              <w:spacing w:after="0"/>
              <w:rPr>
                <w:sz w:val="18"/>
                <w:szCs w:val="18"/>
                <w:color w:val="auto"/>
              </w:rPr>
            </w:pPr>
          </w:p>
        </w:tc>
        <w:tc>
          <w:tcPr>
            <w:tcW w:w="14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17,363</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EEEEEE"/>
          </w:tcPr>
          <w:p>
            <w:pPr>
              <w:ind w:left="120"/>
              <w:spacing w:after="0"/>
              <w:rPr>
                <w:sz w:val="20"/>
                <w:szCs w:val="20"/>
                <w:color w:val="auto"/>
              </w:rPr>
            </w:pPr>
            <w:r>
              <w:rPr>
                <w:rFonts w:ascii="Times New Roman" w:cs="Times New Roman" w:eastAsia="Times New Roman" w:hAnsi="Times New Roman"/>
                <w:sz w:val="18"/>
                <w:szCs w:val="18"/>
                <w:color w:val="auto"/>
              </w:rPr>
              <w:t>Research progress payment</w:t>
            </w:r>
          </w:p>
        </w:tc>
        <w:tc>
          <w:tcPr>
            <w:tcW w:w="36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380" w:type="dxa"/>
            <w:vAlign w:val="bottom"/>
            <w:tcBorders>
              <w:left w:val="single" w:sz="8" w:color="EEEEEE"/>
            </w:tcBorders>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60" w:type="dxa"/>
            <w:vAlign w:val="bottom"/>
            <w:tcBorders>
              <w:right w:val="single" w:sz="8" w:color="EEEEEE"/>
            </w:tcBorders>
            <w:shd w:val="clear" w:color="auto" w:fill="EEEEEE"/>
          </w:tcPr>
          <w:p>
            <w:pPr>
              <w:spacing w:after="0"/>
              <w:rPr>
                <w:sz w:val="18"/>
                <w:szCs w:val="18"/>
                <w:color w:val="auto"/>
              </w:rPr>
            </w:pPr>
          </w:p>
        </w:tc>
        <w:tc>
          <w:tcPr>
            <w:tcW w:w="5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92"/>
              </w:rPr>
              <w:t>17,770</w:t>
            </w:r>
          </w:p>
        </w:tc>
        <w:tc>
          <w:tcPr>
            <w:tcW w:w="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Contract manufacturing</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1,272</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758</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3,882</w:t>
            </w:r>
          </w:p>
        </w:tc>
        <w:tc>
          <w:tcPr>
            <w:tcW w:w="80" w:type="dxa"/>
            <w:vAlign w:val="bottom"/>
          </w:tcPr>
          <w:p>
            <w:pPr>
              <w:spacing w:after="0"/>
              <w:rPr>
                <w:sz w:val="18"/>
                <w:szCs w:val="18"/>
                <w:color w:val="auto"/>
              </w:rPr>
            </w:pPr>
          </w:p>
        </w:tc>
        <w:tc>
          <w:tcPr>
            <w:tcW w:w="14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1,470</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tcBorders>
              <w:top w:val="single" w:sz="8" w:color="808080"/>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Borders>
              <w:top w:val="single" w:sz="8" w:color="808080"/>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Borders>
              <w:top w:val="single" w:sz="8" w:color="80808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Borders>
              <w:top w:val="single" w:sz="8" w:color="808080"/>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EEEEEE"/>
          </w:tcPr>
          <w:p>
            <w:pPr>
              <w:spacing w:after="0"/>
              <w:rPr>
                <w:sz w:val="18"/>
                <w:szCs w:val="18"/>
                <w:color w:val="auto"/>
              </w:rPr>
            </w:pPr>
          </w:p>
        </w:tc>
        <w:tc>
          <w:tcPr>
            <w:tcW w:w="100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28,418</w:t>
            </w:r>
          </w:p>
        </w:tc>
        <w:tc>
          <w:tcPr>
            <w:tcW w:w="380" w:type="dxa"/>
            <w:vAlign w:val="bottom"/>
            <w:tcBorders>
              <w:left w:val="single" w:sz="8" w:color="EEEEEE"/>
            </w:tcBorders>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6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8,908</w:t>
            </w:r>
          </w:p>
        </w:tc>
        <w:tc>
          <w:tcPr>
            <w:tcW w:w="3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60" w:type="dxa"/>
            <w:vAlign w:val="bottom"/>
            <w:tcBorders>
              <w:right w:val="single" w:sz="8" w:color="EEEEEE"/>
            </w:tcBorders>
            <w:shd w:val="clear" w:color="auto" w:fill="EEEEEE"/>
          </w:tcPr>
          <w:p>
            <w:pPr>
              <w:spacing w:after="0"/>
              <w:rPr>
                <w:sz w:val="18"/>
                <w:szCs w:val="18"/>
                <w:color w:val="auto"/>
              </w:rPr>
            </w:pPr>
          </w:p>
        </w:tc>
        <w:tc>
          <w:tcPr>
            <w:tcW w:w="5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92"/>
              </w:rPr>
              <w:t>90,408</w:t>
            </w:r>
          </w:p>
        </w:tc>
        <w:tc>
          <w:tcPr>
            <w:tcW w:w="80" w:type="dxa"/>
            <w:vAlign w:val="bottom"/>
            <w:shd w:val="clear" w:color="auto" w:fill="EEEEEE"/>
          </w:tcPr>
          <w:p>
            <w:pPr>
              <w:spacing w:after="0"/>
              <w:rPr>
                <w:sz w:val="18"/>
                <w:szCs w:val="18"/>
                <w:color w:val="auto"/>
              </w:rPr>
            </w:pPr>
          </w:p>
        </w:tc>
        <w:tc>
          <w:tcPr>
            <w:tcW w:w="1460" w:type="dxa"/>
            <w:vAlign w:val="bottom"/>
            <w:gridSpan w:val="4"/>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18,833</w:t>
            </w:r>
          </w:p>
        </w:tc>
        <w:tc>
          <w:tcPr>
            <w:tcW w:w="3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Expenses</w:t>
            </w:r>
          </w:p>
        </w:tc>
        <w:tc>
          <w:tcPr>
            <w:tcW w:w="360" w:type="dxa"/>
            <w:vAlign w:val="bottom"/>
          </w:tcPr>
          <w:p>
            <w:pPr>
              <w:spacing w:after="0"/>
              <w:rPr>
                <w:sz w:val="20"/>
                <w:szCs w:val="20"/>
                <w:color w:val="auto"/>
              </w:rPr>
            </w:pPr>
          </w:p>
        </w:tc>
        <w:tc>
          <w:tcPr>
            <w:tcW w:w="640" w:type="dxa"/>
            <w:vAlign w:val="bottom"/>
            <w:tcBorders>
              <w:top w:val="single" w:sz="8" w:color="808080"/>
            </w:tcBorders>
          </w:tcPr>
          <w:p>
            <w:pPr>
              <w:spacing w:after="0"/>
              <w:rPr>
                <w:sz w:val="20"/>
                <w:szCs w:val="20"/>
                <w:color w:val="auto"/>
              </w:rPr>
            </w:pP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60" w:type="dxa"/>
            <w:vAlign w:val="bottom"/>
            <w:tcBorders>
              <w:top w:val="single" w:sz="8" w:color="808080"/>
            </w:tcBorders>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00" w:type="dxa"/>
            <w:vAlign w:val="bottom"/>
            <w:tcBorders>
              <w:top w:val="single" w:sz="8" w:color="808080"/>
            </w:tcBorders>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40" w:type="dxa"/>
            <w:vAlign w:val="bottom"/>
            <w:tcBorders>
              <w:top w:val="single" w:sz="8" w:color="808080"/>
            </w:tcBorders>
          </w:tcPr>
          <w:p>
            <w:pPr>
              <w:spacing w:after="0"/>
              <w:rPr>
                <w:sz w:val="20"/>
                <w:szCs w:val="20"/>
                <w:color w:val="auto"/>
              </w:rPr>
            </w:pPr>
          </w:p>
        </w:tc>
        <w:tc>
          <w:tcPr>
            <w:tcW w:w="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EEEEEE"/>
          </w:tcPr>
          <w:p>
            <w:pPr>
              <w:ind w:left="1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0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36,297</w:t>
            </w:r>
          </w:p>
        </w:tc>
        <w:tc>
          <w:tcPr>
            <w:tcW w:w="380" w:type="dxa"/>
            <w:vAlign w:val="bottom"/>
            <w:tcBorders>
              <w:left w:val="single" w:sz="8" w:color="EEEEEE"/>
            </w:tcBorders>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6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33,717</w:t>
            </w:r>
          </w:p>
        </w:tc>
        <w:tc>
          <w:tcPr>
            <w:tcW w:w="3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60" w:type="dxa"/>
            <w:vAlign w:val="bottom"/>
            <w:tcBorders>
              <w:right w:val="single" w:sz="8" w:color="EEEEEE"/>
            </w:tcBorders>
            <w:shd w:val="clear" w:color="auto" w:fill="EEEEEE"/>
          </w:tcPr>
          <w:p>
            <w:pPr>
              <w:spacing w:after="0"/>
              <w:rPr>
                <w:sz w:val="18"/>
                <w:szCs w:val="18"/>
                <w:color w:val="auto"/>
              </w:rPr>
            </w:pPr>
          </w:p>
        </w:tc>
        <w:tc>
          <w:tcPr>
            <w:tcW w:w="5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92"/>
              </w:rPr>
              <w:t>68,478</w:t>
            </w:r>
          </w:p>
        </w:tc>
        <w:tc>
          <w:tcPr>
            <w:tcW w:w="80" w:type="dxa"/>
            <w:vAlign w:val="bottom"/>
            <w:shd w:val="clear" w:color="auto" w:fill="EEEEEE"/>
          </w:tcPr>
          <w:p>
            <w:pPr>
              <w:spacing w:after="0"/>
              <w:rPr>
                <w:sz w:val="18"/>
                <w:szCs w:val="18"/>
                <w:color w:val="auto"/>
              </w:rPr>
            </w:pPr>
          </w:p>
        </w:tc>
        <w:tc>
          <w:tcPr>
            <w:tcW w:w="1460" w:type="dxa"/>
            <w:vAlign w:val="bottom"/>
            <w:gridSpan w:val="4"/>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68,107</w:t>
            </w:r>
          </w:p>
        </w:tc>
        <w:tc>
          <w:tcPr>
            <w:tcW w:w="3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Contract manufacturing</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529</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2,754</w:t>
            </w:r>
          </w:p>
        </w:tc>
        <w:tc>
          <w:tcPr>
            <w:tcW w:w="80" w:type="dxa"/>
            <w:vAlign w:val="bottom"/>
          </w:tcPr>
          <w:p>
            <w:pPr>
              <w:spacing w:after="0"/>
              <w:rPr>
                <w:sz w:val="18"/>
                <w:szCs w:val="18"/>
                <w:color w:val="auto"/>
              </w:rPr>
            </w:pPr>
          </w:p>
        </w:tc>
        <w:tc>
          <w:tcPr>
            <w:tcW w:w="14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925</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EEEEEE"/>
          </w:tcPr>
          <w:p>
            <w:pPr>
              <w:ind w:left="1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60" w:type="dxa"/>
            <w:vAlign w:val="bottom"/>
            <w:shd w:val="clear" w:color="auto" w:fill="EEEEEE"/>
          </w:tcPr>
          <w:p>
            <w:pPr>
              <w:spacing w:after="0"/>
              <w:rPr>
                <w:sz w:val="18"/>
                <w:szCs w:val="18"/>
                <w:color w:val="auto"/>
              </w:rPr>
            </w:pPr>
          </w:p>
        </w:tc>
        <w:tc>
          <w:tcPr>
            <w:tcW w:w="640" w:type="dxa"/>
            <w:vAlign w:val="bottom"/>
            <w:tcBorders>
              <w:bottom w:val="single" w:sz="8" w:color="808080"/>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4,235</w:t>
            </w:r>
          </w:p>
        </w:tc>
        <w:tc>
          <w:tcPr>
            <w:tcW w:w="380" w:type="dxa"/>
            <w:vAlign w:val="bottom"/>
            <w:tcBorders>
              <w:left w:val="single" w:sz="8" w:color="EEEEEE"/>
            </w:tcBorders>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660" w:type="dxa"/>
            <w:vAlign w:val="bottom"/>
            <w:tcBorders>
              <w:bottom w:val="single" w:sz="8" w:color="808080"/>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3,488</w:t>
            </w:r>
          </w:p>
        </w:tc>
        <w:tc>
          <w:tcPr>
            <w:tcW w:w="3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60" w:type="dxa"/>
            <w:vAlign w:val="bottom"/>
            <w:tcBorders>
              <w:right w:val="single" w:sz="8" w:color="EEEEEE"/>
            </w:tcBorders>
            <w:shd w:val="clear" w:color="auto" w:fill="EEEEEE"/>
          </w:tcPr>
          <w:p>
            <w:pPr>
              <w:spacing w:after="0"/>
              <w:rPr>
                <w:sz w:val="18"/>
                <w:szCs w:val="18"/>
                <w:color w:val="auto"/>
              </w:rPr>
            </w:pPr>
          </w:p>
        </w:tc>
        <w:tc>
          <w:tcPr>
            <w:tcW w:w="500" w:type="dxa"/>
            <w:vAlign w:val="bottom"/>
            <w:tcBorders>
              <w:bottom w:val="single" w:sz="8" w:color="808080"/>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8,025</w:t>
            </w:r>
          </w:p>
        </w:tc>
        <w:tc>
          <w:tcPr>
            <w:tcW w:w="80" w:type="dxa"/>
            <w:vAlign w:val="bottom"/>
            <w:shd w:val="clear" w:color="auto" w:fill="EEEEEE"/>
          </w:tcPr>
          <w:p>
            <w:pPr>
              <w:spacing w:after="0"/>
              <w:rPr>
                <w:sz w:val="18"/>
                <w:szCs w:val="18"/>
                <w:color w:val="auto"/>
              </w:rPr>
            </w:pPr>
          </w:p>
        </w:tc>
        <w:tc>
          <w:tcPr>
            <w:tcW w:w="820" w:type="dxa"/>
            <w:vAlign w:val="bottom"/>
            <w:gridSpan w:val="3"/>
            <w:shd w:val="clear" w:color="auto" w:fill="EEEEEE"/>
          </w:tcPr>
          <w:p>
            <w:pPr>
              <w:spacing w:after="0"/>
              <w:rPr>
                <w:sz w:val="18"/>
                <w:szCs w:val="18"/>
                <w:color w:val="auto"/>
              </w:rPr>
            </w:pPr>
          </w:p>
        </w:tc>
        <w:tc>
          <w:tcPr>
            <w:tcW w:w="640" w:type="dxa"/>
            <w:vAlign w:val="bottom"/>
            <w:tcBorders>
              <w:bottom w:val="single" w:sz="8" w:color="808080"/>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6,947</w:t>
            </w:r>
          </w:p>
        </w:tc>
        <w:tc>
          <w:tcPr>
            <w:tcW w:w="3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82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41,061</w:t>
            </w: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37,464</w:t>
            </w: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2"/>
              </w:rPr>
              <w:t>79,257</w:t>
            </w:r>
          </w:p>
        </w:tc>
        <w:tc>
          <w:tcPr>
            <w:tcW w:w="80" w:type="dxa"/>
            <w:vAlign w:val="bottom"/>
          </w:tcPr>
          <w:p>
            <w:pPr>
              <w:spacing w:after="0"/>
              <w:rPr>
                <w:sz w:val="20"/>
                <w:szCs w:val="20"/>
                <w:color w:val="auto"/>
              </w:rPr>
            </w:pPr>
          </w:p>
        </w:tc>
        <w:tc>
          <w:tcPr>
            <w:tcW w:w="14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75,979</w:t>
            </w:r>
          </w:p>
        </w:tc>
        <w:tc>
          <w:tcPr>
            <w:tcW w:w="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tcBorders>
              <w:top w:val="single" w:sz="8" w:color="808080"/>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Borders>
              <w:top w:val="single" w:sz="8" w:color="808080"/>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Borders>
              <w:top w:val="single" w:sz="8" w:color="80808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Borders>
              <w:top w:val="single" w:sz="8" w:color="808080"/>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1380" w:type="dxa"/>
            <w:vAlign w:val="bottom"/>
            <w:gridSpan w:val="3"/>
            <w:shd w:val="clear" w:color="auto" w:fill="EEEEEE"/>
          </w:tcPr>
          <w:p>
            <w:pPr>
              <w:jc w:val="right"/>
              <w:ind w:right="248"/>
              <w:spacing w:after="0"/>
              <w:rPr>
                <w:sz w:val="20"/>
                <w:szCs w:val="20"/>
                <w:color w:val="auto"/>
              </w:rPr>
            </w:pPr>
            <w:r>
              <w:rPr>
                <w:rFonts w:ascii="Times New Roman" w:cs="Times New Roman" w:eastAsia="Times New Roman" w:hAnsi="Times New Roman"/>
                <w:sz w:val="18"/>
                <w:szCs w:val="18"/>
                <w:color w:val="auto"/>
              </w:rPr>
              <w:t>(12,643)</w:t>
            </w:r>
          </w:p>
        </w:tc>
        <w:tc>
          <w:tcPr>
            <w:tcW w:w="2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02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(28,556)</w:t>
            </w:r>
          </w:p>
        </w:tc>
        <w:tc>
          <w:tcPr>
            <w:tcW w:w="220" w:type="dxa"/>
            <w:vAlign w:val="bottom"/>
            <w:shd w:val="clear" w:color="auto" w:fill="EEEEEE"/>
          </w:tcPr>
          <w:p>
            <w:pPr>
              <w:spacing w:after="0"/>
              <w:rPr>
                <w:sz w:val="18"/>
                <w:szCs w:val="18"/>
                <w:color w:val="auto"/>
              </w:rPr>
            </w:pPr>
          </w:p>
        </w:tc>
        <w:tc>
          <w:tcPr>
            <w:tcW w:w="260" w:type="dxa"/>
            <w:vAlign w:val="bottom"/>
            <w:tcBorders>
              <w:right w:val="single" w:sz="8" w:color="EEEEEE"/>
            </w:tcBorders>
            <w:shd w:val="clear" w:color="auto" w:fill="EEEEEE"/>
          </w:tcPr>
          <w:p>
            <w:pPr>
              <w:spacing w:after="0"/>
              <w:rPr>
                <w:sz w:val="18"/>
                <w:szCs w:val="18"/>
                <w:color w:val="auto"/>
              </w:rPr>
            </w:pPr>
          </w:p>
        </w:tc>
        <w:tc>
          <w:tcPr>
            <w:tcW w:w="5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92"/>
              </w:rPr>
              <w:t>11,151</w:t>
            </w:r>
          </w:p>
        </w:tc>
        <w:tc>
          <w:tcPr>
            <w:tcW w:w="80" w:type="dxa"/>
            <w:vAlign w:val="bottom"/>
            <w:shd w:val="clear" w:color="auto" w:fill="EEEEEE"/>
          </w:tcPr>
          <w:p>
            <w:pPr>
              <w:spacing w:after="0"/>
              <w:rPr>
                <w:sz w:val="18"/>
                <w:szCs w:val="18"/>
                <w:color w:val="auto"/>
              </w:rPr>
            </w:pPr>
          </w:p>
        </w:tc>
        <w:tc>
          <w:tcPr>
            <w:tcW w:w="1820" w:type="dxa"/>
            <w:vAlign w:val="bottom"/>
            <w:gridSpan w:val="5"/>
            <w:shd w:val="clear" w:color="auto" w:fill="EEEEEE"/>
          </w:tcPr>
          <w:p>
            <w:pPr>
              <w:jc w:val="right"/>
              <w:ind w:right="300"/>
              <w:spacing w:after="0"/>
              <w:rPr>
                <w:sz w:val="20"/>
                <w:szCs w:val="20"/>
                <w:color w:val="auto"/>
              </w:rPr>
            </w:pPr>
            <w:r>
              <w:rPr>
                <w:rFonts w:ascii="Times New Roman" w:cs="Times New Roman" w:eastAsia="Times New Roman" w:hAnsi="Times New Roman"/>
                <w:sz w:val="18"/>
                <w:szCs w:val="18"/>
                <w:color w:val="auto"/>
              </w:rPr>
              <w:t>(57,146)</w:t>
            </w:r>
          </w:p>
        </w:tc>
        <w:tc>
          <w:tcPr>
            <w:tcW w:w="0" w:type="dxa"/>
            <w:vAlign w:val="bottom"/>
          </w:tcPr>
          <w:p>
            <w:pPr>
              <w:spacing w:after="0"/>
              <w:rPr>
                <w:sz w:val="1"/>
                <w:szCs w:val="1"/>
                <w:color w:val="auto"/>
              </w:rPr>
            </w:pPr>
          </w:p>
        </w:tc>
      </w:tr>
      <w:tr>
        <w:trPr>
          <w:trHeight w:val="237"/>
        </w:trPr>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360" w:type="dxa"/>
            <w:vAlign w:val="bottom"/>
          </w:tcPr>
          <w:p>
            <w:pPr>
              <w:spacing w:after="0"/>
              <w:rPr>
                <w:sz w:val="20"/>
                <w:szCs w:val="20"/>
                <w:color w:val="auto"/>
              </w:rPr>
            </w:pPr>
          </w:p>
        </w:tc>
        <w:tc>
          <w:tcPr>
            <w:tcW w:w="640" w:type="dxa"/>
            <w:vAlign w:val="bottom"/>
            <w:tcBorders>
              <w:top w:val="single" w:sz="8" w:color="808080"/>
            </w:tcBorders>
          </w:tcPr>
          <w:p>
            <w:pPr>
              <w:spacing w:after="0"/>
              <w:rPr>
                <w:sz w:val="20"/>
                <w:szCs w:val="20"/>
                <w:color w:val="auto"/>
              </w:rPr>
            </w:pP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60" w:type="dxa"/>
            <w:vAlign w:val="bottom"/>
            <w:tcBorders>
              <w:top w:val="single" w:sz="8" w:color="808080"/>
            </w:tcBorders>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00" w:type="dxa"/>
            <w:vAlign w:val="bottom"/>
            <w:tcBorders>
              <w:top w:val="single" w:sz="8" w:color="808080"/>
            </w:tcBorders>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40" w:type="dxa"/>
            <w:vAlign w:val="bottom"/>
            <w:tcBorders>
              <w:top w:val="single" w:sz="8" w:color="808080"/>
            </w:tcBorders>
          </w:tcPr>
          <w:p>
            <w:pPr>
              <w:spacing w:after="0"/>
              <w:rPr>
                <w:sz w:val="20"/>
                <w:szCs w:val="20"/>
                <w:color w:val="auto"/>
              </w:rPr>
            </w:pPr>
          </w:p>
        </w:tc>
        <w:tc>
          <w:tcPr>
            <w:tcW w:w="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EEEEEE"/>
          </w:tcPr>
          <w:p>
            <w:pPr>
              <w:ind w:left="120"/>
              <w:spacing w:after="0"/>
              <w:rPr>
                <w:sz w:val="20"/>
                <w:szCs w:val="20"/>
                <w:color w:val="auto"/>
              </w:rPr>
            </w:pPr>
            <w:r>
              <w:rPr>
                <w:rFonts w:ascii="Times New Roman" w:cs="Times New Roman" w:eastAsia="Times New Roman" w:hAnsi="Times New Roman"/>
                <w:sz w:val="18"/>
                <w:szCs w:val="18"/>
                <w:color w:val="auto"/>
              </w:rPr>
              <w:t>Other contract income</w:t>
            </w:r>
          </w:p>
        </w:tc>
        <w:tc>
          <w:tcPr>
            <w:tcW w:w="36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380" w:type="dxa"/>
            <w:vAlign w:val="bottom"/>
            <w:tcBorders>
              <w:left w:val="single" w:sz="8" w:color="EEEEEE"/>
            </w:tcBorders>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60" w:type="dxa"/>
            <w:vAlign w:val="bottom"/>
            <w:tcBorders>
              <w:right w:val="single" w:sz="8" w:color="EEEEEE"/>
            </w:tcBorders>
            <w:shd w:val="clear" w:color="auto" w:fill="EEEEEE"/>
          </w:tcPr>
          <w:p>
            <w:pPr>
              <w:spacing w:after="0"/>
              <w:rPr>
                <w:sz w:val="18"/>
                <w:szCs w:val="18"/>
                <w:color w:val="auto"/>
              </w:rPr>
            </w:pPr>
          </w:p>
        </w:tc>
        <w:tc>
          <w:tcPr>
            <w:tcW w:w="5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92"/>
              </w:rPr>
              <w:t>42,750</w:t>
            </w:r>
          </w:p>
        </w:tc>
        <w:tc>
          <w:tcPr>
            <w:tcW w:w="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Investment income</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1,105</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1,101</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2,229</w:t>
            </w:r>
          </w:p>
        </w:tc>
        <w:tc>
          <w:tcPr>
            <w:tcW w:w="80" w:type="dxa"/>
            <w:vAlign w:val="bottom"/>
          </w:tcPr>
          <w:p>
            <w:pPr>
              <w:spacing w:after="0"/>
              <w:rPr>
                <w:sz w:val="18"/>
                <w:szCs w:val="18"/>
                <w:color w:val="auto"/>
              </w:rPr>
            </w:pPr>
          </w:p>
        </w:tc>
        <w:tc>
          <w:tcPr>
            <w:tcW w:w="14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2,309</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EEEEEE"/>
          </w:tcPr>
          <w:p>
            <w:pPr>
              <w:ind w:left="120"/>
              <w:spacing w:after="0"/>
              <w:rPr>
                <w:sz w:val="20"/>
                <w:szCs w:val="20"/>
                <w:color w:val="auto"/>
              </w:rPr>
            </w:pPr>
            <w:r>
              <w:rPr>
                <w:rFonts w:ascii="Times New Roman" w:cs="Times New Roman" w:eastAsia="Times New Roman" w:hAnsi="Times New Roman"/>
                <w:sz w:val="18"/>
                <w:szCs w:val="18"/>
                <w:color w:val="auto"/>
              </w:rPr>
              <w:t>Interest expense</w:t>
            </w:r>
          </w:p>
        </w:tc>
        <w:tc>
          <w:tcPr>
            <w:tcW w:w="360" w:type="dxa"/>
            <w:vAlign w:val="bottom"/>
            <w:shd w:val="clear" w:color="auto" w:fill="EEEEEE"/>
          </w:tcPr>
          <w:p>
            <w:pPr>
              <w:spacing w:after="0"/>
              <w:rPr>
                <w:sz w:val="18"/>
                <w:szCs w:val="18"/>
                <w:color w:val="auto"/>
              </w:rPr>
            </w:pPr>
          </w:p>
        </w:tc>
        <w:tc>
          <w:tcPr>
            <w:tcW w:w="1020" w:type="dxa"/>
            <w:vAlign w:val="bottom"/>
            <w:gridSpan w:val="2"/>
            <w:shd w:val="clear" w:color="auto" w:fill="EEEEEE"/>
          </w:tcPr>
          <w:p>
            <w:pPr>
              <w:jc w:val="right"/>
              <w:ind w:right="248"/>
              <w:spacing w:after="0"/>
              <w:rPr>
                <w:sz w:val="20"/>
                <w:szCs w:val="20"/>
                <w:color w:val="auto"/>
              </w:rPr>
            </w:pPr>
            <w:r>
              <w:rPr>
                <w:rFonts w:ascii="Times New Roman" w:cs="Times New Roman" w:eastAsia="Times New Roman" w:hAnsi="Times New Roman"/>
                <w:sz w:val="18"/>
                <w:szCs w:val="18"/>
                <w:color w:val="auto"/>
              </w:rPr>
              <w:t>(3,011)</w:t>
            </w:r>
          </w:p>
        </w:tc>
        <w:tc>
          <w:tcPr>
            <w:tcW w:w="2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02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(2,905)</w:t>
            </w:r>
          </w:p>
        </w:tc>
        <w:tc>
          <w:tcPr>
            <w:tcW w:w="220" w:type="dxa"/>
            <w:vAlign w:val="bottom"/>
            <w:shd w:val="clear" w:color="auto" w:fill="EEEEEE"/>
          </w:tcPr>
          <w:p>
            <w:pPr>
              <w:spacing w:after="0"/>
              <w:rPr>
                <w:sz w:val="18"/>
                <w:szCs w:val="18"/>
                <w:color w:val="auto"/>
              </w:rPr>
            </w:pPr>
          </w:p>
        </w:tc>
        <w:tc>
          <w:tcPr>
            <w:tcW w:w="260" w:type="dxa"/>
            <w:vAlign w:val="bottom"/>
            <w:tcBorders>
              <w:right w:val="single" w:sz="8" w:color="EEEEEE"/>
            </w:tcBorders>
            <w:shd w:val="clear" w:color="auto" w:fill="EEEEEE"/>
          </w:tcPr>
          <w:p>
            <w:pPr>
              <w:spacing w:after="0"/>
              <w:rPr>
                <w:sz w:val="18"/>
                <w:szCs w:val="18"/>
                <w:color w:val="auto"/>
              </w:rPr>
            </w:pPr>
          </w:p>
        </w:tc>
        <w:tc>
          <w:tcPr>
            <w:tcW w:w="58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98"/>
              </w:rPr>
              <w:t>(6,147)</w:t>
            </w:r>
          </w:p>
        </w:tc>
        <w:tc>
          <w:tcPr>
            <w:tcW w:w="1820" w:type="dxa"/>
            <w:vAlign w:val="bottom"/>
            <w:gridSpan w:val="5"/>
            <w:shd w:val="clear" w:color="auto" w:fill="EEEEEE"/>
          </w:tcPr>
          <w:p>
            <w:pPr>
              <w:jc w:val="right"/>
              <w:ind w:right="300"/>
              <w:spacing w:after="0"/>
              <w:rPr>
                <w:sz w:val="20"/>
                <w:szCs w:val="20"/>
                <w:color w:val="auto"/>
              </w:rPr>
            </w:pPr>
            <w:r>
              <w:rPr>
                <w:rFonts w:ascii="Times New Roman" w:cs="Times New Roman" w:eastAsia="Times New Roman" w:hAnsi="Times New Roman"/>
                <w:sz w:val="18"/>
                <w:szCs w:val="18"/>
                <w:color w:val="auto"/>
              </w:rPr>
              <w:t>(5,844)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shd w:val="clear" w:color="auto" w:fill="80808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shd w:val="clear" w:color="auto" w:fill="80808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shd w:val="clear" w:color="auto" w:fill="80808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640" w:type="dxa"/>
            <w:vAlign w:val="bottom"/>
            <w:shd w:val="clear" w:color="auto" w:fill="80808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38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20" w:type="dxa"/>
            <w:vAlign w:val="bottom"/>
            <w:gridSpan w:val="2"/>
          </w:tcPr>
          <w:p>
            <w:pPr>
              <w:jc w:val="right"/>
              <w:ind w:right="248"/>
              <w:spacing w:after="0"/>
              <w:rPr>
                <w:sz w:val="20"/>
                <w:szCs w:val="20"/>
                <w:color w:val="auto"/>
              </w:rPr>
            </w:pPr>
            <w:r>
              <w:rPr>
                <w:rFonts w:ascii="Times New Roman" w:cs="Times New Roman" w:eastAsia="Times New Roman" w:hAnsi="Times New Roman"/>
                <w:sz w:val="18"/>
                <w:szCs w:val="18"/>
                <w:color w:val="auto"/>
              </w:rPr>
              <w:t>(1,906)</w:t>
            </w: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(1,804)</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2"/>
              </w:rPr>
              <w:t>38,832</w:t>
            </w:r>
          </w:p>
        </w:tc>
        <w:tc>
          <w:tcPr>
            <w:tcW w:w="80" w:type="dxa"/>
            <w:vAlign w:val="bottom"/>
          </w:tcPr>
          <w:p>
            <w:pPr>
              <w:spacing w:after="0"/>
              <w:rPr>
                <w:sz w:val="20"/>
                <w:szCs w:val="20"/>
                <w:color w:val="auto"/>
              </w:rPr>
            </w:pPr>
          </w:p>
        </w:tc>
        <w:tc>
          <w:tcPr>
            <w:tcW w:w="1820" w:type="dxa"/>
            <w:vAlign w:val="bottom"/>
            <w:gridSpan w:val="5"/>
          </w:tcPr>
          <w:p>
            <w:pPr>
              <w:jc w:val="right"/>
              <w:ind w:right="300"/>
              <w:spacing w:after="0"/>
              <w:rPr>
                <w:sz w:val="20"/>
                <w:szCs w:val="20"/>
                <w:color w:val="auto"/>
              </w:rPr>
            </w:pPr>
            <w:r>
              <w:rPr>
                <w:rFonts w:ascii="Times New Roman" w:cs="Times New Roman" w:eastAsia="Times New Roman" w:hAnsi="Times New Roman"/>
                <w:sz w:val="18"/>
                <w:szCs w:val="18"/>
                <w:color w:val="auto"/>
              </w:rPr>
              <w:t>(3,535)</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tcBorders>
              <w:top w:val="single" w:sz="8" w:color="808080"/>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Borders>
              <w:top w:val="single" w:sz="8" w:color="808080"/>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Borders>
              <w:top w:val="single" w:sz="8" w:color="80808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Borders>
              <w:top w:val="single" w:sz="8" w:color="808080"/>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vMerge w:val="continue"/>
          </w:tcPr>
          <w:p>
            <w:pPr>
              <w:spacing w:after="0"/>
              <w:rPr>
                <w:sz w:val="18"/>
                <w:szCs w:val="18"/>
                <w:color w:val="auto"/>
              </w:rPr>
            </w:pPr>
          </w:p>
        </w:tc>
        <w:tc>
          <w:tcPr>
            <w:tcW w:w="38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380" w:type="dxa"/>
            <w:vAlign w:val="bottom"/>
            <w:gridSpan w:val="3"/>
            <w:shd w:val="clear" w:color="auto" w:fill="EEEEEE"/>
          </w:tcPr>
          <w:p>
            <w:pPr>
              <w:jc w:val="right"/>
              <w:ind w:right="248"/>
              <w:spacing w:after="0"/>
              <w:rPr>
                <w:sz w:val="20"/>
                <w:szCs w:val="20"/>
                <w:color w:val="auto"/>
              </w:rPr>
            </w:pPr>
            <w:r>
              <w:rPr>
                <w:rFonts w:ascii="Times New Roman" w:cs="Times New Roman" w:eastAsia="Times New Roman" w:hAnsi="Times New Roman"/>
                <w:sz w:val="18"/>
                <w:szCs w:val="18"/>
                <w:color w:val="auto"/>
              </w:rPr>
              <w:t>($14,549)</w:t>
            </w:r>
          </w:p>
        </w:tc>
        <w:tc>
          <w:tcPr>
            <w:tcW w:w="2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02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w w:val="96"/>
              </w:rPr>
              <w:t>($30,360)</w:t>
            </w:r>
          </w:p>
        </w:tc>
        <w:tc>
          <w:tcPr>
            <w:tcW w:w="480" w:type="dxa"/>
            <w:vAlign w:val="bottom"/>
            <w:tcBorders>
              <w:right w:val="single" w:sz="8" w:color="EEEEEE"/>
            </w:tcBorders>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92"/>
              </w:rPr>
              <w:t>49,983</w:t>
            </w:r>
          </w:p>
        </w:tc>
        <w:tc>
          <w:tcPr>
            <w:tcW w:w="80" w:type="dxa"/>
            <w:vAlign w:val="bottom"/>
            <w:shd w:val="clear" w:color="auto" w:fill="EEEEEE"/>
          </w:tcPr>
          <w:p>
            <w:pPr>
              <w:spacing w:after="0"/>
              <w:rPr>
                <w:sz w:val="18"/>
                <w:szCs w:val="18"/>
                <w:color w:val="auto"/>
              </w:rPr>
            </w:pPr>
          </w:p>
        </w:tc>
        <w:tc>
          <w:tcPr>
            <w:tcW w:w="1820" w:type="dxa"/>
            <w:vAlign w:val="bottom"/>
            <w:gridSpan w:val="5"/>
            <w:shd w:val="clear" w:color="auto" w:fill="EEEEEE"/>
          </w:tcPr>
          <w:p>
            <w:pPr>
              <w:jc w:val="right"/>
              <w:ind w:right="300"/>
              <w:spacing w:after="0"/>
              <w:rPr>
                <w:sz w:val="20"/>
                <w:szCs w:val="20"/>
                <w:color w:val="auto"/>
              </w:rPr>
            </w:pPr>
            <w:r>
              <w:rPr>
                <w:rFonts w:ascii="Times New Roman" w:cs="Times New Roman" w:eastAsia="Times New Roman" w:hAnsi="Times New Roman"/>
                <w:sz w:val="18"/>
                <w:szCs w:val="18"/>
                <w:color w:val="auto"/>
              </w:rPr>
              <w:t>($60,681)</w:t>
            </w: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3820" w:type="dxa"/>
            <w:vAlign w:val="bottom"/>
            <w:shd w:val="clear" w:color="auto" w:fill="EEEEEE"/>
          </w:tcPr>
          <w:p>
            <w:pPr>
              <w:spacing w:after="0"/>
              <w:rPr>
                <w:sz w:val="3"/>
                <w:szCs w:val="3"/>
                <w:color w:val="auto"/>
              </w:rPr>
            </w:pPr>
          </w:p>
        </w:tc>
        <w:tc>
          <w:tcPr>
            <w:tcW w:w="360" w:type="dxa"/>
            <w:vAlign w:val="bottom"/>
            <w:shd w:val="clear" w:color="auto" w:fill="EEEEEE"/>
          </w:tcPr>
          <w:p>
            <w:pPr>
              <w:spacing w:after="0"/>
              <w:rPr>
                <w:sz w:val="3"/>
                <w:szCs w:val="3"/>
                <w:color w:val="auto"/>
              </w:rPr>
            </w:pPr>
          </w:p>
        </w:tc>
        <w:tc>
          <w:tcPr>
            <w:tcW w:w="640" w:type="dxa"/>
            <w:vAlign w:val="bottom"/>
            <w:tcBorders>
              <w:bottom w:val="single" w:sz="8" w:color="808080"/>
            </w:tcBorders>
            <w:shd w:val="clear" w:color="auto" w:fill="808080"/>
          </w:tcPr>
          <w:p>
            <w:pPr>
              <w:spacing w:after="0"/>
              <w:rPr>
                <w:sz w:val="3"/>
                <w:szCs w:val="3"/>
                <w:color w:val="auto"/>
              </w:rPr>
            </w:pPr>
          </w:p>
        </w:tc>
        <w:tc>
          <w:tcPr>
            <w:tcW w:w="380" w:type="dxa"/>
            <w:vAlign w:val="bottom"/>
            <w:tcBorders>
              <w:left w:val="single" w:sz="8" w:color="808080"/>
            </w:tcBorders>
            <w:shd w:val="clear" w:color="auto" w:fill="EEEEEE"/>
          </w:tcPr>
          <w:p>
            <w:pPr>
              <w:spacing w:after="0"/>
              <w:rPr>
                <w:sz w:val="3"/>
                <w:szCs w:val="3"/>
                <w:color w:val="auto"/>
              </w:rPr>
            </w:pPr>
          </w:p>
        </w:tc>
        <w:tc>
          <w:tcPr>
            <w:tcW w:w="220" w:type="dxa"/>
            <w:vAlign w:val="bottom"/>
            <w:shd w:val="clear" w:color="auto" w:fill="EEEEEE"/>
          </w:tcPr>
          <w:p>
            <w:pPr>
              <w:spacing w:after="0"/>
              <w:rPr>
                <w:sz w:val="3"/>
                <w:szCs w:val="3"/>
                <w:color w:val="auto"/>
              </w:rPr>
            </w:pPr>
          </w:p>
        </w:tc>
        <w:tc>
          <w:tcPr>
            <w:tcW w:w="360" w:type="dxa"/>
            <w:vAlign w:val="bottom"/>
            <w:shd w:val="clear" w:color="auto" w:fill="EEEEEE"/>
          </w:tcPr>
          <w:p>
            <w:pPr>
              <w:spacing w:after="0"/>
              <w:rPr>
                <w:sz w:val="3"/>
                <w:szCs w:val="3"/>
                <w:color w:val="auto"/>
              </w:rPr>
            </w:pPr>
          </w:p>
        </w:tc>
        <w:tc>
          <w:tcPr>
            <w:tcW w:w="660" w:type="dxa"/>
            <w:vAlign w:val="bottom"/>
            <w:tcBorders>
              <w:bottom w:val="single" w:sz="8" w:color="808080"/>
            </w:tcBorders>
            <w:shd w:val="clear" w:color="auto" w:fill="808080"/>
          </w:tcPr>
          <w:p>
            <w:pPr>
              <w:spacing w:after="0"/>
              <w:rPr>
                <w:sz w:val="3"/>
                <w:szCs w:val="3"/>
                <w:color w:val="auto"/>
              </w:rPr>
            </w:pPr>
          </w:p>
        </w:tc>
        <w:tc>
          <w:tcPr>
            <w:tcW w:w="360" w:type="dxa"/>
            <w:vAlign w:val="bottom"/>
            <w:shd w:val="clear" w:color="auto" w:fill="EEEEEE"/>
          </w:tcPr>
          <w:p>
            <w:pPr>
              <w:spacing w:after="0"/>
              <w:rPr>
                <w:sz w:val="3"/>
                <w:szCs w:val="3"/>
                <w:color w:val="auto"/>
              </w:rPr>
            </w:pPr>
          </w:p>
        </w:tc>
        <w:tc>
          <w:tcPr>
            <w:tcW w:w="220" w:type="dxa"/>
            <w:vAlign w:val="bottom"/>
            <w:shd w:val="clear" w:color="auto" w:fill="EEEEEE"/>
          </w:tcPr>
          <w:p>
            <w:pPr>
              <w:spacing w:after="0"/>
              <w:rPr>
                <w:sz w:val="3"/>
                <w:szCs w:val="3"/>
                <w:color w:val="auto"/>
              </w:rPr>
            </w:pPr>
          </w:p>
        </w:tc>
        <w:tc>
          <w:tcPr>
            <w:tcW w:w="260" w:type="dxa"/>
            <w:vAlign w:val="bottom"/>
            <w:tcBorders>
              <w:right w:val="single" w:sz="8" w:color="808080"/>
            </w:tcBorders>
            <w:shd w:val="clear" w:color="auto" w:fill="EEEEEE"/>
          </w:tcPr>
          <w:p>
            <w:pPr>
              <w:spacing w:after="0"/>
              <w:rPr>
                <w:sz w:val="3"/>
                <w:szCs w:val="3"/>
                <w:color w:val="auto"/>
              </w:rPr>
            </w:pPr>
          </w:p>
        </w:tc>
        <w:tc>
          <w:tcPr>
            <w:tcW w:w="500" w:type="dxa"/>
            <w:vAlign w:val="bottom"/>
            <w:tcBorders>
              <w:bottom w:val="single" w:sz="8" w:color="808080"/>
            </w:tcBorders>
            <w:shd w:val="clear" w:color="auto" w:fill="808080"/>
          </w:tcPr>
          <w:p>
            <w:pPr>
              <w:spacing w:after="0"/>
              <w:rPr>
                <w:sz w:val="3"/>
                <w:szCs w:val="3"/>
                <w:color w:val="auto"/>
              </w:rPr>
            </w:pPr>
          </w:p>
        </w:tc>
        <w:tc>
          <w:tcPr>
            <w:tcW w:w="80" w:type="dxa"/>
            <w:vAlign w:val="bottom"/>
            <w:shd w:val="clear" w:color="auto" w:fill="EEEEEE"/>
          </w:tcPr>
          <w:p>
            <w:pPr>
              <w:spacing w:after="0"/>
              <w:rPr>
                <w:sz w:val="3"/>
                <w:szCs w:val="3"/>
                <w:color w:val="auto"/>
              </w:rPr>
            </w:pPr>
          </w:p>
        </w:tc>
        <w:tc>
          <w:tcPr>
            <w:tcW w:w="200" w:type="dxa"/>
            <w:vAlign w:val="bottom"/>
            <w:shd w:val="clear" w:color="auto" w:fill="EEEEEE"/>
          </w:tcPr>
          <w:p>
            <w:pPr>
              <w:spacing w:after="0"/>
              <w:rPr>
                <w:sz w:val="3"/>
                <w:szCs w:val="3"/>
                <w:color w:val="auto"/>
              </w:rPr>
            </w:pPr>
          </w:p>
        </w:tc>
        <w:tc>
          <w:tcPr>
            <w:tcW w:w="240" w:type="dxa"/>
            <w:vAlign w:val="bottom"/>
            <w:shd w:val="clear" w:color="auto" w:fill="EEEEEE"/>
          </w:tcPr>
          <w:p>
            <w:pPr>
              <w:spacing w:after="0"/>
              <w:rPr>
                <w:sz w:val="3"/>
                <w:szCs w:val="3"/>
                <w:color w:val="auto"/>
              </w:rPr>
            </w:pPr>
          </w:p>
        </w:tc>
        <w:tc>
          <w:tcPr>
            <w:tcW w:w="380" w:type="dxa"/>
            <w:vAlign w:val="bottom"/>
            <w:shd w:val="clear" w:color="auto" w:fill="EEEEEE"/>
          </w:tcPr>
          <w:p>
            <w:pPr>
              <w:spacing w:after="0"/>
              <w:rPr>
                <w:sz w:val="3"/>
                <w:szCs w:val="3"/>
                <w:color w:val="auto"/>
              </w:rPr>
            </w:pPr>
          </w:p>
        </w:tc>
        <w:tc>
          <w:tcPr>
            <w:tcW w:w="640" w:type="dxa"/>
            <w:vAlign w:val="bottom"/>
            <w:tcBorders>
              <w:bottom w:val="single" w:sz="8" w:color="808080"/>
            </w:tcBorders>
            <w:shd w:val="clear" w:color="auto" w:fill="808080"/>
          </w:tcPr>
          <w:p>
            <w:pPr>
              <w:spacing w:after="0"/>
              <w:rPr>
                <w:sz w:val="3"/>
                <w:szCs w:val="3"/>
                <w:color w:val="auto"/>
              </w:rPr>
            </w:pPr>
          </w:p>
        </w:tc>
        <w:tc>
          <w:tcPr>
            <w:tcW w:w="360" w:type="dxa"/>
            <w:vAlign w:val="bottom"/>
            <w:shd w:val="clear" w:color="auto" w:fill="EEEEEE"/>
          </w:tcPr>
          <w:p>
            <w:pPr>
              <w:spacing w:after="0"/>
              <w:rPr>
                <w:sz w:val="3"/>
                <w:szCs w:val="3"/>
                <w:color w:val="auto"/>
              </w:rPr>
            </w:pPr>
          </w:p>
        </w:tc>
        <w:tc>
          <w:tcPr>
            <w:tcW w:w="0" w:type="dxa"/>
            <w:vAlign w:val="bottom"/>
          </w:tcPr>
          <w:p>
            <w:pPr>
              <w:spacing w:after="0"/>
              <w:rPr>
                <w:sz w:val="1"/>
                <w:szCs w:val="1"/>
                <w:color w:val="auto"/>
              </w:rPr>
            </w:pPr>
          </w:p>
        </w:tc>
      </w:tr>
      <w:tr>
        <w:trPr>
          <w:trHeight w:val="240"/>
        </w:trPr>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 (loss) per share:</w:t>
            </w:r>
          </w:p>
        </w:tc>
        <w:tc>
          <w:tcPr>
            <w:tcW w:w="3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EEEEEE"/>
          </w:tcPr>
          <w:p>
            <w:pPr>
              <w:ind w:left="120"/>
              <w:spacing w:after="0"/>
              <w:rPr>
                <w:sz w:val="20"/>
                <w:szCs w:val="20"/>
                <w:color w:val="auto"/>
              </w:rPr>
            </w:pPr>
            <w:r>
              <w:rPr>
                <w:rFonts w:ascii="Times New Roman" w:cs="Times New Roman" w:eastAsia="Times New Roman" w:hAnsi="Times New Roman"/>
                <w:sz w:val="18"/>
                <w:szCs w:val="18"/>
                <w:color w:val="auto"/>
              </w:rPr>
              <w:t>Basic</w:t>
            </w:r>
          </w:p>
        </w:tc>
        <w:tc>
          <w:tcPr>
            <w:tcW w:w="1380" w:type="dxa"/>
            <w:vAlign w:val="bottom"/>
            <w:gridSpan w:val="3"/>
            <w:shd w:val="clear" w:color="auto" w:fill="EEEEEE"/>
          </w:tcPr>
          <w:p>
            <w:pPr>
              <w:jc w:val="right"/>
              <w:ind w:right="248"/>
              <w:spacing w:after="0"/>
              <w:rPr>
                <w:sz w:val="20"/>
                <w:szCs w:val="20"/>
                <w:color w:val="auto"/>
              </w:rPr>
            </w:pPr>
            <w:r>
              <w:rPr>
                <w:rFonts w:ascii="Times New Roman" w:cs="Times New Roman" w:eastAsia="Times New Roman" w:hAnsi="Times New Roman"/>
                <w:sz w:val="18"/>
                <w:szCs w:val="18"/>
                <w:color w:val="auto"/>
              </w:rPr>
              <w:t>($0.26)</w:t>
            </w:r>
          </w:p>
        </w:tc>
        <w:tc>
          <w:tcPr>
            <w:tcW w:w="2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02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($0.61)</w:t>
            </w:r>
          </w:p>
        </w:tc>
        <w:tc>
          <w:tcPr>
            <w:tcW w:w="480" w:type="dxa"/>
            <w:vAlign w:val="bottom"/>
            <w:tcBorders>
              <w:right w:val="single" w:sz="8" w:color="EEEEEE"/>
            </w:tcBorders>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0.90</w:t>
            </w:r>
          </w:p>
        </w:tc>
        <w:tc>
          <w:tcPr>
            <w:tcW w:w="80" w:type="dxa"/>
            <w:vAlign w:val="bottom"/>
            <w:shd w:val="clear" w:color="auto" w:fill="EEEEEE"/>
          </w:tcPr>
          <w:p>
            <w:pPr>
              <w:spacing w:after="0"/>
              <w:rPr>
                <w:sz w:val="18"/>
                <w:szCs w:val="18"/>
                <w:color w:val="auto"/>
              </w:rPr>
            </w:pPr>
          </w:p>
        </w:tc>
        <w:tc>
          <w:tcPr>
            <w:tcW w:w="1820" w:type="dxa"/>
            <w:vAlign w:val="bottom"/>
            <w:gridSpan w:val="5"/>
            <w:shd w:val="clear" w:color="auto" w:fill="EEEEEE"/>
          </w:tcPr>
          <w:p>
            <w:pPr>
              <w:jc w:val="right"/>
              <w:ind w:right="300"/>
              <w:spacing w:after="0"/>
              <w:rPr>
                <w:sz w:val="20"/>
                <w:szCs w:val="20"/>
                <w:color w:val="auto"/>
              </w:rPr>
            </w:pPr>
            <w:r>
              <w:rPr>
                <w:rFonts w:ascii="Times New Roman" w:cs="Times New Roman" w:eastAsia="Times New Roman" w:hAnsi="Times New Roman"/>
                <w:sz w:val="18"/>
                <w:szCs w:val="18"/>
                <w:color w:val="auto"/>
              </w:rPr>
              <w:t>($1.29)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Diluted</w:t>
            </w:r>
          </w:p>
        </w:tc>
        <w:tc>
          <w:tcPr>
            <w:tcW w:w="1380" w:type="dxa"/>
            <w:vAlign w:val="bottom"/>
            <w:gridSpan w:val="3"/>
          </w:tcPr>
          <w:p>
            <w:pPr>
              <w:jc w:val="right"/>
              <w:ind w:right="248"/>
              <w:spacing w:after="0"/>
              <w:rPr>
                <w:sz w:val="20"/>
                <w:szCs w:val="20"/>
                <w:color w:val="auto"/>
              </w:rPr>
            </w:pPr>
            <w:r>
              <w:rPr>
                <w:rFonts w:ascii="Times New Roman" w:cs="Times New Roman" w:eastAsia="Times New Roman" w:hAnsi="Times New Roman"/>
                <w:sz w:val="18"/>
                <w:szCs w:val="18"/>
                <w:color w:val="auto"/>
              </w:rPr>
              <w:t>($0.26)</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($0.61)</w:t>
            </w: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0.88</w:t>
            </w:r>
          </w:p>
        </w:tc>
        <w:tc>
          <w:tcPr>
            <w:tcW w:w="80" w:type="dxa"/>
            <w:vAlign w:val="bottom"/>
          </w:tcPr>
          <w:p>
            <w:pPr>
              <w:spacing w:after="0"/>
              <w:rPr>
                <w:sz w:val="18"/>
                <w:szCs w:val="18"/>
                <w:color w:val="auto"/>
              </w:rPr>
            </w:pPr>
          </w:p>
        </w:tc>
        <w:tc>
          <w:tcPr>
            <w:tcW w:w="1820" w:type="dxa"/>
            <w:vAlign w:val="bottom"/>
            <w:gridSpan w:val="5"/>
          </w:tcPr>
          <w:p>
            <w:pPr>
              <w:jc w:val="right"/>
              <w:ind w:right="300"/>
              <w:spacing w:after="0"/>
              <w:rPr>
                <w:sz w:val="20"/>
                <w:szCs w:val="20"/>
                <w:color w:val="auto"/>
              </w:rPr>
            </w:pPr>
            <w:r>
              <w:rPr>
                <w:rFonts w:ascii="Times New Roman" w:cs="Times New Roman" w:eastAsia="Times New Roman" w:hAnsi="Times New Roman"/>
                <w:sz w:val="18"/>
                <w:szCs w:val="18"/>
                <w:color w:val="auto"/>
              </w:rPr>
              <w:t>($1.29)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36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380" w:type="dxa"/>
            <w:vAlign w:val="bottom"/>
            <w:tcBorders>
              <w:left w:val="single" w:sz="8" w:color="EEEEEE"/>
            </w:tcBorders>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60" w:type="dxa"/>
            <w:vAlign w:val="bottom"/>
            <w:tcBorders>
              <w:right w:val="single" w:sz="8" w:color="EEEEEE"/>
            </w:tcBorders>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Basic</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55,383</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49,566</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2"/>
              </w:rPr>
              <w:t>55,333</w:t>
            </w:r>
          </w:p>
        </w:tc>
        <w:tc>
          <w:tcPr>
            <w:tcW w:w="80" w:type="dxa"/>
            <w:vAlign w:val="bottom"/>
          </w:tcPr>
          <w:p>
            <w:pPr>
              <w:spacing w:after="0"/>
              <w:rPr>
                <w:sz w:val="18"/>
                <w:szCs w:val="18"/>
                <w:color w:val="auto"/>
              </w:rPr>
            </w:pPr>
          </w:p>
        </w:tc>
        <w:tc>
          <w:tcPr>
            <w:tcW w:w="14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46,937</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EEEEEE"/>
          </w:tcPr>
          <w:p>
            <w:pPr>
              <w:ind w:left="120"/>
              <w:spacing w:after="0"/>
              <w:rPr>
                <w:sz w:val="20"/>
                <w:szCs w:val="20"/>
                <w:color w:val="auto"/>
              </w:rPr>
            </w:pPr>
            <w:r>
              <w:rPr>
                <w:rFonts w:ascii="Times New Roman" w:cs="Times New Roman" w:eastAsia="Times New Roman" w:hAnsi="Times New Roman"/>
                <w:sz w:val="18"/>
                <w:szCs w:val="18"/>
                <w:color w:val="auto"/>
              </w:rPr>
              <w:t>Diluted</w:t>
            </w:r>
          </w:p>
        </w:tc>
        <w:tc>
          <w:tcPr>
            <w:tcW w:w="100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55,383</w:t>
            </w:r>
          </w:p>
        </w:tc>
        <w:tc>
          <w:tcPr>
            <w:tcW w:w="380" w:type="dxa"/>
            <w:vAlign w:val="bottom"/>
            <w:tcBorders>
              <w:left w:val="single" w:sz="8" w:color="EEEEEE"/>
            </w:tcBorders>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6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49,566</w:t>
            </w:r>
          </w:p>
        </w:tc>
        <w:tc>
          <w:tcPr>
            <w:tcW w:w="3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60" w:type="dxa"/>
            <w:vAlign w:val="bottom"/>
            <w:tcBorders>
              <w:right w:val="single" w:sz="8" w:color="EEEEEE"/>
            </w:tcBorders>
            <w:shd w:val="clear" w:color="auto" w:fill="EEEEEE"/>
          </w:tcPr>
          <w:p>
            <w:pPr>
              <w:spacing w:after="0"/>
              <w:rPr>
                <w:sz w:val="18"/>
                <w:szCs w:val="18"/>
                <w:color w:val="auto"/>
              </w:rPr>
            </w:pPr>
          </w:p>
        </w:tc>
        <w:tc>
          <w:tcPr>
            <w:tcW w:w="5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92"/>
              </w:rPr>
              <w:t>63,208</w:t>
            </w:r>
          </w:p>
        </w:tc>
        <w:tc>
          <w:tcPr>
            <w:tcW w:w="80" w:type="dxa"/>
            <w:vAlign w:val="bottom"/>
            <w:shd w:val="clear" w:color="auto" w:fill="EEEEEE"/>
          </w:tcPr>
          <w:p>
            <w:pPr>
              <w:spacing w:after="0"/>
              <w:rPr>
                <w:sz w:val="18"/>
                <w:szCs w:val="18"/>
                <w:color w:val="auto"/>
              </w:rPr>
            </w:pPr>
          </w:p>
        </w:tc>
        <w:tc>
          <w:tcPr>
            <w:tcW w:w="1460" w:type="dxa"/>
            <w:vAlign w:val="bottom"/>
            <w:gridSpan w:val="4"/>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46,937</w:t>
            </w:r>
          </w:p>
        </w:tc>
        <w:tc>
          <w:tcPr>
            <w:tcW w:w="3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9700"/>
      </w:cols>
      <w:pgMar w:left="1100" w:top="927" w:right="10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2019-12-20T02:27:26Z</dcterms:created>
  <dcterms:modified xsi:type="dcterms:W3CDTF">2019-12-20T02:27:26Z</dcterms:modified>
</cp:coreProperties>
</file>