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SCHEDULE 14A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Proxy Statement Pursuant to Section 14(a) of the</w:t>
        <w:br/>
        <w:t>Securities Exchange Act of 1934 (Amendment No.  )</w:t>
      </w:r>
    </w:p>
    <w:tbl>
      <w:tblPr>
        <w:tblW w:w="64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689"/>
        <w:gridCol w:w="689"/>
        <w:gridCol w:w="691"/>
        <w:gridCol w:w="109"/>
        <w:gridCol w:w="109"/>
        <w:gridCol w:w="109"/>
        <w:gridCol w:w="1083"/>
        <w:gridCol w:w="1083"/>
        <w:gridCol w:w="153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20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Filed by the Registrant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7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Filed by a party other than the Registrant</w:t>
            </w:r>
          </w:p>
        </w:tc>
      </w:tr>
    </w:tbl>
    <w:p>
      <w:pPr>
        <w:pStyle w:val="TextBody"/>
        <w:bidi w:val="0"/>
        <w:spacing w:before="0" w:after="0"/>
        <w:jc w:val="both"/>
        <w:rPr/>
      </w:pPr>
      <w:r>
        <w:rPr/>
      </w:r>
    </w:p>
    <w:tbl>
      <w:tblPr>
        <w:tblW w:w="86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1"/>
        <w:gridCol w:w="502"/>
        <w:gridCol w:w="502"/>
        <w:gridCol w:w="2055"/>
        <w:gridCol w:w="2055"/>
        <w:gridCol w:w="2939"/>
      </w:tblGrid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24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200" w:after="120"/>
        <w:jc w:val="center"/>
        <w:rPr/>
      </w:pPr>
      <w:r>
        <w:rPr/>
        <w:drawing>
          <wp:inline distT="0" distB="0" distL="0" distR="0">
            <wp:extent cx="1828800" cy="2095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REGENERON PHARMACEUTICALS, INC.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15"/>
        </w:rPr>
      </w:pPr>
      <w:r>
        <w:rPr>
          <w:rFonts w:ascii="Arial;sans-serif" w:hAnsi="Arial;sans-serif"/>
          <w:b w:val="false"/>
          <w:color w:val="000000"/>
          <w:sz w:val="15"/>
        </w:rPr>
        <w:t>(Name of Registrant as Specified In Its Charter)</w:t>
        <w:br/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4"/>
        <w:gridCol w:w="793"/>
        <w:gridCol w:w="793"/>
        <w:gridCol w:w="2292"/>
        <w:gridCol w:w="2217"/>
        <w:gridCol w:w="3206"/>
      </w:tblGrid>
      <w:tr>
        <w:trPr/>
        <w:tc>
          <w:tcPr>
            <w:tcW w:w="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135</Words>
  <Characters>736</Characters>
  <CharactersWithSpaces>845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