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Regeneron Pharmaceuticals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#75886F107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661,600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6,381,228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6,381,228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12.045%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6,381,228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6,381,228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12.045%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6,381,228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6,381,228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12.045%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Regeneron Pharmaceuticals</w:t>
      </w:r>
    </w:p>
    <w:p>
      <w:pPr>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777 Old Saw Mill River Road</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244" w:right="1440" w:bottom="0" w:gutter="0" w:footer="0" w:header="0"/>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75886F107</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6,381,228</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12.045%</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661,600</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6,381,228</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Regeneron Pharmaceuticals Incorporated. The interest of one person, Fidelity Growth Company Fund, an investment company registered under the Investment Company Act of 1940, in the Common Stock of Regeneron Pharmaceuticals Incorporated, amounted to</w:t>
      </w:r>
    </w:p>
    <w:p>
      <w:pPr>
        <w:spacing w:after="0" w:line="9"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4,971,100 shares or 9.384% of the total outstanding Common Stock at December 31, 2003.</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419"/>
        <w:spacing w:after="0" w:line="290" w:lineRule="auto"/>
        <w:rPr>
          <w:sz w:val="20"/>
          <w:szCs w:val="20"/>
          <w:color w:val="auto"/>
        </w:rPr>
      </w:pPr>
      <w:r>
        <w:rPr>
          <w:rFonts w:ascii="Courier New" w:cs="Courier New" w:eastAsia="Courier New" w:hAnsi="Courier New"/>
          <w:sz w:val="16"/>
          <w:szCs w:val="16"/>
          <w:color w:val="auto"/>
        </w:rPr>
        <w:t>the Common Stock of Regeneron Pharmaceuticals Incorporated at December 31, 2003 is true, complete and</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correct.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16, 2004</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5,719,628 shares or 10.797% of the Common Stock</w:t>
      </w:r>
    </w:p>
    <w:p>
      <w:pPr>
        <w:spacing w:after="0"/>
        <w:rPr>
          <w:sz w:val="20"/>
          <w:szCs w:val="20"/>
          <w:color w:val="auto"/>
        </w:rPr>
      </w:pPr>
      <w:r>
        <w:rPr>
          <w:rFonts w:ascii="Courier New" w:cs="Courier New" w:eastAsia="Courier New" w:hAnsi="Courier New"/>
          <w:sz w:val="18"/>
          <w:szCs w:val="18"/>
          <w:color w:val="auto"/>
        </w:rPr>
        <w:t>outstanding of Regeneron Pharmaceuticals Incorporated</w:t>
      </w:r>
    </w:p>
    <w:p>
      <w:pPr>
        <w:spacing w:after="0" w:line="237" w:lineRule="auto"/>
        <w:rPr>
          <w:sz w:val="20"/>
          <w:szCs w:val="20"/>
          <w:color w:val="auto"/>
        </w:rPr>
      </w:pPr>
      <w:r>
        <w:rPr>
          <w:rFonts w:ascii="Courier New" w:cs="Courier New" w:eastAsia="Courier New" w:hAnsi="Courier New"/>
          <w:sz w:val="18"/>
          <w:szCs w:val="18"/>
          <w:color w:val="auto"/>
        </w:rPr>
        <w:t>("the Company") as a result of acting as investment adviser</w:t>
      </w:r>
    </w:p>
    <w:p>
      <w:pPr>
        <w:spacing w:after="0"/>
        <w:rPr>
          <w:sz w:val="20"/>
          <w:szCs w:val="20"/>
          <w:color w:val="auto"/>
        </w:rPr>
      </w:pPr>
      <w:r>
        <w:rPr>
          <w:rFonts w:ascii="Courier New" w:cs="Courier New" w:eastAsia="Courier New" w:hAnsi="Courier New"/>
          <w:sz w:val="18"/>
          <w:szCs w:val="18"/>
          <w:color w:val="auto"/>
        </w:rPr>
        <w:t>to various investment companies registered under Section 8</w:t>
      </w:r>
    </w:p>
    <w:p>
      <w:pPr>
        <w:spacing w:after="0" w:line="237" w:lineRule="auto"/>
        <w:rPr>
          <w:sz w:val="20"/>
          <w:szCs w:val="20"/>
          <w:color w:val="auto"/>
        </w:rPr>
      </w:pPr>
      <w:r>
        <w:rPr>
          <w:rFonts w:ascii="Courier New" w:cs="Courier New" w:eastAsia="Courier New" w:hAnsi="Courier New"/>
          <w:sz w:val="18"/>
          <w:szCs w:val="18"/>
          <w:color w:val="auto"/>
        </w:rPr>
        <w:t>of the Investment Company Act of 1940. The number of</w:t>
      </w:r>
    </w:p>
    <w:p>
      <w:pPr>
        <w:spacing w:after="0" w:line="238" w:lineRule="auto"/>
        <w:rPr>
          <w:sz w:val="20"/>
          <w:szCs w:val="20"/>
          <w:color w:val="auto"/>
        </w:rPr>
      </w:pPr>
      <w:r>
        <w:rPr>
          <w:rFonts w:ascii="Courier New" w:cs="Courier New" w:eastAsia="Courier New" w:hAnsi="Courier New"/>
          <w:sz w:val="18"/>
          <w:szCs w:val="18"/>
          <w:color w:val="auto"/>
        </w:rPr>
        <w:t>shares of Common Stock of Regeneron Pharmaceuticals</w:t>
      </w:r>
    </w:p>
    <w:p>
      <w:pPr>
        <w:spacing w:after="0"/>
        <w:rPr>
          <w:sz w:val="20"/>
          <w:szCs w:val="20"/>
          <w:color w:val="auto"/>
        </w:rPr>
      </w:pPr>
      <w:r>
        <w:rPr>
          <w:rFonts w:ascii="Courier New" w:cs="Courier New" w:eastAsia="Courier New" w:hAnsi="Courier New"/>
          <w:sz w:val="18"/>
          <w:szCs w:val="18"/>
          <w:color w:val="auto"/>
        </w:rPr>
        <w:t>Incorporated owned by the investment companies at</w:t>
      </w:r>
    </w:p>
    <w:p>
      <w:pPr>
        <w:spacing w:after="0" w:line="237" w:lineRule="auto"/>
        <w:rPr>
          <w:sz w:val="20"/>
          <w:szCs w:val="20"/>
          <w:color w:val="auto"/>
        </w:rPr>
      </w:pPr>
      <w:r>
        <w:rPr>
          <w:rFonts w:ascii="Courier New" w:cs="Courier New" w:eastAsia="Courier New" w:hAnsi="Courier New"/>
          <w:sz w:val="18"/>
          <w:szCs w:val="18"/>
          <w:color w:val="auto"/>
        </w:rPr>
        <w:t>December 31, 2003 included 66,113 shares of Common</w:t>
      </w:r>
    </w:p>
    <w:p>
      <w:pPr>
        <w:spacing w:after="0" w:line="5" w:lineRule="exact"/>
        <w:rPr>
          <w:sz w:val="20"/>
          <w:szCs w:val="20"/>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Stock resulting from the assumed conversion of $2,000,000 principal amount of REGENERON PHAR CV 5.5 10/17/08</w:t>
      </w:r>
    </w:p>
    <w:p>
      <w:pPr>
        <w:ind w:right="4199"/>
        <w:spacing w:after="0" w:line="235" w:lineRule="auto"/>
        <w:rPr>
          <w:sz w:val="20"/>
          <w:szCs w:val="20"/>
          <w:color w:val="auto"/>
        </w:rPr>
      </w:pPr>
      <w:r>
        <w:rPr>
          <w:rFonts w:ascii="Courier New" w:cs="Courier New" w:eastAsia="Courier New" w:hAnsi="Courier New"/>
          <w:sz w:val="18"/>
          <w:szCs w:val="18"/>
          <w:color w:val="auto"/>
        </w:rPr>
        <w:t>(33.0565 shares of Common Stock for each $1,000 principal amount of debenture).</w:t>
      </w:r>
    </w:p>
    <w:p>
      <w:pPr>
        <w:spacing w:after="0" w:line="208" w:lineRule="exact"/>
        <w:rPr>
          <w:sz w:val="20"/>
          <w:szCs w:val="20"/>
          <w:color w:val="auto"/>
        </w:rPr>
      </w:pPr>
    </w:p>
    <w:p>
      <w:pPr>
        <w:ind w:right="4199" w:firstLine="843"/>
        <w:spacing w:after="0" w:line="268" w:lineRule="auto"/>
        <w:rPr>
          <w:sz w:val="20"/>
          <w:szCs w:val="20"/>
          <w:color w:val="auto"/>
        </w:rPr>
      </w:pPr>
      <w:r>
        <w:rPr>
          <w:rFonts w:ascii="Courier New" w:cs="Courier New" w:eastAsia="Courier New" w:hAnsi="Courier New"/>
          <w:sz w:val="16"/>
          <w:szCs w:val="16"/>
          <w:color w:val="auto"/>
        </w:rPr>
        <w:t>The ownership of one investment company, Fidelity Growth Company Fund, amounted to 4,971,100 shares or</w:t>
      </w:r>
    </w:p>
    <w:p>
      <w:pPr>
        <w:ind w:right="4419"/>
        <w:spacing w:after="0" w:line="236" w:lineRule="auto"/>
        <w:rPr>
          <w:sz w:val="20"/>
          <w:szCs w:val="20"/>
          <w:color w:val="auto"/>
        </w:rPr>
      </w:pPr>
      <w:r>
        <w:rPr>
          <w:rFonts w:ascii="Courier New" w:cs="Courier New" w:eastAsia="Courier New" w:hAnsi="Courier New"/>
          <w:sz w:val="18"/>
          <w:szCs w:val="18"/>
          <w:color w:val="auto"/>
        </w:rPr>
        <w:t>9.384% of the Common Stock outstanding. Fidelity Growth Company Fund has its principal business office at 82 Devonshire Street, Boston, Massachusetts 02109.</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5,719,628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403,000 shares or 0.761%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403,000 shares and sole power to</w:t>
      </w:r>
    </w:p>
    <w:p>
      <w:pPr>
        <w:spacing w:after="0" w:line="237" w:lineRule="auto"/>
        <w:rPr>
          <w:sz w:val="20"/>
          <w:szCs w:val="20"/>
          <w:color w:val="auto"/>
        </w:rPr>
      </w:pPr>
      <w:r>
        <w:rPr>
          <w:rFonts w:ascii="Courier New" w:cs="Courier New" w:eastAsia="Courier New" w:hAnsi="Courier New"/>
          <w:sz w:val="18"/>
          <w:szCs w:val="18"/>
          <w:color w:val="auto"/>
        </w:rPr>
        <w:t>vote or to direct the voting of 403,000 shares of Common</w:t>
      </w:r>
    </w:p>
    <w:p>
      <w:pPr>
        <w:spacing w:after="0" w:line="238" w:lineRule="auto"/>
        <w:rPr>
          <w:sz w:val="20"/>
          <w:szCs w:val="20"/>
          <w:color w:val="auto"/>
        </w:rPr>
      </w:pPr>
      <w:r>
        <w:rPr>
          <w:rFonts w:ascii="Courier New" w:cs="Courier New" w:eastAsia="Courier New" w:hAnsi="Courier New"/>
          <w:sz w:val="18"/>
          <w:szCs w:val="18"/>
          <w:color w:val="auto"/>
        </w:rPr>
        <w:t>Stock owned by the institutional account(s) as reported</w:t>
      </w:r>
    </w:p>
    <w:p>
      <w:pPr>
        <w:spacing w:after="0"/>
        <w:rPr>
          <w:sz w:val="20"/>
          <w:szCs w:val="20"/>
          <w:color w:val="auto"/>
        </w:rPr>
      </w:pPr>
      <w:r>
        <w:rPr>
          <w:rFonts w:ascii="Courier New" w:cs="Courier New" w:eastAsia="Courier New" w:hAnsi="Courier New"/>
          <w:sz w:val="18"/>
          <w:szCs w:val="18"/>
          <w:color w:val="auto"/>
        </w:rPr>
        <w:t>above.</w:t>
      </w:r>
    </w:p>
    <w:p>
      <w:pPr>
        <w:spacing w:after="0" w:line="206" w:lineRule="exact"/>
        <w:rPr>
          <w:sz w:val="20"/>
          <w:szCs w:val="20"/>
          <w:color w:val="auto"/>
        </w:rPr>
      </w:pPr>
    </w:p>
    <w:p>
      <w:pPr>
        <w:ind w:right="4099" w:firstLine="843"/>
        <w:spacing w:after="0" w:line="237"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w:t>
      </w:r>
    </w:p>
    <w:p>
      <w:pPr>
        <w:sectPr>
          <w:pgSz w:w="11900" w:h="16838" w:orient="portrait"/>
          <w:cols w:equalWidth="0" w:num="1">
            <w:col w:w="10219"/>
          </w:cols>
          <w:pgMar w:left="240" w:top="136" w:right="1440" w:bottom="0" w:gutter="0" w:footer="0" w:header="0"/>
        </w:sectPr>
      </w:pPr>
    </w:p>
    <w:bookmarkStart w:id="3" w:name="page4"/>
    <w:bookmarkEnd w:id="3"/>
    <w:p>
      <w:pPr>
        <w:ind w:right="4199"/>
        <w:spacing w:after="0" w:line="237" w:lineRule="auto"/>
        <w:rPr>
          <w:sz w:val="20"/>
          <w:szCs w:val="20"/>
          <w:color w:val="auto"/>
        </w:rPr>
      </w:pPr>
      <w:r>
        <w:rPr>
          <w:rFonts w:ascii="Courier New" w:cs="Courier New" w:eastAsia="Courier New" w:hAnsi="Courier New"/>
          <w:sz w:val="18"/>
          <w:szCs w:val="18"/>
          <w:color w:val="auto"/>
        </w:rPr>
        <w:t>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11" w:lineRule="exact"/>
        <w:rPr>
          <w:sz w:val="20"/>
          <w:szCs w:val="20"/>
          <w:color w:val="auto"/>
        </w:rPr>
      </w:pPr>
    </w:p>
    <w:p>
      <w:pPr>
        <w:ind w:right="3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258,600 shares or 0.488% of the Common Stock outstanding of the Company. Additional information with respect to the beneficial ownership of Fidelity International Limited is shown on 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258,600 shares or 0.488% of the Common Stock outstanding of Regeneron Pharmaceuticals Incorporated.</w:t>
      </w:r>
    </w:p>
    <w:p>
      <w:pPr>
        <w:spacing w:after="0" w:line="211"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10" w:lineRule="exact"/>
        <w:rPr>
          <w:sz w:val="20"/>
          <w:szCs w:val="20"/>
          <w:color w:val="auto"/>
        </w:rPr>
      </w:pPr>
    </w:p>
    <w:p>
      <w:pPr>
        <w:ind w:right="3679" w:firstLine="843"/>
        <w:spacing w:after="0" w:line="279"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w:t>
      </w:r>
    </w:p>
    <w:p>
      <w:pPr>
        <w:sectPr>
          <w:pgSz w:w="11900" w:h="16838" w:orient="portrait"/>
          <w:cols w:equalWidth="0" w:num="1">
            <w:col w:w="10219"/>
          </w:cols>
          <w:pgMar w:left="240" w:top="142" w:right="1440" w:bottom="0" w:gutter="0" w:footer="0" w:header="0"/>
        </w:sectPr>
      </w:pPr>
    </w:p>
    <w:bookmarkStart w:id="4" w:name="page5"/>
    <w:bookmarkEnd w:id="4"/>
    <w:p>
      <w:pPr>
        <w:ind w:right="3679"/>
        <w:spacing w:after="0" w:line="237" w:lineRule="auto"/>
        <w:rPr>
          <w:sz w:val="20"/>
          <w:szCs w:val="20"/>
          <w:color w:val="auto"/>
        </w:rPr>
      </w:pPr>
      <w:r>
        <w:rPr>
          <w:rFonts w:ascii="Courier New" w:cs="Courier New" w:eastAsia="Courier New" w:hAnsi="Courier New"/>
          <w:sz w:val="18"/>
          <w:szCs w:val="18"/>
          <w:color w:val="auto"/>
        </w:rPr>
        <w:t>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1"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1" w:lineRule="exact"/>
        <w:rPr>
          <w:sz w:val="20"/>
          <w:szCs w:val="20"/>
          <w:color w:val="auto"/>
        </w:rPr>
      </w:pPr>
    </w:p>
    <w:p>
      <w:pPr>
        <w:ind w:right="3779"/>
        <w:spacing w:after="0" w:line="272"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86"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258,600 shares.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16, 2004, agree and consent to the joint filing on their behalf of this Schedule 13G in connection with their beneficial ownership of the Common Stock of Regeneron Pharmaceuticals Incorporated at December 31, 2003.</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Growth Company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10219"/>
          </w:cols>
          <w:pgMar w:left="240" w:top="142" w:right="1440"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2019-12-19T21:21:50Z</dcterms:created>
  <dcterms:modified xsi:type="dcterms:W3CDTF">2019-12-19T21:21:50Z</dcterms:modified>
</cp:coreProperties>
</file>