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40"/>
        <w:spacing w:after="0"/>
        <w:rPr>
          <w:sz w:val="20"/>
          <w:szCs w:val="20"/>
          <w:color w:val="auto"/>
        </w:rPr>
      </w:pPr>
      <w:r>
        <w:rPr>
          <w:rFonts w:ascii="Courier New" w:cs="Courier New" w:eastAsia="Courier New" w:hAnsi="Courier New"/>
          <w:sz w:val="17"/>
          <w:szCs w:val="17"/>
          <w:color w:val="auto"/>
        </w:rPr>
        <w:t>Filed pursuant to Rule No. 424(b)(3)</w:t>
      </w:r>
    </w:p>
    <w:p>
      <w:pPr>
        <w:spacing w:after="0" w:line="9" w:lineRule="exact"/>
        <w:rPr>
          <w:sz w:val="24"/>
          <w:szCs w:val="24"/>
          <w:color w:val="auto"/>
        </w:rPr>
      </w:pPr>
    </w:p>
    <w:p>
      <w:pPr>
        <w:jc w:val="right"/>
        <w:ind w:right="3140"/>
        <w:spacing w:after="0"/>
        <w:rPr>
          <w:sz w:val="20"/>
          <w:szCs w:val="20"/>
          <w:color w:val="auto"/>
        </w:rPr>
      </w:pPr>
      <w:r>
        <w:rPr>
          <w:rFonts w:ascii="Courier New" w:cs="Courier New" w:eastAsia="Courier New" w:hAnsi="Courier New"/>
          <w:sz w:val="17"/>
          <w:szCs w:val="17"/>
          <w:color w:val="auto"/>
        </w:rPr>
        <w:t>File Number 333-74464</w:t>
      </w:r>
    </w:p>
    <w:p>
      <w:pPr>
        <w:spacing w:after="0" w:line="200" w:lineRule="exact"/>
        <w:rPr>
          <w:sz w:val="24"/>
          <w:szCs w:val="24"/>
          <w:color w:val="auto"/>
        </w:rPr>
      </w:pPr>
    </w:p>
    <w:p>
      <w:pPr>
        <w:spacing w:after="0" w:line="21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PROSPECTUS SUPPLEMENT NO. 2</w:t>
      </w:r>
    </w:p>
    <w:p>
      <w:pPr>
        <w:spacing w:after="0" w:line="9"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REGENERON PHARMACEUTICALS, INC.</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$200,000,000</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5.50% CONVERTIBLE SENIOR SUBORDINATED NOTES DUE 2008</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AND SHARES OF COMMON STOCK ISSUABLE UPON CONVERSION OF THE NOTES</w:t>
      </w:r>
    </w:p>
    <w:p>
      <w:pPr>
        <w:spacing w:after="0" w:line="200" w:lineRule="exact"/>
        <w:rPr>
          <w:sz w:val="24"/>
          <w:szCs w:val="24"/>
          <w:color w:val="auto"/>
        </w:rPr>
      </w:pPr>
    </w:p>
    <w:p>
      <w:pPr>
        <w:spacing w:after="0" w:line="212" w:lineRule="exact"/>
        <w:rPr>
          <w:sz w:val="24"/>
          <w:szCs w:val="24"/>
          <w:color w:val="auto"/>
        </w:rPr>
      </w:pPr>
    </w:p>
    <w:p>
      <w:pPr>
        <w:ind w:right="3140" w:firstLine="943"/>
        <w:spacing w:after="0" w:line="251" w:lineRule="auto"/>
        <w:rPr>
          <w:sz w:val="20"/>
          <w:szCs w:val="20"/>
          <w:color w:val="auto"/>
        </w:rPr>
      </w:pPr>
      <w:r>
        <w:rPr>
          <w:rFonts w:ascii="Courier New" w:cs="Courier New" w:eastAsia="Courier New" w:hAnsi="Courier New"/>
          <w:sz w:val="17"/>
          <w:szCs w:val="17"/>
          <w:color w:val="auto"/>
        </w:rPr>
        <w:t>This prospectus supplement supplements the prospectus dated January 24, 2002 of Regeneron Pharmaceuticals, Inc. relating to the sale by certain of our securityholders (including their pledgees,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01" w:lineRule="exact"/>
        <w:rPr>
          <w:sz w:val="24"/>
          <w:szCs w:val="24"/>
          <w:color w:val="auto"/>
        </w:rPr>
      </w:pPr>
    </w:p>
    <w:p>
      <w:pPr>
        <w:ind w:right="3560" w:firstLine="943"/>
        <w:spacing w:after="0" w:line="257" w:lineRule="auto"/>
        <w:rPr>
          <w:sz w:val="20"/>
          <w:szCs w:val="20"/>
          <w:color w:val="auto"/>
        </w:rPr>
      </w:pPr>
      <w:r>
        <w:rPr>
          <w:rFonts w:ascii="Courier New" w:cs="Courier New" w:eastAsia="Courier New" w:hAnsi="Courier New"/>
          <w:sz w:val="17"/>
          <w:szCs w:val="17"/>
          <w:color w:val="auto"/>
        </w:rPr>
        <w:t>The table of selling securityholders contained in the prospectus is hereby modified as follows:</w:t>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30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Aggregate Principal</w:t>
            </w:r>
          </w:p>
        </w:tc>
        <w:tc>
          <w:tcPr>
            <w:tcW w:w="1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2420" w:type="dxa"/>
            <w:vAlign w:val="bottom"/>
          </w:tcPr>
          <w:p>
            <w:pPr>
              <w:spacing w:after="0"/>
              <w:rPr>
                <w:sz w:val="17"/>
                <w:szCs w:val="17"/>
                <w:color w:val="auto"/>
              </w:rPr>
            </w:pPr>
          </w:p>
        </w:tc>
        <w:tc>
          <w:tcPr>
            <w:tcW w:w="30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Amount at</w:t>
            </w:r>
          </w:p>
        </w:tc>
        <w:tc>
          <w:tcPr>
            <w:tcW w:w="19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Number of</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Percentage of</w:t>
            </w:r>
          </w:p>
        </w:tc>
      </w:tr>
      <w:tr>
        <w:trPr>
          <w:trHeight w:val="201"/>
        </w:trPr>
        <w:tc>
          <w:tcPr>
            <w:tcW w:w="2420" w:type="dxa"/>
            <w:vAlign w:val="bottom"/>
          </w:tcPr>
          <w:p>
            <w:pPr>
              <w:spacing w:after="0"/>
              <w:rPr>
                <w:sz w:val="17"/>
                <w:szCs w:val="17"/>
                <w:color w:val="auto"/>
              </w:rPr>
            </w:pPr>
          </w:p>
        </w:tc>
        <w:tc>
          <w:tcPr>
            <w:tcW w:w="30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Maturity of the</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Percentage of</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of Common</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Shares of</w:t>
            </w:r>
          </w:p>
        </w:tc>
      </w:tr>
      <w:tr>
        <w:trPr>
          <w:trHeight w:val="201"/>
        </w:trPr>
        <w:tc>
          <w:tcPr>
            <w:tcW w:w="2420" w:type="dxa"/>
            <w:vAlign w:val="bottom"/>
          </w:tcPr>
          <w:p>
            <w:pPr>
              <w:spacing w:after="0"/>
              <w:rPr>
                <w:sz w:val="17"/>
                <w:szCs w:val="17"/>
                <w:color w:val="auto"/>
              </w:rPr>
            </w:pPr>
          </w:p>
        </w:tc>
        <w:tc>
          <w:tcPr>
            <w:tcW w:w="30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Notes</w:t>
            </w:r>
          </w:p>
        </w:tc>
        <w:tc>
          <w:tcPr>
            <w:tcW w:w="1940" w:type="dxa"/>
            <w:vAlign w:val="bottom"/>
          </w:tcPr>
          <w:p>
            <w:pPr>
              <w:ind w:left="680"/>
              <w:spacing w:after="0"/>
              <w:rPr>
                <w:sz w:val="20"/>
                <w:szCs w:val="20"/>
                <w:color w:val="auto"/>
              </w:rPr>
            </w:pPr>
            <w:r>
              <w:rPr>
                <w:rFonts w:ascii="Courier New" w:cs="Courier New" w:eastAsia="Courier New" w:hAnsi="Courier New"/>
                <w:sz w:val="17"/>
                <w:szCs w:val="17"/>
                <w:color w:val="auto"/>
              </w:rPr>
              <w:t>Notes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that</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may</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Common Stock</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080" w:type="dxa"/>
            <w:vAlign w:val="bottom"/>
          </w:tcPr>
          <w:p>
            <w:pPr>
              <w:ind w:left="1040"/>
              <w:spacing w:after="0"/>
              <w:rPr>
                <w:sz w:val="20"/>
                <w:szCs w:val="20"/>
                <w:color w:val="auto"/>
              </w:rPr>
            </w:pPr>
            <w:r>
              <w:rPr>
                <w:rFonts w:ascii="Courier New" w:cs="Courier New" w:eastAsia="Courier New" w:hAnsi="Courier New"/>
                <w:sz w:val="17"/>
                <w:szCs w:val="17"/>
                <w:color w:val="auto"/>
              </w:rPr>
              <w:t>that may be Sold</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Outstanding</w:t>
            </w:r>
          </w:p>
        </w:tc>
        <w:tc>
          <w:tcPr>
            <w:tcW w:w="21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be Sold (1)</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rPr>
              <w:t>Outstanding (2)</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80" w:type="dxa"/>
            <w:vAlign w:val="bottom"/>
          </w:tcPr>
          <w:p>
            <w:pPr>
              <w:ind w:left="1260"/>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ind w:left="580"/>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604"/>
        </w:trPr>
        <w:tc>
          <w:tcPr>
            <w:tcW w:w="2420" w:type="dxa"/>
            <w:vAlign w:val="bottom"/>
          </w:tcPr>
          <w:p>
            <w:pPr>
              <w:spacing w:after="0"/>
              <w:rPr>
                <w:sz w:val="20"/>
                <w:szCs w:val="20"/>
                <w:color w:val="auto"/>
              </w:rPr>
            </w:pPr>
            <w:r>
              <w:rPr>
                <w:rFonts w:ascii="Courier New" w:cs="Courier New" w:eastAsia="Courier New" w:hAnsi="Courier New"/>
                <w:sz w:val="17"/>
                <w:szCs w:val="17"/>
                <w:color w:val="auto"/>
              </w:rPr>
              <w:t>UBS Warburg LLC</w:t>
            </w:r>
          </w:p>
        </w:tc>
        <w:tc>
          <w:tcPr>
            <w:tcW w:w="3080" w:type="dxa"/>
            <w:vAlign w:val="bottom"/>
          </w:tcPr>
          <w:p>
            <w:pPr>
              <w:ind w:left="1260"/>
              <w:spacing w:after="0"/>
              <w:rPr>
                <w:sz w:val="20"/>
                <w:szCs w:val="20"/>
                <w:color w:val="auto"/>
              </w:rPr>
            </w:pPr>
            <w:r>
              <w:rPr>
                <w:rFonts w:ascii="Courier New" w:cs="Courier New" w:eastAsia="Courier New" w:hAnsi="Courier New"/>
                <w:sz w:val="17"/>
                <w:szCs w:val="17"/>
                <w:color w:val="auto"/>
              </w:rPr>
              <w:t>$12,145,000</w:t>
            </w:r>
          </w:p>
        </w:tc>
        <w:tc>
          <w:tcPr>
            <w:tcW w:w="1940" w:type="dxa"/>
            <w:vAlign w:val="bottom"/>
          </w:tcPr>
          <w:p>
            <w:pPr>
              <w:ind w:left="580"/>
              <w:spacing w:after="0"/>
              <w:rPr>
                <w:sz w:val="20"/>
                <w:szCs w:val="20"/>
                <w:color w:val="auto"/>
              </w:rPr>
            </w:pPr>
            <w:r>
              <w:rPr>
                <w:rFonts w:ascii="Courier New" w:cs="Courier New" w:eastAsia="Courier New" w:hAnsi="Courier New"/>
                <w:sz w:val="17"/>
                <w:szCs w:val="17"/>
                <w:color w:val="auto"/>
              </w:rPr>
              <w:t>6.07%</w:t>
            </w:r>
          </w:p>
        </w:tc>
        <w:tc>
          <w:tcPr>
            <w:tcW w:w="2160" w:type="dxa"/>
            <w:vAlign w:val="bottom"/>
            <w:gridSpan w:val="2"/>
          </w:tcPr>
          <w:p>
            <w:pPr>
              <w:jc w:val="right"/>
              <w:ind w:right="613"/>
              <w:spacing w:after="0"/>
              <w:rPr>
                <w:sz w:val="20"/>
                <w:szCs w:val="20"/>
                <w:color w:val="auto"/>
              </w:rPr>
            </w:pPr>
            <w:r>
              <w:rPr>
                <w:rFonts w:ascii="Courier New" w:cs="Courier New" w:eastAsia="Courier New" w:hAnsi="Courier New"/>
                <w:sz w:val="17"/>
                <w:szCs w:val="17"/>
                <w:color w:val="auto"/>
              </w:rPr>
              <w:t>401,471</w:t>
            </w:r>
          </w:p>
        </w:tc>
        <w:tc>
          <w:tcPr>
            <w:tcW w:w="19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Less than one percent (1%).</w:t>
      </w:r>
    </w:p>
    <w:p>
      <w:pPr>
        <w:spacing w:after="0" w:line="210" w:lineRule="exact"/>
        <w:rPr>
          <w:sz w:val="24"/>
          <w:szCs w:val="24"/>
          <w:color w:val="auto"/>
        </w:rPr>
      </w:pPr>
    </w:p>
    <w:p>
      <w:pPr>
        <w:ind w:left="540" w:hanging="533"/>
        <w:spacing w:after="0"/>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conversion of all of the holder's notes at a conversion rate of</w:t>
      </w:r>
    </w:p>
    <w:p>
      <w:pPr>
        <w:spacing w:after="0" w:line="8" w:lineRule="exact"/>
        <w:rPr>
          <w:rFonts w:ascii="Courier New" w:cs="Courier New" w:eastAsia="Courier New" w:hAnsi="Courier New"/>
          <w:sz w:val="17"/>
          <w:szCs w:val="17"/>
          <w:color w:val="auto"/>
        </w:rPr>
      </w:pPr>
    </w:p>
    <w:p>
      <w:pPr>
        <w:ind w:left="540" w:right="3240"/>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197" w:lineRule="exact"/>
        <w:rPr>
          <w:rFonts w:ascii="Courier New" w:cs="Courier New" w:eastAsia="Courier New" w:hAnsi="Courier New"/>
          <w:sz w:val="17"/>
          <w:szCs w:val="17"/>
          <w:color w:val="auto"/>
        </w:rPr>
      </w:pPr>
    </w:p>
    <w:p>
      <w:pPr>
        <w:ind w:left="540" w:right="3140" w:hanging="533"/>
        <w:spacing w:after="0" w:line="252" w:lineRule="auto"/>
        <w:tabs>
          <w:tab w:leader="none" w:pos="5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197" w:lineRule="exact"/>
        <w:rPr>
          <w:sz w:val="24"/>
          <w:szCs w:val="24"/>
          <w:color w:val="auto"/>
        </w:rPr>
      </w:pPr>
    </w:p>
    <w:p>
      <w:pPr>
        <w:ind w:right="3440" w:firstLine="943"/>
        <w:spacing w:after="0" w:line="254" w:lineRule="auto"/>
        <w:rPr>
          <w:sz w:val="20"/>
          <w:szCs w:val="20"/>
          <w:color w:val="auto"/>
        </w:rPr>
      </w:pPr>
      <w:r>
        <w:rPr>
          <w:rFonts w:ascii="Courier New" w:cs="Courier New" w:eastAsia="Courier New" w:hAnsi="Courier New"/>
          <w:sz w:val="17"/>
          <w:szCs w:val="17"/>
          <w:color w:val="auto"/>
        </w:rPr>
        <w:t>Investing in the notes or shares of common stock involves risks that are described in the "Risk Factors" section beginning on page 5 of the prospectus.</w:t>
      </w:r>
    </w:p>
    <w:p>
      <w:pPr>
        <w:spacing w:after="0" w:line="194" w:lineRule="exact"/>
        <w:rPr>
          <w:sz w:val="24"/>
          <w:szCs w:val="24"/>
          <w:color w:val="auto"/>
        </w:rPr>
      </w:pPr>
    </w:p>
    <w:p>
      <w:pPr>
        <w:jc w:val="right"/>
        <w:ind w:right="3140"/>
        <w:spacing w:after="0"/>
        <w:rPr>
          <w:sz w:val="20"/>
          <w:szCs w:val="20"/>
          <w:color w:val="auto"/>
        </w:rPr>
      </w:pPr>
      <w:r>
        <w:rPr>
          <w:rFonts w:ascii="Courier New" w:cs="Courier New" w:eastAsia="Courier New" w:hAnsi="Courier New"/>
          <w:sz w:val="17"/>
          <w:szCs w:val="17"/>
          <w:color w:val="auto"/>
        </w:rPr>
        <w:t>NEITHER THE SECURITIES AND EXCHANGE COMMISSION NOR ANY STATE SECURITIES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HAS APPROVED OR DISAPPROVED OF THESE SECURITIES OR DETERMINED IF THIS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 IS TRUTHFUL OR COMPLETE. ANY REPRESENTATION TO THE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CONTRARY IS A CRIMINAL OFFENSE.</w:t>
      </w:r>
    </w:p>
    <w:p>
      <w:pPr>
        <w:spacing w:after="0" w:line="210"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The date of this prospectus supplement is February 7, 2002.</w:t>
      </w:r>
    </w:p>
    <w:sectPr>
      <w:pgSz w:w="11900" w:h="16838" w:orient="portrait"/>
      <w:cols w:equalWidth="0" w:num="1">
        <w:col w:w="11520"/>
      </w:cols>
      <w:pgMar w:left="240" w:top="45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2019-12-20T01:53:16Z</dcterms:created>
  <dcterms:modified xsi:type="dcterms:W3CDTF">2019-12-20T01:53:16Z</dcterms:modified>
</cp:coreProperties>
</file>