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$.001 PAR VALUE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00075886F1</w:t>
      </w:r>
    </w:p>
    <w:p>
      <w:pPr>
        <w:jc w:val="center"/>
        <w:ind w:right="1919"/>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139"/>
          </w:cols>
          <w:pgMar w:left="320" w:top="649"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Steven M. Odre, Esq.</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tabs>
          <w:tab w:leader="none" w:pos="198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91320-1789</w:t>
      </w:r>
    </w:p>
    <w:p>
      <w:pPr>
        <w:spacing w:after="0"/>
        <w:rPr>
          <w:sz w:val="20"/>
          <w:szCs w:val="20"/>
          <w:color w:val="auto"/>
        </w:rPr>
      </w:pPr>
      <w:r>
        <w:rPr>
          <w:rFonts w:ascii="Courier New" w:cs="Courier New" w:eastAsia="Courier New" w:hAnsi="Courier New"/>
          <w:sz w:val="18"/>
          <w:szCs w:val="18"/>
          <w:color w:val="auto"/>
        </w:rPr>
        <w:t>(805) 447-1000</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38" w:lineRule="auto"/>
        <w:rPr>
          <w:sz w:val="20"/>
          <w:szCs w:val="20"/>
          <w:color w:val="auto"/>
        </w:rPr>
      </w:pPr>
      <w:r>
        <w:rPr>
          <w:rFonts w:ascii="Courier New" w:cs="Courier New" w:eastAsia="Courier New" w:hAnsi="Courier New"/>
          <w:sz w:val="18"/>
          <w:szCs w:val="18"/>
          <w:color w:val="auto"/>
        </w:rPr>
        <w:t>Gary Olson, Esq.</w:t>
      </w:r>
    </w:p>
    <w:p>
      <w:pPr>
        <w:spacing w:after="0" w:line="238" w:lineRule="auto"/>
        <w:rPr>
          <w:sz w:val="20"/>
          <w:szCs w:val="20"/>
          <w:color w:val="auto"/>
        </w:rPr>
      </w:pPr>
      <w:r>
        <w:rPr>
          <w:rFonts w:ascii="Courier New" w:cs="Courier New" w:eastAsia="Courier New" w:hAnsi="Courier New"/>
          <w:sz w:val="18"/>
          <w:szCs w:val="18"/>
          <w:color w:val="auto"/>
        </w:rPr>
        <w:t>Latham &amp; Watkins</w:t>
      </w:r>
    </w:p>
    <w:p>
      <w:pPr>
        <w:spacing w:after="0"/>
        <w:rPr>
          <w:sz w:val="20"/>
          <w:szCs w:val="20"/>
          <w:color w:val="auto"/>
        </w:rPr>
      </w:pPr>
      <w:r>
        <w:rPr>
          <w:rFonts w:ascii="Courier New" w:cs="Courier New" w:eastAsia="Courier New" w:hAnsi="Courier New"/>
          <w:sz w:val="18"/>
          <w:szCs w:val="18"/>
          <w:color w:val="auto"/>
        </w:rPr>
        <w:t>633 West Fifth Street</w:t>
      </w:r>
    </w:p>
    <w:p>
      <w:pPr>
        <w:spacing w:after="0" w:line="237"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 90071-2007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(213) 485-1234</w:t>
      </w:r>
    </w:p>
    <w:p>
      <w:pPr>
        <w:spacing w:after="0" w:line="200" w:lineRule="exact"/>
        <w:rPr>
          <w:sz w:val="24"/>
          <w:szCs w:val="24"/>
          <w:color w:val="auto"/>
        </w:rPr>
      </w:pPr>
    </w:p>
    <w:p>
      <w:pPr>
        <w:sectPr>
          <w:pgSz w:w="11900" w:h="16838" w:orient="portrait"/>
          <w:cols w:equalWidth="0" w:num="2">
            <w:col w:w="4020" w:space="720"/>
            <w:col w:w="5399"/>
          </w:cols>
          <w:pgMar w:left="320" w:top="649" w:right="1440" w:bottom="1440" w:gutter="0" w:footer="0" w:header="0"/>
          <w:type w:val="continuous"/>
        </w:sectPr>
      </w:pPr>
    </w:p>
    <w:p>
      <w:pPr>
        <w:spacing w:after="0" w:line="203"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March 2, 2000</w:t>
      </w:r>
    </w:p>
    <w:p>
      <w:pPr>
        <w:jc w:val="center"/>
        <w:ind w:right="191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919"/>
        <w:spacing w:after="0" w:line="238"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10" w:lineRule="exact"/>
        <w:rPr>
          <w:sz w:val="24"/>
          <w:szCs w:val="24"/>
          <w:color w:val="auto"/>
        </w:rPr>
      </w:pPr>
    </w:p>
    <w:p>
      <w:pPr>
        <w:ind w:right="18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box.[_]</w:t>
      </w:r>
    </w:p>
    <w:p>
      <w:pPr>
        <w:spacing w:after="0" w:line="178"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ectPr>
          <w:pgSz w:w="11900" w:h="16838" w:orient="portrait"/>
          <w:cols w:equalWidth="0" w:num="1">
            <w:col w:w="10139"/>
          </w:cols>
          <w:pgMar w:left="320" w:top="649" w:right="1440" w:bottom="1440" w:gutter="0" w:footer="0" w:header="0"/>
          <w:type w:val="continuous"/>
        </w:sectPr>
      </w:pPr>
    </w:p>
    <w:bookmarkStart w:id="1" w:name="page2"/>
    <w:bookmarkEnd w:id="1"/>
    <w:p>
      <w:pPr>
        <w:ind w:right="181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8"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722"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00075886F1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5580" w:right="3919" w:hanging="557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member of a group*  (a)[_] (b)[_]</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right="191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7.</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800" w:type="dxa"/>
            <w:vAlign w:val="bottom"/>
          </w:tcPr>
          <w:p>
            <w:pPr>
              <w:spacing w:after="0"/>
              <w:rPr>
                <w:sz w:val="17"/>
                <w:szCs w:val="17"/>
                <w:color w:val="auto"/>
              </w:rPr>
            </w:pPr>
          </w:p>
        </w:tc>
        <w:tc>
          <w:tcPr>
            <w:tcW w:w="5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4,916,808</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5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5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N/A</w:t>
            </w:r>
          </w:p>
        </w:tc>
      </w:tr>
      <w:tr>
        <w:trPr>
          <w:trHeight w:val="203"/>
        </w:trPr>
        <w:tc>
          <w:tcPr>
            <w:tcW w:w="2260" w:type="dxa"/>
            <w:vAlign w:val="bottom"/>
          </w:tcPr>
          <w:p>
            <w:pPr>
              <w:spacing w:after="0"/>
              <w:rPr>
                <w:sz w:val="17"/>
                <w:szCs w:val="17"/>
                <w:color w:val="auto"/>
              </w:rPr>
            </w:pPr>
          </w:p>
        </w:tc>
        <w:tc>
          <w:tcPr>
            <w:tcW w:w="5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60" w:type="dxa"/>
            <w:vAlign w:val="bottom"/>
          </w:tcPr>
          <w:p>
            <w:pPr>
              <w:spacing w:after="0"/>
              <w:rPr>
                <w:sz w:val="17"/>
                <w:szCs w:val="17"/>
                <w:color w:val="auto"/>
              </w:rPr>
            </w:pPr>
          </w:p>
        </w:tc>
        <w:tc>
          <w:tcPr>
            <w:tcW w:w="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w:t>
            </w:r>
          </w:p>
        </w:tc>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4,916,808</w:t>
            </w:r>
          </w:p>
        </w:tc>
      </w:tr>
      <w:tr>
        <w:trPr>
          <w:trHeight w:val="203"/>
        </w:trPr>
        <w:tc>
          <w:tcPr>
            <w:tcW w:w="2260" w:type="dxa"/>
            <w:vAlign w:val="bottom"/>
          </w:tcPr>
          <w:p>
            <w:pPr>
              <w:spacing w:after="0"/>
              <w:rPr>
                <w:sz w:val="17"/>
                <w:szCs w:val="17"/>
                <w:color w:val="auto"/>
              </w:rPr>
            </w:pPr>
          </w:p>
        </w:tc>
        <w:tc>
          <w:tcPr>
            <w:tcW w:w="5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bl>
    <w:p>
      <w:pPr>
        <w:ind w:left="3280" w:hanging="534"/>
        <w:spacing w:after="0" w:line="238" w:lineRule="auto"/>
        <w:tabs>
          <w:tab w:leader="none" w:pos="3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2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4,916,808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1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[_] 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433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39"/>
          </w:cols>
          <w:pgMar w:left="320" w:top="717" w:right="1440" w:bottom="1440" w:gutter="0" w:footer="0" w:header="0"/>
        </w:sectPr>
      </w:pPr>
    </w:p>
    <w:bookmarkStart w:id="3" w:name="page4"/>
    <w:bookmarkEnd w:id="3"/>
    <w:p>
      <w:pPr>
        <w:ind w:right="1699" w:firstLine="526"/>
        <w:spacing w:after="0" w:line="237" w:lineRule="auto"/>
        <w:rPr>
          <w:sz w:val="20"/>
          <w:szCs w:val="20"/>
          <w:color w:val="auto"/>
        </w:rPr>
      </w:pPr>
      <w:r>
        <w:rPr>
          <w:rFonts w:ascii="Courier New" w:cs="Courier New" w:eastAsia="Courier New" w:hAnsi="Courier New"/>
          <w:sz w:val="18"/>
          <w:szCs w:val="18"/>
          <w:color w:val="auto"/>
        </w:rPr>
        <w:t>This Amendment No. 5 to Schedule 13D is being filed by Amgen Inc., a Delaware corporation (the "Reporting Person"), to amend the Schedule 13D filed on July 26, 1995, as amended by Amendment No. 1 filed on September 25, 1995, Amendment No. 2 filed on December 6, 1995, Amendment No. 3 filed on March 5, 1996 and Amendment No. 4 filed on April 15, 1996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2439" w:firstLine="526"/>
        <w:spacing w:after="0" w:line="235" w:lineRule="auto"/>
        <w:rPr>
          <w:sz w:val="20"/>
          <w:szCs w:val="20"/>
          <w:color w:val="auto"/>
        </w:rPr>
      </w:pPr>
      <w:r>
        <w:rPr>
          <w:rFonts w:ascii="Courier New" w:cs="Courier New" w:eastAsia="Courier New" w:hAnsi="Courier New"/>
          <w:sz w:val="18"/>
          <w:szCs w:val="18"/>
          <w:color w:val="auto"/>
        </w:rPr>
        <w:t>Item 3 to Schedule 13D is hereby amended and supplemented to add the following information:</w:t>
      </w:r>
    </w:p>
    <w:p>
      <w:pPr>
        <w:spacing w:after="0" w:line="208" w:lineRule="exact"/>
        <w:rPr>
          <w:sz w:val="20"/>
          <w:szCs w:val="20"/>
          <w:color w:val="auto"/>
        </w:rPr>
      </w:pPr>
    </w:p>
    <w:p>
      <w:pPr>
        <w:ind w:right="1819" w:firstLine="526"/>
        <w:spacing w:after="0" w:line="273" w:lineRule="auto"/>
        <w:rPr>
          <w:sz w:val="20"/>
          <w:szCs w:val="20"/>
          <w:color w:val="auto"/>
        </w:rPr>
      </w:pPr>
      <w:r>
        <w:rPr>
          <w:rFonts w:ascii="Courier New" w:cs="Courier New" w:eastAsia="Courier New" w:hAnsi="Courier New"/>
          <w:sz w:val="16"/>
          <w:szCs w:val="16"/>
          <w:color w:val="auto"/>
        </w:rPr>
        <w:t>On March 2, 2000, the Reporting Person effected a cashless exercise of the Warrants by delivery of 221,958 shares of Common Stock (valued at $50.46 per share) and acquired upon such exercise 700,000 shares of Common Stock for a net decrease in total beneficial ownership of 221,958 shares of Common Stock and a net increase in direct ownership of 478,042 shares of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4 to Schedule 13D is hereby amended as follows: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As a result of an August 1990 agreement between the Reporting Person and the Issuer, further described in Item 6 below, the Reporting Person is subject to a number of so-called "standstill" restrictions (the "Standstill Restrictions"). One Standstill Restriction generally prohibits the Reporting Person from acquiring more than 20% of the outstanding shares of capital stock of the Issuer on a fully diluted basis. Other Standstill Restrictions generally prohibit the Reporting Person from making acquisition proposals to the Issuer and engaging in the solicitation of proxies. SEE Item 6 below, for additional information with respect to the Standstill Restrictions. ALSO SEE Item 6, below, for a discussion of certain (i) registration rights with respect to certain of the Common Stock beneficially owned by the Reporting Person and (ii) transfer restrictions relating to certain of the Common Stock beneficially owned by the Reporting Person.</w:t>
      </w:r>
    </w:p>
    <w:p>
      <w:pPr>
        <w:spacing w:after="0" w:line="21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Subject to the Standstill Restrictions and depending on general market and economic conditions affecting the Issuer and other relevant factors, the Reporting Person may purchase additional shares of Common Stock or dispose of or engage in hedging transactions with respect to some or all of its shares of Common Stock from time to time in open market transactions, private transactions or otherwise.</w:t>
      </w:r>
    </w:p>
    <w:p>
      <w:pPr>
        <w:spacing w:after="0" w:line="209"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On March 2, 2000, the Reporting Person agreed to grant the underwriters in a proposed public offering of Common Stock by the Issuer an over-allotment option covering up to 600,000 shares of Common Stock. See Item 6 below for additional information.</w:t>
      </w:r>
    </w:p>
    <w:p>
      <w:pPr>
        <w:spacing w:after="0" w:line="207" w:lineRule="exact"/>
        <w:rPr>
          <w:sz w:val="20"/>
          <w:szCs w:val="20"/>
          <w:color w:val="auto"/>
        </w:rPr>
      </w:pPr>
    </w:p>
    <w:p>
      <w:pPr>
        <w:ind w:right="1919" w:firstLine="526"/>
        <w:spacing w:after="0" w:line="279" w:lineRule="auto"/>
        <w:rPr>
          <w:sz w:val="20"/>
          <w:szCs w:val="20"/>
          <w:color w:val="auto"/>
        </w:rPr>
      </w:pPr>
      <w:r>
        <w:rPr>
          <w:rFonts w:ascii="Courier New" w:cs="Courier New" w:eastAsia="Courier New" w:hAnsi="Courier New"/>
          <w:sz w:val="16"/>
          <w:szCs w:val="16"/>
          <w:color w:val="auto"/>
        </w:rPr>
        <w:t>Except as set forth in the Schedule 13D, the Reporting Person has no present plans or proposals with respect to any material change in the Issuer's business or corporate structure or which relate to or would result in:</w:t>
      </w:r>
    </w:p>
    <w:p>
      <w:pPr>
        <w:spacing w:after="0" w:line="178" w:lineRule="exact"/>
        <w:rPr>
          <w:sz w:val="20"/>
          <w:szCs w:val="20"/>
          <w:color w:val="auto"/>
        </w:rPr>
      </w:pPr>
    </w:p>
    <w:p>
      <w:pPr>
        <w:ind w:left="540" w:right="2239" w:firstLine="521"/>
        <w:spacing w:after="0" w:line="235"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the Issuer, or the disposition of securities of the Issuer;</w:t>
      </w:r>
    </w:p>
    <w:p>
      <w:pPr>
        <w:sectPr>
          <w:pgSz w:w="11900" w:h="16838" w:orient="portrait"/>
          <w:cols w:equalWidth="0" w:num="1">
            <w:col w:w="10139"/>
          </w:cols>
          <w:pgMar w:left="320" w:top="722" w:right="1440" w:bottom="1440" w:gutter="0" w:footer="0" w:header="0"/>
        </w:sectPr>
      </w:pPr>
    </w:p>
    <w:bookmarkStart w:id="4" w:name="page5"/>
    <w:bookmarkEnd w:id="4"/>
    <w:p>
      <w:pPr>
        <w:ind w:left="540" w:right="2659" w:firstLine="521"/>
        <w:spacing w:after="0" w:line="23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the Issuer or any of its subsidiaries;</w:t>
      </w:r>
    </w:p>
    <w:p>
      <w:pPr>
        <w:spacing w:after="0" w:line="208" w:lineRule="exact"/>
        <w:rPr>
          <w:rFonts w:ascii="Courier New" w:cs="Courier New" w:eastAsia="Courier New" w:hAnsi="Courier New"/>
          <w:sz w:val="18"/>
          <w:szCs w:val="18"/>
          <w:color w:val="auto"/>
        </w:rPr>
      </w:pPr>
    </w:p>
    <w:p>
      <w:pPr>
        <w:ind w:left="540" w:right="1699" w:firstLine="521"/>
        <w:spacing w:after="0" w:line="235"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the Issuer or any of its subsidiaries;</w:t>
      </w:r>
    </w:p>
    <w:p>
      <w:pPr>
        <w:spacing w:after="0" w:line="208" w:lineRule="exact"/>
        <w:rPr>
          <w:rFonts w:ascii="Courier New" w:cs="Courier New" w:eastAsia="Courier New" w:hAnsi="Courier New"/>
          <w:sz w:val="18"/>
          <w:szCs w:val="18"/>
          <w:color w:val="auto"/>
        </w:rPr>
      </w:pPr>
    </w:p>
    <w:p>
      <w:pPr>
        <w:ind w:left="540" w:right="1819" w:firstLine="521"/>
        <w:spacing w:after="0" w:line="23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the Issuer, including any plans or proposals to change the number of term of directors or to fill any existing vacancies on the board;</w:t>
      </w:r>
    </w:p>
    <w:p>
      <w:pPr>
        <w:spacing w:after="0" w:line="208" w:lineRule="exact"/>
        <w:rPr>
          <w:rFonts w:ascii="Courier New" w:cs="Courier New" w:eastAsia="Courier New" w:hAnsi="Courier New"/>
          <w:sz w:val="18"/>
          <w:szCs w:val="18"/>
          <w:color w:val="auto"/>
        </w:rPr>
      </w:pPr>
    </w:p>
    <w:p>
      <w:pPr>
        <w:ind w:left="540" w:right="2239" w:firstLine="521"/>
        <w:spacing w:after="0" w:line="235"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Issuer;</w:t>
      </w:r>
    </w:p>
    <w:p>
      <w:pPr>
        <w:spacing w:after="0" w:line="208" w:lineRule="exact"/>
        <w:rPr>
          <w:rFonts w:ascii="Courier New" w:cs="Courier New" w:eastAsia="Courier New" w:hAnsi="Courier New"/>
          <w:sz w:val="18"/>
          <w:szCs w:val="18"/>
          <w:color w:val="auto"/>
        </w:rPr>
      </w:pPr>
    </w:p>
    <w:p>
      <w:pPr>
        <w:ind w:left="540" w:right="1819" w:firstLine="521"/>
        <w:spacing w:after="0" w:line="23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Issuer's charter, bylaws or instruments corresponding thereto or other actions which may impede the acquisition of control of the Issuer by any person;</w:t>
      </w:r>
    </w:p>
    <w:p>
      <w:pPr>
        <w:spacing w:after="0" w:line="208" w:lineRule="exact"/>
        <w:rPr>
          <w:rFonts w:ascii="Courier New" w:cs="Courier New" w:eastAsia="Courier New" w:hAnsi="Courier New"/>
          <w:sz w:val="18"/>
          <w:szCs w:val="18"/>
          <w:color w:val="auto"/>
        </w:rPr>
      </w:pPr>
    </w:p>
    <w:p>
      <w:pPr>
        <w:jc w:val="both"/>
        <w:ind w:left="540" w:right="1819" w:firstLine="521"/>
        <w:spacing w:after="0" w:line="23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the Issuer becoming eligible for termination of registration pursuant to Section 12(g)(4) of the Securities Exchange Act of 1934; or</w:t>
      </w:r>
    </w:p>
    <w:p>
      <w:pPr>
        <w:spacing w:after="0" w:line="208" w:lineRule="exact"/>
        <w:rPr>
          <w:rFonts w:ascii="Courier New" w:cs="Courier New" w:eastAsia="Courier New" w:hAnsi="Courier New"/>
          <w:sz w:val="18"/>
          <w:szCs w:val="18"/>
          <w:color w:val="auto"/>
        </w:rPr>
      </w:pPr>
    </w:p>
    <w:p>
      <w:pPr>
        <w:ind w:left="540" w:right="1819" w:firstLine="521"/>
        <w:spacing w:after="0" w:line="23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the Issuer becoming eligible for termination of registration pursuant to Section 12(g)(4) of the Securities Exchange Act of 1934; or</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right="1699" w:firstLine="526"/>
        <w:spacing w:after="0" w:line="235" w:lineRule="auto"/>
        <w:rPr>
          <w:sz w:val="20"/>
          <w:szCs w:val="20"/>
          <w:color w:val="auto"/>
        </w:rPr>
      </w:pPr>
      <w:r>
        <w:rPr>
          <w:rFonts w:ascii="Courier New" w:cs="Courier New" w:eastAsia="Courier New" w:hAnsi="Courier New"/>
          <w:sz w:val="18"/>
          <w:szCs w:val="18"/>
          <w:color w:val="auto"/>
        </w:rPr>
        <w:t>Paragraphs (a) through (e) of Item 5 to Schedule 13D are hereby amended and restated in their entirety as follows:</w:t>
      </w:r>
    </w:p>
    <w:p>
      <w:pPr>
        <w:spacing w:after="0" w:line="208" w:lineRule="exact"/>
        <w:rPr>
          <w:sz w:val="20"/>
          <w:szCs w:val="20"/>
          <w:color w:val="auto"/>
        </w:rPr>
      </w:pPr>
    </w:p>
    <w:p>
      <w:pPr>
        <w:jc w:val="both"/>
        <w:ind w:right="2019" w:firstLine="534"/>
        <w:spacing w:after="0" w:line="237"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close of business on March 2, 2000, the Reporting Person beneficially owned 4,916,808 shares of Common Stock. Such shares of Common Stock constitute approximately 15.5% of the 31,739,634 shares of Common Stock outstanding as of February 28, 2000.</w:t>
      </w:r>
    </w:p>
    <w:p>
      <w:pPr>
        <w:spacing w:after="0" w:line="207" w:lineRule="exact"/>
        <w:rPr>
          <w:rFonts w:ascii="Courier New" w:cs="Courier New" w:eastAsia="Courier New" w:hAnsi="Courier New"/>
          <w:sz w:val="18"/>
          <w:szCs w:val="18"/>
          <w:color w:val="auto"/>
        </w:rPr>
      </w:pPr>
    </w:p>
    <w:p>
      <w:pPr>
        <w:ind w:right="1819" w:firstLine="534"/>
        <w:spacing w:after="0" w:line="236"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to direct the vote, and the sole power to dispose or to direct the disposition of, the shares of Common Stock beneficially owned by the Reporting Person.</w:t>
      </w:r>
    </w:p>
    <w:p>
      <w:pPr>
        <w:spacing w:after="0" w:line="208" w:lineRule="exact"/>
        <w:rPr>
          <w:rFonts w:ascii="Courier New" w:cs="Courier New" w:eastAsia="Courier New" w:hAnsi="Courier New"/>
          <w:sz w:val="18"/>
          <w:szCs w:val="18"/>
          <w:color w:val="auto"/>
        </w:rPr>
      </w:pPr>
    </w:p>
    <w:p>
      <w:pPr>
        <w:ind w:right="1699" w:firstLine="534"/>
        <w:spacing w:after="0" w:line="273" w:lineRule="auto"/>
        <w:tabs>
          <w:tab w:leader="none" w:pos="94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2, 2000, the Reporting Person effected a cashless exercise of the Warrants by delivery of 221,958 shares of Common Stock (valued at $50.46 per share) and acquired upon such exercise 700,000 shares of Common Stock for a net decrease in total beneficial ownership of 221,958 shares of Common Stock and a net increase in direct ownership of 478,042 shares of Common Stock.</w:t>
      </w:r>
    </w:p>
    <w:p>
      <w:pPr>
        <w:spacing w:after="0" w:line="178" w:lineRule="exact"/>
        <w:rPr>
          <w:rFonts w:ascii="Courier New" w:cs="Courier New" w:eastAsia="Courier New" w:hAnsi="Courier New"/>
          <w:sz w:val="16"/>
          <w:szCs w:val="16"/>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722" w:right="1440" w:bottom="1440" w:gutter="0" w:footer="0" w:header="0"/>
        </w:sectPr>
      </w:pPr>
    </w:p>
    <w:bookmarkStart w:id="5" w:name="page6"/>
    <w:bookmarkEnd w:id="5"/>
    <w:p>
      <w:pPr>
        <w:ind w:left="960" w:right="19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2019" w:firstLine="526"/>
        <w:spacing w:after="0" w:line="235" w:lineRule="auto"/>
        <w:rPr>
          <w:sz w:val="20"/>
          <w:szCs w:val="20"/>
          <w:color w:val="auto"/>
        </w:rPr>
      </w:pPr>
      <w:r>
        <w:rPr>
          <w:rFonts w:ascii="Courier New" w:cs="Courier New" w:eastAsia="Courier New" w:hAnsi="Courier New"/>
          <w:sz w:val="18"/>
          <w:szCs w:val="18"/>
          <w:color w:val="auto"/>
        </w:rPr>
        <w:t>Item 6 to Schedule 13D is hereby amended and restated in its entirety as follows:</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Pursuant to the Class D Convertible Preferred Stock Purchase Agreement dated as of August 31, 1990 by and between the Issuer and the Reporting Person (the "Purchase Agreement"), the Reporting Person acquired, for an aggregate purchase price of $15,000,000, beneficial ownership of 767,656 shares of Class D Preferred Stock in 1990. In 1991, the Issuer effected a recapitalization and an initial public offering of shares of its Common Stock and following such recapitalization and offering the Reporting Person's 767,656 shares of Class D Preferred Stock were automatically converted into 788,766 shares of Class A Stock. As described in the Issuer's Restated Certificate of Incorporation, the shares of Class A Stock are super-voting (each share having 10 votes instead of one), are subject to certain transfer restrictions and are optionally convertible, at any time and at the option of the holder thereof, and mandatorily convertible, upon the transfer of such shares to someone other than a permitted transferee, into an equal number of shares of Common Stock.</w:t>
      </w:r>
    </w:p>
    <w:p>
      <w:pPr>
        <w:spacing w:after="0" w:line="218" w:lineRule="exact"/>
        <w:rPr>
          <w:sz w:val="20"/>
          <w:szCs w:val="20"/>
          <w:color w:val="auto"/>
        </w:rPr>
      </w:pPr>
    </w:p>
    <w:p>
      <w:pPr>
        <w:ind w:right="1699" w:firstLine="526"/>
        <w:spacing w:after="0" w:line="270" w:lineRule="auto"/>
        <w:rPr>
          <w:sz w:val="20"/>
          <w:szCs w:val="20"/>
          <w:color w:val="auto"/>
        </w:rPr>
      </w:pPr>
      <w:r>
        <w:rPr>
          <w:rFonts w:ascii="Courier New" w:cs="Courier New" w:eastAsia="Courier New" w:hAnsi="Courier New"/>
          <w:sz w:val="16"/>
          <w:szCs w:val="16"/>
          <w:color w:val="auto"/>
        </w:rPr>
        <w:t>Section 9 of the Purchase Agreement also contains the Standstill Restrictions referred to in Item 4. The Reporting Person has agreed, among other things, for a period of 20 years or the term of a collaboration agreement between the Issuer and the Reporting Person, whichever is earlier, (i) not to purchase any shares of the capital stock of the Issuer if its ownership position in the Issuer on a fully diluted basis would be greater than 20% of the then outstanding capital stock of the Issuer, (ii) not to engage in the solicitation of proxies and (iii) not to make any acquisition proposal. There are certain very limited circumstances in which the Standstill Restrictions would not apply.</w:t>
      </w:r>
    </w:p>
    <w:p>
      <w:pPr>
        <w:spacing w:after="0" w:line="190" w:lineRule="exact"/>
        <w:rPr>
          <w:sz w:val="20"/>
          <w:szCs w:val="20"/>
          <w:color w:val="auto"/>
        </w:rPr>
      </w:pPr>
    </w:p>
    <w:p>
      <w:pPr>
        <w:ind w:right="2119" w:firstLine="526"/>
        <w:spacing w:after="0" w:line="237" w:lineRule="auto"/>
        <w:rPr>
          <w:sz w:val="20"/>
          <w:szCs w:val="20"/>
          <w:color w:val="auto"/>
        </w:rPr>
      </w:pPr>
      <w:r>
        <w:rPr>
          <w:rFonts w:ascii="Courier New" w:cs="Courier New" w:eastAsia="Courier New" w:hAnsi="Courier New"/>
          <w:sz w:val="18"/>
          <w:szCs w:val="18"/>
          <w:color w:val="auto"/>
        </w:rPr>
        <w:t>The Issuer has also granted the Reporting Person customary demand and piggyback registration rights under Section 8 of the Purchase Agreement with respect to certain of the shares of Common Stock beneficially owned by the Reporting Person.</w:t>
      </w:r>
    </w:p>
    <w:p>
      <w:pPr>
        <w:spacing w:after="0" w:line="207" w:lineRule="exact"/>
        <w:rPr>
          <w:sz w:val="20"/>
          <w:szCs w:val="20"/>
          <w:color w:val="auto"/>
        </w:rPr>
      </w:pPr>
    </w:p>
    <w:p>
      <w:pPr>
        <w:jc w:val="both"/>
        <w:ind w:right="2339" w:firstLine="526"/>
        <w:spacing w:after="0" w:line="279" w:lineRule="auto"/>
        <w:rPr>
          <w:sz w:val="20"/>
          <w:szCs w:val="20"/>
          <w:color w:val="auto"/>
        </w:rPr>
      </w:pPr>
      <w:r>
        <w:rPr>
          <w:rFonts w:ascii="Courier New" w:cs="Courier New" w:eastAsia="Courier New" w:hAnsi="Courier New"/>
          <w:sz w:val="16"/>
          <w:szCs w:val="16"/>
          <w:color w:val="auto"/>
        </w:rPr>
        <w:t>Section 11(d) of the Purchase Agreement also provides the Issuer with certain rights of first refusal with respect to transfers by the Reporting Person of certain shares of Common Stock to competitors of the Issuer.</w:t>
      </w:r>
    </w:p>
    <w:p>
      <w:pPr>
        <w:spacing w:after="0" w:line="178" w:lineRule="exact"/>
        <w:rPr>
          <w:sz w:val="20"/>
          <w:szCs w:val="20"/>
          <w:color w:val="auto"/>
        </w:rPr>
      </w:pPr>
    </w:p>
    <w:p>
      <w:pPr>
        <w:ind w:right="1699" w:firstLine="526"/>
        <w:spacing w:after="0" w:line="271" w:lineRule="auto"/>
        <w:rPr>
          <w:sz w:val="20"/>
          <w:szCs w:val="20"/>
          <w:color w:val="auto"/>
        </w:rPr>
      </w:pPr>
      <w:r>
        <w:rPr>
          <w:rFonts w:ascii="Courier New" w:cs="Courier New" w:eastAsia="Courier New" w:hAnsi="Courier New"/>
          <w:sz w:val="16"/>
          <w:szCs w:val="16"/>
          <w:color w:val="auto"/>
        </w:rPr>
        <w:t>Pursuant to a Stock and Warrant Purchase Agreement and Warrant Agreement both dated as of April 15, 1996, by and between the Issuer and the Reporting Person, the Reporting Person acquired from the Issuer in a private transaction 3,000,000 shares of Common Stock and the Warrants, for a total purchase price of $48,000,000. The Warrants may be exercised any time on or before April 15, 2001. As part of the same transaction the Issuer and the Reporting Person entered into a Registration Rights Agreement, dated as of April 15, 1996, pursuant to which the Issuer granted to the Reporting Person customary demand and piggyback registration rights with respect to the 3,000,000 shares of Common Stock and the shares of Common Stock issuable upon exercise of the Warrants.</w:t>
      </w:r>
    </w:p>
    <w:p>
      <w:pPr>
        <w:spacing w:after="0" w:line="386"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On March 2, 2000, the Warrant Agreement, dated as of April 15, 1996, by and between the Issuer and the Reporting Person, pursuant to which the Reporting Person had a right to</w:t>
      </w:r>
    </w:p>
    <w:p>
      <w:pPr>
        <w:sectPr>
          <w:pgSz w:w="11900" w:h="16838" w:orient="portrait"/>
          <w:cols w:equalWidth="0" w:num="1">
            <w:col w:w="10139"/>
          </w:cols>
          <w:pgMar w:left="320" w:top="722" w:right="1440" w:bottom="1440" w:gutter="0" w:footer="0" w:header="0"/>
        </w:sectPr>
      </w:pPr>
    </w:p>
    <w:bookmarkStart w:id="6" w:name="page7"/>
    <w:bookmarkEnd w:id="6"/>
    <w:p>
      <w:pPr>
        <w:ind w:right="1699"/>
        <w:spacing w:after="0" w:line="237" w:lineRule="auto"/>
        <w:rPr>
          <w:sz w:val="20"/>
          <w:szCs w:val="20"/>
          <w:color w:val="auto"/>
        </w:rPr>
      </w:pPr>
      <w:r>
        <w:rPr>
          <w:rFonts w:ascii="Courier New" w:cs="Courier New" w:eastAsia="Courier New" w:hAnsi="Courier New"/>
          <w:sz w:val="18"/>
          <w:szCs w:val="18"/>
          <w:color w:val="auto"/>
        </w:rPr>
        <w:t>acquire 700,000 shares of Common Stock, was amended to permit the cashless exercise of the Warrants either (i) by delivery to the Issuer of shares of Common Stock having an aggregate fair market value on the date of exercise equal to the exercise price of the Warrants or (ii) by electing to receive, without payment of any additional consideration, shares of Common Stock having a market value equal to the difference between the value of the Common Stock covered by the Warrants and the aggregate Exercise Price payable upon exercise of the Warrants.</w:t>
      </w:r>
    </w:p>
    <w:p>
      <w:pPr>
        <w:spacing w:after="0" w:line="212" w:lineRule="exact"/>
        <w:rPr>
          <w:sz w:val="20"/>
          <w:szCs w:val="20"/>
          <w:color w:val="auto"/>
        </w:rPr>
      </w:pPr>
    </w:p>
    <w:p>
      <w:pPr>
        <w:ind w:right="1819" w:firstLine="526"/>
        <w:spacing w:after="0" w:line="238" w:lineRule="auto"/>
        <w:rPr>
          <w:sz w:val="20"/>
          <w:szCs w:val="20"/>
          <w:color w:val="auto"/>
        </w:rPr>
      </w:pPr>
      <w:r>
        <w:rPr>
          <w:rFonts w:ascii="Courier New" w:cs="Courier New" w:eastAsia="Courier New" w:hAnsi="Courier New"/>
          <w:sz w:val="18"/>
          <w:szCs w:val="18"/>
          <w:color w:val="auto"/>
        </w:rPr>
        <w:t>On March 2, 2000, the Issuer and the Reporting Person entered into an Agreement pursuant to which the Reporting Person agreed: (i) to convert its 788,766 shares of Class A Stock, which have 10 votes per share, into 788,766 shares of Common Stock, which have one vote per share; (ii) to fully exercise the Warrants; (iii) to grant the underwriters of a proposed public offering of the Common Stock (the "Offering") an option to purchase from the Reporting Person shares of Common Stock to cover over-allotments; and (iv) with certain exceptions, not to sell or transfer any shares of Common Stock (A) for a period beginning March 2, 2000 and ending on the effective date of the registration statement relating to the Offering, provided that in no event shall this period exceed ten weeks and (B) for a further period of 90 days beginning on the effective date of such registration statement. In addition, the Issuer agreed that the Offering would only include shares being sold by the Issuer and that the Reporting Person would be the only party granting an over-allotment option in the Offering.</w:t>
      </w:r>
    </w:p>
    <w:p>
      <w:pPr>
        <w:spacing w:after="0" w:line="207" w:lineRule="exact"/>
        <w:rPr>
          <w:sz w:val="20"/>
          <w:szCs w:val="20"/>
          <w:color w:val="auto"/>
        </w:rPr>
      </w:pPr>
    </w:p>
    <w:p>
      <w:pPr>
        <w:ind w:right="1819" w:firstLine="526"/>
        <w:spacing w:after="0" w:line="273" w:lineRule="auto"/>
        <w:rPr>
          <w:sz w:val="20"/>
          <w:szCs w:val="20"/>
          <w:color w:val="auto"/>
        </w:rPr>
      </w:pPr>
      <w:r>
        <w:rPr>
          <w:rFonts w:ascii="Courier New" w:cs="Courier New" w:eastAsia="Courier New" w:hAnsi="Courier New"/>
          <w:sz w:val="16"/>
          <w:szCs w:val="16"/>
          <w:color w:val="auto"/>
        </w:rPr>
        <w:t>On March 2, 2000, the Reporting Person effected a cashless exercise of the Warrants by delivery of 221,958 shares of Common Stock (valued at $50.46 per share) and acquired upon such exercise 700,000 shares of Common Stock for a net decrease in total beneficial ownership of 221,958 shares of Common Stock and a net increase in direct ownership of 478,042 shares of Common Stock.</w:t>
      </w:r>
    </w:p>
    <w:p>
      <w:pPr>
        <w:spacing w:after="0" w:line="184"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above descriptions of all of the above-mentioned agreements (the "Agreements"), as well as the descriptions set forth in Item 4, are summaries only and do not purport to be complete descriptions of the terms of such Agreements. These summaries are subject to, and are qualified in their entirety by reference to, the detailed provisions of the Agreements, which are filed as exhibits to this Schedule 13D.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7 to Schedule 13D is hereby amended and supplemented as follows:</w:t>
      </w:r>
    </w:p>
    <w:p>
      <w:pPr>
        <w:spacing w:after="0" w:line="207" w:lineRule="exact"/>
        <w:rPr>
          <w:sz w:val="20"/>
          <w:szCs w:val="20"/>
          <w:color w:val="auto"/>
        </w:rPr>
      </w:pPr>
    </w:p>
    <w:p>
      <w:pPr>
        <w:ind w:left="1700" w:right="1819" w:hanging="631"/>
        <w:spacing w:after="0" w:line="235" w:lineRule="auto"/>
        <w:tabs>
          <w:tab w:leader="none" w:pos="168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8"/>
          <w:szCs w:val="18"/>
          <w:color w:val="auto"/>
        </w:rPr>
        <w:t>Agreement, dated as of March 2, 2000, by and between the Issuer and the Reporting Person.</w:t>
      </w:r>
    </w:p>
    <w:p>
      <w:pPr>
        <w:spacing w:after="0" w:line="208" w:lineRule="exact"/>
        <w:rPr>
          <w:sz w:val="20"/>
          <w:szCs w:val="20"/>
          <w:color w:val="auto"/>
        </w:rPr>
      </w:pPr>
    </w:p>
    <w:p>
      <w:pPr>
        <w:ind w:left="1700" w:right="2019" w:hanging="631"/>
        <w:spacing w:after="0" w:line="235" w:lineRule="auto"/>
        <w:tabs>
          <w:tab w:leader="none" w:pos="168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Amendment to Warrant Agreement, dated as of March 2, 2000, by and between the Issuer and the Reporting Person.</w:t>
      </w:r>
    </w:p>
    <w:p>
      <w:pPr>
        <w:sectPr>
          <w:pgSz w:w="11900" w:h="16838" w:orient="portrait"/>
          <w:cols w:equalWidth="0" w:num="1">
            <w:col w:w="10139"/>
          </w:cols>
          <w:pgMar w:left="320" w:top="722" w:right="1440" w:bottom="1440" w:gutter="0" w:footer="0" w:header="0"/>
        </w:sectPr>
      </w:pPr>
    </w:p>
    <w:bookmarkStart w:id="7" w:name="page8"/>
    <w:bookmarkEnd w:id="7"/>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Steven M. Odre</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line="238" w:lineRule="auto"/>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Steven M. Odre</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tab/>
        <w:t>Senior Vice President, General</w:t>
      </w:r>
    </w:p>
    <w:p>
      <w:pPr>
        <w:ind w:left="4960"/>
        <w:spacing w:after="0" w:line="237" w:lineRule="auto"/>
        <w:rPr>
          <w:sz w:val="20"/>
          <w:szCs w:val="20"/>
          <w:color w:val="auto"/>
        </w:rPr>
      </w:pPr>
      <w:r>
        <w:rPr>
          <w:rFonts w:ascii="Courier New" w:cs="Courier New" w:eastAsia="Courier New" w:hAnsi="Courier New"/>
          <w:sz w:val="18"/>
          <w:szCs w:val="18"/>
          <w:color w:val="auto"/>
        </w:rPr>
        <w:t>Counsel and Secretary</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7, 2000</w:t>
      </w:r>
    </w:p>
    <w:p>
      <w:pPr>
        <w:sectPr>
          <w:pgSz w:w="11900" w:h="16838" w:orient="portrait"/>
          <w:cols w:equalWidth="0" w:num="1">
            <w:col w:w="10139"/>
          </w:cols>
          <w:pgMar w:left="320" w:top="717"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2,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tabs>
          <w:tab w:leader="none" w:pos="2840" w:val="left"/>
        </w:tabs>
        <w:rPr>
          <w:sz w:val="20"/>
          <w:szCs w:val="20"/>
          <w:color w:val="auto"/>
        </w:rPr>
      </w:pPr>
      <w:r>
        <w:rPr>
          <w:rFonts w:ascii="Courier New" w:cs="Courier New" w:eastAsia="Courier New" w:hAnsi="Courier New"/>
          <w:sz w:val="18"/>
          <w:szCs w:val="18"/>
          <w:color w:val="auto"/>
        </w:rPr>
        <w:t>Thousand Oaks, California</w:t>
      </w:r>
      <w:r>
        <w:rPr>
          <w:sz w:val="20"/>
          <w:szCs w:val="20"/>
          <w:color w:val="auto"/>
        </w:rPr>
        <w:tab/>
      </w:r>
      <w:r>
        <w:rPr>
          <w:rFonts w:ascii="Courier New" w:cs="Courier New" w:eastAsia="Courier New" w:hAnsi="Courier New"/>
          <w:sz w:val="16"/>
          <w:szCs w:val="16"/>
          <w:color w:val="auto"/>
        </w:rPr>
        <w:t>91320-1799</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Attn:</w:t>
        <w:tab/>
        <w:t>General Counsel</w:t>
      </w:r>
    </w:p>
    <w:p>
      <w:pPr>
        <w:spacing w:after="0"/>
        <w:tabs>
          <w:tab w:leader="none" w:pos="1680" w:val="left"/>
        </w:tabs>
        <w:rPr>
          <w:sz w:val="20"/>
          <w:szCs w:val="20"/>
          <w:color w:val="auto"/>
        </w:rPr>
      </w:pPr>
      <w:r>
        <w:rPr>
          <w:rFonts w:ascii="Courier New" w:cs="Courier New" w:eastAsia="Courier New" w:hAnsi="Courier New"/>
          <w:sz w:val="18"/>
          <w:szCs w:val="18"/>
          <w:color w:val="auto"/>
        </w:rPr>
        <w:t>Telecopy No. :</w:t>
      </w:r>
      <w:r>
        <w:rPr>
          <w:sz w:val="20"/>
          <w:szCs w:val="20"/>
          <w:color w:val="auto"/>
        </w:rPr>
        <w:tab/>
      </w:r>
      <w:r>
        <w:rPr>
          <w:rFonts w:ascii="Courier New" w:cs="Courier New" w:eastAsia="Courier New" w:hAnsi="Courier New"/>
          <w:sz w:val="16"/>
          <w:szCs w:val="16"/>
          <w:color w:val="auto"/>
        </w:rPr>
        <w:t>(805) 499-8011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2019" w:firstLine="1053"/>
        <w:spacing w:after="0" w:line="268" w:lineRule="auto"/>
        <w:rPr>
          <w:sz w:val="20"/>
          <w:szCs w:val="20"/>
          <w:color w:val="auto"/>
        </w:rPr>
      </w:pPr>
      <w:r>
        <w:rPr>
          <w:rFonts w:ascii="Courier New" w:cs="Courier New" w:eastAsia="Courier New" w:hAnsi="Courier New"/>
          <w:sz w:val="16"/>
          <w:szCs w:val="16"/>
          <w:color w:val="auto"/>
        </w:rPr>
        <w:t>In accordance with the Class D Convertible Preferred Stock Purchase Agreement dated as of August 31, 1990 (the "Stock Purchase Agreement") by and between Regeneron Pharmaceuticals, Inc. (the "Company"), and Amgen Inc.</w:t>
      </w:r>
    </w:p>
    <w:p>
      <w:pPr>
        <w:ind w:right="1699"/>
        <w:spacing w:after="0" w:line="237" w:lineRule="auto"/>
        <w:rPr>
          <w:sz w:val="20"/>
          <w:szCs w:val="20"/>
          <w:color w:val="auto"/>
        </w:rPr>
      </w:pPr>
      <w:r>
        <w:rPr>
          <w:rFonts w:ascii="Courier New" w:cs="Courier New" w:eastAsia="Courier New" w:hAnsi="Courier New"/>
          <w:sz w:val="18"/>
          <w:szCs w:val="18"/>
          <w:color w:val="auto"/>
        </w:rPr>
        <w:t>("Amgen") and the Registration Rights Agreement dated as of April 15, 1996 (the "Registration Rights Agreement" and, together with the Stock Purchase Agreement, the "Agreements") by and between the Company and Amgen, we hereby notify you that the Company intends to file a Registration Statement (the "Registration Statement") for the offering (the "Offering") and sale of the shares of common stock of the Company (the "Common Stock").</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parties hereto have agreed as follows:</w:t>
      </w:r>
    </w:p>
    <w:p>
      <w:pPr>
        <w:spacing w:after="0" w:line="207" w:lineRule="exact"/>
        <w:rPr>
          <w:sz w:val="20"/>
          <w:szCs w:val="20"/>
          <w:color w:val="auto"/>
        </w:rPr>
      </w:pPr>
    </w:p>
    <w:p>
      <w:pPr>
        <w:jc w:val="both"/>
        <w:ind w:right="1699" w:firstLine="1693"/>
        <w:spacing w:after="0" w:line="237" w:lineRule="auto"/>
        <w:tabs>
          <w:tab w:leader="none" w:pos="210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Amgen shall fully exercise its rights under the Warrant Agreement between the Company and Amgen, dated as of April 15, 1996, as amended by Amendment No. 1 to Warrant Agreement, dated as of the date hereof, in accordance with Schedule I hereto.</w:t>
      </w:r>
    </w:p>
    <w:p>
      <w:pPr>
        <w:spacing w:after="0" w:line="207" w:lineRule="exact"/>
        <w:rPr>
          <w:rFonts w:ascii="Courier New" w:cs="Courier New" w:eastAsia="Courier New" w:hAnsi="Courier New"/>
          <w:sz w:val="18"/>
          <w:szCs w:val="18"/>
          <w:color w:val="auto"/>
        </w:rPr>
      </w:pPr>
    </w:p>
    <w:p>
      <w:pPr>
        <w:ind w:right="1699" w:firstLine="1693"/>
        <w:spacing w:after="0" w:line="237" w:lineRule="auto"/>
        <w:tabs>
          <w:tab w:leader="none" w:pos="210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a definitive underwriting agreement between the Company and the underwriters with respect to the Offering, Amgen shall grant to the underwriters of the Offering an option to purchase from Amgen shares of the Company's Common Stock to cover the full amount of the underwriters' over-allotment option. No such over-allotment option will be granted by the Company. Both parties agree to comply with all of the provisions of the Agreements with respect to the registration and sale of such shares of Common Stock, subject to Section 4(c) below, as though the shares covered by the underwriters' over-allotment option were registered pursuant to the piggyback provisions of the Agreements. The Company agrees that the underwriting agreement to be entered into by the Company and the</w:t>
      </w:r>
    </w:p>
    <w:p>
      <w:pPr>
        <w:sectPr>
          <w:pgSz w:w="11900" w:h="16838" w:orient="portrait"/>
          <w:cols w:equalWidth="0" w:num="1">
            <w:col w:w="10139"/>
          </w:cols>
          <w:pgMar w:left="320" w:top="541" w:right="1440" w:bottom="1440" w:gutter="0" w:footer="0" w:header="0"/>
        </w:sectPr>
      </w:pPr>
    </w:p>
    <w:bookmarkStart w:id="9" w:name="page10"/>
    <w:bookmarkEnd w:id="9"/>
    <w:p>
      <w:pPr>
        <w:ind w:right="2119"/>
        <w:spacing w:after="0" w:line="235" w:lineRule="auto"/>
        <w:rPr>
          <w:sz w:val="20"/>
          <w:szCs w:val="20"/>
          <w:color w:val="auto"/>
        </w:rPr>
      </w:pPr>
      <w:r>
        <w:rPr>
          <w:rFonts w:ascii="Courier New" w:cs="Courier New" w:eastAsia="Courier New" w:hAnsi="Courier New"/>
          <w:sz w:val="18"/>
          <w:szCs w:val="18"/>
          <w:color w:val="auto"/>
        </w:rPr>
        <w:t>underwriters with respect to the Offering shall not be inconsistent with the provisions of this letter agreement.</w:t>
      </w:r>
    </w:p>
    <w:p>
      <w:pPr>
        <w:spacing w:after="0" w:line="208" w:lineRule="exact"/>
        <w:rPr>
          <w:sz w:val="20"/>
          <w:szCs w:val="20"/>
          <w:color w:val="auto"/>
        </w:rPr>
      </w:pPr>
    </w:p>
    <w:p>
      <w:pPr>
        <w:ind w:right="1819" w:firstLine="1693"/>
        <w:spacing w:after="0" w:line="237" w:lineRule="auto"/>
        <w:tabs>
          <w:tab w:leader="none" w:pos="210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other than the sale by Amgen of the Common Stock held by it pursuant to any exercise by the underwriters of the over-allotment option, the Offering shall consist solely of a primary offering of shares of Common Stock by the Company and no other holder of securities of the Company shall participate in the Offering.</w:t>
      </w:r>
    </w:p>
    <w:p>
      <w:pPr>
        <w:spacing w:after="0" w:line="208" w:lineRule="exact"/>
        <w:rPr>
          <w:rFonts w:ascii="Courier New" w:cs="Courier New" w:eastAsia="Courier New" w:hAnsi="Courier New"/>
          <w:sz w:val="18"/>
          <w:szCs w:val="18"/>
          <w:color w:val="auto"/>
        </w:rPr>
      </w:pPr>
    </w:p>
    <w:p>
      <w:pPr>
        <w:ind w:right="1699" w:firstLine="1693"/>
        <w:spacing w:after="0" w:line="237" w:lineRule="auto"/>
        <w:tabs>
          <w:tab w:leader="none" w:pos="210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transactions contemplated hereunder, Amgen agrees not to sell or transfer any shares of Common Stock of the Company for a period beginning on the date hereof until the effective date of the Registration Statement, provided that in no event shall this period exceed ten (10) weeks from the date hereof (the "Initial Lock-Up Period").</w:t>
      </w:r>
    </w:p>
    <w:p>
      <w:pPr>
        <w:spacing w:after="0" w:line="20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 Specifically, during the Initial Lock-Up Period, Amgen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t>
      </w:r>
    </w:p>
    <w:p>
      <w:pPr>
        <w:spacing w:after="0" w:line="201" w:lineRule="exact"/>
        <w:rPr>
          <w:sz w:val="20"/>
          <w:szCs w:val="20"/>
          <w:color w:val="auto"/>
        </w:rPr>
      </w:pPr>
    </w:p>
    <w:p>
      <w:pPr>
        <w:ind w:left="2000" w:hanging="307"/>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pledge, sell or contract to sell any Common Stock,</w:t>
      </w:r>
    </w:p>
    <w:p>
      <w:pPr>
        <w:spacing w:after="0" w:line="201" w:lineRule="exact"/>
        <w:rPr>
          <w:rFonts w:ascii="Courier New" w:cs="Courier New" w:eastAsia="Courier New" w:hAnsi="Courier New"/>
          <w:sz w:val="18"/>
          <w:szCs w:val="18"/>
          <w:color w:val="auto"/>
        </w:rPr>
      </w:pPr>
    </w:p>
    <w:p>
      <w:pPr>
        <w:ind w:left="2000" w:hanging="307"/>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any option or contract to purchase any Common Stock,</w:t>
      </w:r>
    </w:p>
    <w:p>
      <w:pPr>
        <w:spacing w:after="0" w:line="201" w:lineRule="exact"/>
        <w:rPr>
          <w:rFonts w:ascii="Courier New" w:cs="Courier New" w:eastAsia="Courier New" w:hAnsi="Courier New"/>
          <w:sz w:val="18"/>
          <w:szCs w:val="18"/>
          <w:color w:val="auto"/>
        </w:rPr>
      </w:pPr>
    </w:p>
    <w:p>
      <w:pPr>
        <w:ind w:left="2000" w:hanging="307"/>
        <w:spacing w:after="0"/>
        <w:tabs>
          <w:tab w:leader="none" w:pos="20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any option or contract to sell any Common Stock,</w:t>
      </w:r>
    </w:p>
    <w:p>
      <w:pPr>
        <w:spacing w:after="0" w:line="207" w:lineRule="exact"/>
        <w:rPr>
          <w:sz w:val="20"/>
          <w:szCs w:val="20"/>
          <w:color w:val="auto"/>
        </w:rPr>
      </w:pPr>
    </w:p>
    <w:p>
      <w:pPr>
        <w:ind w:left="2000" w:right="1699" w:hanging="307"/>
        <w:spacing w:after="0" w:line="235" w:lineRule="auto"/>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option, right or warrant for the sale of any Common Stock,</w:t>
      </w:r>
    </w:p>
    <w:p>
      <w:pPr>
        <w:spacing w:after="0" w:line="202" w:lineRule="exact"/>
        <w:rPr>
          <w:sz w:val="20"/>
          <w:szCs w:val="20"/>
          <w:color w:val="auto"/>
        </w:rPr>
      </w:pPr>
    </w:p>
    <w:p>
      <w:pPr>
        <w:ind w:left="2000" w:hanging="307"/>
        <w:spacing w:after="0"/>
        <w:tabs>
          <w:tab w:leader="none" w:pos="20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dispose of or transfer any Common Stock, or</w:t>
      </w:r>
    </w:p>
    <w:p>
      <w:pPr>
        <w:spacing w:after="0" w:line="207" w:lineRule="exact"/>
        <w:rPr>
          <w:sz w:val="20"/>
          <w:szCs w:val="20"/>
          <w:color w:val="auto"/>
        </w:rPr>
      </w:pPr>
    </w:p>
    <w:p>
      <w:pPr>
        <w:ind w:right="1919" w:firstLine="1693"/>
        <w:spacing w:after="0" w:line="237" w:lineRule="auto"/>
        <w:tabs>
          <w:tab w:leader="none" w:pos="200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207" w:lineRule="exact"/>
        <w:rPr>
          <w:sz w:val="20"/>
          <w:szCs w:val="20"/>
          <w:color w:val="auto"/>
        </w:rPr>
      </w:pPr>
    </w:p>
    <w:p>
      <w:pPr>
        <w:ind w:right="1699" w:firstLine="1693"/>
        <w:spacing w:after="0" w:line="237" w:lineRule="auto"/>
        <w:tabs>
          <w:tab w:leader="none" w:pos="210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lock-up provision applies to Common Stock and to securities convertible into or exchangeable or exercisable for or repayable with Common Stock. It also applies to Common Stock owned now or acquired later by Amgen.</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comply with the provisions of Section</w:t>
      </w:r>
    </w:p>
    <w:p>
      <w:pPr>
        <w:spacing w:after="0" w:line="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5(a)(ii) of the Registration Rights Agreement and Section 8.9 of the Stock Purchase Agreement except with respect to any lock-up agreement involving Procter and Gamble. The Company and Amgen agree that for purposes of this letter agreement only, the "Holdback Period" as defined in the Registration Rights Agreement shall commence on the date the Company Registration Statement (as defined in the Registration Rights Agreement) is declared effective by the Securities and Exchange Commission and shall terminate not more than 90 days thereafter.</w:t>
      </w:r>
    </w:p>
    <w:p>
      <w:pPr>
        <w:spacing w:after="0" w:line="212" w:lineRule="exact"/>
        <w:rPr>
          <w:sz w:val="20"/>
          <w:szCs w:val="20"/>
          <w:color w:val="auto"/>
        </w:rPr>
      </w:pPr>
    </w:p>
    <w:p>
      <w:pPr>
        <w:ind w:right="1919" w:firstLine="1693"/>
        <w:spacing w:after="0" w:line="237" w:lineRule="auto"/>
        <w:tabs>
          <w:tab w:leader="none" w:pos="210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herewith, Amgen shall deliver notice to the Company providing for the conversion effective as of the date hereof of all 788,766 shares of the Class A Stock, par value $.001 per share, of the Company held by Amgen in accordance with the terms applicable thereto.</w:t>
      </w:r>
    </w:p>
    <w:p>
      <w:pPr>
        <w:sectPr>
          <w:pgSz w:w="11900" w:h="16838" w:orient="portrait"/>
          <w:cols w:equalWidth="0" w:num="1">
            <w:col w:w="10139"/>
          </w:cols>
          <w:pgMar w:left="320" w:top="722"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Murray A. Goldberg</w:t>
      </w:r>
    </w:p>
    <w:p>
      <w:pPr>
        <w:ind w:left="34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480"/>
        <w:spacing w:after="0" w:line="238" w:lineRule="auto"/>
        <w:tabs>
          <w:tab w:leader="none" w:pos="4200" w:val="left"/>
        </w:tabs>
        <w:rPr>
          <w:sz w:val="20"/>
          <w:szCs w:val="20"/>
          <w:color w:val="auto"/>
        </w:rPr>
      </w:pPr>
      <w:r>
        <w:rPr>
          <w:rFonts w:ascii="Courier New" w:cs="Courier New" w:eastAsia="Courier New" w:hAnsi="Courier New"/>
          <w:sz w:val="18"/>
          <w:szCs w:val="18"/>
          <w:color w:val="auto"/>
        </w:rPr>
        <w:t>Name:</w:t>
        <w:tab/>
        <w:t>Murray A. Goldberg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as of</w:t>
      </w:r>
    </w:p>
    <w:p>
      <w:pPr>
        <w:spacing w:after="0" w:line="238" w:lineRule="auto"/>
        <w:rPr>
          <w:sz w:val="20"/>
          <w:szCs w:val="20"/>
          <w:color w:val="auto"/>
        </w:rPr>
      </w:pPr>
      <w:r>
        <w:rPr>
          <w:rFonts w:ascii="Courier New" w:cs="Courier New" w:eastAsia="Courier New" w:hAnsi="Courier New"/>
          <w:sz w:val="18"/>
          <w:szCs w:val="18"/>
          <w:color w:val="auto"/>
        </w:rPr>
        <w:t>the date first written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Gordon M. Binder</w:t>
      </w:r>
    </w:p>
    <w:p>
      <w:pPr>
        <w:ind w:left="32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320"/>
        <w:spacing w:after="0" w:line="238" w:lineRule="auto"/>
        <w:tabs>
          <w:tab w:leader="none" w:pos="1140" w:val="left"/>
        </w:tabs>
        <w:rPr>
          <w:sz w:val="20"/>
          <w:szCs w:val="20"/>
          <w:color w:val="auto"/>
        </w:rPr>
      </w:pPr>
      <w:r>
        <w:rPr>
          <w:rFonts w:ascii="Courier New" w:cs="Courier New" w:eastAsia="Courier New" w:hAnsi="Courier New"/>
          <w:sz w:val="18"/>
          <w:szCs w:val="18"/>
          <w:color w:val="auto"/>
        </w:rPr>
        <w:t>Name:</w:t>
        <w:tab/>
        <w:t>Gordon M. Binder</w:t>
      </w: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Title:</w:t>
        <w:tab/>
        <w:t>Chairman of the Board and</w:t>
      </w:r>
    </w:p>
    <w:p>
      <w:pPr>
        <w:ind w:left="1160"/>
        <w:spacing w:after="0" w:line="237"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139"/>
          </w:cols>
          <w:pgMar w:left="320" w:top="717" w:right="1440" w:bottom="1440" w:gutter="0" w:footer="0" w:header="0"/>
        </w:sectPr>
      </w:pPr>
    </w:p>
    <w:bookmarkStart w:id="11" w:name="page12"/>
    <w:bookmarkEnd w:id="11"/>
    <w:p>
      <w:pPr>
        <w:ind w:left="7060"/>
        <w:spacing w:after="0"/>
        <w:rPr>
          <w:sz w:val="20"/>
          <w:szCs w:val="20"/>
          <w:color w:val="auto"/>
        </w:rPr>
      </w:pPr>
      <w:r>
        <w:rPr>
          <w:rFonts w:ascii="Courier New" w:cs="Courier New" w:eastAsia="Courier New" w:hAnsi="Courier New"/>
          <w:sz w:val="18"/>
          <w:szCs w:val="18"/>
          <w:color w:val="auto"/>
        </w:rPr>
        <w:t>Schedule 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460" w:val="left"/>
          <w:tab w:leader="none" w:pos="7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Exercise Price</w:t>
      </w:r>
      <w:r>
        <w:rPr>
          <w:sz w:val="20"/>
          <w:szCs w:val="20"/>
          <w:color w:val="auto"/>
        </w:rPr>
        <w:tab/>
      </w:r>
      <w:r>
        <w:rPr>
          <w:rFonts w:ascii="Courier New" w:cs="Courier New" w:eastAsia="Courier New" w:hAnsi="Courier New"/>
          <w:sz w:val="16"/>
          <w:szCs w:val="16"/>
          <w:color w:val="auto"/>
        </w:rPr>
        <w:t>Payment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700,000 shares of</w:t>
            </w:r>
          </w:p>
        </w:tc>
        <w:tc>
          <w:tcPr>
            <w:tcW w:w="3480" w:type="dxa"/>
            <w:vAlign w:val="bottom"/>
          </w:tcPr>
          <w:p>
            <w:pPr>
              <w:ind w:left="840"/>
              <w:spacing w:after="0"/>
              <w:rPr>
                <w:sz w:val="20"/>
                <w:szCs w:val="20"/>
                <w:color w:val="auto"/>
              </w:rPr>
            </w:pPr>
            <w:r>
              <w:rPr>
                <w:rFonts w:ascii="Courier New" w:cs="Courier New" w:eastAsia="Courier New" w:hAnsi="Courier New"/>
                <w:sz w:val="18"/>
                <w:szCs w:val="18"/>
                <w:color w:val="auto"/>
              </w:rPr>
              <w:t>$16.00 per share</w:t>
            </w:r>
          </w:p>
        </w:tc>
        <w:tc>
          <w:tcPr>
            <w:tcW w:w="2040" w:type="dxa"/>
            <w:vAlign w:val="bottom"/>
          </w:tcPr>
          <w:p>
            <w:pPr>
              <w:ind w:left="940"/>
              <w:spacing w:after="0"/>
              <w:rPr>
                <w:sz w:val="20"/>
                <w:szCs w:val="20"/>
                <w:color w:val="auto"/>
              </w:rPr>
            </w:pPr>
            <w:r>
              <w:rPr>
                <w:rFonts w:ascii="Courier New" w:cs="Courier New" w:eastAsia="Courier New" w:hAnsi="Courier New"/>
                <w:sz w:val="18"/>
                <w:szCs w:val="18"/>
                <w:color w:val="auto"/>
                <w:w w:val="99"/>
              </w:rPr>
              <w:t>Either (i)</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by delivery of</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3480" w:type="dxa"/>
            <w:vAlign w:val="bottom"/>
          </w:tcPr>
          <w:p>
            <w:pPr>
              <w:spacing w:after="0"/>
              <w:rPr>
                <w:sz w:val="17"/>
                <w:szCs w:val="17"/>
                <w:color w:val="auto"/>
              </w:rPr>
            </w:pPr>
          </w:p>
        </w:tc>
        <w:tc>
          <w:tcPr>
            <w:tcW w:w="41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6"/>
              </w:rPr>
              <w:t>221,958 shares of Common Stock</w:t>
            </w:r>
          </w:p>
        </w:tc>
      </w:tr>
      <w:tr>
        <w:trPr>
          <w:trHeight w:val="203"/>
        </w:trPr>
        <w:tc>
          <w:tcPr>
            <w:tcW w:w="2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(valued at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$50.46 per share)</w:t>
            </w:r>
          </w:p>
        </w:tc>
      </w:tr>
      <w:tr>
        <w:trPr>
          <w:trHeight w:val="203"/>
        </w:trPr>
        <w:tc>
          <w:tcPr>
            <w:tcW w:w="2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or (ii) by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 exercise as</w:t>
            </w:r>
          </w:p>
        </w:tc>
      </w:tr>
      <w:tr>
        <w:trPr>
          <w:trHeight w:val="203"/>
        </w:trPr>
        <w:tc>
          <w:tcPr>
            <w:tcW w:w="2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1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contemplated by the Warrant</w:t>
            </w:r>
          </w:p>
        </w:tc>
      </w:tr>
      <w:tr>
        <w:trPr>
          <w:trHeight w:val="203"/>
        </w:trPr>
        <w:tc>
          <w:tcPr>
            <w:tcW w:w="2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amended.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740"/>
          </w:cols>
          <w:pgMar w:left="320" w:top="1122" w:right="839" w:bottom="1440" w:gutter="0" w:footer="0" w:header="0"/>
        </w:sectPr>
      </w:pPr>
    </w:p>
    <w:bookmarkStart w:id="12" w:name="page13"/>
    <w:bookmarkEnd w:id="12"/>
    <w:p>
      <w:pPr>
        <w:jc w:val="right"/>
        <w:ind w:right="1699"/>
        <w:spacing w:after="0"/>
        <w:rPr>
          <w:sz w:val="20"/>
          <w:szCs w:val="20"/>
          <w:color w:val="auto"/>
        </w:rPr>
      </w:pPr>
      <w:r>
        <w:rPr>
          <w:rFonts w:ascii="Courier New" w:cs="Courier New" w:eastAsia="Courier New" w:hAnsi="Courier New"/>
          <w:sz w:val="18"/>
          <w:szCs w:val="18"/>
          <w:color w:val="auto"/>
        </w:rPr>
        <w:t>EXHIBIT 7.7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4000"/>
        <w:spacing w:after="0" w:line="238" w:lineRule="auto"/>
        <w:rPr>
          <w:sz w:val="20"/>
          <w:szCs w:val="20"/>
          <w:color w:val="auto"/>
        </w:rPr>
      </w:pPr>
      <w:r>
        <w:rPr>
          <w:rFonts w:ascii="Courier New" w:cs="Courier New" w:eastAsia="Courier New" w:hAnsi="Courier New"/>
          <w:sz w:val="18"/>
          <w:szCs w:val="18"/>
          <w:color w:val="auto"/>
        </w:rPr>
        <w:t>TO</w:t>
      </w:r>
    </w:p>
    <w:p>
      <w:pPr>
        <w:ind w:left="3280"/>
        <w:spacing w:after="0" w:line="238" w:lineRule="auto"/>
        <w:rPr>
          <w:sz w:val="20"/>
          <w:szCs w:val="20"/>
          <w:color w:val="auto"/>
        </w:rPr>
      </w:pPr>
      <w:r>
        <w:rPr>
          <w:rFonts w:ascii="Courier New" w:cs="Courier New" w:eastAsia="Courier New" w:hAnsi="Courier New"/>
          <w:sz w:val="18"/>
          <w:szCs w:val="18"/>
          <w:color w:val="auto"/>
        </w:rPr>
        <w:t>WARRANT AGREEMENT</w:t>
      </w:r>
    </w:p>
    <w:p>
      <w:pPr>
        <w:spacing w:after="0" w:line="207" w:lineRule="exact"/>
        <w:rPr>
          <w:sz w:val="20"/>
          <w:szCs w:val="20"/>
          <w:color w:val="auto"/>
        </w:rPr>
      </w:pPr>
    </w:p>
    <w:p>
      <w:pPr>
        <w:ind w:right="1819" w:firstLine="1053"/>
        <w:spacing w:after="0" w:line="237" w:lineRule="auto"/>
        <w:rPr>
          <w:sz w:val="20"/>
          <w:szCs w:val="20"/>
          <w:color w:val="auto"/>
        </w:rPr>
      </w:pPr>
      <w:r>
        <w:rPr>
          <w:rFonts w:ascii="Courier New" w:cs="Courier New" w:eastAsia="Courier New" w:hAnsi="Courier New"/>
          <w:sz w:val="18"/>
          <w:szCs w:val="18"/>
          <w:color w:val="auto"/>
        </w:rPr>
        <w:t>This AMENDMENT NO. 1 TO WARRANT AGREEMENT (this "Amendment") is dated as of March 2, 2000, and entered into by and between AMGEN INC., a Delaware corporation ("Amgen"), and REGENERON PHARMACEUTICALS, INC., a New York corporation (the "Company").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119" w:firstLine="1053"/>
        <w:spacing w:after="0" w:line="235" w:lineRule="auto"/>
        <w:rPr>
          <w:sz w:val="20"/>
          <w:szCs w:val="20"/>
          <w:color w:val="auto"/>
        </w:rPr>
      </w:pPr>
      <w:r>
        <w:rPr>
          <w:rFonts w:ascii="Courier New" w:cs="Courier New" w:eastAsia="Courier New" w:hAnsi="Courier New"/>
          <w:sz w:val="18"/>
          <w:szCs w:val="18"/>
          <w:color w:val="auto"/>
        </w:rPr>
        <w:t>WHEREAS, on April 15, 1996, the Company and Amgen entered into the Warrant Agreement (the "Warrant Agreement"); and</w:t>
      </w:r>
    </w:p>
    <w:p>
      <w:pPr>
        <w:spacing w:after="0" w:line="208" w:lineRule="exact"/>
        <w:rPr>
          <w:sz w:val="20"/>
          <w:szCs w:val="20"/>
          <w:color w:val="auto"/>
        </w:rPr>
      </w:pPr>
    </w:p>
    <w:p>
      <w:pPr>
        <w:ind w:right="1819" w:firstLine="1053"/>
        <w:spacing w:after="0" w:line="290" w:lineRule="auto"/>
        <w:rPr>
          <w:sz w:val="20"/>
          <w:szCs w:val="20"/>
          <w:color w:val="auto"/>
        </w:rPr>
      </w:pPr>
      <w:r>
        <w:rPr>
          <w:rFonts w:ascii="Courier New" w:cs="Courier New" w:eastAsia="Courier New" w:hAnsi="Courier New"/>
          <w:sz w:val="16"/>
          <w:szCs w:val="16"/>
          <w:color w:val="auto"/>
        </w:rPr>
        <w:t>WHEREAS, pursuant to Section 14 of the Warrant Agreement, the Company and Amgen now desire to amend the Warrant Agreement as hereinafter provided.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AMENDMENT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2019" w:firstLine="534"/>
        <w:spacing w:after="0" w:line="290" w:lineRule="auto"/>
        <w:tabs>
          <w:tab w:leader="none" w:pos="1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capitalized terms used herein and not otherwise defined herein shall have the respective meanings assigned thereto in the Warrant Agreement.</w:t>
      </w:r>
    </w:p>
    <w:p>
      <w:pPr>
        <w:spacing w:after="0" w:line="169" w:lineRule="exact"/>
        <w:rPr>
          <w:rFonts w:ascii="Courier New" w:cs="Courier New" w:eastAsia="Courier New" w:hAnsi="Courier New"/>
          <w:sz w:val="16"/>
          <w:szCs w:val="16"/>
          <w:color w:val="auto"/>
        </w:rPr>
      </w:pPr>
    </w:p>
    <w:p>
      <w:pPr>
        <w:ind w:right="1699" w:firstLine="534"/>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 is hereby amended by (a) inserting "(the "Exercise Period")" after the date "April 15, 2001" in the first sentence of the first paragraph thereof; (b) inserting ", or (iii) in the manner provided in the first paragraph of this Section 5" at the end of the last sentence of the second paragraph thereof and (c) inserting the following sentences after the first sentence of the first paragraph thereof:</w:t>
      </w:r>
    </w:p>
    <w:p>
      <w:pPr>
        <w:spacing w:after="0" w:line="209" w:lineRule="exact"/>
        <w:rPr>
          <w:sz w:val="20"/>
          <w:szCs w:val="20"/>
          <w:color w:val="auto"/>
        </w:rPr>
      </w:pPr>
    </w:p>
    <w:p>
      <w:pPr>
        <w:ind w:right="1699" w:firstLine="1053"/>
        <w:spacing w:after="0" w:line="237" w:lineRule="auto"/>
        <w:rPr>
          <w:sz w:val="20"/>
          <w:szCs w:val="20"/>
          <w:color w:val="auto"/>
        </w:rPr>
      </w:pPr>
      <w:r>
        <w:rPr>
          <w:rFonts w:ascii="Courier New" w:cs="Courier New" w:eastAsia="Courier New" w:hAnsi="Courier New"/>
          <w:sz w:val="18"/>
          <w:szCs w:val="18"/>
          <w:color w:val="auto"/>
        </w:rPr>
        <w:t>"In the alternative, each holder may exercise its right, during the Exercise Period, to receive Warrant Shares either (i) on a net basis, such that, without the exchange of any funds, the holder receives that number of Warrant Shares otherwise issuable (or payable) upon exercise of its Warrants less that number of Warrant Shares having an aggregate fair market value (as defined below) at the time of exercise equal to the aggregate Exercise Price that would otherwise have been paid by the holder of the Warrant Shares or (ii) by delivery to the Company of shares of Common Stock having an aggregate fair market value at the time of exercise equal to the Exercise Price of the Warrants being exercised. For purposes of the foregoing sentence, "fair market value" of the Warrant Shares or the Common Stock will be equal to the last reported sale price of the Common Stock on the NASDAQ National Market System on the date of any such exercise."</w:t>
      </w:r>
    </w:p>
    <w:p>
      <w:pPr>
        <w:spacing w:after="0" w:line="217" w:lineRule="exact"/>
        <w:rPr>
          <w:sz w:val="20"/>
          <w:szCs w:val="20"/>
          <w:color w:val="auto"/>
        </w:rPr>
      </w:pPr>
    </w:p>
    <w:p>
      <w:pPr>
        <w:ind w:right="2339" w:firstLine="534"/>
        <w:spacing w:after="0" w:line="23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Certificate dated as of April 15, 1996 (the "Warrant Certificate") and the Form of Election to Purchase shall hereby be deemed amended to the extent inconsistent with this Amendment.</w:t>
      </w:r>
    </w:p>
    <w:p>
      <w:pPr>
        <w:sectPr>
          <w:pgSz w:w="11900" w:h="16838" w:orient="portrait"/>
          <w:cols w:equalWidth="0" w:num="1">
            <w:col w:w="10139"/>
          </w:cols>
          <w:pgMar w:left="320" w:top="541" w:right="1440" w:bottom="1440" w:gutter="0" w:footer="0" w:header="0"/>
        </w:sectPr>
      </w:pPr>
    </w:p>
    <w:bookmarkStart w:id="13" w:name="page14"/>
    <w:bookmarkEnd w:id="13"/>
    <w:p>
      <w:pPr>
        <w:ind w:left="526" w:hanging="526"/>
        <w:spacing w:after="0"/>
        <w:tabs>
          <w:tab w:leader="none" w:pos="52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effective as of the date hereof.</w:t>
      </w:r>
    </w:p>
    <w:p>
      <w:pPr>
        <w:spacing w:after="0" w:line="206" w:lineRule="exact"/>
        <w:rPr>
          <w:rFonts w:ascii="Courier New" w:cs="Courier New" w:eastAsia="Courier New" w:hAnsi="Courier New"/>
          <w:sz w:val="18"/>
          <w:szCs w:val="18"/>
          <w:color w:val="auto"/>
        </w:rPr>
      </w:pPr>
    </w:p>
    <w:p>
      <w:pPr>
        <w:ind w:left="-534" w:right="1919" w:firstLine="534"/>
        <w:spacing w:after="0" w:line="236" w:lineRule="auto"/>
        <w:tabs>
          <w:tab w:leader="none" w:pos="5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modified by the foregoing, the terms and conditions of the Warrant Agreement and the Warrant Certificate shall remain in full force and effect.</w:t>
      </w:r>
    </w:p>
    <w:p>
      <w:pPr>
        <w:spacing w:after="0" w:line="208" w:lineRule="exact"/>
        <w:rPr>
          <w:rFonts w:ascii="Courier New" w:cs="Courier New" w:eastAsia="Courier New" w:hAnsi="Courier New"/>
          <w:sz w:val="18"/>
          <w:szCs w:val="18"/>
          <w:color w:val="auto"/>
        </w:rPr>
      </w:pPr>
    </w:p>
    <w:p>
      <w:pPr>
        <w:ind w:left="-534" w:right="1819" w:firstLine="534"/>
        <w:spacing w:after="0" w:line="236" w:lineRule="auto"/>
        <w:tabs>
          <w:tab w:leader="none" w:pos="5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any number of counterparts with the same effect as if all parties hereto had signed the same document. All counterparts shall be construed together and shall constitute one instrument.</w:t>
      </w:r>
    </w:p>
    <w:p>
      <w:pPr>
        <w:spacing w:after="0" w:line="208" w:lineRule="exact"/>
        <w:rPr>
          <w:rFonts w:ascii="Courier New" w:cs="Courier New" w:eastAsia="Courier New" w:hAnsi="Courier New"/>
          <w:sz w:val="18"/>
          <w:szCs w:val="18"/>
          <w:color w:val="auto"/>
        </w:rPr>
      </w:pPr>
    </w:p>
    <w:p>
      <w:pPr>
        <w:ind w:left="-534" w:right="1699" w:firstLine="534"/>
        <w:spacing w:after="0" w:line="236" w:lineRule="auto"/>
        <w:tabs>
          <w:tab w:leader="none" w:pos="5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AND THE APPLICATION OR INTERPRETATION HEREOF, SHALL BE GOVERNED EXCLUSIVELY BY ITS TERMS AND BY THE LAWS OF THE STATE OF NEW YORK, WITHOUT REGARD TO PRINCIPLES OF CONFLICT OF LAW.</w:t>
      </w:r>
    </w:p>
    <w:p>
      <w:pPr>
        <w:spacing w:after="0" w:line="203" w:lineRule="exact"/>
        <w:rPr>
          <w:sz w:val="20"/>
          <w:szCs w:val="20"/>
          <w:color w:val="auto"/>
        </w:rPr>
      </w:pPr>
    </w:p>
    <w:p>
      <w:pPr>
        <w:ind w:left="2426"/>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6"/>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05"/>
          </w:cols>
          <w:pgMar w:left="854" w:top="717" w:right="1440" w:bottom="1440" w:gutter="0" w:footer="0" w:header="0"/>
        </w:sectPr>
      </w:pPr>
    </w:p>
    <w:bookmarkStart w:id="14" w:name="page15"/>
    <w:bookmarkEnd w:id="14"/>
    <w:p>
      <w:pPr>
        <w:jc w:val="both"/>
        <w:ind w:right="181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by their respective authorized officers as of the day and year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Murray A. Goldberg</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Name: Murray A. Goldberg</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Gordon M. Binder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Name: Gordon M. Binder</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Chairman of the Board and</w:t>
      </w:r>
    </w:p>
    <w:p>
      <w:pPr>
        <w:ind w:left="41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S-1</w:t>
      </w:r>
    </w:p>
    <w:sectPr>
      <w:pgSz w:w="11900" w:h="16838" w:orient="portrait"/>
      <w:cols w:equalWidth="0" w:num="1">
        <w:col w:w="10139"/>
      </w:cols>
      <w:pgMar w:left="32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decimal"/>
      <w:start w:val="13"/>
    </w:lvl>
  </w:abstractNum>
  <w:abstractNum w:abstractNumId="10">
    <w:nsid w:val="3F2DBA31"/>
    <w:multiLevelType w:val="hybridMultilevel"/>
    <w:lvl w:ilvl="0">
      <w:lvlJc w:val="left"/>
      <w:lvlText w:val="%1."/>
      <w:numFmt w:val="decimal"/>
      <w:start w:val="14"/>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3"/>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2020-10-07T05:50:32Z</dcterms:created>
  <dcterms:modified xsi:type="dcterms:W3CDTF">2020-10-07T05:50:32Z</dcterms:modified>
</cp:coreProperties>
</file>