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JULY 8, 2002</w:t>
      </w:r>
    </w:p>
    <w:p>
      <w:pPr>
        <w:ind w:left="60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3320" w:type="dxa"/>
            <w:vAlign w:val="bottom"/>
          </w:tcPr>
          <w:p>
            <w:pPr>
              <w:ind w:left="1320"/>
              <w:spacing w:after="0"/>
              <w:rPr>
                <w:sz w:val="20"/>
                <w:szCs w:val="20"/>
                <w:color w:val="auto"/>
              </w:rPr>
            </w:pPr>
            <w:r>
              <w:rPr>
                <w:rFonts w:ascii="Courier New" w:cs="Courier New" w:eastAsia="Courier New" w:hAnsi="Courier New"/>
                <w:sz w:val="18"/>
                <w:szCs w:val="18"/>
                <w:color w:val="auto"/>
              </w:rPr>
              <w:t>0-19034 No.</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13-3444607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460" w:val="left"/>
          <w:tab w:leader="none" w:pos="62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777 OLD SAW MILL RIVER ROAD, TARRYTOWN, NY</w:t>
      </w:r>
      <w:r>
        <w:rPr>
          <w:sz w:val="20"/>
          <w:szCs w:val="20"/>
          <w:color w:val="auto"/>
        </w:rPr>
        <w:tab/>
      </w:r>
      <w:r>
        <w:rPr>
          <w:rFonts w:ascii="Courier New" w:cs="Courier New" w:eastAsia="Courier New" w:hAnsi="Courier New"/>
          <w:sz w:val="16"/>
          <w:szCs w:val="16"/>
          <w:color w:val="auto"/>
        </w:rPr>
        <w:t>10591-6707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(914) 347-7000</w:t>
      </w:r>
    </w:p>
    <w:p>
      <w:pPr>
        <w:ind w:left="60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5</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On July 8, 2002, the Company issued a press release, a copy of which is included as an exhibit to this filing.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99(a)</w:t>
      </w:r>
      <w:r>
        <w:rPr>
          <w:rFonts w:ascii="Courier New" w:cs="Courier New" w:eastAsia="Courier New" w:hAnsi="Courier New"/>
          <w:sz w:val="16"/>
          <w:szCs w:val="16"/>
          <w:color w:val="auto"/>
        </w:rPr>
        <w:t>Press Release dated July 8,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By:/s/Stuart Kolinski</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Stuart Kolinski</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Vice President &amp; General Counsel</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8, 2002</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LETTERHEAD]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REGENERON GRANTED LICENSE BY AMGEN AND IMMUNEX TO INTERLEUKIN-1 INHIBITOR</w:t>
      </w:r>
    </w:p>
    <w:p>
      <w:pPr>
        <w:jc w:val="center"/>
        <w:ind w:right="1879"/>
        <w:spacing w:after="0" w:line="238" w:lineRule="auto"/>
        <w:rPr>
          <w:sz w:val="20"/>
          <w:szCs w:val="20"/>
          <w:color w:val="auto"/>
        </w:rPr>
      </w:pPr>
      <w:r>
        <w:rPr>
          <w:rFonts w:ascii="Courier New" w:cs="Courier New" w:eastAsia="Courier New" w:hAnsi="Courier New"/>
          <w:sz w:val="18"/>
          <w:szCs w:val="18"/>
          <w:color w:val="auto"/>
        </w:rPr>
        <w:t>PATENTS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Tarrytown, NY (July 8, 2002) -- Regeneron Pharmaceuticals (Nasdaq: REGN) announced that it has entered into an agreement with Amgen Inc. and Immunex Corporation for a non-exclusive license to certain intellectual property rights which may be used in the development and commercialization of Regeneron's Interleukin-1 (IL1) Trap. Amgen and Immunex agreed to grant the license to Regeneron in connection with Amgen's pending acquisition of Immunex, which is currently under review by the Federal Trade Commission. The license to Regeneron becomes effective upon the completion of the acquisition.</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license follows two other licensing arrangements under which Regeneron obtained rights to practice intellectual property for potential use in its IL1 Trap program. The Company gained nonexclusive rights to patents owned by ZymoGenetics, Inc. covering immunoglobulin-fusion proteins. In addition, Regeneron has a license from Tularik Inc. for the use of patents covering a receptor accessory protein used in the IL1 Trap.</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IL1 Trap demonstrated clinical activity in patients with rheumatoid arthritis in a Phase I trial and a Phase II trial is scheduled to begin shortly," noted Stuart Kolinski, Regeneron's Vice President and General Counsel. "We are pleased that at this important time in the compound's development, Regeneron was able to secure these three licenses to intellectual property rights, which enhance our existing patent portfolio for the IL1 Trap, in exchange for total royalties in the mid-single digits."</w:t>
      </w:r>
    </w:p>
    <w:p>
      <w:pPr>
        <w:sectPr>
          <w:pgSz w:w="11900" w:h="16838" w:orient="portrait"/>
          <w:cols w:equalWidth="0" w:num="1">
            <w:col w:w="10219"/>
          </w:cols>
          <w:pgMar w:left="240" w:top="339" w:right="1440" w:bottom="1440" w:gutter="0" w:footer="0" w:header="0"/>
        </w:sectPr>
      </w:pPr>
    </w:p>
    <w:bookmarkStart w:id="4" w:name="page5"/>
    <w:bookmarkEnd w:id="4"/>
    <w:p>
      <w:pPr>
        <w:ind w:right="1779"/>
        <w:spacing w:after="0" w:line="238" w:lineRule="auto"/>
        <w:rPr>
          <w:sz w:val="20"/>
          <w:szCs w:val="20"/>
          <w:color w:val="auto"/>
        </w:rPr>
      </w:pPr>
      <w:r>
        <w:rPr>
          <w:rFonts w:ascii="Courier New" w:cs="Courier New" w:eastAsia="Courier New" w:hAnsi="Courier New"/>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2001. Regeneron does not undertake any obligation to update publicly any forward-looking statement, whether as a result of new information, future events, or otherwise, unless required by law.</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obesity, rheumatoid arthritis, and cancer, and has preclinical programs in asthma, allergies, and other diseases and disorders. Regeneron's platform technologies include Targeted Genomics(TM), Functionomics(TM), and Designer Protein Therapeutics(TM).</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Charles Poole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charles.poole@regn.com</w:t>
      </w:r>
    </w:p>
    <w:p>
      <w:pPr>
        <w:spacing w:after="0"/>
        <w:rPr>
          <w:sz w:val="20"/>
          <w:szCs w:val="20"/>
          <w:color w:val="auto"/>
        </w:rPr>
      </w:pPr>
      <w:r>
        <w:rPr>
          <w:rFonts w:ascii="Courier New" w:cs="Courier New" w:eastAsia="Courier New" w:hAnsi="Courier New"/>
          <w:sz w:val="18"/>
          <w:szCs w:val="18"/>
          <w:color w:val="auto"/>
        </w:rPr>
        <w:t>(914) 345-7641</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Jeanne Abi-Nader</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Robinson, Lerer, Montgomery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jabi-nader@rlmnet.com</w:t>
      </w:r>
    </w:p>
    <w:p>
      <w:pPr>
        <w:spacing w:after="0" w:line="238" w:lineRule="auto"/>
        <w:rPr>
          <w:sz w:val="20"/>
          <w:szCs w:val="20"/>
          <w:color w:val="auto"/>
        </w:rPr>
      </w:pPr>
      <w:r>
        <w:rPr>
          <w:rFonts w:ascii="Courier New" w:cs="Courier New" w:eastAsia="Courier New" w:hAnsi="Courier New"/>
          <w:sz w:val="18"/>
          <w:szCs w:val="18"/>
          <w:color w:val="auto"/>
        </w:rPr>
        <w:t>(212) 484-7954</w:t>
      </w:r>
    </w:p>
    <w:p>
      <w:pPr>
        <w:spacing w:after="0" w:line="200" w:lineRule="exact"/>
        <w:rPr>
          <w:sz w:val="20"/>
          <w:szCs w:val="20"/>
          <w:color w:val="auto"/>
        </w:rPr>
      </w:pPr>
    </w:p>
    <w:p>
      <w:pPr>
        <w:sectPr>
          <w:pgSz w:w="11900" w:h="16838" w:orient="portrait"/>
          <w:cols w:equalWidth="0" w:num="2">
            <w:col w:w="1480" w:space="420"/>
            <w:col w:w="8319"/>
          </w:cols>
          <w:pgMar w:left="240" w:top="723" w:right="1440" w:bottom="1440" w:gutter="0" w:footer="0" w:header="0"/>
          <w:type w:val="continuous"/>
        </w:sectPr>
      </w:pPr>
    </w:p>
    <w:p>
      <w:pPr>
        <w:spacing w:after="0" w:line="7"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Additional information about Regeneron and recent news releases are available on Regeneron's Worldwide Web Home Page at www.regn.com. Fax copies of news releases can be obtained from Regeneron's News-on-Demand Service by dialing (800)</w:t>
      </w:r>
    </w:p>
    <w:p>
      <w:pPr>
        <w:spacing w:after="0" w:line="233" w:lineRule="auto"/>
        <w:rPr>
          <w:sz w:val="20"/>
          <w:szCs w:val="20"/>
          <w:color w:val="auto"/>
        </w:rPr>
      </w:pPr>
      <w:r>
        <w:rPr>
          <w:rFonts w:ascii="Courier New" w:cs="Courier New" w:eastAsia="Courier New" w:hAnsi="Courier New"/>
          <w:sz w:val="18"/>
          <w:szCs w:val="18"/>
          <w:color w:val="auto"/>
        </w:rPr>
        <w:t>311-0841.</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2019-12-20T02:12:03Z</dcterms:created>
  <dcterms:modified xsi:type="dcterms:W3CDTF">2019-12-20T02:12:03Z</dcterms:modified>
</cp:coreProperties>
</file>