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21,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Leonard S. Schleifer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Regeneron Pharmaceuticals,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777 Old Saw Mill River Road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Tarrytown, New York 10591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Regeneron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Pharmaceuticals,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Definitive Proxy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Schedule 14A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April 21,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000-19034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Dr. Schleifer: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most recent definitive proxy statement to those issues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addressed in our comments.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23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by confirming that you will enhance your future proxy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in accordance with the topics discussed below as well as any material developments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your risk oversight structure. For guidance, refer to Item 407(h) of Regulation S-K.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Definitive Proxy Statement on Schedule 14A filed April 21,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discuss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under which you would consider having the Chair and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CEO roles filled by a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single individual, when shareholders would be notified of any such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change, and whether you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 seek prior input from shareholders. In addition, please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 how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experience of your Presiding Director is brought to bear in connection</w:t>
      </w:r>
    </w:p>
    <w:p>
      <w:pPr>
        <w:ind w:left="5900"/>
        <w:spacing w:after="0"/>
        <w:tabs>
          <w:tab w:leader="none" w:pos="7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your board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role in risk oversight.</w:t>
      </w:r>
    </w:p>
    <w:p>
      <w:pPr>
        <w:ind w:left="320"/>
        <w:spacing w:after="0" w:line="238" w:lineRule="auto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expand upon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role that your Presiding Director plays in the leadership of the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board. For example,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enhance your disclosure to address whether or not your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Presiding Director may:</w:t>
      </w:r>
    </w:p>
    <w:p>
      <w:pPr>
        <w:jc w:val="right"/>
        <w:ind w:right="18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represent the board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communications with shareholders and other stakeholders;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 board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consideration of, and/or override your CEO on, any risk matters; or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input 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design of the board itself.</w:t>
      </w:r>
    </w:p>
    <w:p>
      <w:pPr>
        <w:ind w:left="320"/>
        <w:spacing w:after="0" w:line="237" w:lineRule="auto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expand upon how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board administers its risk oversight function. For example,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disclose: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timeframe over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120" w:right="327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 you evaluate risks (e.g., short-term, intermediate-term, or Leonard S. Schleifer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Regeneron Pharmaceuticals,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21, 2022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long-term) and how you apply different oversight standards based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upon the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immediacy of the risk assessed;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559" w:firstLine="1685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you consult with outside advisors and experts to anticipate future threats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1700" w:right="2239" w:hanging="210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trends, and how often you re-assess your risk environment; how the board interacts with management to address existing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risks and identify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significant emerging risks;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right="2119" w:firstLine="1685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you have a Chief Compliance Officer and to whom this position reports; and</w:t>
      </w:r>
    </w:p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your risk oversight process aligns with your disclosure</w:t>
      </w:r>
    </w:p>
    <w:p>
      <w:pPr>
        <w:sectPr>
          <w:pgSz w:w="11900" w:h="16849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controls and procedures.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Amanda Ravitz at 202-551-3412 or Barbara Jacobs at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202-551-3735 with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1280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LastNameLeonard S. Schleifer Comapany NameRegeneron Pharmaceuticals, Inc.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920" w:space="720"/>
            <w:col w:w="3499"/>
          </w:cols>
          <w:pgMar w:left="320" w:top="136" w:right="1440" w:bottom="1440" w:gutter="0" w:footer="0" w:header="0"/>
          <w:type w:val="continuous"/>
        </w:sect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September 21, 2022 Page 2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Review Program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Disclosure</w:t>
      </w:r>
    </w:p>
    <w:sectPr>
      <w:pgSz w:w="11900" w:h="16838" w:orient="portrait"/>
      <w:cols w:equalWidth="0" w:num="2">
        <w:col w:w="5920" w:space="720"/>
        <w:col w:w="3499"/>
      </w:cols>
      <w:pgMar w:left="320" w:top="136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2022-12-12T04:17:42Z</dcterms:created>
  <dcterms:modified xsi:type="dcterms:W3CDTF">2022-12-12T04:17:42Z</dcterms:modified>
</cp:coreProperties>
</file>