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-243205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00" w:type="dxa"/>
            <w:vAlign w:val="bottom"/>
            <w:vMerge w:val="restart"/>
          </w:tcPr>
          <w:p>
            <w:pPr>
              <w:jc w:val="center"/>
              <w:ind w:right="21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27305</wp:posOffset>
            </wp:positionV>
            <wp:extent cx="7324090" cy="6584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84315"/>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GOLDBERG MURRAY A</w:t>
        </w:r>
      </w:hyperlink>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6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37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6"/>
        </w:trPr>
        <w:tc>
          <w:tcPr>
            <w:tcW w:w="4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35"/>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TARRYTOWN</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6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10591</w:t>
            </w:r>
          </w:p>
        </w:tc>
      </w:tr>
      <w:tr>
        <w:trPr>
          <w:trHeight w:val="153"/>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840" w:type="dxa"/>
            <w:vAlign w:val="bottom"/>
            <w:tcBorders>
              <w:bottom w:val="single" w:sz="8" w:color="0000EE"/>
            </w:tcBorders>
            <w:gridSpan w:val="2"/>
          </w:tcPr>
          <w:p>
            <w:pPr>
              <w:spacing w:after="0" w:line="21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 INC</w:t>
              </w:r>
            </w:hyperlink>
          </w:p>
        </w:tc>
        <w:tc>
          <w:tcPr>
            <w:tcW w:w="80" w:type="dxa"/>
            <w:vAlign w:val="bottom"/>
          </w:tcPr>
          <w:p>
            <w:pPr>
              <w:spacing w:after="0"/>
              <w:rPr>
                <w:sz w:val="19"/>
                <w:szCs w:val="19"/>
                <w:color w:val="auto"/>
              </w:rPr>
            </w:pPr>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REGN </w:t>
            </w:r>
            <w:r>
              <w:rPr>
                <w:rFonts w:ascii="Times New Roman" w:cs="Times New Roman" w:eastAsia="Times New Roman" w:hAnsi="Times New Roman"/>
                <w:sz w:val="21"/>
                <w:szCs w:val="21"/>
                <w:color w:val="000000"/>
              </w:rPr>
              <w:t>]</w:t>
            </w:r>
          </w:p>
        </w:tc>
        <w:tc>
          <w:tcPr>
            <w:tcW w:w="48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3800" w:type="dxa"/>
            <w:vAlign w:val="bottom"/>
            <w:gridSpan w:val="2"/>
            <w:vMerge w:val="continue"/>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vMerge w:val="continue"/>
          </w:tcPr>
          <w:p>
            <w:pPr>
              <w:spacing w:after="0"/>
              <w:rPr>
                <w:sz w:val="8"/>
                <w:szCs w:val="8"/>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80" w:type="dxa"/>
            <w:vAlign w:val="bottom"/>
            <w:gridSpan w:val="2"/>
            <w:vMerge w:val="continue"/>
          </w:tcPr>
          <w:p>
            <w:pPr>
              <w:spacing w:after="0"/>
              <w:rPr>
                <w:sz w:val="11"/>
                <w:szCs w:val="11"/>
                <w:color w:val="auto"/>
              </w:rPr>
            </w:pPr>
          </w:p>
        </w:tc>
        <w:tc>
          <w:tcPr>
            <w:tcW w:w="38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2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Administration &amp; Asst Secr</w:t>
            </w:r>
          </w:p>
        </w:tc>
        <w:tc>
          <w:tcPr>
            <w:tcW w:w="0" w:type="dxa"/>
            <w:vAlign w:val="bottom"/>
          </w:tcPr>
          <w:p>
            <w:pPr>
              <w:spacing w:after="0"/>
              <w:rPr>
                <w:sz w:val="1"/>
                <w:szCs w:val="1"/>
                <w:color w:val="auto"/>
              </w:rPr>
            </w:pPr>
          </w:p>
        </w:tc>
      </w:tr>
      <w:tr>
        <w:trPr>
          <w:trHeight w:val="118"/>
        </w:trPr>
        <w:tc>
          <w:tcPr>
            <w:tcW w:w="3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12/16/2014</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9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spacing w:after="0" w:line="7" w:lineRule="exact"/>
        <w:rPr>
          <w:sz w:val="24"/>
          <w:szCs w:val="24"/>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00"/>
            <w:col w:w="752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28"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71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20" w:type="dxa"/>
            <w:vAlign w:val="bottom"/>
            <w:gridSpan w:val="2"/>
          </w:tcPr>
          <w:p>
            <w:pPr>
              <w:jc w:val="center"/>
              <w:ind w:left="711"/>
              <w:spacing w:after="0"/>
              <w:rPr>
                <w:sz w:val="20"/>
                <w:szCs w:val="20"/>
                <w:color w:val="auto"/>
              </w:rPr>
            </w:pPr>
            <w:r>
              <w:rPr>
                <w:rFonts w:ascii="Times New Roman" w:cs="Times New Roman" w:eastAsia="Times New Roman" w:hAnsi="Times New Roman"/>
                <w:sz w:val="17"/>
                <w:szCs w:val="17"/>
                <w:color w:val="0000FF"/>
              </w:rPr>
              <w:t>11/17/2014</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3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1,930</w:t>
            </w:r>
          </w:p>
        </w:tc>
        <w:tc>
          <w:tcPr>
            <w:tcW w:w="6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Pr>
          <w:p>
            <w:pPr>
              <w:jc w:val="right"/>
              <w:ind w:righ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4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61,172</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3"/>
                <w:szCs w:val="23"/>
                <w:color w:val="auto"/>
              </w:rPr>
            </w:pPr>
          </w:p>
        </w:tc>
        <w:tc>
          <w:tcPr>
            <w:tcW w:w="1920" w:type="dxa"/>
            <w:vAlign w:val="bottom"/>
            <w:gridSpan w:val="2"/>
          </w:tcPr>
          <w:p>
            <w:pPr>
              <w:jc w:val="center"/>
              <w:ind w:left="711"/>
              <w:spacing w:after="0"/>
              <w:rPr>
                <w:sz w:val="20"/>
                <w:szCs w:val="20"/>
                <w:color w:val="auto"/>
              </w:rPr>
            </w:pPr>
            <w:r>
              <w:rPr>
                <w:rFonts w:ascii="Times New Roman" w:cs="Times New Roman" w:eastAsia="Times New Roman" w:hAnsi="Times New Roman"/>
                <w:sz w:val="17"/>
                <w:szCs w:val="17"/>
                <w:color w:val="0000FF"/>
              </w:rPr>
              <w:t>12/16/2014</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3,264</w:t>
            </w:r>
          </w:p>
        </w:tc>
        <w:tc>
          <w:tcPr>
            <w:tcW w:w="6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30.63</w:t>
            </w: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64,436</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5,650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750</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3,264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4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30.63</w:t>
            </w:r>
          </w:p>
        </w:tc>
        <w:tc>
          <w:tcPr>
            <w:tcW w:w="1100" w:type="dxa"/>
            <w:vAlign w:val="bottom"/>
          </w:tcPr>
          <w:p>
            <w:pPr>
              <w:jc w:val="right"/>
              <w:ind w:right="178"/>
              <w:spacing w:after="0" w:line="133" w:lineRule="exact"/>
              <w:rPr>
                <w:sz w:val="20"/>
                <w:szCs w:val="20"/>
                <w:color w:val="auto"/>
              </w:rPr>
            </w:pPr>
            <w:r>
              <w:rPr>
                <w:rFonts w:ascii="Times New Roman" w:cs="Times New Roman" w:eastAsia="Times New Roman" w:hAnsi="Times New Roman"/>
                <w:sz w:val="13"/>
                <w:szCs w:val="13"/>
                <w:color w:val="0000FF"/>
              </w:rPr>
              <w:t>12/16/2014</w:t>
            </w:r>
          </w:p>
        </w:tc>
        <w:tc>
          <w:tcPr>
            <w:tcW w:w="1140" w:type="dxa"/>
            <w:vAlign w:val="bottom"/>
          </w:tcPr>
          <w:p>
            <w:pPr>
              <w:spacing w:after="0"/>
              <w:rPr>
                <w:sz w:val="11"/>
                <w:szCs w:val="11"/>
                <w:color w:val="auto"/>
              </w:rPr>
            </w:pPr>
          </w:p>
        </w:tc>
        <w:tc>
          <w:tcPr>
            <w:tcW w:w="780" w:type="dxa"/>
            <w:vAlign w:val="bottom"/>
          </w:tcPr>
          <w:p>
            <w:pPr>
              <w:jc w:val="center"/>
              <w:ind w:right="278"/>
              <w:spacing w:after="0" w:line="133"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0000FF"/>
              </w:rPr>
              <w:t>3,264</w:t>
            </w:r>
          </w:p>
        </w:tc>
        <w:tc>
          <w:tcPr>
            <w:tcW w:w="5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0000FF"/>
              </w:rPr>
              <w:t>12/14/2020</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tcPr>
          <w:p>
            <w:pPr>
              <w:ind w:left="400"/>
              <w:spacing w:after="0" w:line="133"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33"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52.03</w:t>
            </w:r>
          </w:p>
        </w:tc>
        <w:tc>
          <w:tcPr>
            <w:tcW w:w="1100" w:type="dxa"/>
            <w:vAlign w:val="bottom"/>
          </w:tcPr>
          <w:p>
            <w:pPr>
              <w:jc w:val="right"/>
              <w:ind w:right="178"/>
              <w:spacing w:after="0"/>
              <w:rPr>
                <w:sz w:val="20"/>
                <w:szCs w:val="20"/>
                <w:color w:val="auto"/>
              </w:rPr>
            </w:pPr>
            <w:r>
              <w:rPr>
                <w:rFonts w:ascii="Times New Roman" w:cs="Times New Roman" w:eastAsia="Times New Roman" w:hAnsi="Times New Roman"/>
                <w:sz w:val="13"/>
                <w:szCs w:val="13"/>
                <w:color w:val="0000FF"/>
              </w:rPr>
              <w:t>12/16/2014</w:t>
            </w:r>
          </w:p>
        </w:tc>
        <w:tc>
          <w:tcPr>
            <w:tcW w:w="1140" w:type="dxa"/>
            <w:vAlign w:val="bottom"/>
          </w:tcPr>
          <w:p>
            <w:pPr>
              <w:spacing w:after="0"/>
              <w:rPr>
                <w:sz w:val="18"/>
                <w:szCs w:val="18"/>
                <w:color w:val="auto"/>
              </w:rPr>
            </w:pPr>
          </w:p>
        </w:tc>
        <w:tc>
          <w:tcPr>
            <w:tcW w:w="78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60,000</w:t>
            </w:r>
          </w:p>
        </w:tc>
        <w:tc>
          <w:tcPr>
            <w:tcW w:w="44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32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12/16/2021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0000FF"/>
                <w:w w:val="98"/>
              </w:rPr>
              <w:t>60,000</w:t>
            </w:r>
          </w:p>
        </w:tc>
        <w:tc>
          <w:tcPr>
            <w:tcW w:w="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78,079</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4"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4"/>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award (combined incentive stock option and non-qualified stock option) vests in four equal annual installments, commencing one year after the date of grant.</w:t>
      </w:r>
    </w:p>
    <w:p>
      <w:pPr>
        <w:spacing w:after="0" w:line="49" w:lineRule="exact"/>
        <w:rPr>
          <w:rFonts w:ascii="Times New Roman" w:cs="Times New Roman" w:eastAsia="Times New Roman" w:hAnsi="Times New Roman"/>
          <w:sz w:val="13"/>
          <w:szCs w:val="13"/>
          <w:color w:val="008000"/>
        </w:rPr>
      </w:pPr>
    </w:p>
    <w:p>
      <w:pPr>
        <w:ind w:left="40" w:right="360" w:firstLine="6"/>
        <w:spacing w:after="0" w:line="270"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16, 2011, the reporting person was granted an option to purchase 60,000 shares of Common Stock. The option vests, partially or in full, on December 31, 2014, based on the extent to which the company satisfies certain performance criteria during the period ending December 31, 2014. The performance criteria have been met and the option will vest as to all 60,000 shares on December 31, 2014.</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0000FF"/>
              </w:rPr>
              <w:t>/s/**Murray A. Goldberg</w:t>
            </w:r>
          </w:p>
        </w:tc>
        <w:tc>
          <w:tcPr>
            <w:tcW w:w="340" w:type="dxa"/>
            <w:vAlign w:val="bottom"/>
          </w:tcPr>
          <w:p>
            <w:pPr>
              <w:spacing w:after="0"/>
              <w:rPr>
                <w:sz w:val="17"/>
                <w:szCs w:val="17"/>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w w:val="98"/>
              </w:rPr>
              <w:t>12/17/2014</w:t>
            </w:r>
          </w:p>
        </w:tc>
      </w:tr>
      <w:tr>
        <w:trPr>
          <w:trHeight w:val="20"/>
        </w:trPr>
        <w:tc>
          <w:tcPr>
            <w:tcW w:w="1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2019-12-18T10:25:08Z</dcterms:created>
  <dcterms:modified xsi:type="dcterms:W3CDTF">2019-12-18T10:25:08Z</dcterms:modified>
</cp:coreProperties>
</file>