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June 26, 2008</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50" w:lineRule="exact"/>
        <w:rPr>
          <w:sz w:val="20"/>
          <w:szCs w:val="20"/>
          <w:color w:val="auto"/>
        </w:rPr>
      </w:pPr>
    </w:p>
    <w:tbl>
      <w:tblPr>
        <w:tblLayout w:type="fixed"/>
        <w:tblInd w:w="164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p>
        </w:tc>
        <w:tc>
          <w:tcPr>
            <w:tcW w:w="5560" w:type="dxa"/>
            <w:vAlign w:val="bottom"/>
            <w:gridSpan w:val="3"/>
          </w:tcPr>
          <w:p>
            <w:pPr>
              <w:jc w:val="center"/>
              <w:ind w:right="167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268"/>
        </w:trPr>
        <w:tc>
          <w:tcPr>
            <w:tcW w:w="2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960" w:type="dxa"/>
            <w:vAlign w:val="bottom"/>
            <w:tcBorders>
              <w:bottom w:val="single" w:sz="8" w:color="auto"/>
            </w:tcBorders>
          </w:tcPr>
          <w:p>
            <w:pPr>
              <w:spacing w:after="0"/>
              <w:rPr>
                <w:sz w:val="23"/>
                <w:szCs w:val="23"/>
                <w:color w:val="auto"/>
              </w:rPr>
            </w:pPr>
          </w:p>
        </w:tc>
        <w:tc>
          <w:tcPr>
            <w:tcW w:w="2180" w:type="dxa"/>
            <w:vAlign w:val="bottom"/>
          </w:tcPr>
          <w:p>
            <w:pPr>
              <w:spacing w:after="0"/>
              <w:rPr>
                <w:sz w:val="23"/>
                <w:szCs w:val="23"/>
                <w:color w:val="auto"/>
              </w:rPr>
            </w:pPr>
          </w:p>
        </w:tc>
      </w:tr>
      <w:tr>
        <w:trPr>
          <w:trHeight w:val="479"/>
        </w:trPr>
        <w:tc>
          <w:tcPr>
            <w:tcW w:w="2180" w:type="dxa"/>
            <w:vAlign w:val="bottom"/>
          </w:tcPr>
          <w:p>
            <w:pPr>
              <w:ind w:left="700"/>
              <w:spacing w:after="0"/>
              <w:rPr>
                <w:sz w:val="20"/>
                <w:szCs w:val="20"/>
                <w:color w:val="auto"/>
              </w:rPr>
            </w:pPr>
            <w:r>
              <w:rPr>
                <w:rFonts w:ascii="Arial" w:cs="Arial" w:eastAsia="Arial" w:hAnsi="Arial"/>
                <w:sz w:val="18"/>
                <w:szCs w:val="18"/>
                <w:b w:val="1"/>
                <w:bCs w:val="1"/>
                <w:color w:val="auto"/>
              </w:rPr>
              <w:t>New York</w:t>
            </w:r>
          </w:p>
        </w:tc>
        <w:tc>
          <w:tcPr>
            <w:tcW w:w="5560" w:type="dxa"/>
            <w:vAlign w:val="bottom"/>
            <w:gridSpan w:val="3"/>
          </w:tcPr>
          <w:p>
            <w:pPr>
              <w:jc w:val="center"/>
              <w:ind w:left="4130"/>
              <w:spacing w:after="0"/>
              <w:rPr>
                <w:sz w:val="20"/>
                <w:szCs w:val="20"/>
                <w:color w:val="auto"/>
              </w:rPr>
            </w:pPr>
            <w:r>
              <w:rPr>
                <w:rFonts w:ascii="Arial" w:cs="Arial" w:eastAsia="Arial" w:hAnsi="Arial"/>
                <w:sz w:val="18"/>
                <w:szCs w:val="18"/>
                <w:b w:val="1"/>
                <w:bCs w:val="1"/>
                <w:color w:val="auto"/>
                <w:w w:val="89"/>
              </w:rPr>
              <w:t>13-3444607</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w w:val="95"/>
              </w:rPr>
              <w:t>(State or other jurisdiction of</w:t>
            </w: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180" w:type="dxa"/>
            <w:vAlign w:val="bottom"/>
          </w:tcPr>
          <w:p>
            <w:pPr>
              <w:jc w:val="center"/>
              <w:ind w:left="750"/>
              <w:spacing w:after="0"/>
              <w:rPr>
                <w:sz w:val="20"/>
                <w:szCs w:val="20"/>
                <w:color w:val="auto"/>
              </w:rPr>
            </w:pPr>
            <w:r>
              <w:rPr>
                <w:rFonts w:ascii="Arial" w:cs="Arial" w:eastAsia="Arial" w:hAnsi="Arial"/>
                <w:sz w:val="18"/>
                <w:szCs w:val="18"/>
                <w:color w:val="auto"/>
                <w:w w:val="92"/>
              </w:rPr>
              <w:t>(I.R.S. Employer</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w w:val="92"/>
              </w:rPr>
              <w:t>incorporation or organization)</w:t>
            </w:r>
          </w:p>
        </w:tc>
        <w:tc>
          <w:tcPr>
            <w:tcW w:w="4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180" w:type="dxa"/>
            <w:vAlign w:val="bottom"/>
          </w:tcPr>
          <w:p>
            <w:pPr>
              <w:jc w:val="center"/>
              <w:ind w:left="7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40" w:type="dxa"/>
            <w:vAlign w:val="bottom"/>
            <w:gridSpan w:val="2"/>
          </w:tcPr>
          <w:p>
            <w:pPr>
              <w:jc w:val="center"/>
              <w:ind w:right="2110"/>
              <w:spacing w:after="0"/>
              <w:rPr>
                <w:sz w:val="20"/>
                <w:szCs w:val="20"/>
                <w:color w:val="auto"/>
              </w:rPr>
            </w:pPr>
            <w:r>
              <w:rPr>
                <w:rFonts w:ascii="Arial" w:cs="Arial" w:eastAsia="Arial" w:hAnsi="Arial"/>
                <w:sz w:val="18"/>
                <w:szCs w:val="18"/>
                <w:b w:val="1"/>
                <w:bCs w:val="1"/>
                <w:color w:val="auto"/>
                <w:w w:val="93"/>
              </w:rPr>
              <w:t>777 Old Saw Mill River Road</w:t>
            </w:r>
          </w:p>
        </w:tc>
      </w:tr>
      <w:tr>
        <w:trPr>
          <w:trHeight w:val="220"/>
        </w:trPr>
        <w:tc>
          <w:tcPr>
            <w:tcW w:w="2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140" w:type="dxa"/>
            <w:vAlign w:val="bottom"/>
            <w:gridSpan w:val="2"/>
          </w:tcPr>
          <w:p>
            <w:pPr>
              <w:jc w:val="center"/>
              <w:ind w:right="2110"/>
              <w:spacing w:after="0"/>
              <w:rPr>
                <w:sz w:val="20"/>
                <w:szCs w:val="20"/>
                <w:color w:val="auto"/>
              </w:rPr>
            </w:pPr>
            <w:r>
              <w:rPr>
                <w:rFonts w:ascii="Arial" w:cs="Arial" w:eastAsia="Arial" w:hAnsi="Arial"/>
                <w:sz w:val="18"/>
                <w:szCs w:val="18"/>
                <w:b w:val="1"/>
                <w:bCs w:val="1"/>
                <w:color w:val="auto"/>
                <w:w w:val="94"/>
              </w:rPr>
              <w:t>Tarrytown, NY 10591-6707</w:t>
            </w:r>
          </w:p>
        </w:tc>
      </w:tr>
      <w:tr>
        <w:trPr>
          <w:trHeight w:val="230"/>
        </w:trPr>
        <w:tc>
          <w:tcPr>
            <w:tcW w:w="2180" w:type="dxa"/>
            <w:vAlign w:val="bottom"/>
          </w:tcPr>
          <w:p>
            <w:pPr>
              <w:spacing w:after="0"/>
              <w:rPr>
                <w:sz w:val="20"/>
                <w:szCs w:val="20"/>
                <w:color w:val="auto"/>
              </w:rPr>
            </w:pPr>
          </w:p>
        </w:tc>
        <w:tc>
          <w:tcPr>
            <w:tcW w:w="5560" w:type="dxa"/>
            <w:vAlign w:val="bottom"/>
            <w:gridSpan w:val="3"/>
          </w:tcPr>
          <w:p>
            <w:pPr>
              <w:jc w:val="center"/>
              <w:ind w:right="1690"/>
              <w:spacing w:after="0"/>
              <w:rPr>
                <w:sz w:val="20"/>
                <w:szCs w:val="20"/>
                <w:color w:val="auto"/>
              </w:rPr>
            </w:pPr>
            <w:r>
              <w:rPr>
                <w:rFonts w:ascii="Arial" w:cs="Arial" w:eastAsia="Arial" w:hAnsi="Arial"/>
                <w:sz w:val="18"/>
                <w:szCs w:val="18"/>
                <w:color w:val="auto"/>
                <w:w w:val="92"/>
              </w:rPr>
              <w:t>(Address of principal executive offices) (zip code)</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2000 Long-Term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Stuart Kolinski, Esq.</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Vice President, General Counsel and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Tarrytown, NY 10591-6707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(914) 347-7000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Kent A. Coit, Esq.</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Skadden, Arps, Slate, Meagher &amp; Flom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One Beacon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Boston, MA 02108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(617) 573-4800</w:t>
      </w:r>
    </w:p>
    <w:p>
      <w:pPr>
        <w:spacing w:after="0" w:line="103"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216"/>
        </w:trPr>
        <w:tc>
          <w:tcPr>
            <w:tcW w:w="2700" w:type="dxa"/>
            <w:vAlign w:val="bottom"/>
            <w:vMerge w:val="restart"/>
          </w:tcPr>
          <w:p>
            <w:pPr>
              <w:ind w:left="4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380" w:type="dxa"/>
            <w:vAlign w:val="bottom"/>
            <w:vMerge w:val="restart"/>
          </w:tcPr>
          <w:p>
            <w:pPr>
              <w:spacing w:after="0"/>
              <w:rPr>
                <w:sz w:val="20"/>
                <w:szCs w:val="20"/>
                <w:color w:val="auto"/>
              </w:rPr>
            </w:pPr>
            <w:r>
              <w:rPr>
                <w:rFonts w:ascii="Arial" w:cs="Arial" w:eastAsia="Arial" w:hAnsi="Arial"/>
                <w:sz w:val="18"/>
                <w:szCs w:val="18"/>
                <w:color w:val="auto"/>
                <w:w w:val="94"/>
              </w:rPr>
              <w:t>Accelerated filer 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gridSpan w:val="4"/>
          </w:tcPr>
          <w:p>
            <w:pPr>
              <w:jc w:val="right"/>
              <w:ind w:right="900"/>
              <w:spacing w:after="0"/>
              <w:rPr>
                <w:sz w:val="20"/>
                <w:szCs w:val="20"/>
                <w:color w:val="auto"/>
              </w:rPr>
            </w:pPr>
            <w:r>
              <w:rPr>
                <w:rFonts w:ascii="Arial" w:cs="Arial" w:eastAsia="Arial" w:hAnsi="Arial"/>
                <w:sz w:val="18"/>
                <w:szCs w:val="18"/>
                <w:color w:val="auto"/>
              </w:rPr>
              <w:t>Non-Accelerated filer o</w:t>
            </w:r>
          </w:p>
        </w:tc>
        <w:tc>
          <w:tcPr>
            <w:tcW w:w="3180" w:type="dxa"/>
            <w:vAlign w:val="bottom"/>
            <w:gridSpan w:val="2"/>
            <w:vMerge w:val="restart"/>
          </w:tcPr>
          <w:p>
            <w:pPr>
              <w:jc w:val="right"/>
              <w:spacing w:after="0"/>
              <w:rPr>
                <w:sz w:val="20"/>
                <w:szCs w:val="20"/>
                <w:color w:val="auto"/>
              </w:rPr>
            </w:pPr>
            <w:r>
              <w:rPr>
                <w:rFonts w:ascii="Arial" w:cs="Arial" w:eastAsia="Arial" w:hAnsi="Arial"/>
                <w:sz w:val="18"/>
                <w:szCs w:val="18"/>
                <w:color w:val="auto"/>
              </w:rPr>
              <w:t>Smaller reporting company o</w:t>
            </w:r>
          </w:p>
        </w:tc>
        <w:tc>
          <w:tcPr>
            <w:tcW w:w="0" w:type="dxa"/>
            <w:vAlign w:val="bottom"/>
          </w:tcPr>
          <w:p>
            <w:pPr>
              <w:spacing w:after="0"/>
              <w:rPr>
                <w:sz w:val="1"/>
                <w:szCs w:val="1"/>
                <w:color w:val="auto"/>
              </w:rPr>
            </w:pPr>
          </w:p>
        </w:tc>
      </w:tr>
      <w:tr>
        <w:trPr>
          <w:trHeight w:val="142"/>
        </w:trPr>
        <w:tc>
          <w:tcPr>
            <w:tcW w:w="270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20" w:type="dxa"/>
            <w:vAlign w:val="bottom"/>
            <w:gridSpan w:val="4"/>
            <w:vMerge w:val="restart"/>
          </w:tcPr>
          <w:p>
            <w:pPr>
              <w:ind w:left="400"/>
              <w:spacing w:after="0"/>
              <w:rPr>
                <w:sz w:val="20"/>
                <w:szCs w:val="20"/>
                <w:color w:val="auto"/>
              </w:rPr>
            </w:pPr>
            <w:r>
              <w:rPr>
                <w:rFonts w:ascii="Arial" w:cs="Arial" w:eastAsia="Arial" w:hAnsi="Arial"/>
                <w:sz w:val="18"/>
                <w:szCs w:val="18"/>
                <w:color w:val="auto"/>
                <w:w w:val="93"/>
              </w:rPr>
              <w:t>(Do not check if a smaller reporting company)</w:t>
            </w:r>
          </w:p>
        </w:tc>
        <w:tc>
          <w:tcPr>
            <w:tcW w:w="3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7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20" w:type="dxa"/>
            <w:vAlign w:val="bottom"/>
            <w:gridSpan w:val="4"/>
            <w:vMerge w:val="continue"/>
          </w:tcPr>
          <w:p>
            <w:pPr>
              <w:spacing w:after="0"/>
              <w:rPr>
                <w:sz w:val="7"/>
                <w:szCs w:val="7"/>
                <w:color w:val="auto"/>
              </w:rPr>
            </w:pPr>
          </w:p>
        </w:tc>
        <w:tc>
          <w:tcPr>
            <w:tcW w:w="1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160" w:type="dxa"/>
            <w:vAlign w:val="bottom"/>
            <w:gridSpan w:val="6"/>
          </w:tcPr>
          <w:p>
            <w:pPr>
              <w:jc w:val="right"/>
              <w:ind w:right="900"/>
              <w:spacing w:after="0"/>
              <w:rPr>
                <w:sz w:val="20"/>
                <w:szCs w:val="20"/>
                <w:color w:val="auto"/>
              </w:rPr>
            </w:pPr>
            <w:r>
              <w:rPr>
                <w:rFonts w:ascii="Arial" w:cs="Arial" w:eastAsia="Arial" w:hAnsi="Arial"/>
                <w:sz w:val="18"/>
                <w:szCs w:val="18"/>
                <w:color w:val="auto"/>
                <w:w w:val="96"/>
              </w:rPr>
              <w:t>CALCULATION OF REGISTRATION FEE</w:t>
            </w:r>
          </w:p>
        </w:tc>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700" w:type="dxa"/>
            <w:vAlign w:val="bottom"/>
            <w:vMerge w:val="restart"/>
          </w:tcPr>
          <w:p>
            <w:pPr>
              <w:jc w:val="center"/>
              <w:ind w:left="1539"/>
              <w:spacing w:after="0"/>
              <w:rPr>
                <w:sz w:val="20"/>
                <w:szCs w:val="20"/>
                <w:color w:val="auto"/>
              </w:rPr>
            </w:pPr>
            <w:r>
              <w:rPr>
                <w:rFonts w:ascii="Arial" w:cs="Arial" w:eastAsia="Arial" w:hAnsi="Arial"/>
                <w:sz w:val="14"/>
                <w:szCs w:val="14"/>
                <w:b w:val="1"/>
                <w:bCs w:val="1"/>
                <w:color w:val="auto"/>
                <w:w w:val="92"/>
              </w:rPr>
              <w:t>Title of Securities</w:t>
            </w: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ind w:left="360"/>
              <w:spacing w:after="0"/>
              <w:rPr>
                <w:sz w:val="20"/>
                <w:szCs w:val="20"/>
                <w:color w:val="auto"/>
              </w:rPr>
            </w:pPr>
            <w:r>
              <w:rPr>
                <w:rFonts w:ascii="Arial" w:cs="Arial" w:eastAsia="Arial" w:hAnsi="Arial"/>
                <w:sz w:val="14"/>
                <w:szCs w:val="14"/>
                <w:b w:val="1"/>
                <w:bCs w:val="1"/>
                <w:color w:val="auto"/>
              </w:rPr>
              <w:t>Amount to be</w:t>
            </w:r>
          </w:p>
        </w:tc>
        <w:tc>
          <w:tcPr>
            <w:tcW w:w="1800" w:type="dxa"/>
            <w:vAlign w:val="bottom"/>
            <w:tcBorders>
              <w:right w:val="single" w:sz="8" w:color="auto"/>
            </w:tcBorders>
            <w:gridSpan w:val="2"/>
          </w:tcPr>
          <w:p>
            <w:pPr>
              <w:jc w:val="center"/>
              <w:ind w:right="20"/>
              <w:spacing w:after="0" w:line="106" w:lineRule="exact"/>
              <w:rPr>
                <w:sz w:val="20"/>
                <w:szCs w:val="20"/>
                <w:color w:val="auto"/>
              </w:rPr>
            </w:pPr>
            <w:r>
              <w:rPr>
                <w:rFonts w:ascii="Arial" w:cs="Arial" w:eastAsia="Arial" w:hAnsi="Arial"/>
                <w:sz w:val="12"/>
                <w:szCs w:val="12"/>
                <w:b w:val="1"/>
                <w:bCs w:val="1"/>
                <w:color w:val="auto"/>
              </w:rPr>
              <w:t>Proposed Maximum</w:t>
            </w:r>
          </w:p>
        </w:tc>
        <w:tc>
          <w:tcPr>
            <w:tcW w:w="420" w:type="dxa"/>
            <w:vAlign w:val="bottom"/>
          </w:tcPr>
          <w:p>
            <w:pPr>
              <w:spacing w:after="0"/>
              <w:rPr>
                <w:sz w:val="9"/>
                <w:szCs w:val="9"/>
                <w:color w:val="auto"/>
              </w:rPr>
            </w:pPr>
          </w:p>
        </w:tc>
        <w:tc>
          <w:tcPr>
            <w:tcW w:w="1840" w:type="dxa"/>
            <w:vAlign w:val="bottom"/>
            <w:tcBorders>
              <w:right w:val="single" w:sz="8" w:color="auto"/>
            </w:tcBorders>
          </w:tcPr>
          <w:p>
            <w:pPr>
              <w:jc w:val="center"/>
              <w:ind w:right="363"/>
              <w:spacing w:after="0" w:line="106" w:lineRule="exact"/>
              <w:rPr>
                <w:sz w:val="20"/>
                <w:szCs w:val="20"/>
                <w:color w:val="auto"/>
              </w:rPr>
            </w:pPr>
            <w:r>
              <w:rPr>
                <w:rFonts w:ascii="Arial" w:cs="Arial" w:eastAsia="Arial" w:hAnsi="Arial"/>
                <w:sz w:val="12"/>
                <w:szCs w:val="12"/>
                <w:b w:val="1"/>
                <w:bCs w:val="1"/>
                <w:color w:val="auto"/>
              </w:rPr>
              <w:t>Proposed Maximum</w:t>
            </w:r>
          </w:p>
        </w:tc>
        <w:tc>
          <w:tcPr>
            <w:tcW w:w="1340" w:type="dxa"/>
            <w:vAlign w:val="bottom"/>
          </w:tcPr>
          <w:p>
            <w:pPr>
              <w:jc w:val="center"/>
              <w:ind w:left="6"/>
              <w:spacing w:after="0" w:line="106" w:lineRule="exact"/>
              <w:rPr>
                <w:sz w:val="20"/>
                <w:szCs w:val="20"/>
                <w:color w:val="auto"/>
              </w:rPr>
            </w:pPr>
            <w:r>
              <w:rPr>
                <w:rFonts w:ascii="Arial" w:cs="Arial" w:eastAsia="Arial" w:hAnsi="Arial"/>
                <w:sz w:val="12"/>
                <w:szCs w:val="12"/>
                <w:b w:val="1"/>
                <w:bCs w:val="1"/>
                <w:color w:val="auto"/>
              </w:rPr>
              <w:t>Amount of</w:t>
            </w:r>
          </w:p>
        </w:tc>
        <w:tc>
          <w:tcPr>
            <w:tcW w:w="0" w:type="dxa"/>
            <w:vAlign w:val="bottom"/>
          </w:tcPr>
          <w:p>
            <w:pPr>
              <w:spacing w:after="0"/>
              <w:rPr>
                <w:sz w:val="1"/>
                <w:szCs w:val="1"/>
                <w:color w:val="auto"/>
              </w:rPr>
            </w:pPr>
          </w:p>
        </w:tc>
      </w:tr>
      <w:tr>
        <w:trPr>
          <w:trHeight w:val="149"/>
        </w:trPr>
        <w:tc>
          <w:tcPr>
            <w:tcW w:w="270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800" w:type="dxa"/>
            <w:vAlign w:val="bottom"/>
            <w:tcBorders>
              <w:right w:val="single" w:sz="8" w:color="auto"/>
            </w:tcBorders>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420" w:type="dxa"/>
            <w:vAlign w:val="bottom"/>
          </w:tcPr>
          <w:p>
            <w:pPr>
              <w:spacing w:after="0"/>
              <w:rPr>
                <w:sz w:val="12"/>
                <w:szCs w:val="12"/>
                <w:color w:val="auto"/>
              </w:rPr>
            </w:pPr>
          </w:p>
        </w:tc>
        <w:tc>
          <w:tcPr>
            <w:tcW w:w="1840" w:type="dxa"/>
            <w:vAlign w:val="bottom"/>
            <w:tcBorders>
              <w:right w:val="single" w:sz="8" w:color="auto"/>
            </w:tcBorders>
          </w:tcPr>
          <w:p>
            <w:pPr>
              <w:jc w:val="center"/>
              <w:ind w:right="363"/>
              <w:spacing w:after="0" w:line="149" w:lineRule="exact"/>
              <w:rPr>
                <w:sz w:val="20"/>
                <w:szCs w:val="20"/>
                <w:color w:val="auto"/>
              </w:rPr>
            </w:pPr>
            <w:r>
              <w:rPr>
                <w:rFonts w:ascii="Arial" w:cs="Arial" w:eastAsia="Arial" w:hAnsi="Arial"/>
                <w:sz w:val="14"/>
                <w:szCs w:val="14"/>
                <w:b w:val="1"/>
                <w:bCs w:val="1"/>
                <w:color w:val="auto"/>
                <w:w w:val="94"/>
              </w:rPr>
              <w:t>Aggregate Offering</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tcPr>
          <w:p>
            <w:pPr>
              <w:jc w:val="center"/>
              <w:ind w:left="1539"/>
              <w:spacing w:after="0"/>
              <w:rPr>
                <w:sz w:val="20"/>
                <w:szCs w:val="20"/>
                <w:color w:val="auto"/>
              </w:rPr>
            </w:pPr>
            <w:r>
              <w:rPr>
                <w:rFonts w:ascii="Arial" w:cs="Arial" w:eastAsia="Arial" w:hAnsi="Arial"/>
                <w:sz w:val="14"/>
                <w:szCs w:val="14"/>
                <w:b w:val="1"/>
                <w:bCs w:val="1"/>
                <w:color w:val="auto"/>
                <w:w w:val="91"/>
              </w:rPr>
              <w:t>to be Registered</w:t>
            </w:r>
          </w:p>
        </w:tc>
        <w:tc>
          <w:tcPr>
            <w:tcW w:w="1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b w:val="1"/>
                <w:bCs w:val="1"/>
                <w:color w:val="auto"/>
              </w:rPr>
              <w:t>Registered (1)</w:t>
            </w:r>
          </w:p>
        </w:tc>
        <w:tc>
          <w:tcPr>
            <w:tcW w:w="180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5"/>
              </w:rPr>
              <w:t>per Share (2)</w:t>
            </w:r>
          </w:p>
        </w:tc>
        <w:tc>
          <w:tcPr>
            <w:tcW w:w="420" w:type="dxa"/>
            <w:vAlign w:val="bottom"/>
            <w:tcBorders>
              <w:bottom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jc w:val="center"/>
              <w:ind w:right="363"/>
              <w:spacing w:after="0"/>
              <w:rPr>
                <w:sz w:val="20"/>
                <w:szCs w:val="20"/>
                <w:color w:val="auto"/>
              </w:rPr>
            </w:pPr>
            <w:r>
              <w:rPr>
                <w:rFonts w:ascii="Arial" w:cs="Arial" w:eastAsia="Arial" w:hAnsi="Arial"/>
                <w:sz w:val="14"/>
                <w:szCs w:val="14"/>
                <w:b w:val="1"/>
                <w:bCs w:val="1"/>
                <w:color w:val="auto"/>
                <w:w w:val="94"/>
              </w:rPr>
              <w:t>Price (2)</w:t>
            </w:r>
          </w:p>
        </w:tc>
        <w:tc>
          <w:tcPr>
            <w:tcW w:w="1340" w:type="dxa"/>
            <w:vAlign w:val="bottom"/>
            <w:tcBorders>
              <w:bottom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2"/>
              </w:rPr>
              <w:t>Fee (3)</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Common Stock, par value $0.001 per share</w:t>
            </w:r>
          </w:p>
        </w:tc>
        <w:tc>
          <w:tcPr>
            <w:tcW w:w="34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10,000,000</w:t>
            </w: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$14.41</w:t>
            </w:r>
          </w:p>
        </w:tc>
        <w:tc>
          <w:tcPr>
            <w:tcW w:w="62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right"/>
              <w:ind w:right="603"/>
              <w:spacing w:after="0"/>
              <w:rPr>
                <w:sz w:val="20"/>
                <w:szCs w:val="20"/>
                <w:color w:val="auto"/>
              </w:rPr>
            </w:pPr>
            <w:r>
              <w:rPr>
                <w:rFonts w:ascii="Arial" w:cs="Arial" w:eastAsia="Arial" w:hAnsi="Arial"/>
                <w:sz w:val="18"/>
                <w:szCs w:val="18"/>
                <w:color w:val="auto"/>
              </w:rPr>
              <w:t>$144,100,000</w:t>
            </w:r>
          </w:p>
        </w:tc>
        <w:tc>
          <w:tcPr>
            <w:tcW w:w="1340" w:type="dxa"/>
            <w:vAlign w:val="bottom"/>
            <w:tcBorders>
              <w:bottom w:val="single" w:sz="8" w:color="auto"/>
            </w:tcBorders>
          </w:tcPr>
          <w:p>
            <w:pPr>
              <w:jc w:val="right"/>
              <w:ind w:right="366"/>
              <w:spacing w:after="0"/>
              <w:rPr>
                <w:sz w:val="20"/>
                <w:szCs w:val="20"/>
                <w:color w:val="auto"/>
              </w:rPr>
            </w:pPr>
            <w:r>
              <w:rPr>
                <w:rFonts w:ascii="Arial" w:cs="Arial" w:eastAsia="Arial" w:hAnsi="Arial"/>
                <w:sz w:val="18"/>
                <w:szCs w:val="18"/>
                <w:color w:val="auto"/>
              </w:rPr>
              <w:t>$5,664</w:t>
            </w:r>
          </w:p>
        </w:tc>
        <w:tc>
          <w:tcPr>
            <w:tcW w:w="0" w:type="dxa"/>
            <w:vAlign w:val="bottom"/>
          </w:tcPr>
          <w:p>
            <w:pPr>
              <w:spacing w:after="0"/>
              <w:rPr>
                <w:sz w:val="1"/>
                <w:szCs w:val="1"/>
                <w:color w:val="auto"/>
              </w:rPr>
            </w:pPr>
          </w:p>
        </w:tc>
      </w:tr>
      <w:tr>
        <w:trPr>
          <w:trHeight w:val="20"/>
        </w:trPr>
        <w:tc>
          <w:tcPr>
            <w:tcW w:w="27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460" w:right="20" w:hanging="452"/>
        <w:spacing w:after="0" w:line="25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this Registration Statement shall also cover, in addition to the number of shares stated above, an indeterminate number of additional shares of Common Stock, par value $0.001 per share (“Common Stock”) of the Registrant which may become issuable under the Registrant’s Amended and Restated 2000 Long-Term Incentive Plan (the “2000 Plan”) by reason of certain corporate transactions or events, including any stock dividend, stock split or any other similar transaction effected which results in an increase in the number of the Registrant’s outstanding shares of Common Stock.</w:t>
      </w:r>
    </w:p>
    <w:p>
      <w:pPr>
        <w:sectPr>
          <w:pgSz w:w="11900" w:h="16843" w:orient="portrait"/>
          <w:cols w:equalWidth="0" w:num="1">
            <w:col w:w="11420"/>
          </w:cols>
          <w:pgMar w:left="240" w:top="122" w:right="239" w:bottom="0" w:gutter="0" w:footer="0" w:header="0"/>
        </w:sectPr>
      </w:pPr>
    </w:p>
    <w:bookmarkStart w:id="2" w:name="page3"/>
    <w:bookmarkEnd w:id="2"/>
    <w:p>
      <w:pPr>
        <w:ind w:left="452" w:hanging="452"/>
        <w:spacing w:after="0" w:line="286" w:lineRule="auto"/>
        <w:tabs>
          <w:tab w:leader="none" w:pos="452"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fee is based solely on the 10,000,000 shares of Common Stock newly available for issuance under the 2000 Plan and is estimated in accordance with paragraphs (c) and (h) of Rule 457 under the Securities Act solely for the purpose of calculating the registration fee based upon the average of the high and low sales prices per share of Common Stock as reported on the Nasdaq Global Market on June 19, 2008.</w:t>
      </w:r>
    </w:p>
    <w:p>
      <w:pPr>
        <w:spacing w:after="0" w:line="16" w:lineRule="exact"/>
        <w:rPr>
          <w:rFonts w:ascii="Arial" w:cs="Arial" w:eastAsia="Arial" w:hAnsi="Arial"/>
          <w:sz w:val="17"/>
          <w:szCs w:val="17"/>
          <w:color w:val="auto"/>
        </w:rPr>
      </w:pPr>
    </w:p>
    <w:p>
      <w:pPr>
        <w:ind w:left="452" w:right="60" w:hanging="452"/>
        <w:spacing w:after="0" w:line="264" w:lineRule="auto"/>
        <w:tabs>
          <w:tab w:leader="none" w:pos="45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registration fee has been calculated pursuant to Section 6(b) of the Securities Act by multiplying .00003930 by the proposed maximum aggregate offering price (as computed in accordance with Rule 457 under the Securities Act solely for the purpose of determining the registration fee of the securities registered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124460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534035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92"/>
          </w:cols>
          <w:pgMar w:left="248" w:top="125" w:right="359" w:bottom="1440" w:gutter="0" w:footer="0" w:header="0"/>
        </w:sectPr>
      </w:pPr>
    </w:p>
    <w:bookmarkStart w:id="3" w:name="page4"/>
    <w:bookmarkEnd w:id="3"/>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Plan Information.*</w:t>
        </w:r>
      </w:hyperlink>
    </w:p>
    <w:p>
      <w:pPr>
        <w:ind w:right="3019" w:firstLine="311"/>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2. Registrant Information and Employee Plan Annual Information.*</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Part II</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3. Incorporation of Documents by Reference.</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5. Interests of Named Experts and Counsel.</w:t>
        </w:r>
      </w:hyperlink>
    </w:p>
    <w:p>
      <w:pPr>
        <w:ind w:left="320"/>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6. Indemnification of Directors and Officers.</w:t>
        </w:r>
      </w:hyperlink>
    </w:p>
    <w:p>
      <w:pPr>
        <w:ind w:left="320"/>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8. Exhibits.</w:t>
        </w:r>
      </w:hyperlink>
    </w:p>
    <w:p>
      <w:pPr>
        <w:ind w:left="320"/>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Item 9. Undertakings.</w:t>
        </w:r>
      </w:hyperlink>
    </w:p>
    <w:p>
      <w:pPr>
        <w:spacing w:after="0" w:line="231"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EE"/>
        </w:rPr>
        <w:t>EX-5.1: OPINION OF SKADDEN, ARPS, SLATE, MEAGHER &amp; FLOM LLP</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EX-23.1: CONSENT OF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right="40" w:firstLine="215"/>
        <w:spacing w:after="0" w:line="288" w:lineRule="auto"/>
        <w:rPr>
          <w:sz w:val="20"/>
          <w:szCs w:val="20"/>
          <w:color w:val="auto"/>
        </w:rPr>
      </w:pPr>
      <w:r>
        <w:rPr>
          <w:rFonts w:ascii="Arial" w:cs="Arial" w:eastAsia="Arial" w:hAnsi="Arial"/>
          <w:sz w:val="16"/>
          <w:szCs w:val="16"/>
          <w:color w:val="auto"/>
        </w:rPr>
        <w:t>At the 2008 Annual Meeting of Shareholders of Regeneron Pharmaceuticals, Inc. (the “Company”) held on June 13, 2008, the Company’s shareholders approved the amendment and restatement of the Company’s 2000 Long-Term Incentive Plan (the “2000 Plan”), which (1) increased the maximum number of shares of common stock reserved for and available for issuance under the 2000 Plan to 28,500,000, representing an increase of 10,000,000 shares;</w:t>
      </w:r>
    </w:p>
    <w:p>
      <w:pPr>
        <w:ind w:right="40" w:firstLine="8"/>
        <w:spacing w:after="0" w:line="255"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extended the term of the 2000 Plan until December 31, 2013; and (3) added to the 2000 Plan certain “best practices” in stock plan design. Shareholder approval of the amendment and restatement of the 2000 Plan also constituted re-approval for purposes of Section 162(m) under the Internal Revenue Code of 1986, as amended, of certain performance goals in the 2000 Plan that may be applied to awards thereunder.</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Registration Statement on Form S-8 is intended to register the additional 10,000,000 shares of common stock that may be issued under the 2000 Plan.</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117" w:lineRule="exact"/>
        <w:rPr>
          <w:sz w:val="20"/>
          <w:szCs w:val="20"/>
          <w:color w:val="auto"/>
        </w:rPr>
      </w:pPr>
    </w:p>
    <w:p>
      <w:pPr>
        <w:ind w:firstLine="450"/>
        <w:spacing w:after="0" w:line="303"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The documents containing the information specified in Part I have been sent or given to employees as specified by Rule 428(b)(1). Such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are not being filed with the Securities and Exchange Commission (the “Commission”) either as part of this Registration Statement or as prospectuses or prospectus supplements pursuant to Rule 424. Such documents and the documents incorporated by reference in this Registration Statement pursuant to Item 3 of Part II of this Form, taken together, constitute a prospectus that meets the requirements of Section 10(a)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363220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hereby incorporates by reference into this Registration Statement the following documents filed with the Commission:</w:t>
      </w:r>
    </w:p>
    <w:p>
      <w:pPr>
        <w:spacing w:after="0" w:line="117"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2007 (filed with the Commission on February 27, 2008);</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2008 (filed with the Commission on May 2, 2008);</w:t>
      </w:r>
    </w:p>
    <w:p>
      <w:pPr>
        <w:spacing w:after="0" w:line="130" w:lineRule="exact"/>
        <w:rPr>
          <w:rFonts w:ascii="Arial" w:cs="Arial" w:eastAsia="Arial" w:hAnsi="Arial"/>
          <w:sz w:val="18"/>
          <w:szCs w:val="18"/>
          <w:color w:val="auto"/>
        </w:rPr>
      </w:pPr>
    </w:p>
    <w:p>
      <w:pPr>
        <w:ind w:left="660" w:hanging="436"/>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February 28, 2008; Current Report on Form 8-K filed with the Commission on February 29, 2008; Current Report on Form 8-K filed with the Commission on April 8, 2008; Current Report on Form 8-K filed with the Commission on May 2, 2008; Current Report on Form 8-K filed with the Commission on May 21, 2008; Current Report on Form 8-K filed with the Commission on June 4, 2008; and Current Report on Form 8-K filed with the Commission on June 17, 2008; and</w:t>
      </w:r>
    </w:p>
    <w:p>
      <w:pPr>
        <w:spacing w:after="0" w:line="92" w:lineRule="exact"/>
        <w:rPr>
          <w:rFonts w:ascii="Arial" w:cs="Arial" w:eastAsia="Arial" w:hAnsi="Arial"/>
          <w:sz w:val="18"/>
          <w:szCs w:val="18"/>
          <w:color w:val="auto"/>
        </w:rPr>
      </w:pPr>
    </w:p>
    <w:p>
      <w:pPr>
        <w:ind w:left="660" w:right="20" w:hanging="436"/>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Common Stock contained in the Registration Statement on Form 8-A, filed with the Commission under Section 12 of the Securities Exchange Act of 1934, as amended (the “Exchange Act”) on February 20, 1991, including any amendment or report filed for the purpose of updating such description.</w:t>
      </w:r>
    </w:p>
    <w:p>
      <w:pPr>
        <w:spacing w:after="0" w:line="73" w:lineRule="exact"/>
        <w:rPr>
          <w:sz w:val="20"/>
          <w:szCs w:val="20"/>
          <w:color w:val="auto"/>
        </w:rPr>
      </w:pPr>
    </w:p>
    <w:p>
      <w:pPr>
        <w:ind w:right="220" w:firstLine="440"/>
        <w:spacing w:after="0" w:line="312" w:lineRule="auto"/>
        <w:rPr>
          <w:sz w:val="20"/>
          <w:szCs w:val="20"/>
          <w:color w:val="auto"/>
        </w:rPr>
      </w:pPr>
      <w:r>
        <w:rPr>
          <w:rFonts w:ascii="Arial" w:cs="Arial" w:eastAsia="Arial" w:hAnsi="Arial"/>
          <w:sz w:val="16"/>
          <w:szCs w:val="16"/>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39"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r>
        <w:rPr>
          <w:rFonts w:ascii="Arial" w:cs="Arial" w:eastAsia="Arial" w:hAnsi="Arial"/>
          <w:sz w:val="18"/>
          <w:szCs w:val="18"/>
          <w:color w:val="auto"/>
        </w:rPr>
        <w:t>.</w:t>
      </w:r>
    </w:p>
    <w:p>
      <w:pPr>
        <w:spacing w:after="0" w:line="121" w:lineRule="exact"/>
        <w:rPr>
          <w:sz w:val="20"/>
          <w:szCs w:val="20"/>
          <w:color w:val="auto"/>
        </w:rPr>
      </w:pPr>
    </w:p>
    <w:p>
      <w:pPr>
        <w:ind w:right="20" w:firstLine="440"/>
        <w:spacing w:after="0" w:line="264" w:lineRule="auto"/>
        <w:rPr>
          <w:sz w:val="20"/>
          <w:szCs w:val="20"/>
          <w:color w:val="auto"/>
        </w:rPr>
      </w:pPr>
      <w:r>
        <w:rPr>
          <w:rFonts w:ascii="Arial" w:cs="Arial" w:eastAsia="Arial" w:hAnsi="Arial"/>
          <w:sz w:val="18"/>
          <w:szCs w:val="18"/>
          <w:color w:val="auto"/>
        </w:rPr>
        <w:t>Article Seven of the Company’s Restated Certificate of Incorporation provides that, to the fullest extent permitted by the New York Business Corporation Law, no director or officer shall be personally liable to the Company or its shareholders for monetary damages for any breach of fiduciary duty in such capacity.</w:t>
      </w:r>
    </w:p>
    <w:p>
      <w:pPr>
        <w:spacing w:after="0" w:line="73" w:lineRule="exact"/>
        <w:rPr>
          <w:sz w:val="20"/>
          <w:szCs w:val="20"/>
          <w:color w:val="auto"/>
        </w:rPr>
      </w:pPr>
    </w:p>
    <w:p>
      <w:pPr>
        <w:ind w:right="200" w:firstLine="450"/>
        <w:spacing w:after="0" w:line="259" w:lineRule="auto"/>
        <w:rPr>
          <w:sz w:val="20"/>
          <w:szCs w:val="20"/>
          <w:color w:val="auto"/>
        </w:rPr>
      </w:pPr>
      <w:r>
        <w:rPr>
          <w:rFonts w:ascii="Arial" w:cs="Arial" w:eastAsia="Arial" w:hAnsi="Arial"/>
          <w:sz w:val="18"/>
          <w:szCs w:val="18"/>
          <w:color w:val="auto"/>
        </w:rPr>
        <w:t>Section 722 of the New York Business Corporation Law permits a corporation to provide for the indemnification of members of its board of directors and its officers against actions or proceedings, or the threat thereof, by or in the right of the corporation. In order to receive indemnification such director or officer must have (i) acted in good faith for a purpose which he reasonably believed to be in the best interests of the corporation and, (ii) in the case of a criminal proceeding, also had no reasonable belief that such conduct was unlawful.</w:t>
      </w:r>
    </w:p>
    <w:p>
      <w:pPr>
        <w:spacing w:after="0" w:line="79" w:lineRule="exact"/>
        <w:rPr>
          <w:sz w:val="20"/>
          <w:szCs w:val="20"/>
          <w:color w:val="auto"/>
        </w:rPr>
      </w:pPr>
    </w:p>
    <w:p>
      <w:pPr>
        <w:ind w:right="20" w:firstLine="440"/>
        <w:spacing w:after="0" w:line="312" w:lineRule="auto"/>
        <w:rPr>
          <w:sz w:val="20"/>
          <w:szCs w:val="20"/>
          <w:color w:val="auto"/>
        </w:rPr>
      </w:pPr>
      <w:r>
        <w:rPr>
          <w:rFonts w:ascii="Arial" w:cs="Arial" w:eastAsia="Arial" w:hAnsi="Arial"/>
          <w:sz w:val="16"/>
          <w:szCs w:val="16"/>
          <w:color w:val="auto"/>
        </w:rPr>
        <w:t>Article IV of the Company’s By-Laws provides that the directors and certain other personnel of the Company shall be indemnified against expenses and certain other liabilities arising out of legal actions brought or threatened against them for their conduct on behalf of the Company, subject to certain qualifications and provided that each such person acted in good faith for a purpose that they reasonably believed to be in the best interests of the Company.</w:t>
      </w:r>
    </w:p>
    <w:p>
      <w:pPr>
        <w:spacing w:after="0" w:line="39" w:lineRule="exact"/>
        <w:rPr>
          <w:sz w:val="20"/>
          <w:szCs w:val="20"/>
          <w:color w:val="auto"/>
        </w:rPr>
      </w:pPr>
    </w:p>
    <w:p>
      <w:pPr>
        <w:jc w:val="both"/>
        <w:ind w:right="340" w:firstLine="447"/>
        <w:spacing w:after="0" w:line="264" w:lineRule="auto"/>
        <w:rPr>
          <w:sz w:val="20"/>
          <w:szCs w:val="20"/>
          <w:color w:val="auto"/>
        </w:rPr>
      </w:pPr>
      <w:r>
        <w:rPr>
          <w:rFonts w:ascii="Arial" w:cs="Arial" w:eastAsia="Arial" w:hAnsi="Arial"/>
          <w:sz w:val="18"/>
          <w:szCs w:val="18"/>
          <w:color w:val="auto"/>
        </w:rPr>
        <w:t>The Company has agreements with some of its directors which provide that the Company will indemnify them to the fullest extent permitted by the New York Business Corporation Law. The Company maintains directors’ and officers’ liability insurance which insures against liabilities that directors or officers of the Company may incur in such capacities.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05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10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Restated Certificate of Incorporation, filed February 11, 2008 with the New York Secretary of State (1)</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By-Laws of the Company, currently in effect (amended through November 9, 2007) (2)</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Opinion of Skadden, Arps, Slate, Meagher &amp; Flom LLP</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Consent of PricewaterhouseCoopers LLP</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Consent of Skadden, Arps, Slate, Meagher &amp; Flom LLP (contained in the opinion filed as Exhibit 5.1 to this Registration Statement)</w:t>
            </w:r>
          </w:p>
        </w:tc>
        <w:tc>
          <w:tcPr>
            <w:tcW w:w="0" w:type="dxa"/>
            <w:vAlign w:val="bottom"/>
          </w:tcPr>
          <w:p>
            <w:pPr>
              <w:spacing w:after="0"/>
              <w:rPr>
                <w:sz w:val="1"/>
                <w:szCs w:val="1"/>
                <w:color w:val="auto"/>
              </w:rPr>
            </w:pPr>
          </w:p>
        </w:tc>
      </w:tr>
      <w:tr>
        <w:trPr>
          <w:trHeight w:val="632"/>
        </w:trPr>
        <w:tc>
          <w:tcPr>
            <w:tcW w:w="5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05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10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Power of Attorney (included on the signature page of this Registration Statement)</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Amended and Restated 2000 Long-Term Incentive Plan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34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Annual Report on Form 10-K for the fiscal year ended December 31, 2007 filed with the Commission on February 27, 2008.</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with the Commission on November 13,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with the Commission on June 17,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120" w:hanging="437"/>
        <w:spacing w:after="0"/>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120" w:right="60" w:hanging="437"/>
        <w:spacing w:after="0" w:line="255" w:lineRule="auto"/>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94" w:lineRule="exact"/>
        <w:rPr>
          <w:rFonts w:ascii="Arial" w:cs="Arial" w:eastAsia="Arial" w:hAnsi="Arial"/>
          <w:sz w:val="18"/>
          <w:szCs w:val="18"/>
          <w:color w:val="auto"/>
        </w:rPr>
      </w:pPr>
    </w:p>
    <w:p>
      <w:pPr>
        <w:ind w:left="1120" w:right="460" w:hanging="437"/>
        <w:spacing w:after="0" w:line="277" w:lineRule="auto"/>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(1)(i) and (1)(ii) do not apply if the information required to be included in a post-effective amendment by those paragraphs</w:t>
      </w:r>
      <w:r>
        <w:rPr>
          <w:rFonts w:ascii="Arial" w:cs="Arial" w:eastAsia="Arial" w:hAnsi="Arial"/>
          <w:sz w:val="18"/>
          <w:szCs w:val="18"/>
          <w:i w:val="1"/>
          <w:iCs w:val="1"/>
          <w:color w:val="auto"/>
        </w:rPr>
        <w:t xml:space="preserve"> </w:t>
      </w:r>
      <w:r>
        <w:rPr>
          <w:rFonts w:ascii="Arial" w:cs="Arial" w:eastAsia="Arial" w:hAnsi="Arial"/>
          <w:sz w:val="18"/>
          <w:szCs w:val="18"/>
          <w:color w:val="auto"/>
        </w:rPr>
        <w:t>is contained in reports filed with or furnished to the Commission by the Registrant pursuant to Section 13 or 15(d)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Securities Exchange Act of 1934 (15 U.S.C. 78m or 78o(d)) that are incorporated by reference in the Registration Statement.</w:t>
      </w:r>
    </w:p>
    <w:p>
      <w:pPr>
        <w:spacing w:after="0" w:line="117" w:lineRule="exact"/>
        <w:rPr>
          <w:sz w:val="20"/>
          <w:szCs w:val="20"/>
          <w:color w:val="auto"/>
        </w:rPr>
      </w:pPr>
    </w:p>
    <w:p>
      <w:pPr>
        <w:ind w:left="660" w:right="60" w:hanging="436"/>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86" w:lineRule="exact"/>
        <w:rPr>
          <w:rFonts w:ascii="Arial" w:cs="Arial" w:eastAsia="Arial" w:hAnsi="Arial"/>
          <w:sz w:val="18"/>
          <w:szCs w:val="18"/>
          <w:color w:val="auto"/>
        </w:rPr>
      </w:pPr>
    </w:p>
    <w:p>
      <w:pPr>
        <w:ind w:left="660" w:hanging="436"/>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sz w:val="20"/>
          <w:szCs w:val="20"/>
          <w:color w:val="auto"/>
        </w:rPr>
      </w:pPr>
    </w:p>
    <w:p>
      <w:pPr>
        <w:ind w:right="120" w:firstLine="447"/>
        <w:spacing w:after="0" w:line="257" w:lineRule="auto"/>
        <w:rPr>
          <w:sz w:val="20"/>
          <w:szCs w:val="20"/>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0" w:lineRule="exact"/>
        <w:rPr>
          <w:sz w:val="20"/>
          <w:szCs w:val="20"/>
          <w:color w:val="auto"/>
        </w:rPr>
      </w:pPr>
    </w:p>
    <w:p>
      <w:pPr>
        <w:ind w:right="200" w:firstLine="450"/>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121" w:lineRule="exact"/>
        <w:rPr>
          <w:sz w:val="20"/>
          <w:szCs w:val="20"/>
          <w:color w:val="auto"/>
        </w:rPr>
      </w:pPr>
    </w:p>
    <w:p>
      <w:pPr>
        <w:ind w:right="100" w:firstLine="45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Tarrytown, State of New York, on June 26, 2008.</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2"/>
          <w:szCs w:val="12"/>
          <w:color w:val="auto"/>
        </w:rPr>
        <w:t xml:space="preserve">REGENERON </w:t>
      </w:r>
      <w:r>
        <w:rPr>
          <w:rFonts w:ascii="Arial" w:cs="Arial" w:eastAsia="Arial" w:hAnsi="Arial"/>
          <w:sz w:val="18"/>
          <w:szCs w:val="18"/>
          <w:color w:val="auto"/>
        </w:rPr>
        <w:t>P</w:t>
      </w:r>
      <w:r>
        <w:rPr>
          <w:rFonts w:ascii="Arial" w:cs="Arial" w:eastAsia="Arial" w:hAnsi="Arial"/>
          <w:sz w:val="12"/>
          <w:szCs w:val="12"/>
          <w:color w:val="auto"/>
        </w:rPr>
        <w:t>HARMACEUTICALS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Leonard S. Schleifer</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Leonard S. Schleifer,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-130810</wp:posOffset>
            </wp:positionV>
            <wp:extent cx="25730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21" w:lineRule="exact"/>
        <w:rPr>
          <w:sz w:val="20"/>
          <w:szCs w:val="20"/>
          <w:color w:val="auto"/>
        </w:rPr>
      </w:pPr>
    </w:p>
    <w:p>
      <w:pPr>
        <w:ind w:right="100" w:firstLine="450"/>
        <w:spacing w:after="0" w:line="271"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Leonard S. Schleifer, President and Chief Executive Officer, and Murray A. Goldberg, Senior Vice President, Finance &amp; Administration, Chief Financial Officer, Treasurer, and Assistant Secretary and each of them, his true and lawful attorney-in-fact and agent, with full power of substitution and resubstitution, for him and in his name, place and stead, in any and all capacities therewith, to sign any and all amendments (including post-effective amendments) to this Registration Statement,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in connection therewith, as fully to all intents and purposes as he might or could do in person, hereby ratifying and confirming all that each said attorney-in-fact and agent, or their or his substitute or substitutes, may lawfully do or cause to be done by virtue hereof.</w:t>
      </w:r>
    </w:p>
    <w:p>
      <w:pPr>
        <w:spacing w:after="0" w:line="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June 26, 2008.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Signature</w:t>
            </w:r>
          </w:p>
        </w:tc>
        <w:tc>
          <w:tcPr>
            <w:tcW w:w="1620" w:type="dxa"/>
            <w:vAlign w:val="bottom"/>
          </w:tcPr>
          <w:p>
            <w:pPr>
              <w:spacing w:after="0"/>
              <w:rPr>
                <w:sz w:val="14"/>
                <w:szCs w:val="14"/>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4000" w:type="dxa"/>
            <w:vAlign w:val="bottom"/>
          </w:tcPr>
          <w:p>
            <w:pPr>
              <w:spacing w:after="0"/>
              <w:rPr>
                <w:sz w:val="20"/>
                <w:szCs w:val="20"/>
                <w:color w:val="auto"/>
              </w:rPr>
            </w:pPr>
            <w:r>
              <w:rPr>
                <w:rFonts w:ascii="Arial" w:cs="Arial" w:eastAsia="Arial" w:hAnsi="Arial"/>
                <w:sz w:val="18"/>
                <w:szCs w:val="18"/>
                <w:color w:val="auto"/>
              </w:rPr>
              <w:t>/s/ Leonard S. Schleifer</w:t>
            </w:r>
          </w:p>
        </w:tc>
        <w:tc>
          <w:tcPr>
            <w:tcW w:w="16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400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398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Leonard S. Schleifer, M.D., Ph.D.</w:t>
            </w:r>
          </w:p>
        </w:tc>
        <w:tc>
          <w:tcPr>
            <w:tcW w:w="1620" w:type="dxa"/>
            <w:vAlign w:val="bottom"/>
          </w:tcPr>
          <w:p>
            <w:pPr>
              <w:spacing w:after="0"/>
              <w:rPr>
                <w:sz w:val="19"/>
                <w:szCs w:val="19"/>
                <w:color w:val="auto"/>
              </w:rPr>
            </w:pPr>
          </w:p>
        </w:tc>
        <w:tc>
          <w:tcPr>
            <w:tcW w:w="3980" w:type="dxa"/>
            <w:vAlign w:val="bottom"/>
            <w:vMerge w:val="continue"/>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000" w:type="dxa"/>
            <w:vAlign w:val="bottom"/>
          </w:tcPr>
          <w:p>
            <w:pPr>
              <w:spacing w:after="0"/>
              <w:rPr>
                <w:sz w:val="20"/>
                <w:szCs w:val="20"/>
                <w:color w:val="auto"/>
              </w:rPr>
            </w:pPr>
            <w:r>
              <w:rPr>
                <w:rFonts w:ascii="Arial" w:cs="Arial" w:eastAsia="Arial" w:hAnsi="Arial"/>
                <w:sz w:val="18"/>
                <w:szCs w:val="18"/>
                <w:color w:val="auto"/>
              </w:rPr>
              <w:t>/s/ Murray A. Goldberg</w:t>
            </w:r>
          </w:p>
        </w:tc>
        <w:tc>
          <w:tcPr>
            <w:tcW w:w="16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0"/>
              </w:rPr>
              <w:t>Senior Vice President, Finance &amp;</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400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3980" w:type="dxa"/>
            <w:vAlign w:val="bottom"/>
            <w:vMerge w:val="restart"/>
          </w:tcPr>
          <w:p>
            <w:pPr>
              <w:jc w:val="center"/>
              <w:spacing w:after="0"/>
              <w:rPr>
                <w:sz w:val="20"/>
                <w:szCs w:val="20"/>
                <w:color w:val="auto"/>
              </w:rPr>
            </w:pPr>
            <w:r>
              <w:rPr>
                <w:rFonts w:ascii="Arial" w:cs="Arial" w:eastAsia="Arial" w:hAnsi="Arial"/>
                <w:sz w:val="18"/>
                <w:szCs w:val="18"/>
                <w:color w:val="auto"/>
                <w:w w:val="94"/>
              </w:rPr>
              <w:t>Administration, Chief Financial Officer,</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000" w:type="dxa"/>
            <w:vAlign w:val="bottom"/>
          </w:tcPr>
          <w:p>
            <w:pPr>
              <w:spacing w:after="0" w:line="169" w:lineRule="exact"/>
              <w:rPr>
                <w:sz w:val="20"/>
                <w:szCs w:val="20"/>
                <w:color w:val="auto"/>
              </w:rPr>
            </w:pPr>
            <w:r>
              <w:rPr>
                <w:rFonts w:ascii="Arial" w:cs="Arial" w:eastAsia="Arial" w:hAnsi="Arial"/>
                <w:sz w:val="18"/>
                <w:szCs w:val="18"/>
                <w:color w:val="auto"/>
              </w:rPr>
              <w:t>Murray A. Goldberg</w:t>
            </w:r>
          </w:p>
        </w:tc>
        <w:tc>
          <w:tcPr>
            <w:tcW w:w="1620" w:type="dxa"/>
            <w:vAlign w:val="bottom"/>
          </w:tcPr>
          <w:p>
            <w:pPr>
              <w:spacing w:after="0"/>
              <w:rPr>
                <w:sz w:val="14"/>
                <w:szCs w:val="14"/>
                <w:color w:val="auto"/>
              </w:rPr>
            </w:pPr>
          </w:p>
        </w:tc>
        <w:tc>
          <w:tcPr>
            <w:tcW w:w="3980" w:type="dxa"/>
            <w:vAlign w:val="bottom"/>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88"/>
              </w:rPr>
              <w:t>Treasurer, and Assistant Secretary</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2"/>
        </w:trPr>
        <w:tc>
          <w:tcPr>
            <w:tcW w:w="40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Signature</w:t>
            </w:r>
          </w:p>
        </w:tc>
        <w:tc>
          <w:tcPr>
            <w:tcW w:w="1620" w:type="dxa"/>
            <w:vAlign w:val="bottom"/>
          </w:tcPr>
          <w:p>
            <w:pPr>
              <w:spacing w:after="0"/>
              <w:rPr>
                <w:sz w:val="14"/>
                <w:szCs w:val="14"/>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4000" w:type="dxa"/>
            <w:vAlign w:val="bottom"/>
            <w:gridSpan w:val="2"/>
          </w:tcPr>
          <w:p>
            <w:pPr>
              <w:spacing w:after="0"/>
              <w:rPr>
                <w:sz w:val="20"/>
                <w:szCs w:val="20"/>
                <w:color w:val="auto"/>
              </w:rPr>
            </w:pPr>
            <w:r>
              <w:rPr>
                <w:rFonts w:ascii="Arial" w:cs="Arial" w:eastAsia="Arial" w:hAnsi="Arial"/>
                <w:sz w:val="18"/>
                <w:szCs w:val="18"/>
                <w:color w:val="auto"/>
              </w:rPr>
              <w:t>/s/ Douglas S. McCorkle</w:t>
            </w:r>
          </w:p>
        </w:tc>
        <w:tc>
          <w:tcPr>
            <w:tcW w:w="16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89"/>
              </w:rPr>
              <w:t>Vice President, Controller, and Assistant Treasurer</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4000" w:type="dxa"/>
            <w:vAlign w:val="bottom"/>
            <w:tcBorders>
              <w:bottom w:val="single" w:sz="8" w:color="auto"/>
            </w:tcBorders>
            <w:gridSpan w:val="2"/>
          </w:tcPr>
          <w:p>
            <w:pPr>
              <w:spacing w:after="0"/>
              <w:rPr>
                <w:sz w:val="2"/>
                <w:szCs w:val="2"/>
                <w:color w:val="auto"/>
              </w:rPr>
            </w:pPr>
          </w:p>
        </w:tc>
        <w:tc>
          <w:tcPr>
            <w:tcW w:w="1620" w:type="dxa"/>
            <w:vAlign w:val="bottom"/>
          </w:tcPr>
          <w:p>
            <w:pPr>
              <w:spacing w:after="0"/>
              <w:rPr>
                <w:sz w:val="2"/>
                <w:szCs w:val="2"/>
                <w:color w:val="auto"/>
              </w:rPr>
            </w:pPr>
          </w:p>
        </w:tc>
        <w:tc>
          <w:tcPr>
            <w:tcW w:w="398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000" w:type="dxa"/>
            <w:vAlign w:val="bottom"/>
            <w:gridSpan w:val="2"/>
          </w:tcPr>
          <w:p>
            <w:pPr>
              <w:spacing w:after="0"/>
              <w:rPr>
                <w:sz w:val="20"/>
                <w:szCs w:val="20"/>
                <w:color w:val="auto"/>
              </w:rPr>
            </w:pPr>
            <w:r>
              <w:rPr>
                <w:rFonts w:ascii="Arial" w:cs="Arial" w:eastAsia="Arial" w:hAnsi="Arial"/>
                <w:sz w:val="18"/>
                <w:szCs w:val="18"/>
                <w:color w:val="auto"/>
              </w:rPr>
              <w:t>Douglas S. McCorkle</w:t>
            </w:r>
          </w:p>
        </w:tc>
        <w:tc>
          <w:tcPr>
            <w:tcW w:w="1620" w:type="dxa"/>
            <w:vAlign w:val="bottom"/>
          </w:tcPr>
          <w:p>
            <w:pPr>
              <w:spacing w:after="0"/>
              <w:rPr>
                <w:sz w:val="19"/>
                <w:szCs w:val="19"/>
                <w:color w:val="auto"/>
              </w:rPr>
            </w:pPr>
          </w:p>
        </w:tc>
        <w:tc>
          <w:tcPr>
            <w:tcW w:w="3980" w:type="dxa"/>
            <w:vAlign w:val="bottom"/>
            <w:vMerge w:val="continue"/>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000" w:type="dxa"/>
            <w:vAlign w:val="bottom"/>
            <w:gridSpan w:val="2"/>
          </w:tcPr>
          <w:p>
            <w:pPr>
              <w:spacing w:after="0"/>
              <w:rPr>
                <w:sz w:val="20"/>
                <w:szCs w:val="20"/>
                <w:color w:val="auto"/>
              </w:rPr>
            </w:pPr>
            <w:r>
              <w:rPr>
                <w:rFonts w:ascii="Arial" w:cs="Arial" w:eastAsia="Arial" w:hAnsi="Arial"/>
                <w:sz w:val="18"/>
                <w:szCs w:val="18"/>
                <w:color w:val="auto"/>
              </w:rPr>
              <w:t>/s/ George D. Yancopoulos</w:t>
            </w:r>
          </w:p>
        </w:tc>
        <w:tc>
          <w:tcPr>
            <w:tcW w:w="16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3"/>
              </w:rPr>
              <w:t>Executive Vice President, Chief Scientific Officer,</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4000" w:type="dxa"/>
            <w:vAlign w:val="bottom"/>
            <w:tcBorders>
              <w:bottom w:val="single" w:sz="8" w:color="auto"/>
            </w:tcBorders>
            <w:gridSpan w:val="2"/>
          </w:tcPr>
          <w:p>
            <w:pPr>
              <w:spacing w:after="0"/>
              <w:rPr>
                <w:sz w:val="2"/>
                <w:szCs w:val="2"/>
                <w:color w:val="auto"/>
              </w:rPr>
            </w:pPr>
          </w:p>
        </w:tc>
        <w:tc>
          <w:tcPr>
            <w:tcW w:w="1620" w:type="dxa"/>
            <w:vAlign w:val="bottom"/>
          </w:tcPr>
          <w:p>
            <w:pPr>
              <w:spacing w:after="0"/>
              <w:rPr>
                <w:sz w:val="2"/>
                <w:szCs w:val="2"/>
                <w:color w:val="auto"/>
              </w:rPr>
            </w:pPr>
          </w:p>
        </w:tc>
        <w:tc>
          <w:tcPr>
            <w:tcW w:w="3980" w:type="dxa"/>
            <w:vAlign w:val="bottom"/>
            <w:vMerge w:val="restart"/>
          </w:tcPr>
          <w:p>
            <w:pPr>
              <w:jc w:val="center"/>
              <w:spacing w:after="0"/>
              <w:rPr>
                <w:sz w:val="20"/>
                <w:szCs w:val="20"/>
                <w:color w:val="auto"/>
              </w:rPr>
            </w:pPr>
            <w:r>
              <w:rPr>
                <w:rFonts w:ascii="Arial" w:cs="Arial" w:eastAsia="Arial" w:hAnsi="Arial"/>
                <w:sz w:val="18"/>
                <w:szCs w:val="18"/>
                <w:color w:val="auto"/>
                <w:w w:val="88"/>
              </w:rPr>
              <w:t>President, Regeneron Research Laboratories, and</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000" w:type="dxa"/>
            <w:vAlign w:val="bottom"/>
            <w:gridSpan w:val="2"/>
          </w:tcPr>
          <w:p>
            <w:pPr>
              <w:spacing w:after="0" w:line="169" w:lineRule="exact"/>
              <w:rPr>
                <w:sz w:val="20"/>
                <w:szCs w:val="20"/>
                <w:color w:val="auto"/>
              </w:rPr>
            </w:pPr>
            <w:r>
              <w:rPr>
                <w:rFonts w:ascii="Arial" w:cs="Arial" w:eastAsia="Arial" w:hAnsi="Arial"/>
                <w:sz w:val="18"/>
                <w:szCs w:val="18"/>
                <w:color w:val="auto"/>
              </w:rPr>
              <w:t>George D. Yancopoulos, M.D., Ph.D.</w:t>
            </w:r>
          </w:p>
        </w:tc>
        <w:tc>
          <w:tcPr>
            <w:tcW w:w="1620" w:type="dxa"/>
            <w:vAlign w:val="bottom"/>
          </w:tcPr>
          <w:p>
            <w:pPr>
              <w:spacing w:after="0"/>
              <w:rPr>
                <w:sz w:val="14"/>
                <w:szCs w:val="14"/>
                <w:color w:val="auto"/>
              </w:rPr>
            </w:pPr>
          </w:p>
        </w:tc>
        <w:tc>
          <w:tcPr>
            <w:tcW w:w="3980" w:type="dxa"/>
            <w:vAlign w:val="bottom"/>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 Roy Vagelos, M.D.</w:t>
            </w:r>
          </w:p>
        </w:tc>
        <w:tc>
          <w:tcPr>
            <w:tcW w:w="16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P. Roy Vagelos, M.D.</w:t>
            </w:r>
          </w:p>
        </w:tc>
        <w:tc>
          <w:tcPr>
            <w:tcW w:w="16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Charles A. Baker</w:t>
            </w:r>
          </w:p>
        </w:tc>
        <w:tc>
          <w:tcPr>
            <w:tcW w:w="16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S. Brown</w:t>
            </w:r>
          </w:p>
        </w:tc>
        <w:tc>
          <w:tcPr>
            <w:tcW w:w="16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Michael S. Brown, M.D.</w:t>
            </w:r>
          </w:p>
        </w:tc>
        <w:tc>
          <w:tcPr>
            <w:tcW w:w="16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Alfred G. Gilman</w:t>
            </w:r>
          </w:p>
        </w:tc>
        <w:tc>
          <w:tcPr>
            <w:tcW w:w="16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Alfred G. Gilman, M.D., Ph.D.</w:t>
            </w:r>
          </w:p>
        </w:tc>
        <w:tc>
          <w:tcPr>
            <w:tcW w:w="16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L. Goldstein</w:t>
            </w:r>
          </w:p>
        </w:tc>
        <w:tc>
          <w:tcPr>
            <w:tcW w:w="16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Joseph L. Goldstein, M.D.</w:t>
            </w:r>
          </w:p>
        </w:tc>
        <w:tc>
          <w:tcPr>
            <w:tcW w:w="16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Arthur F. Ryan</w:t>
            </w:r>
          </w:p>
        </w:tc>
        <w:tc>
          <w:tcPr>
            <w:tcW w:w="16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Arthur F. Ryan</w:t>
            </w:r>
          </w:p>
        </w:tc>
        <w:tc>
          <w:tcPr>
            <w:tcW w:w="16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Eric M. Shooter</w:t>
            </w:r>
          </w:p>
        </w:tc>
        <w:tc>
          <w:tcPr>
            <w:tcW w:w="16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Eric M. Shooter</w:t>
            </w:r>
          </w:p>
        </w:tc>
        <w:tc>
          <w:tcPr>
            <w:tcW w:w="16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George L. Sing</w:t>
            </w:r>
          </w:p>
        </w:tc>
        <w:tc>
          <w:tcPr>
            <w:tcW w:w="16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George L. Sing</w:t>
            </w:r>
          </w:p>
        </w:tc>
        <w:tc>
          <w:tcPr>
            <w:tcW w:w="16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7"/>
        </w:trPr>
        <w:tc>
          <w:tcPr>
            <w:tcW w:w="2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tcPr>
          <w:p>
            <w:pPr>
              <w:ind w:left="41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tcPr>
          <w:p>
            <w:pPr>
              <w:ind w:left="3600"/>
              <w:spacing w:after="0"/>
              <w:rPr>
                <w:sz w:val="20"/>
                <w:szCs w:val="20"/>
                <w:color w:val="auto"/>
              </w:rPr>
            </w:pPr>
            <w:r>
              <w:rPr>
                <w:rFonts w:ascii="Arial" w:cs="Arial" w:eastAsia="Arial" w:hAnsi="Arial"/>
                <w:sz w:val="18"/>
                <w:szCs w:val="18"/>
                <w:color w:val="auto"/>
              </w:rPr>
              <w:t>Regeneron Pharmaceuticals, Inc.</w:t>
            </w:r>
          </w:p>
        </w:tc>
        <w:tc>
          <w:tcPr>
            <w:tcW w:w="0" w:type="dxa"/>
            <w:vAlign w:val="bottom"/>
          </w:tcPr>
          <w:p>
            <w:pPr>
              <w:spacing w:after="0"/>
              <w:rPr>
                <w:sz w:val="1"/>
                <w:szCs w:val="1"/>
                <w:color w:val="auto"/>
              </w:rPr>
            </w:pPr>
          </w:p>
        </w:tc>
      </w:tr>
      <w:tr>
        <w:trPr>
          <w:trHeight w:val="342"/>
        </w:trPr>
        <w:tc>
          <w:tcPr>
            <w:tcW w:w="5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05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10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Restated Certificate of Incorporation, filed February 11, 2008 with the New York Secretary of State (1)</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By-Laws of the Company, currently in effect (amended through November 9, 2007) (2)</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Opinion of Skadden, Arps, Slate, Meagher &amp; Flom LLP</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Consent of PricewaterhouseCoopers LLP</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Consent of Skadden, Arps, Slate, Meagher &amp; Flom LLP (contained in the opinion filed as Exhibit 5.1 to this Registration Statement)</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Power of Attorney (included on the signature page of this Registration Statement)</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Amended and Restated 2000 Long-Term Incentive Plan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34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Annual Report on Form 10-K for the fiscal year ended December 31, 2007 filed with the Commission on February 27, 2008.</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with the Commission on November 13,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with the Commission on June 17, 2008.</w:t>
      </w:r>
    </w:p>
    <w:p>
      <w:pPr>
        <w:sectPr>
          <w:pgSz w:w="11900" w:h="16838" w:orient="portrait"/>
          <w:cols w:equalWidth="0" w:num="1">
            <w:col w:w="11420"/>
          </w:cols>
          <w:pgMar w:left="240" w:top="419"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Exhibit 5.1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[Skadden, Arps, Slate, Meagher &amp; Flom LLP Letterhead]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26,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10591-6707</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20" w:firstLine="447"/>
        <w:spacing w:after="0" w:line="264" w:lineRule="auto"/>
        <w:rPr>
          <w:sz w:val="20"/>
          <w:szCs w:val="20"/>
          <w:color w:val="auto"/>
        </w:rPr>
      </w:pPr>
      <w:r>
        <w:rPr>
          <w:rFonts w:ascii="Arial" w:cs="Arial" w:eastAsia="Arial" w:hAnsi="Arial"/>
          <w:sz w:val="18"/>
          <w:szCs w:val="18"/>
          <w:color w:val="auto"/>
        </w:rPr>
        <w:t>We have acted as special counsel to Regeneron Pharmaceuticals, Inc., a New York corporation (the “Company”), in connection with the registration of 10,000,000 shares (the “Shares”) of the Company’s common stock, par value $0.001 per share (the “Common Stock”), issuable pursuant to the Company’s Amended and Restated 2000 Long-Term Incentive Plan (the “Plan”).</w:t>
      </w:r>
    </w:p>
    <w:p>
      <w:pPr>
        <w:spacing w:after="0" w:line="73" w:lineRule="exact"/>
        <w:rPr>
          <w:sz w:val="20"/>
          <w:szCs w:val="20"/>
          <w:color w:val="auto"/>
        </w:rPr>
      </w:pPr>
    </w:p>
    <w:p>
      <w:pPr>
        <w:ind w:right="80" w:firstLine="447"/>
        <w:spacing w:after="0" w:line="277" w:lineRule="auto"/>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 of 1933, as amended (the “Act”).</w:t>
      </w:r>
    </w:p>
    <w:p>
      <w:pPr>
        <w:spacing w:after="0" w:line="62" w:lineRule="exact"/>
        <w:rPr>
          <w:sz w:val="20"/>
          <w:szCs w:val="20"/>
          <w:color w:val="auto"/>
        </w:rPr>
      </w:pPr>
    </w:p>
    <w:p>
      <w:pPr>
        <w:ind w:right="80" w:firstLine="450"/>
        <w:spacing w:after="0" w:line="253" w:lineRule="auto"/>
        <w:rPr>
          <w:sz w:val="20"/>
          <w:szCs w:val="20"/>
          <w:color w:val="auto"/>
        </w:rPr>
      </w:pPr>
      <w:r>
        <w:rPr>
          <w:rFonts w:ascii="Arial" w:cs="Arial" w:eastAsia="Arial" w:hAnsi="Arial"/>
          <w:sz w:val="18"/>
          <w:szCs w:val="18"/>
          <w:color w:val="auto"/>
        </w:rPr>
        <w:t>In connection with this opinion, we have examined and relied on originals or copies, certified or otherwise identified to our satisfaction, of (i) the Company’s Registration Statement on Form S-8 as filed with the Securities and Exchange Commission (the “Commission”) on the date hereof under the Act (the “Registration Statement”); (ii) the Plan; (iii) the Restated Certificate of Incorporation of the Company, certified by the Secretary of the Company as currently in effect; (iv) the By-Laws of the Company, certified by the Secretary of the Company as currently in effect; (v) a specimen certificate representing the Common Stock; (vi) certain resolutions adopted on June 13, 2008 by the Board of Directors of the Company relating to the Plan, the filing of the Registration Statement and certain related matters; and (vii) certain resolutions adopted on June 13, 2008 by the shareholders of the Company as certified by the Inspector of Elections of the Company’s 2008 Annual Meeting of Shareholders. We have also examined originals or copies, certified or otherwise identified to our satisfaction, of such records of the Company and such other documents, certificates and records as we have deemed necessary or appropriate as a basis for the opinion set forth herein.</w:t>
      </w:r>
    </w:p>
    <w:p>
      <w:pPr>
        <w:spacing w:after="0" w:line="89" w:lineRule="exact"/>
        <w:rPr>
          <w:sz w:val="20"/>
          <w:szCs w:val="20"/>
          <w:color w:val="auto"/>
        </w:rPr>
      </w:pPr>
    </w:p>
    <w:p>
      <w:pPr>
        <w:ind w:right="500" w:firstLine="450"/>
        <w:spacing w:after="0" w:line="277" w:lineRule="auto"/>
        <w:rPr>
          <w:sz w:val="20"/>
          <w:szCs w:val="20"/>
          <w:color w:val="auto"/>
        </w:rPr>
      </w:pPr>
      <w:r>
        <w:rPr>
          <w:rFonts w:ascii="Arial" w:cs="Arial" w:eastAsia="Arial" w:hAnsi="Arial"/>
          <w:sz w:val="18"/>
          <w:szCs w:val="18"/>
          <w:color w:val="auto"/>
        </w:rPr>
        <w:t>In our examination, we have assumed the legal capacity of all natural persons, the genuineness of all signatures, the authenticity of all documents submitted to us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line="273" w:lineRule="auto"/>
        <w:rPr>
          <w:sz w:val="20"/>
          <w:szCs w:val="20"/>
          <w:color w:val="auto"/>
        </w:rPr>
      </w:pPr>
      <w:r>
        <w:rPr>
          <w:rFonts w:ascii="Arial" w:cs="Arial" w:eastAsia="Arial" w:hAnsi="Arial"/>
          <w:sz w:val="17"/>
          <w:szCs w:val="17"/>
          <w:color w:val="auto"/>
        </w:rPr>
        <w:t>originals, the conformity to original documents of all documents submitted to us as certified, conformed or photostatic copies and the authenticity of the originals of such latter documents. In making our examination of documents executed or to be executed by parties other than the Company, we have assumed that such parties had or will have the power, corporate or other, to enter into and perform all obligations thereunder and we have also assumed the due authorization by all requisite action, corporate or other, and execution and delivery by such parties of such documents and the validity and binding effect thereof on such parties. As to any facts material to the opinion expressed herein which we have not independently established or verified, we have relied upon statements and representations of officers and other representatives of the Company and others.</w:t>
      </w:r>
    </w:p>
    <w:p>
      <w:pPr>
        <w:spacing w:after="0" w:line="70" w:lineRule="exact"/>
        <w:rPr>
          <w:sz w:val="20"/>
          <w:szCs w:val="20"/>
          <w:color w:val="auto"/>
        </w:rPr>
      </w:pPr>
    </w:p>
    <w:p>
      <w:pPr>
        <w:ind w:right="20" w:firstLine="450"/>
        <w:spacing w:after="0" w:line="276" w:lineRule="auto"/>
        <w:rPr>
          <w:sz w:val="20"/>
          <w:szCs w:val="20"/>
          <w:color w:val="auto"/>
        </w:rPr>
      </w:pPr>
      <w:r>
        <w:rPr>
          <w:rFonts w:ascii="Arial" w:cs="Arial" w:eastAsia="Arial" w:hAnsi="Arial"/>
          <w:sz w:val="17"/>
          <w:szCs w:val="17"/>
          <w:color w:val="auto"/>
        </w:rPr>
        <w:t>In rendering the opinion set forth below, we have assumed that the certificates representing the Shares will be manually signed by one of the authorized officers of the transfer agent and registrar for the Common Stock and registered by such transfer agent and registrar and will conform to the specimen thereof examined by us. We have also assumed that each award agreement setting forth the terms of each grant of options or other award under the Plan will be consistent with the Plan, duly authorized, and if applicable, validly executed and delivered by the parties thereto, and that the Shares will be issued in accordance with the terms of the Plan for consideration in an amount at least equal to the par value of such Shares.</w:t>
      </w:r>
    </w:p>
    <w:p>
      <w:pPr>
        <w:spacing w:after="0" w:line="64" w:lineRule="exact"/>
        <w:rPr>
          <w:sz w:val="20"/>
          <w:szCs w:val="20"/>
          <w:color w:val="auto"/>
        </w:rPr>
      </w:pPr>
    </w:p>
    <w:p>
      <w:pPr>
        <w:ind w:right="160" w:firstLine="450"/>
        <w:spacing w:after="0" w:line="277" w:lineRule="auto"/>
        <w:rPr>
          <w:sz w:val="20"/>
          <w:szCs w:val="20"/>
          <w:color w:val="auto"/>
        </w:rPr>
      </w:pPr>
      <w:r>
        <w:rPr>
          <w:rFonts w:ascii="Arial" w:cs="Arial" w:eastAsia="Arial" w:hAnsi="Arial"/>
          <w:sz w:val="18"/>
          <w:szCs w:val="18"/>
          <w:color w:val="auto"/>
        </w:rPr>
        <w:t>Members of our firm are admitted to the Bar in the State of New York. We do not express any opinion as to the laws of any jurisdiction other than the State of New York, and we do not express any opinion as to the effect of any other laws on the opinion stated herein.</w:t>
      </w:r>
    </w:p>
    <w:p>
      <w:pPr>
        <w:spacing w:after="0" w:line="62" w:lineRule="exact"/>
        <w:rPr>
          <w:sz w:val="20"/>
          <w:szCs w:val="20"/>
          <w:color w:val="auto"/>
        </w:rPr>
      </w:pPr>
    </w:p>
    <w:p>
      <w:pPr>
        <w:ind w:right="100" w:firstLine="450"/>
        <w:spacing w:after="0" w:line="264" w:lineRule="auto"/>
        <w:rPr>
          <w:sz w:val="20"/>
          <w:szCs w:val="20"/>
          <w:color w:val="auto"/>
        </w:rPr>
      </w:pPr>
      <w:r>
        <w:rPr>
          <w:rFonts w:ascii="Arial" w:cs="Arial" w:eastAsia="Arial" w:hAnsi="Arial"/>
          <w:sz w:val="18"/>
          <w:szCs w:val="18"/>
          <w:color w:val="auto"/>
        </w:rPr>
        <w:t>Based upon the foregoing and subject to the limitations, qualifications, exceptions and assumptions set forth herein, we are of the opinion that the Shares have been duly authorized for issuance by the Company and, when issued and paid for in full in accordance with the terms and conditions of the Plan and any applicable award agreement, the Shares will be validly issued, fully paid and nonassessable.</w:t>
      </w:r>
    </w:p>
    <w:p>
      <w:pPr>
        <w:spacing w:after="0" w:line="73" w:lineRule="exact"/>
        <w:rPr>
          <w:sz w:val="20"/>
          <w:szCs w:val="20"/>
          <w:color w:val="auto"/>
        </w:rPr>
      </w:pPr>
    </w:p>
    <w:p>
      <w:pPr>
        <w:ind w:right="460" w:firstLine="447"/>
        <w:spacing w:after="0" w:line="264"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In giving this consent, we do not thereby admit that we are included in the category of persons whose consent is required under Section 7 of the Act or the rules and regulations of the Commission.</w:t>
      </w:r>
    </w:p>
    <w:p>
      <w:pPr>
        <w:spacing w:after="0" w:line="7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Skadden, Arps, Slate, Meagher &amp; Flom LLP</w:t>
      </w:r>
    </w:p>
    <w:p>
      <w:pPr>
        <w:sectPr>
          <w:pgSz w:w="11900" w:h="16838" w:orient="portrait"/>
          <w:cols w:equalWidth="0" w:num="1">
            <w:col w:w="11380"/>
          </w:cols>
          <w:pgMar w:left="240" w:top="935" w:right="27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t>Exhibit 23.1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February 27, 2008 relating to the financial statements and the effectiveness of internal control over financial reporting, which appears in Regeneron Pharmaceutical Inc.’s Annual Report on Form 10-K for the year ended December 31,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June 24,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lvl w:ilvl="1">
      <w:lvlJc w:val="left"/>
      <w:lvlText w:val="(%2)"/>
      <w:numFmt w:val="lowerRoman"/>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2019-12-20T02:21:29Z</dcterms:created>
  <dcterms:modified xsi:type="dcterms:W3CDTF">2019-12-20T02:21:29Z</dcterms:modified>
</cp:coreProperties>
</file>