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August 2, 2018 (August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4" w:lineRule="exact"/>
        <w:rPr>
          <w:rFonts w:ascii="MS PGothic" w:cs="MS PGothic" w:eastAsia="MS PGothic" w:hAnsi="MS PGothic"/>
          <w:sz w:val="18"/>
          <w:szCs w:val="18"/>
          <w:color w:val="auto"/>
        </w:rPr>
      </w:pPr>
    </w:p>
    <w:p>
      <w:pPr>
        <w:ind w:left="380" w:right="180"/>
        <w:spacing w:after="0" w:line="233" w:lineRule="exact"/>
        <w:rPr>
          <w:rFonts w:ascii="MS PGothic" w:cs="MS PGothic" w:eastAsia="MS PGothic" w:hAnsi="MS PGothic"/>
          <w:sz w:val="18"/>
          <w:szCs w:val="18"/>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0" w:firstLine="243"/>
        <w:spacing w:after="0" w:line="264" w:lineRule="auto"/>
        <w:rPr>
          <w:sz w:val="20"/>
          <w:szCs w:val="20"/>
          <w:color w:val="auto"/>
        </w:rPr>
      </w:pPr>
      <w:r>
        <w:rPr>
          <w:rFonts w:ascii="Arial" w:cs="Arial" w:eastAsia="Arial" w:hAnsi="Arial"/>
          <w:sz w:val="18"/>
          <w:szCs w:val="18"/>
          <w:color w:val="auto"/>
        </w:rPr>
        <w:t>On August 2, 2018, Regeneron Pharmaceuticals, Inc. issued a press release announcing its financial and operating results for the quarter ended June 30, 2018.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2, 2018, Reporting Second Quarter 2018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 August 2, 2018</w:t>
            </w:r>
          </w:p>
        </w:tc>
        <w:tc>
          <w:tcPr>
            <w:tcW w:w="6700" w:type="dxa"/>
            <w:vAlign w:val="bottom"/>
            <w:gridSpan w:val="2"/>
          </w:tcPr>
          <w:p>
            <w:pPr>
              <w:ind w:left="9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80" w:type="dxa"/>
            <w:vAlign w:val="bottom"/>
          </w:tcPr>
          <w:p>
            <w:pPr>
              <w:spacing w:after="0"/>
              <w:rPr>
                <w:sz w:val="24"/>
                <w:szCs w:val="24"/>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480" w:type="dxa"/>
            <w:vAlign w:val="bottom"/>
          </w:tcPr>
          <w:p>
            <w:pPr>
              <w:spacing w:after="0"/>
              <w:rPr>
                <w:sz w:val="23"/>
                <w:szCs w:val="23"/>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FF"/>
          </w:rPr>
          <w:t>Press Release, dated August 2, 2018, Reporting Second Quarter 2018 Financial and Operating Results.</w:t>
        </w:r>
      </w:hyperlink>
    </w:p>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2018 Financial and Operating Results</w:t>
      </w:r>
    </w:p>
    <w:p>
      <w:pPr>
        <w:spacing w:after="0" w:line="164" w:lineRule="exact"/>
        <w:rPr>
          <w:sz w:val="20"/>
          <w:szCs w:val="20"/>
          <w:color w:val="auto"/>
        </w:rPr>
      </w:pPr>
    </w:p>
    <w:p>
      <w:pPr>
        <w:jc w:val="both"/>
        <w:ind w:left="340" w:right="260" w:hanging="332"/>
        <w:spacing w:after="0" w:line="250"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2018 GAAP net income per diluted share increased by 44% to $4.82 versus second quarter 2017 and second quarter 2018 non-GAAP net income per diluted share increased 31% to $5.45 versus second quarter 2017</w:t>
      </w:r>
    </w:p>
    <w:p>
      <w:pPr>
        <w:spacing w:after="0" w:line="1" w:lineRule="exact"/>
        <w:rPr>
          <w:rFonts w:ascii="Arial" w:cs="Arial" w:eastAsia="Arial" w:hAnsi="Arial"/>
          <w:sz w:val="22"/>
          <w:szCs w:val="22"/>
          <w:color w:val="auto"/>
        </w:rPr>
      </w:pPr>
    </w:p>
    <w:p>
      <w:pPr>
        <w:ind w:left="340" w:right="460" w:hanging="332"/>
        <w:spacing w:after="0" w:line="22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2018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8% to $992 million versus second quarter 2017 and second quarter 2018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13% to $1.66 billion versus second quarter 2017</w:t>
      </w:r>
    </w:p>
    <w:p>
      <w:pPr>
        <w:ind w:left="340" w:right="380" w:hanging="332"/>
        <w:spacing w:after="0" w:line="215"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results reported from Phase 3 trial of Dupixent</w:t>
      </w:r>
      <w:r>
        <w:rPr>
          <w:rFonts w:ascii="Arial" w:cs="Arial" w:eastAsia="Arial" w:hAnsi="Arial"/>
          <w:sz w:val="28"/>
          <w:szCs w:val="28"/>
          <w:color w:val="auto"/>
          <w:vertAlign w:val="superscript"/>
        </w:rPr>
        <w:t>®</w:t>
      </w:r>
      <w:r>
        <w:rPr>
          <w:rFonts w:ascii="Arial" w:cs="Arial" w:eastAsia="Arial" w:hAnsi="Arial"/>
          <w:sz w:val="22"/>
          <w:szCs w:val="22"/>
          <w:i w:val="1"/>
          <w:iCs w:val="1"/>
          <w:color w:val="auto"/>
        </w:rPr>
        <w:t xml:space="preserve"> (dupilumab) in adolescents with inadequately controlled moderate-to-severe atopic dermatitis</w:t>
      </w:r>
    </w:p>
    <w:p>
      <w:pPr>
        <w:spacing w:after="0" w:line="229" w:lineRule="exact"/>
        <w:rPr>
          <w:sz w:val="20"/>
          <w:szCs w:val="20"/>
          <w:color w:val="auto"/>
        </w:rPr>
      </w:pPr>
    </w:p>
    <w:p>
      <w:pPr>
        <w:ind w:right="520"/>
        <w:spacing w:after="0" w:line="274" w:lineRule="auto"/>
        <w:rPr>
          <w:sz w:val="20"/>
          <w:szCs w:val="20"/>
          <w:color w:val="auto"/>
        </w:rPr>
      </w:pPr>
      <w:r>
        <w:rPr>
          <w:rFonts w:ascii="Arial" w:cs="Arial" w:eastAsia="Arial" w:hAnsi="Arial"/>
          <w:sz w:val="22"/>
          <w:szCs w:val="22"/>
          <w:b w:val="1"/>
          <w:bCs w:val="1"/>
          <w:color w:val="auto"/>
        </w:rPr>
        <w:t xml:space="preserve">Tarrytown, New York (August 2, 2018)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2018 and provided a business update.</w:t>
      </w:r>
    </w:p>
    <w:p>
      <w:pPr>
        <w:spacing w:after="0" w:line="218"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"Regeneron made important commercial progress in the second quarter with continued strong U.S. sales growth for EYLEA in retinal diseases and Dupixent in atopic dermatitis. We are particularly pleased by U.S. launch progress with Dupixent for adults with moderate-to-severe atopic dermatitis, driven by a positive experience in the marketplace by patients and physicians in this serious disease; we anticipate continued robust growth as more physicians increase their experience with the product," said Leonard S. Schleifer, M.D., Ph.D., President and Chief Executive Officer of Regeneron. "In the second half of the year, we anticipate two significant U.S. regulatory approvals: cemiplimab for advanced cutaneous squamous cell carcinoma and Dupixent for uncontrolled asthma. We also plan to submit regulatory applications for Dupixent in adolescent atopic dermatitis and to report Phase 3 results in nasal polyps, in addition to other advances across our innovative portfolio for serious diseases."</w:t>
      </w:r>
    </w:p>
    <w:p>
      <w:pPr>
        <w:spacing w:after="0" w:line="252" w:lineRule="exact"/>
        <w:rPr>
          <w:sz w:val="20"/>
          <w:szCs w:val="20"/>
          <w:color w:val="auto"/>
        </w:rPr>
      </w:pPr>
    </w:p>
    <w:p>
      <w:pPr>
        <w:ind w:left="124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31750</wp:posOffset>
            </wp:positionV>
            <wp:extent cx="5711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1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 in millions, except per share data)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360"/>
        <w:spacing w:after="0"/>
        <w:rPr>
          <w:sz w:val="20"/>
          <w:szCs w:val="20"/>
          <w:color w:val="auto"/>
        </w:rPr>
      </w:pPr>
      <w:r>
        <w:rPr>
          <w:rFonts w:ascii="Arial" w:cs="Arial" w:eastAsia="Arial" w:hAnsi="Arial"/>
          <w:sz w:val="19"/>
          <w:szCs w:val="19"/>
          <w:b w:val="1"/>
          <w:bCs w:val="1"/>
          <w:color w:val="auto"/>
        </w:rPr>
        <w:t>Three Months Ended</w:t>
      </w:r>
    </w:p>
    <w:p>
      <w:pPr>
        <w:spacing w:after="0" w:line="22" w:lineRule="exact"/>
        <w:rPr>
          <w:sz w:val="20"/>
          <w:szCs w:val="20"/>
          <w:color w:val="auto"/>
        </w:rPr>
      </w:pPr>
    </w:p>
    <w:p>
      <w:pPr>
        <w:jc w:val="center"/>
        <w:ind w:right="230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10795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6380" w:space="720"/>
            <w:col w:w="4320"/>
          </w:cols>
          <w:pgMar w:left="240" w:top="364" w:right="239" w:bottom="1440" w:gutter="0" w:footer="0" w:header="0"/>
          <w:type w:val="continuous"/>
        </w:sectPr>
      </w:pPr>
    </w:p>
    <w:tbl>
      <w:tblPr>
        <w:tblLayout w:type="fixed"/>
        <w:tblInd w:w="1220" w:type="dxa"/>
        <w:tblCellMar>
          <w:top w:w="0" w:type="dxa"/>
          <w:left w:w="0" w:type="dxa"/>
          <w:bottom w:w="0" w:type="dxa"/>
          <w:right w:w="0" w:type="dxa"/>
        </w:tblCellMar>
      </w:tblPr>
      <w:tr>
        <w:trPr>
          <w:trHeight w:val="266"/>
        </w:trPr>
        <w:tc>
          <w:tcPr>
            <w:tcW w:w="41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2017</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68"/>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1,470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w:t>
            </w:r>
          </w:p>
        </w:tc>
      </w:tr>
      <w:tr>
        <w:trPr>
          <w:trHeight w:val="265"/>
        </w:trPr>
        <w:tc>
          <w:tcPr>
            <w:tcW w:w="41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551</w:t>
            </w:r>
          </w:p>
        </w:tc>
        <w:tc>
          <w:tcPr>
            <w:tcW w:w="10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388</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75"/>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3.34</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w:t>
            </w:r>
          </w:p>
        </w:tc>
      </w:tr>
      <w:tr>
        <w:trPr>
          <w:trHeight w:val="270"/>
        </w:trPr>
        <w:tc>
          <w:tcPr>
            <w:tcW w:w="4140" w:type="dxa"/>
            <w:vAlign w:val="bottom"/>
          </w:tcPr>
          <w:p>
            <w:pPr>
              <w:ind w:left="20"/>
              <w:spacing w:after="0" w:line="270"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624</w:t>
            </w:r>
          </w:p>
        </w:tc>
        <w:tc>
          <w:tcPr>
            <w:tcW w:w="100" w:type="dxa"/>
            <w:vAlign w:val="bottom"/>
          </w:tcPr>
          <w:p>
            <w:pPr>
              <w:spacing w:after="0"/>
              <w:rPr>
                <w:sz w:val="23"/>
                <w:szCs w:val="23"/>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487</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70"/>
        </w:trPr>
        <w:tc>
          <w:tcPr>
            <w:tcW w:w="414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4.17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r>
      <w:tr>
        <w:trPr>
          <w:trHeight w:val="594"/>
        </w:trPr>
        <w:tc>
          <w:tcPr>
            <w:tcW w:w="4140" w:type="dxa"/>
            <w:vAlign w:val="bottom"/>
          </w:tcPr>
          <w:p>
            <w:pPr>
              <w:spacing w:after="0"/>
              <w:rPr>
                <w:sz w:val="24"/>
                <w:szCs w:val="24"/>
                <w:color w:val="auto"/>
              </w:rPr>
            </w:pPr>
          </w:p>
        </w:tc>
        <w:tc>
          <w:tcPr>
            <w:tcW w:w="640" w:type="dxa"/>
            <w:vAlign w:val="bottom"/>
          </w:tcPr>
          <w:p>
            <w:pPr>
              <w:jc w:val="right"/>
              <w:ind w:right="14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1"/>
          <w:szCs w:val="21"/>
          <w:b w:val="1"/>
          <w:bCs w:val="1"/>
          <w:i w:val="1"/>
          <w:iCs w:val="1"/>
          <w:color w:val="auto"/>
        </w:rPr>
        <w:t>Net Product Sales of Regeneron-Discovered Products</w:t>
      </w:r>
      <w:r>
        <w:rPr>
          <w:rFonts w:ascii="Arial" w:cs="Arial" w:eastAsia="Arial" w:hAnsi="Arial"/>
          <w:sz w:val="13"/>
          <w:szCs w:val="13"/>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3680"/>
        <w:spacing w:after="0"/>
        <w:rPr>
          <w:sz w:val="20"/>
          <w:szCs w:val="20"/>
          <w:color w:val="auto"/>
        </w:rPr>
      </w:pPr>
      <w:r>
        <w:rPr>
          <w:rFonts w:ascii="Arial" w:cs="Arial" w:eastAsia="Arial" w:hAnsi="Arial"/>
          <w:sz w:val="19"/>
          <w:szCs w:val="19"/>
          <w:b w:val="1"/>
          <w:bCs w:val="1"/>
          <w:color w:val="auto"/>
        </w:rPr>
        <w:t>Three Months Ended</w:t>
      </w:r>
    </w:p>
    <w:p>
      <w:pPr>
        <w:spacing w:after="0" w:line="22" w:lineRule="exact"/>
        <w:rPr>
          <w:sz w:val="20"/>
          <w:szCs w:val="20"/>
          <w:color w:val="auto"/>
        </w:rPr>
      </w:pPr>
    </w:p>
    <w:p>
      <w:pPr>
        <w:jc w:val="center"/>
        <w:ind w:right="362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10795</wp:posOffset>
            </wp:positionV>
            <wp:extent cx="589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060" w:space="720"/>
            <w:col w:w="5640"/>
          </w:cols>
          <w:pgMar w:left="240" w:top="512"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2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25"/>
              <w:spacing w:after="0"/>
              <w:rPr>
                <w:sz w:val="20"/>
                <w:szCs w:val="20"/>
                <w:color w:val="auto"/>
              </w:rPr>
            </w:pPr>
            <w:r>
              <w:rPr>
                <w:rFonts w:ascii="Arial" w:cs="Arial" w:eastAsia="Arial" w:hAnsi="Arial"/>
                <w:sz w:val="20"/>
                <w:szCs w:val="20"/>
                <w:b w:val="1"/>
                <w:bCs w:val="1"/>
                <w:color w:val="auto"/>
              </w:rPr>
              <w:t>2018</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5"/>
              <w:spacing w:after="0"/>
              <w:rPr>
                <w:sz w:val="20"/>
                <w:szCs w:val="20"/>
                <w:color w:val="auto"/>
              </w:rPr>
            </w:pPr>
            <w:r>
              <w:rPr>
                <w:rFonts w:ascii="Arial" w:cs="Arial" w:eastAsia="Arial" w:hAnsi="Arial"/>
                <w:sz w:val="20"/>
                <w:szCs w:val="20"/>
                <w:b w:val="1"/>
                <w:bCs w:val="1"/>
                <w:color w:val="auto"/>
              </w:rPr>
              <w:t>2017</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20"/>
                <w:szCs w:val="20"/>
                <w:b w:val="1"/>
                <w:bCs w:val="1"/>
                <w:color w:val="auto"/>
                <w:w w:val="99"/>
              </w:rPr>
              <w:t>% Change</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ind w:left="80"/>
              <w:spacing w:after="0"/>
              <w:rPr>
                <w:sz w:val="20"/>
                <w:szCs w:val="20"/>
                <w:color w:val="auto"/>
              </w:rPr>
            </w:pPr>
            <w:r>
              <w:rPr>
                <w:rFonts w:ascii="Arial" w:cs="Arial" w:eastAsia="Arial" w:hAnsi="Arial"/>
                <w:sz w:val="20"/>
                <w:szCs w:val="20"/>
                <w:b w:val="1"/>
                <w:bCs w:val="1"/>
                <w:color w:val="auto"/>
              </w:rPr>
              <w:t>US</w:t>
            </w:r>
          </w:p>
        </w:tc>
        <w:tc>
          <w:tcPr>
            <w:tcW w:w="180" w:type="dxa"/>
            <w:vAlign w:val="bottom"/>
          </w:tcPr>
          <w:p>
            <w:pPr>
              <w:spacing w:after="0"/>
              <w:rPr>
                <w:sz w:val="22"/>
                <w:szCs w:val="2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20"/>
                <w:szCs w:val="20"/>
                <w:b w:val="1"/>
                <w:bCs w:val="1"/>
                <w:color w:val="auto"/>
              </w:rPr>
              <w:t>ROW</w:t>
            </w:r>
          </w:p>
        </w:tc>
        <w:tc>
          <w:tcPr>
            <w:tcW w:w="180" w:type="dxa"/>
            <w:vAlign w:val="bottom"/>
          </w:tcPr>
          <w:p>
            <w:pPr>
              <w:spacing w:after="0"/>
              <w:rPr>
                <w:sz w:val="22"/>
                <w:szCs w:val="22"/>
                <w:color w:val="auto"/>
              </w:rPr>
            </w:pPr>
          </w:p>
        </w:tc>
        <w:tc>
          <w:tcPr>
            <w:tcW w:w="720" w:type="dxa"/>
            <w:vAlign w:val="bottom"/>
          </w:tcPr>
          <w:p>
            <w:pPr>
              <w:jc w:val="right"/>
              <w:ind w:right="126"/>
              <w:spacing w:after="0"/>
              <w:rPr>
                <w:sz w:val="20"/>
                <w:szCs w:val="20"/>
                <w:color w:val="auto"/>
              </w:rPr>
            </w:pPr>
            <w:r>
              <w:rPr>
                <w:rFonts w:ascii="Arial" w:cs="Arial" w:eastAsia="Arial" w:hAnsi="Arial"/>
                <w:sz w:val="20"/>
                <w:szCs w:val="20"/>
                <w:b w:val="1"/>
                <w:bCs w:val="1"/>
                <w:color w:val="auto"/>
              </w:rPr>
              <w:t>Total</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ind w:left="80"/>
              <w:spacing w:after="0"/>
              <w:rPr>
                <w:sz w:val="20"/>
                <w:szCs w:val="20"/>
                <w:color w:val="auto"/>
              </w:rPr>
            </w:pPr>
            <w:r>
              <w:rPr>
                <w:rFonts w:ascii="Arial" w:cs="Arial" w:eastAsia="Arial" w:hAnsi="Arial"/>
                <w:sz w:val="20"/>
                <w:szCs w:val="20"/>
                <w:b w:val="1"/>
                <w:bCs w:val="1"/>
                <w:color w:val="auto"/>
              </w:rPr>
              <w:t>US</w:t>
            </w:r>
          </w:p>
        </w:tc>
        <w:tc>
          <w:tcPr>
            <w:tcW w:w="18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20"/>
                <w:szCs w:val="20"/>
                <w:b w:val="1"/>
                <w:bCs w:val="1"/>
                <w:color w:val="auto"/>
              </w:rPr>
              <w:t>ROW</w:t>
            </w:r>
          </w:p>
        </w:tc>
        <w:tc>
          <w:tcPr>
            <w:tcW w:w="180" w:type="dxa"/>
            <w:vAlign w:val="bottom"/>
          </w:tcPr>
          <w:p>
            <w:pPr>
              <w:spacing w:after="0"/>
              <w:rPr>
                <w:sz w:val="22"/>
                <w:szCs w:val="22"/>
                <w:color w:val="auto"/>
              </w:rPr>
            </w:pPr>
          </w:p>
        </w:tc>
        <w:tc>
          <w:tcPr>
            <w:tcW w:w="740" w:type="dxa"/>
            <w:vAlign w:val="bottom"/>
          </w:tcPr>
          <w:p>
            <w:pPr>
              <w:jc w:val="right"/>
              <w:ind w:right="146"/>
              <w:spacing w:after="0"/>
              <w:rPr>
                <w:sz w:val="20"/>
                <w:szCs w:val="20"/>
                <w:color w:val="auto"/>
              </w:rPr>
            </w:pPr>
            <w:r>
              <w:rPr>
                <w:rFonts w:ascii="Arial" w:cs="Arial" w:eastAsia="Arial" w:hAnsi="Arial"/>
                <w:sz w:val="20"/>
                <w:szCs w:val="20"/>
                <w:b w:val="1"/>
                <w:bCs w:val="1"/>
                <w:color w:val="auto"/>
              </w:rPr>
              <w:t>Total</w:t>
            </w:r>
          </w:p>
        </w:tc>
        <w:tc>
          <w:tcPr>
            <w:tcW w:w="10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Arial" w:cs="Arial" w:eastAsia="Arial" w:hAnsi="Arial"/>
                <w:sz w:val="20"/>
                <w:szCs w:val="20"/>
                <w:b w:val="1"/>
                <w:bCs w:val="1"/>
                <w:color w:val="auto"/>
              </w:rPr>
              <w:t>US</w:t>
            </w:r>
          </w:p>
        </w:tc>
        <w:tc>
          <w:tcPr>
            <w:tcW w:w="10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8"/>
              </w:rPr>
              <w:t>ROW</w:t>
            </w:r>
          </w:p>
        </w:tc>
        <w:tc>
          <w:tcPr>
            <w:tcW w:w="1020" w:type="dxa"/>
            <w:vAlign w:val="bottom"/>
          </w:tcPr>
          <w:p>
            <w:pPr>
              <w:jc w:val="right"/>
              <w:ind w:right="1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68"/>
        </w:trPr>
        <w:tc>
          <w:tcPr>
            <w:tcW w:w="2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w:t>
            </w: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992</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666</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1,658</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919</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542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20"/>
                <w:szCs w:val="20"/>
                <w:color w:val="auto"/>
              </w:rPr>
              <w:t>1,461</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w:t>
            </w:r>
          </w:p>
        </w:tc>
        <w:tc>
          <w:tcPr>
            <w:tcW w:w="1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65"/>
        </w:trPr>
        <w:tc>
          <w:tcPr>
            <w:tcW w:w="2140" w:type="dxa"/>
            <w:vAlign w:val="bottom"/>
          </w:tcPr>
          <w:p>
            <w:pPr>
              <w:ind w:left="40"/>
              <w:spacing w:after="0"/>
              <w:rPr>
                <w:sz w:val="20"/>
                <w:szCs w:val="20"/>
                <w:color w:val="auto"/>
              </w:rPr>
            </w:pPr>
            <w:r>
              <w:rPr>
                <w:rFonts w:ascii="Arial" w:cs="Arial" w:eastAsia="Arial" w:hAnsi="Arial"/>
                <w:sz w:val="20"/>
                <w:szCs w:val="20"/>
                <w:color w:val="auto"/>
              </w:rPr>
              <w:t>ARCALYST</w:t>
            </w:r>
          </w:p>
        </w:tc>
        <w:tc>
          <w:tcPr>
            <w:tcW w:w="220" w:type="dxa"/>
            <w:vAlign w:val="bottom"/>
          </w:tcPr>
          <w:p>
            <w:pPr>
              <w:spacing w:after="0"/>
              <w:rPr>
                <w:sz w:val="23"/>
                <w:szCs w:val="23"/>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740" w:type="dxa"/>
            <w:vAlign w:val="bottom"/>
          </w:tcPr>
          <w:p>
            <w:pPr>
              <w:jc w:val="right"/>
              <w:ind w:right="26"/>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w:t>
            </w:r>
          </w:p>
        </w:tc>
        <w:tc>
          <w:tcPr>
            <w:tcW w:w="120" w:type="dxa"/>
            <w:vAlign w:val="bottom"/>
          </w:tcPr>
          <w:p>
            <w:pPr>
              <w:spacing w:after="0"/>
              <w:rPr>
                <w:sz w:val="23"/>
                <w:szCs w:val="2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24"/>
        </w:trPr>
        <w:tc>
          <w:tcPr>
            <w:tcW w:w="2140" w:type="dxa"/>
            <w:vAlign w:val="bottom"/>
            <w:tcBorders>
              <w:top w:val="single" w:sz="8" w:color="CCEEFF"/>
            </w:tcBorders>
            <w:shd w:val="clear" w:color="auto" w:fill="CCEEFF"/>
          </w:tcPr>
          <w:p>
            <w:pPr>
              <w:ind w:left="280"/>
              <w:spacing w:after="0" w:line="225" w:lineRule="exact"/>
              <w:rPr>
                <w:sz w:val="20"/>
                <w:szCs w:val="20"/>
                <w:color w:val="auto"/>
              </w:rPr>
            </w:pPr>
            <w:r>
              <w:rPr>
                <w:rFonts w:ascii="Arial" w:cs="Arial" w:eastAsia="Arial" w:hAnsi="Arial"/>
                <w:sz w:val="20"/>
                <w:szCs w:val="20"/>
                <w:color w:val="auto"/>
              </w:rPr>
              <w:t>Net product sales</w:t>
            </w: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80"/>
              <w:spacing w:after="0" w:line="216" w:lineRule="exact"/>
              <w:rPr>
                <w:sz w:val="20"/>
                <w:szCs w:val="20"/>
                <w:color w:val="auto"/>
              </w:rPr>
            </w:pPr>
            <w:r>
              <w:rPr>
                <w:rFonts w:ascii="Arial" w:cs="Arial" w:eastAsia="Arial" w:hAnsi="Arial"/>
                <w:sz w:val="20"/>
                <w:szCs w:val="20"/>
                <w:color w:val="auto"/>
              </w:rPr>
              <w:t>recorded by</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85"/>
              <w:spacing w:after="0"/>
              <w:rPr>
                <w:sz w:val="20"/>
                <w:szCs w:val="20"/>
                <w:color w:val="auto"/>
              </w:rPr>
            </w:pPr>
            <w:r>
              <w:rPr>
                <w:rFonts w:ascii="Arial" w:cs="Arial" w:eastAsia="Arial" w:hAnsi="Arial"/>
                <w:sz w:val="13"/>
                <w:szCs w:val="13"/>
                <w:color w:val="auto"/>
              </w:rPr>
              <w:t>___</w:t>
            </w:r>
            <w:r>
              <w:rPr>
                <w:rFonts w:ascii="Arial" w:cs="Arial" w:eastAsia="Arial" w:hAnsi="Arial"/>
                <w:sz w:val="28"/>
                <w:szCs w:val="28"/>
                <w:color w:val="auto"/>
                <w:vertAlign w:val="subscript"/>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3"/>
                <w:szCs w:val="13"/>
                <w:color w:val="auto"/>
              </w:rPr>
              <w:t>___</w:t>
            </w:r>
            <w:r>
              <w:rPr>
                <w:rFonts w:ascii="Arial" w:cs="Arial" w:eastAsia="Arial" w:hAnsi="Arial"/>
                <w:sz w:val="28"/>
                <w:szCs w:val="28"/>
                <w:color w:val="auto"/>
                <w:vertAlign w:val="subscript"/>
              </w:rPr>
              <w:t>*</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65"/>
              <w:spacing w:after="0"/>
              <w:rPr>
                <w:sz w:val="20"/>
                <w:szCs w:val="20"/>
                <w:color w:val="auto"/>
              </w:rPr>
            </w:pPr>
            <w:r>
              <w:rPr>
                <w:rFonts w:ascii="Arial" w:cs="Arial" w:eastAsia="Arial" w:hAnsi="Arial"/>
                <w:sz w:val="13"/>
                <w:szCs w:val="13"/>
                <w:color w:val="auto"/>
              </w:rPr>
              <w:t>___</w:t>
            </w:r>
            <w:r>
              <w:rPr>
                <w:rFonts w:ascii="Arial" w:cs="Arial" w:eastAsia="Arial" w:hAnsi="Arial"/>
                <w:sz w:val="28"/>
                <w:szCs w:val="28"/>
                <w:color w:val="auto"/>
                <w:vertAlign w:val="subscript"/>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3"/>
                <w:szCs w:val="13"/>
                <w:color w:val="auto"/>
              </w:rPr>
              <w:t>___</w:t>
            </w:r>
            <w:r>
              <w:rPr>
                <w:rFonts w:ascii="Arial" w:cs="Arial" w:eastAsia="Arial" w:hAnsi="Arial"/>
                <w:sz w:val="28"/>
                <w:szCs w:val="28"/>
                <w:color w:val="auto"/>
                <w:vertAlign w:val="subscript"/>
              </w:rPr>
              <w:t>*</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85"/>
              <w:spacing w:after="0"/>
              <w:rPr>
                <w:sz w:val="20"/>
                <w:szCs w:val="20"/>
                <w:color w:val="auto"/>
              </w:rPr>
            </w:pPr>
            <w:r>
              <w:rPr>
                <w:rFonts w:ascii="Arial" w:cs="Arial" w:eastAsia="Arial" w:hAnsi="Arial"/>
                <w:sz w:val="13"/>
                <w:szCs w:val="13"/>
                <w:color w:val="auto"/>
              </w:rPr>
              <w:t>___</w:t>
            </w:r>
            <w:r>
              <w:rPr>
                <w:rFonts w:ascii="Arial" w:cs="Arial" w:eastAsia="Arial" w:hAnsi="Arial"/>
                <w:sz w:val="28"/>
                <w:szCs w:val="28"/>
                <w:color w:val="auto"/>
                <w:vertAlign w:val="subscript"/>
              </w:rPr>
              <w:t>*</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2"/>
        </w:trPr>
        <w:tc>
          <w:tcPr>
            <w:tcW w:w="2140" w:type="dxa"/>
            <w:vAlign w:val="bottom"/>
            <w:vMerge w:val="restart"/>
            <w:shd w:val="clear" w:color="auto" w:fill="CCEEFF"/>
          </w:tcPr>
          <w:p>
            <w:pPr>
              <w:ind w:left="280"/>
              <w:spacing w:after="0"/>
              <w:rPr>
                <w:sz w:val="20"/>
                <w:szCs w:val="20"/>
                <w:color w:val="auto"/>
              </w:rPr>
            </w:pPr>
            <w:r>
              <w:rPr>
                <w:rFonts w:ascii="Arial" w:cs="Arial" w:eastAsia="Arial" w:hAnsi="Arial"/>
                <w:sz w:val="20"/>
                <w:szCs w:val="20"/>
                <w:color w:val="auto"/>
              </w:rPr>
              <w:t>Regeneron</w:t>
            </w:r>
          </w:p>
        </w:tc>
        <w:tc>
          <w:tcPr>
            <w:tcW w:w="2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14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auto"/>
            </w:tcBorders>
            <w:vMerge w:val="continue"/>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vMerge w:val="continue"/>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2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40" w:type="dxa"/>
            <w:vAlign w:val="bottom"/>
            <w:gridSpan w:val="7"/>
            <w:shd w:val="clear" w:color="auto" w:fill="CCEEFF"/>
          </w:tcPr>
          <w:p>
            <w:pPr>
              <w:ind w:left="40"/>
              <w:spacing w:after="0"/>
              <w:rPr>
                <w:sz w:val="20"/>
                <w:szCs w:val="20"/>
                <w:color w:val="auto"/>
              </w:rPr>
            </w:pPr>
            <w:r>
              <w:rPr>
                <w:rFonts w:ascii="Arial" w:cs="Arial" w:eastAsia="Arial" w:hAnsi="Arial"/>
                <w:sz w:val="20"/>
                <w:szCs w:val="20"/>
                <w:i w:val="1"/>
                <w:iCs w:val="1"/>
                <w:color w:val="auto"/>
              </w:rPr>
              <w:t>Net product sales recorded by Sanofi</w:t>
            </w:r>
            <w:r>
              <w:rPr>
                <w:rFonts w:ascii="Arial" w:cs="Arial" w:eastAsia="Arial" w:hAnsi="Arial"/>
                <w:sz w:val="14"/>
                <w:szCs w:val="14"/>
                <w:i w:val="1"/>
                <w:iCs w:val="1"/>
                <w:color w:val="auto"/>
              </w:rPr>
              <w:t>*</w:t>
            </w:r>
            <w:r>
              <w:rPr>
                <w:rFonts w:ascii="Arial" w:cs="Arial" w:eastAsia="Arial" w:hAnsi="Arial"/>
                <w:sz w:val="20"/>
                <w:szCs w:val="20"/>
                <w:i w:val="1"/>
                <w:iCs w:val="1"/>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140" w:type="dxa"/>
            <w:vAlign w:val="bottom"/>
          </w:tcPr>
          <w:p>
            <w:pPr>
              <w:ind w:left="40"/>
              <w:spacing w:after="0"/>
              <w:rPr>
                <w:sz w:val="20"/>
                <w:szCs w:val="20"/>
                <w:color w:val="auto"/>
              </w:rPr>
            </w:pPr>
            <w:r>
              <w:rPr>
                <w:rFonts w:ascii="Arial" w:cs="Arial" w:eastAsia="Arial" w:hAnsi="Arial"/>
                <w:sz w:val="20"/>
                <w:szCs w:val="20"/>
                <w:color w:val="auto"/>
              </w:rPr>
              <w:t>Dupixent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181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25"/>
              <w:spacing w:after="0"/>
              <w:rPr>
                <w:sz w:val="20"/>
                <w:szCs w:val="20"/>
                <w:color w:val="auto"/>
              </w:rPr>
            </w:pPr>
            <w:r>
              <w:rPr>
                <w:rFonts w:ascii="Arial" w:cs="Arial" w:eastAsia="Arial" w:hAnsi="Arial"/>
                <w:sz w:val="20"/>
                <w:szCs w:val="20"/>
                <w:color w:val="auto"/>
              </w:rPr>
              <w:t>28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209</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ind w:right="26"/>
              <w:spacing w:after="0"/>
              <w:rPr>
                <w:sz w:val="20"/>
                <w:szCs w:val="20"/>
                <w:color w:val="auto"/>
              </w:rPr>
            </w:pPr>
            <w:r>
              <w:rPr>
                <w:rFonts w:ascii="Arial" w:cs="Arial" w:eastAsia="Arial" w:hAnsi="Arial"/>
                <w:sz w:val="20"/>
                <w:szCs w:val="20"/>
                <w:color w:val="auto"/>
              </w:rPr>
              <w:t>28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546%</w:t>
            </w:r>
          </w:p>
        </w:tc>
        <w:tc>
          <w:tcPr>
            <w:tcW w:w="120" w:type="dxa"/>
            <w:vAlign w:val="bottom"/>
          </w:tcPr>
          <w:p>
            <w:pPr>
              <w:spacing w:after="0"/>
              <w:rPr>
                <w:sz w:val="23"/>
                <w:szCs w:val="23"/>
                <w:color w:val="auto"/>
              </w:rPr>
            </w:pPr>
          </w:p>
        </w:tc>
        <w:tc>
          <w:tcPr>
            <w:tcW w:w="96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0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140" w:type="dxa"/>
            <w:vAlign w:val="bottom"/>
            <w:shd w:val="clear" w:color="auto" w:fill="CCEEFF"/>
          </w:tcPr>
          <w:p>
            <w:pPr>
              <w:ind w:left="40"/>
              <w:spacing w:after="0"/>
              <w:rPr>
                <w:sz w:val="20"/>
                <w:szCs w:val="20"/>
                <w:color w:val="auto"/>
              </w:rPr>
            </w:pPr>
            <w:r>
              <w:rPr>
                <w:rFonts w:ascii="Arial" w:cs="Arial" w:eastAsia="Arial" w:hAnsi="Arial"/>
                <w:sz w:val="20"/>
                <w:szCs w:val="20"/>
                <w:color w:val="auto"/>
              </w:rPr>
              <w:t>Praluent</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
              <w:spacing w:after="0"/>
              <w:rPr>
                <w:sz w:val="20"/>
                <w:szCs w:val="20"/>
                <w:color w:val="auto"/>
              </w:rPr>
            </w:pPr>
            <w:r>
              <w:rPr>
                <w:rFonts w:ascii="Arial" w:cs="Arial" w:eastAsia="Arial" w:hAnsi="Arial"/>
                <w:sz w:val="20"/>
                <w:szCs w:val="20"/>
                <w:color w:val="auto"/>
              </w:rPr>
              <w:t>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20"/>
                <w:szCs w:val="20"/>
                <w:color w:val="auto"/>
              </w:rPr>
              <w:t>46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65"/>
        </w:trPr>
        <w:tc>
          <w:tcPr>
            <w:tcW w:w="2140" w:type="dxa"/>
            <w:vAlign w:val="bottom"/>
          </w:tcPr>
          <w:p>
            <w:pPr>
              <w:ind w:left="40"/>
              <w:spacing w:after="0"/>
              <w:rPr>
                <w:sz w:val="20"/>
                <w:szCs w:val="20"/>
                <w:color w:val="auto"/>
              </w:rPr>
            </w:pPr>
            <w:r>
              <w:rPr>
                <w:rFonts w:ascii="Arial" w:cs="Arial" w:eastAsia="Arial" w:hAnsi="Arial"/>
                <w:sz w:val="20"/>
                <w:szCs w:val="20"/>
                <w:color w:val="auto"/>
              </w:rPr>
              <w:t>Kevzara</w:t>
            </w:r>
          </w:p>
        </w:tc>
        <w:tc>
          <w:tcPr>
            <w:tcW w:w="220" w:type="dxa"/>
            <w:vAlign w:val="bottom"/>
          </w:tcPr>
          <w:p>
            <w:pPr>
              <w:spacing w:after="0"/>
              <w:rPr>
                <w:sz w:val="23"/>
                <w:szCs w:val="23"/>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5"/>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740" w:type="dxa"/>
            <w:vAlign w:val="bottom"/>
          </w:tcPr>
          <w:p>
            <w:pPr>
              <w:jc w:val="right"/>
              <w:ind w:right="26"/>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3"/>
                <w:szCs w:val="23"/>
                <w:color w:val="auto"/>
              </w:rPr>
            </w:pPr>
          </w:p>
        </w:tc>
        <w:tc>
          <w:tcPr>
            <w:tcW w:w="10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960" w:type="dxa"/>
            <w:vAlign w:val="bottom"/>
          </w:tcPr>
          <w:p>
            <w:pPr>
              <w:jc w:val="right"/>
              <w:ind w:right="125"/>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0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140" w:type="dxa"/>
            <w:vAlign w:val="bottom"/>
            <w:shd w:val="clear" w:color="auto" w:fill="CCEEFF"/>
          </w:tcPr>
          <w:p>
            <w:pPr>
              <w:ind w:left="40"/>
              <w:spacing w:after="0"/>
              <w:rPr>
                <w:sz w:val="20"/>
                <w:szCs w:val="20"/>
                <w:color w:val="auto"/>
              </w:rPr>
            </w:pPr>
            <w:r>
              <w:rPr>
                <w:rFonts w:ascii="Arial" w:cs="Arial" w:eastAsia="Arial" w:hAnsi="Arial"/>
                <w:sz w:val="20"/>
                <w:szCs w:val="20"/>
                <w:color w:val="auto"/>
              </w:rPr>
              <w:t>ZALTRAP</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
              <w:spacing w:after="0"/>
              <w:rPr>
                <w:sz w:val="20"/>
                <w:szCs w:val="20"/>
                <w:color w:val="auto"/>
              </w:rPr>
            </w:pPr>
            <w:r>
              <w:rPr>
                <w:rFonts w:ascii="Arial" w:cs="Arial" w:eastAsia="Arial" w:hAnsi="Arial"/>
                <w:sz w:val="20"/>
                <w:szCs w:val="20"/>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20"/>
                <w:szCs w:val="20"/>
                <w:color w:val="auto"/>
              </w:rPr>
              <w:t>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20"/>
                <w:szCs w:val="20"/>
                <w:color w:val="auto"/>
              </w:rPr>
              <w:t>20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280" w:right="380" w:hanging="2"/>
        <w:spacing w:after="0" w:line="246" w:lineRule="auto"/>
        <w:tabs>
          <w:tab w:leader="none" w:pos="388" w:val="left"/>
        </w:tabs>
        <w:numPr>
          <w:ilvl w:val="0"/>
          <w:numId w:val="3"/>
        </w:numPr>
        <w:rPr>
          <w:rFonts w:ascii="Arial" w:cs="Arial" w:eastAsia="Arial" w:hAnsi="Arial"/>
          <w:sz w:val="16"/>
          <w:szCs w:val="16"/>
          <w:color w:val="auto"/>
        </w:rPr>
      </w:pPr>
      <w:r>
        <w:rPr>
          <w:rFonts w:ascii="Arial" w:cs="Arial" w:eastAsia="Arial" w:hAnsi="Arial"/>
          <w:sz w:val="16"/>
          <w:szCs w:val="16"/>
          <w:color w:val="auto"/>
        </w:rPr>
        <w:t>Bayer records net product sales of EYLEA outside the United States and Sanofi records global net product sales of Dupixent, Praluent, Kevzara, and ZALTRAP. Refer to Table 4 below for the Company's share of profits/losses recorded in connection with sales of EYLEA outside the United States and global sales of Dupixent, Praluent, and Kevzara. Sanofi pays the Company a percentage of aggregate net sales of ZALTRAP.</w:t>
      </w:r>
    </w:p>
    <w:p>
      <w:pPr>
        <w:spacing w:after="0" w:line="1"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 Percentage not meaningful</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Second Quarter 2018 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560"/>
        <w:spacing w:after="0" w:line="224" w:lineRule="auto"/>
        <w:rPr>
          <w:sz w:val="20"/>
          <w:szCs w:val="20"/>
          <w:color w:val="auto"/>
        </w:rPr>
      </w:pPr>
      <w:r>
        <w:rPr>
          <w:rFonts w:ascii="Arial" w:cs="Arial" w:eastAsia="Arial" w:hAnsi="Arial"/>
          <w:sz w:val="22"/>
          <w:szCs w:val="22"/>
          <w:color w:val="auto"/>
        </w:rPr>
        <w:t xml:space="preserve">Regeneron has nineteen product candidates in clinical development, which consist of EYLEA and fully human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eight in collaboration with Sanofi. Updates from the clinical pipeline include: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right="1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recently submitted a supplemental Biologics License Application (sBLA) for EYLEA for the treatment of diabetic retinopathy.</w:t>
      </w: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second quarter of 2018, the Company submitted an sBLA for EYLEA in a pre-filled syringe.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jc w:val="both"/>
        <w:ind w:left="340" w:right="26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Dupixent, an antibody that blocks signaling of IL-4 and IL-13, is being studied in asthma, adolescent and pediatric atopic dermatitis, nasal polyps, eosinophilic esophagitis (EoE), and grass immunotherapy, with additional studies planned in 2018.</w:t>
      </w:r>
    </w:p>
    <w:p>
      <w:pPr>
        <w:spacing w:after="0" w:line="1" w:lineRule="exact"/>
        <w:rPr>
          <w:rFonts w:ascii="Arial" w:cs="Arial" w:eastAsia="Arial" w:hAnsi="Arial"/>
          <w:sz w:val="22"/>
          <w:szCs w:val="22"/>
          <w:color w:val="auto"/>
        </w:rPr>
      </w:pPr>
    </w:p>
    <w:p>
      <w:pPr>
        <w:ind w:left="340" w:right="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May 2018, the Company and Sanofi reported that a Phase 3 trial evaluating Dupixent to treat moderate-to-severe atopic dermatitis in adolescents (12–17 years of age) met its primary and key secondary endpoints.</w:t>
      </w:r>
    </w:p>
    <w:p>
      <w:pPr>
        <w:ind w:left="340" w:righ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In May 2018, the Company and Sanofi announced that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published detailed, positive results from two Phase 3 trials of Dupixent in moderate-to-severe asthma.</w:t>
      </w: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2018, a Phase 2 study of Dupixent in grass immunotherapy was initiated.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12"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w:t>
      </w:r>
    </w:p>
    <w:p>
      <w:pPr>
        <w:ind w:left="340" w:right="300" w:hanging="332"/>
        <w:spacing w:after="0" w:line="255" w:lineRule="auto"/>
        <w:tabs>
          <w:tab w:leader="none" w:pos="340" w:val="left"/>
        </w:tabs>
        <w:numPr>
          <w:ilvl w:val="0"/>
          <w:numId w:val="6"/>
        </w:numPr>
        <w:rPr>
          <w:rFonts w:ascii="Arial" w:cs="Arial" w:eastAsia="Arial" w:hAnsi="Arial"/>
          <w:sz w:val="21"/>
          <w:szCs w:val="21"/>
          <w:color w:val="auto"/>
        </w:rPr>
      </w:pPr>
      <w:r>
        <w:rPr>
          <w:rFonts w:ascii="Arial" w:cs="Arial" w:eastAsia="Arial" w:hAnsi="Arial"/>
          <w:sz w:val="21"/>
          <w:szCs w:val="21"/>
          <w:color w:val="auto"/>
        </w:rPr>
        <w:t>In May 2018, the Company and Sanofi announced they will lower the net price of Praluent in exchange for straightforward, more affordable patient access from Express Scripts. Praluent has been chosen as the exclusive PCSK9 inhibitor therapy on the Express Scripts national formulary. The agreement took effect on July 1, 2018.</w:t>
      </w:r>
    </w:p>
    <w:p>
      <w:pPr>
        <w:ind w:left="340" w:right="18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sBLA and a Marketing Authorization Application (MAA) for Praluent for cardiovascular risk reduction have been recently submitted.</w:t>
      </w: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sBLA for first-line treatment of hyperlipidemia has also been recently submitted.</w:t>
      </w:r>
    </w:p>
    <w:p>
      <w:pPr>
        <w:spacing w:after="0" w:line="3" w:lineRule="exact"/>
        <w:rPr>
          <w:rFonts w:ascii="Arial" w:cs="Arial" w:eastAsia="Arial" w:hAnsi="Arial"/>
          <w:sz w:val="22"/>
          <w:szCs w:val="22"/>
          <w:color w:val="auto"/>
        </w:rPr>
      </w:pPr>
    </w:p>
    <w:p>
      <w:pPr>
        <w:ind w:left="340" w:right="80" w:hanging="332"/>
        <w:spacing w:after="0" w:line="249"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second quarter of 2018, a Phase 3 pediatric study in heterozygous familial hypercholesterolemia (HeFH) was initiated.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Cemiplimab</w:t>
      </w:r>
      <w:r>
        <w:rPr>
          <w:rFonts w:ascii="Arial" w:cs="Arial" w:eastAsia="Arial" w:hAnsi="Arial"/>
          <w:sz w:val="22"/>
          <w:szCs w:val="22"/>
          <w:color w:val="auto"/>
        </w:rPr>
        <w:t>, an antibody to PD-1, is being studied in patients with cancer.</w:t>
      </w:r>
    </w:p>
    <w:p>
      <w:pPr>
        <w:spacing w:after="0" w:line="4" w:lineRule="exact"/>
        <w:rPr>
          <w:sz w:val="20"/>
          <w:szCs w:val="20"/>
          <w:color w:val="auto"/>
        </w:rPr>
      </w:pPr>
    </w:p>
    <w:p>
      <w:pPr>
        <w:ind w:left="340" w:right="70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2018, the FDA accepted for priority review the BLA for cemiplimab for the treatment of patients with metastatic cutaneous squamous cell carcinoma (CSCC) or patients with locally advanced CSCC who are not candidates for surgery. The target action date for the FDA decision is October 28, 2018.</w:t>
      </w:r>
    </w:p>
    <w:p>
      <w:pPr>
        <w:spacing w:after="0" w:line="1" w:lineRule="exact"/>
        <w:rPr>
          <w:rFonts w:ascii="Arial" w:cs="Arial" w:eastAsia="Arial" w:hAnsi="Arial"/>
          <w:sz w:val="22"/>
          <w:szCs w:val="22"/>
          <w:color w:val="auto"/>
        </w:rPr>
      </w:pPr>
    </w:p>
    <w:p>
      <w:pPr>
        <w:ind w:left="340" w:right="18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2018, the European Medicines Agency (EMA) also accepted for review the MAA for cemiplimab in patients with metastatic CSCC or patients with locally advanced CSCC who are not candidates for surgery.</w:t>
      </w:r>
    </w:p>
    <w:p>
      <w:pPr>
        <w:ind w:left="340" w:right="800" w:hanging="332"/>
        <w:spacing w:after="0" w:line="243"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In June 2018, the Company and Sanofi announced that pivotal data from two trials evaluating cemiplimab in advanced CSCC were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w:t>
      </w:r>
    </w:p>
    <w:p>
      <w:pPr>
        <w:ind w:left="340" w:right="960" w:hanging="332"/>
        <w:spacing w:after="0" w:line="249"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May 2018, the Company and Sanofi announced positive interim results from a Phase 1 study assessing cemiplimab as a potential treatment for advanced non-small cell lung cancer (NSCLC).</w:t>
      </w:r>
    </w:p>
    <w:p>
      <w:pPr>
        <w:spacing w:after="0" w:line="245" w:lineRule="exact"/>
        <w:rPr>
          <w:sz w:val="20"/>
          <w:szCs w:val="20"/>
          <w:color w:val="auto"/>
        </w:rPr>
      </w:pPr>
    </w:p>
    <w:p>
      <w:pPr>
        <w:ind w:right="480"/>
        <w:spacing w:after="0" w:line="243"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an antibody targeting Nerve Growth Factor (NGF), is being studied in patients with osteoarthritis of the knee or hip.</w:t>
      </w:r>
    </w:p>
    <w:p>
      <w:pPr>
        <w:spacing w:after="0" w:line="1" w:lineRule="exact"/>
        <w:rPr>
          <w:sz w:val="20"/>
          <w:szCs w:val="20"/>
          <w:color w:val="auto"/>
        </w:rPr>
      </w:pPr>
    </w:p>
    <w:p>
      <w:pPr>
        <w:ind w:left="340" w:right="500" w:hanging="332"/>
        <w:spacing w:after="0" w:line="244"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April 2018, an independent Data Monitoring Committee monitoring the ongoing safety and efficacy of the fasinumab clinical trials recommended that the higher dose-regimens be discontinued based on the risk benefit assessment and that the program may continue with the lower dose-regimens of fasinumab; the ongoing osteoarthritis trials have been modified accordingly. Since the Phase 3 clinical study in chronic low back pain in patients with concomitant osteoarthritis was only using higher doses, the Company is no longer actively dosing patients in this study.</w:t>
      </w:r>
    </w:p>
    <w:p>
      <w:pPr>
        <w:spacing w:after="0" w:line="253" w:lineRule="exact"/>
        <w:rPr>
          <w:sz w:val="20"/>
          <w:szCs w:val="20"/>
          <w:color w:val="auto"/>
        </w:rPr>
      </w:pPr>
    </w:p>
    <w:p>
      <w:pPr>
        <w:spacing w:after="0" w:line="249" w:lineRule="auto"/>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xml:space="preserve"> is an antibody to ANGPTL3. In the second quarter of 2018, a Phase 3 study in severe hypertriglyceridemia was initiated.</w:t>
      </w:r>
    </w:p>
    <w:p>
      <w:pPr>
        <w:spacing w:after="0" w:line="245" w:lineRule="exact"/>
        <w:rPr>
          <w:sz w:val="20"/>
          <w:szCs w:val="20"/>
          <w:color w:val="auto"/>
        </w:rPr>
      </w:pPr>
    </w:p>
    <w:p>
      <w:pPr>
        <w:ind w:right="620"/>
        <w:spacing w:after="0" w:line="249" w:lineRule="auto"/>
        <w:rPr>
          <w:sz w:val="20"/>
          <w:szCs w:val="20"/>
          <w:color w:val="auto"/>
        </w:rPr>
      </w:pPr>
      <w:r>
        <w:rPr>
          <w:rFonts w:ascii="Arial" w:cs="Arial" w:eastAsia="Arial" w:hAnsi="Arial"/>
          <w:sz w:val="22"/>
          <w:szCs w:val="22"/>
          <w:u w:val="single" w:color="auto"/>
          <w:color w:val="auto"/>
        </w:rPr>
        <w:t>REGN3500</w:t>
      </w:r>
      <w:r>
        <w:rPr>
          <w:rFonts w:ascii="Arial" w:cs="Arial" w:eastAsia="Arial" w:hAnsi="Arial"/>
          <w:sz w:val="22"/>
          <w:szCs w:val="22"/>
          <w:color w:val="auto"/>
        </w:rPr>
        <w:t xml:space="preserve"> is an antibody to IL-33. In the third quarter of 2018, a Phase 2 study in chronic obstructive pulmonary disease (COPD) was initiated.</w:t>
      </w:r>
    </w:p>
    <w:p>
      <w:pPr>
        <w:spacing w:after="0" w:line="245"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u w:val="single" w:color="auto"/>
          <w:color w:val="auto"/>
        </w:rPr>
        <w:t>REGN3918</w:t>
      </w:r>
      <w:r>
        <w:rPr>
          <w:rFonts w:ascii="Arial" w:cs="Arial" w:eastAsia="Arial" w:hAnsi="Arial"/>
          <w:sz w:val="22"/>
          <w:szCs w:val="22"/>
          <w:color w:val="auto"/>
        </w:rPr>
        <w:t xml:space="preserve"> (pozelimab) is an antibody to C5. The Company expects to report full data from its Phase 1 study in paroxysmal nocturnal hemoglobinuria (PNH) in the second half of 2018, and plans to initiate a Phase 2 study in PNH in early 2019.</w:t>
      </w:r>
    </w:p>
    <w:p>
      <w:pPr>
        <w:spacing w:after="0" w:line="249" w:lineRule="exact"/>
        <w:rPr>
          <w:sz w:val="20"/>
          <w:szCs w:val="20"/>
          <w:color w:val="auto"/>
        </w:rPr>
      </w:pPr>
    </w:p>
    <w:p>
      <w:pPr>
        <w:ind w:right="560"/>
        <w:spacing w:after="0" w:line="249" w:lineRule="auto"/>
        <w:rPr>
          <w:sz w:val="20"/>
          <w:szCs w:val="20"/>
          <w:color w:val="auto"/>
        </w:rPr>
      </w:pPr>
      <w:r>
        <w:rPr>
          <w:rFonts w:ascii="Arial" w:cs="Arial" w:eastAsia="Arial" w:hAnsi="Arial"/>
          <w:sz w:val="22"/>
          <w:szCs w:val="22"/>
          <w:u w:val="single" w:color="auto"/>
          <w:color w:val="auto"/>
        </w:rPr>
        <w:t>REGN4018</w:t>
      </w:r>
      <w:r>
        <w:rPr>
          <w:rFonts w:ascii="Arial" w:cs="Arial" w:eastAsia="Arial" w:hAnsi="Arial"/>
          <w:sz w:val="22"/>
          <w:szCs w:val="22"/>
          <w:color w:val="auto"/>
        </w:rPr>
        <w:t xml:space="preserve"> is a bi-specific antibody targeting MUC16 and CD3. In the second quarter of 2018, a Phase 1 study in platinum-resistant ovarian cancer was initiated.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24" w:right="239" w:bottom="1440" w:gutter="0" w:footer="0" w:header="0"/>
        </w:sectPr>
      </w:pPr>
    </w:p>
    <w:bookmarkStart w:id="7" w:name="page8"/>
    <w:bookmarkEnd w:id="7"/>
    <w:p>
      <w:pPr>
        <w:ind w:right="140"/>
        <w:spacing w:after="0" w:line="249" w:lineRule="auto"/>
        <w:rPr>
          <w:sz w:val="20"/>
          <w:szCs w:val="20"/>
          <w:color w:val="auto"/>
        </w:rPr>
      </w:pPr>
      <w:r>
        <w:rPr>
          <w:rFonts w:ascii="Arial" w:cs="Arial" w:eastAsia="Arial" w:hAnsi="Arial"/>
          <w:sz w:val="22"/>
          <w:szCs w:val="22"/>
          <w:u w:val="single" w:color="auto"/>
          <w:color w:val="auto"/>
        </w:rPr>
        <w:t>REGN4659</w:t>
      </w:r>
      <w:r>
        <w:rPr>
          <w:rFonts w:ascii="Arial" w:cs="Arial" w:eastAsia="Arial" w:hAnsi="Arial"/>
          <w:sz w:val="22"/>
          <w:szCs w:val="22"/>
          <w:color w:val="auto"/>
        </w:rPr>
        <w:t xml:space="preserve"> is an antibody against CTLA4. In the second quarter of 2018, a Phase 1 study in advanced NSCLC was initiated.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Upcoming 2018 Milestones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8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Programs</w:t>
            </w:r>
          </w:p>
        </w:tc>
        <w:tc>
          <w:tcPr>
            <w:tcW w:w="7040" w:type="dxa"/>
            <w:vAlign w:val="bottom"/>
            <w:tcBorders>
              <w:bottom w:val="single" w:sz="8" w:color="auto"/>
            </w:tcBorders>
          </w:tcPr>
          <w:p>
            <w:pPr>
              <w:ind w:left="310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80" w:type="dxa"/>
            <w:vAlign w:val="bottom"/>
          </w:tcPr>
          <w:p>
            <w:pPr>
              <w:spacing w:after="0"/>
              <w:rPr>
                <w:sz w:val="20"/>
                <w:szCs w:val="20"/>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7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FDA decision on sBLA for every 12-week dosing interval in wet AMD (target</w:t>
            </w:r>
          </w:p>
        </w:tc>
      </w:tr>
      <w:tr>
        <w:trPr>
          <w:trHeight w:val="237"/>
        </w:trPr>
        <w:tc>
          <w:tcPr>
            <w:tcW w:w="38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action date of August 11, 2018)</w:t>
            </w:r>
          </w:p>
        </w:tc>
      </w:tr>
      <w:tr>
        <w:trPr>
          <w:trHeight w:val="249"/>
        </w:trPr>
        <w:tc>
          <w:tcPr>
            <w:tcW w:w="38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Report one-year data from Phase 3 PANORAMA study for the treatment of</w:t>
            </w:r>
          </w:p>
        </w:tc>
      </w:tr>
      <w:tr>
        <w:trPr>
          <w:trHeight w:val="216"/>
        </w:trPr>
        <w:tc>
          <w:tcPr>
            <w:tcW w:w="38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040" w:type="dxa"/>
            <w:vAlign w:val="bottom"/>
            <w:shd w:val="clear" w:color="auto" w:fill="CCEEFF"/>
          </w:tcPr>
          <w:p>
            <w:pPr>
              <w:ind w:left="240"/>
              <w:spacing w:after="0" w:line="216" w:lineRule="exact"/>
              <w:rPr>
                <w:sz w:val="20"/>
                <w:szCs w:val="20"/>
                <w:color w:val="auto"/>
              </w:rPr>
            </w:pPr>
            <w:r>
              <w:rPr>
                <w:rFonts w:ascii="Arial" w:cs="Arial" w:eastAsia="Arial" w:hAnsi="Arial"/>
                <w:sz w:val="20"/>
                <w:szCs w:val="20"/>
                <w:color w:val="auto"/>
              </w:rPr>
              <w:t>non-proliferative diabetic retinopathy in patients without diabetic macular</w:t>
            </w:r>
          </w:p>
        </w:tc>
      </w:tr>
      <w:tr>
        <w:trPr>
          <w:trHeight w:val="242"/>
        </w:trPr>
        <w:tc>
          <w:tcPr>
            <w:tcW w:w="380" w:type="dxa"/>
            <w:vAlign w:val="bottom"/>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spacing w:after="0"/>
              <w:rPr>
                <w:sz w:val="21"/>
                <w:szCs w:val="21"/>
                <w:color w:val="auto"/>
              </w:rPr>
            </w:pPr>
          </w:p>
        </w:tc>
        <w:tc>
          <w:tcPr>
            <w:tcW w:w="7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20"/>
                <w:szCs w:val="20"/>
                <w:color w:val="auto"/>
              </w:rPr>
              <w:t>edema (DME)</w:t>
            </w:r>
          </w:p>
        </w:tc>
      </w:tr>
      <w:tr>
        <w:trPr>
          <w:trHeight w:val="238"/>
        </w:trPr>
        <w:tc>
          <w:tcPr>
            <w:tcW w:w="38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20"/>
                <w:szCs w:val="20"/>
                <w:color w:val="auto"/>
              </w:rPr>
              <w:t>Dupixent (dupilumab)</w:t>
            </w:r>
          </w:p>
        </w:tc>
        <w:tc>
          <w:tcPr>
            <w:tcW w:w="7040" w:type="dxa"/>
            <w:vAlign w:val="bottom"/>
          </w:tcPr>
          <w:p>
            <w:pPr>
              <w:ind w:left="40"/>
              <w:spacing w:after="0"/>
              <w:rPr>
                <w:sz w:val="20"/>
                <w:szCs w:val="20"/>
                <w:color w:val="auto"/>
              </w:rPr>
            </w:pPr>
            <w:r>
              <w:rPr>
                <w:rFonts w:ascii="Arial" w:cs="Arial" w:eastAsia="Arial" w:hAnsi="Arial"/>
                <w:sz w:val="20"/>
                <w:szCs w:val="20"/>
                <w:color w:val="auto"/>
              </w:rPr>
              <w:t>Ÿ FDA decision on sBLA for asthma in adult/adolescent patients (target action</w:t>
            </w:r>
          </w:p>
        </w:tc>
      </w:tr>
      <w:tr>
        <w:trPr>
          <w:trHeight w:val="237"/>
        </w:trPr>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Arial" w:cs="Arial" w:eastAsia="Arial" w:hAnsi="Arial"/>
                <w:sz w:val="20"/>
                <w:szCs w:val="20"/>
                <w:color w:val="auto"/>
              </w:rPr>
              <w:t>date of October 20, 2018)</w:t>
            </w:r>
          </w:p>
        </w:tc>
      </w:tr>
      <w:tr>
        <w:trPr>
          <w:trHeight w:val="249"/>
        </w:trPr>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w w:val="99"/>
              </w:rPr>
              <w:t>Ÿ Additional regulatory agency decisions on applications for atopic dermatitis in</w:t>
            </w:r>
          </w:p>
        </w:tc>
      </w:tr>
      <w:tr>
        <w:trPr>
          <w:trHeight w:val="237"/>
        </w:trPr>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Arial" w:cs="Arial" w:eastAsia="Arial" w:hAnsi="Arial"/>
                <w:sz w:val="20"/>
                <w:szCs w:val="20"/>
                <w:color w:val="auto"/>
              </w:rPr>
              <w:t>adults outside the United States</w:t>
            </w:r>
          </w:p>
        </w:tc>
      </w:tr>
      <w:tr>
        <w:trPr>
          <w:trHeight w:val="249"/>
        </w:trPr>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Submit sBLA and MAA for expanded indication in adolescent patients with</w:t>
            </w:r>
          </w:p>
        </w:tc>
      </w:tr>
      <w:tr>
        <w:trPr>
          <w:trHeight w:val="237"/>
        </w:trPr>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Arial" w:cs="Arial" w:eastAsia="Arial" w:hAnsi="Arial"/>
                <w:sz w:val="20"/>
                <w:szCs w:val="20"/>
                <w:color w:val="auto"/>
              </w:rPr>
              <w:t>atopic dermatitis (12–17 years of age)</w:t>
            </w:r>
          </w:p>
        </w:tc>
      </w:tr>
      <w:tr>
        <w:trPr>
          <w:trHeight w:val="270"/>
        </w:trPr>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Report data from Phase 3 studies in nasal polyps</w:t>
            </w:r>
          </w:p>
        </w:tc>
      </w:tr>
      <w:tr>
        <w:trPr>
          <w:trHeight w:val="284"/>
        </w:trPr>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Initiate Phase 3 study in EoE</w:t>
            </w:r>
          </w:p>
        </w:tc>
      </w:tr>
      <w:tr>
        <w:trPr>
          <w:trHeight w:val="284"/>
        </w:trPr>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Initiate Phase 2 study in peanut allergy</w:t>
            </w:r>
          </w:p>
        </w:tc>
      </w:tr>
      <w:tr>
        <w:trPr>
          <w:trHeight w:val="23"/>
        </w:trPr>
        <w:tc>
          <w:tcPr>
            <w:tcW w:w="3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Praluent (alirocumab)</w:t>
            </w:r>
          </w:p>
        </w:tc>
        <w:tc>
          <w:tcPr>
            <w:tcW w:w="7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FDA decision on sBLA for use with apheresis (target action date of August</w:t>
            </w:r>
          </w:p>
        </w:tc>
      </w:tr>
      <w:tr>
        <w:trPr>
          <w:trHeight w:val="237"/>
        </w:trPr>
        <w:tc>
          <w:tcPr>
            <w:tcW w:w="38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24, 2018)</w:t>
            </w:r>
          </w:p>
        </w:tc>
      </w:tr>
      <w:tr>
        <w:trPr>
          <w:trHeight w:val="249"/>
        </w:trPr>
        <w:tc>
          <w:tcPr>
            <w:tcW w:w="38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Initiate Phase 3 pediatric study in homozygous familial hypercholesterolemia</w:t>
            </w:r>
          </w:p>
        </w:tc>
      </w:tr>
      <w:tr>
        <w:trPr>
          <w:trHeight w:val="242"/>
        </w:trPr>
        <w:tc>
          <w:tcPr>
            <w:tcW w:w="380" w:type="dxa"/>
            <w:vAlign w:val="bottom"/>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spacing w:after="0"/>
              <w:rPr>
                <w:sz w:val="21"/>
                <w:szCs w:val="21"/>
                <w:color w:val="auto"/>
              </w:rPr>
            </w:pPr>
          </w:p>
        </w:tc>
        <w:tc>
          <w:tcPr>
            <w:tcW w:w="7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20"/>
                <w:szCs w:val="20"/>
                <w:color w:val="auto"/>
              </w:rPr>
              <w:t>(HoFH)</w:t>
            </w:r>
          </w:p>
        </w:tc>
      </w:tr>
      <w:tr>
        <w:trPr>
          <w:trHeight w:val="259"/>
        </w:trPr>
        <w:tc>
          <w:tcPr>
            <w:tcW w:w="380" w:type="dxa"/>
            <w:vAlign w:val="bottom"/>
          </w:tcPr>
          <w:p>
            <w:pPr>
              <w:spacing w:after="0"/>
              <w:rPr>
                <w:sz w:val="22"/>
                <w:szCs w:val="22"/>
                <w:color w:val="auto"/>
              </w:rPr>
            </w:pPr>
          </w:p>
        </w:tc>
        <w:tc>
          <w:tcPr>
            <w:tcW w:w="3800" w:type="dxa"/>
            <w:vAlign w:val="bottom"/>
            <w:gridSpan w:val="2"/>
          </w:tcPr>
          <w:p>
            <w:pPr>
              <w:ind w:left="20"/>
              <w:spacing w:after="0"/>
              <w:rPr>
                <w:sz w:val="20"/>
                <w:szCs w:val="20"/>
                <w:color w:val="auto"/>
              </w:rPr>
            </w:pPr>
            <w:r>
              <w:rPr>
                <w:rFonts w:ascii="Arial" w:cs="Arial" w:eastAsia="Arial" w:hAnsi="Arial"/>
                <w:sz w:val="20"/>
                <w:szCs w:val="20"/>
                <w:color w:val="auto"/>
              </w:rPr>
              <w:t>Kevzara (sarilumab)</w:t>
            </w:r>
          </w:p>
        </w:tc>
        <w:tc>
          <w:tcPr>
            <w:tcW w:w="7040" w:type="dxa"/>
            <w:vAlign w:val="bottom"/>
          </w:tcPr>
          <w:p>
            <w:pPr>
              <w:ind w:left="40"/>
              <w:spacing w:after="0"/>
              <w:rPr>
                <w:sz w:val="20"/>
                <w:szCs w:val="20"/>
                <w:color w:val="auto"/>
              </w:rPr>
            </w:pPr>
            <w:r>
              <w:rPr>
                <w:rFonts w:ascii="Arial" w:cs="Arial" w:eastAsia="Arial" w:hAnsi="Arial"/>
                <w:sz w:val="20"/>
                <w:szCs w:val="20"/>
                <w:color w:val="auto"/>
              </w:rPr>
              <w:t>Ÿ Initiate Phase 3 study in giant cell arteritis</w:t>
            </w:r>
          </w:p>
        </w:tc>
      </w:tr>
      <w:tr>
        <w:trPr>
          <w:trHeight w:val="284"/>
        </w:trPr>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Initiate Phase 3 study in polymyalgia rheumatica</w:t>
            </w:r>
          </w:p>
        </w:tc>
      </w:tr>
      <w:tr>
        <w:trPr>
          <w:trHeight w:val="23"/>
        </w:trPr>
        <w:tc>
          <w:tcPr>
            <w:tcW w:w="3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Cemiplimab (PD-1 Antibody)</w:t>
            </w:r>
          </w:p>
        </w:tc>
        <w:tc>
          <w:tcPr>
            <w:tcW w:w="7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FDA decision on BLA for advanced CSCC (target action date of October 28,</w:t>
            </w:r>
          </w:p>
        </w:tc>
      </w:tr>
      <w:tr>
        <w:trPr>
          <w:trHeight w:val="237"/>
        </w:trPr>
        <w:tc>
          <w:tcPr>
            <w:tcW w:w="38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2018)</w:t>
            </w:r>
          </w:p>
        </w:tc>
      </w:tr>
      <w:tr>
        <w:trPr>
          <w:trHeight w:val="249"/>
        </w:trPr>
        <w:tc>
          <w:tcPr>
            <w:tcW w:w="38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 Continue Phase 3 patient enrollment for the treatment of non-small cell lung</w:t>
            </w:r>
          </w:p>
        </w:tc>
      </w:tr>
      <w:tr>
        <w:trPr>
          <w:trHeight w:val="242"/>
        </w:trPr>
        <w:tc>
          <w:tcPr>
            <w:tcW w:w="380" w:type="dxa"/>
            <w:vAlign w:val="bottom"/>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spacing w:after="0"/>
              <w:rPr>
                <w:sz w:val="21"/>
                <w:szCs w:val="21"/>
                <w:color w:val="auto"/>
              </w:rPr>
            </w:pPr>
          </w:p>
        </w:tc>
        <w:tc>
          <w:tcPr>
            <w:tcW w:w="70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20"/>
                <w:szCs w:val="20"/>
                <w:color w:val="auto"/>
              </w:rPr>
              <w:t>cancer, as well as various other studies</w:t>
            </w:r>
          </w:p>
        </w:tc>
      </w:tr>
      <w:tr>
        <w:trPr>
          <w:trHeight w:val="259"/>
        </w:trPr>
        <w:tc>
          <w:tcPr>
            <w:tcW w:w="380" w:type="dxa"/>
            <w:vAlign w:val="bottom"/>
          </w:tcPr>
          <w:p>
            <w:pPr>
              <w:spacing w:after="0"/>
              <w:rPr>
                <w:sz w:val="22"/>
                <w:szCs w:val="22"/>
                <w:color w:val="auto"/>
              </w:rPr>
            </w:pPr>
          </w:p>
        </w:tc>
        <w:tc>
          <w:tcPr>
            <w:tcW w:w="3800" w:type="dxa"/>
            <w:vAlign w:val="bottom"/>
            <w:gridSpan w:val="2"/>
          </w:tcPr>
          <w:p>
            <w:pPr>
              <w:ind w:left="20"/>
              <w:spacing w:after="0"/>
              <w:rPr>
                <w:sz w:val="20"/>
                <w:szCs w:val="20"/>
                <w:color w:val="auto"/>
              </w:rPr>
            </w:pPr>
            <w:r>
              <w:rPr>
                <w:rFonts w:ascii="Arial" w:cs="Arial" w:eastAsia="Arial" w:hAnsi="Arial"/>
                <w:sz w:val="20"/>
                <w:szCs w:val="20"/>
                <w:color w:val="auto"/>
              </w:rPr>
              <w:t>Fasinumab (NGF Antibody)</w:t>
            </w:r>
          </w:p>
        </w:tc>
        <w:tc>
          <w:tcPr>
            <w:tcW w:w="7040" w:type="dxa"/>
            <w:vAlign w:val="bottom"/>
          </w:tcPr>
          <w:p>
            <w:pPr>
              <w:ind w:left="40"/>
              <w:spacing w:after="0"/>
              <w:rPr>
                <w:sz w:val="20"/>
                <w:szCs w:val="20"/>
                <w:color w:val="auto"/>
              </w:rPr>
            </w:pPr>
            <w:r>
              <w:rPr>
                <w:rFonts w:ascii="Arial" w:cs="Arial" w:eastAsia="Arial" w:hAnsi="Arial"/>
                <w:sz w:val="20"/>
                <w:szCs w:val="20"/>
                <w:color w:val="auto"/>
              </w:rPr>
              <w:t>Ÿ Report data from first Phase 3 efficacy study in osteoarthritis pain</w:t>
            </w:r>
          </w:p>
        </w:tc>
      </w:tr>
      <w:tr>
        <w:trPr>
          <w:trHeight w:val="263"/>
        </w:trPr>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Continue patient enrollment in Phase 3 long-term safety and efficacy studies</w:t>
            </w:r>
          </w:p>
        </w:tc>
      </w:tr>
      <w:tr>
        <w:trPr>
          <w:trHeight w:val="242"/>
        </w:trPr>
        <w:tc>
          <w:tcPr>
            <w:tcW w:w="38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704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in osteoarthritis</w:t>
            </w:r>
          </w:p>
        </w:tc>
      </w:tr>
      <w:tr>
        <w:trPr>
          <w:trHeight w:val="287"/>
        </w:trPr>
        <w:tc>
          <w:tcPr>
            <w:tcW w:w="380" w:type="dxa"/>
            <w:vAlign w:val="bottom"/>
          </w:tcPr>
          <w:p>
            <w:pPr>
              <w:spacing w:after="0"/>
              <w:rPr>
                <w:sz w:val="24"/>
                <w:szCs w:val="24"/>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REGN3500 (IL-33 Antibody)</w:t>
            </w:r>
          </w:p>
        </w:tc>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 Initiate Phase 2 study in atopic dermatitis</w:t>
            </w:r>
          </w:p>
        </w:tc>
      </w:tr>
      <w:tr>
        <w:trPr>
          <w:trHeight w:val="233"/>
        </w:trPr>
        <w:tc>
          <w:tcPr>
            <w:tcW w:w="380" w:type="dxa"/>
            <w:vAlign w:val="bottom"/>
          </w:tcPr>
          <w:p>
            <w:pPr>
              <w:spacing w:after="0"/>
              <w:rPr>
                <w:sz w:val="20"/>
                <w:szCs w:val="20"/>
                <w:color w:val="auto"/>
              </w:rPr>
            </w:pPr>
          </w:p>
        </w:tc>
        <w:tc>
          <w:tcPr>
            <w:tcW w:w="380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Bispecific Antibodies</w:t>
            </w:r>
          </w:p>
        </w:tc>
        <w:tc>
          <w:tcPr>
            <w:tcW w:w="704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Ÿ Initiate Phase 2 study for REGN1979 (CD20xCD3 Antibody) in follicular</w:t>
            </w:r>
          </w:p>
        </w:tc>
      </w:tr>
      <w:tr>
        <w:trPr>
          <w:trHeight w:val="237"/>
        </w:trPr>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Arial" w:cs="Arial" w:eastAsia="Arial" w:hAnsi="Arial"/>
                <w:sz w:val="20"/>
                <w:szCs w:val="20"/>
                <w:color w:val="auto"/>
              </w:rPr>
              <w:t>lymphoma</w:t>
            </w:r>
          </w:p>
        </w:tc>
      </w:tr>
      <w:tr>
        <w:trPr>
          <w:trHeight w:val="270"/>
        </w:trPr>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7040" w:type="dxa"/>
            <w:vAlign w:val="bottom"/>
          </w:tcPr>
          <w:p>
            <w:pPr>
              <w:ind w:left="40"/>
              <w:spacing w:after="0"/>
              <w:rPr>
                <w:sz w:val="20"/>
                <w:szCs w:val="20"/>
                <w:color w:val="auto"/>
              </w:rPr>
            </w:pPr>
            <w:r>
              <w:rPr>
                <w:rFonts w:ascii="Arial" w:cs="Arial" w:eastAsia="Arial" w:hAnsi="Arial"/>
                <w:sz w:val="20"/>
                <w:szCs w:val="20"/>
                <w:color w:val="auto"/>
              </w:rPr>
              <w:t>Ÿ Submit Investigational New Drug Application (IND) for BCMAxCD3 antibody</w:t>
            </w:r>
          </w:p>
        </w:tc>
      </w:tr>
      <w:tr>
        <w:trPr>
          <w:trHeight w:val="23"/>
        </w:trPr>
        <w:tc>
          <w:tcPr>
            <w:tcW w:w="3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466"/>
        </w:trPr>
        <w:tc>
          <w:tcPr>
            <w:tcW w:w="4180" w:type="dxa"/>
            <w:vAlign w:val="bottom"/>
            <w:gridSpan w:val="3"/>
          </w:tcPr>
          <w:p>
            <w:pPr>
              <w:spacing w:after="0"/>
              <w:rPr>
                <w:sz w:val="20"/>
                <w:szCs w:val="20"/>
                <w:color w:val="auto"/>
              </w:rPr>
            </w:pPr>
            <w:r>
              <w:rPr>
                <w:rFonts w:ascii="Arial" w:cs="Arial" w:eastAsia="Arial" w:hAnsi="Arial"/>
                <w:sz w:val="22"/>
                <w:szCs w:val="22"/>
                <w:b w:val="1"/>
                <w:bCs w:val="1"/>
                <w:color w:val="auto"/>
              </w:rPr>
              <w:t>Financial Results</w:t>
            </w:r>
          </w:p>
        </w:tc>
        <w:tc>
          <w:tcPr>
            <w:tcW w:w="7040" w:type="dxa"/>
            <w:vAlign w:val="bottom"/>
          </w:tcPr>
          <w:p>
            <w:pPr>
              <w:spacing w:after="0"/>
              <w:rPr>
                <w:sz w:val="24"/>
                <w:szCs w:val="24"/>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$996 million in the second quarter of 2018, compared to $924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2017. EYLEA net product sales in the United States were $992 million in the second quarter of 2018, compared to $919 million in the second quarter of 2017. Overall distributor inventory levels remained within the Company's one- to two-week targeted range.</w:t>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390" w:right="43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21"/>
          <w:szCs w:val="21"/>
          <w:b w:val="1"/>
          <w:bCs w:val="1"/>
          <w:color w:val="auto"/>
        </w:rPr>
        <w:t xml:space="preserve">Total Revenues: </w:t>
      </w:r>
      <w:r>
        <w:rPr>
          <w:rFonts w:ascii="Arial" w:cs="Arial" w:eastAsia="Arial" w:hAnsi="Arial"/>
          <w:sz w:val="21"/>
          <w:szCs w:val="21"/>
          <w:color w:val="auto"/>
        </w:rPr>
        <w:t>Total revenues, which include product revenues described above, increased by 9% to $1.608 billion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second quarter of 2018, compared to $1.470 billion in the second quarter of 2017. Total revenues include Sanofi and Bayer collaboration revenues of $501 million in the second quarter of 2018, compared to $432 million in the second quarter of 2017. Sanofi collaboration revenue in the second quarter of 2018 increased primarily due to the Company's share of higher net sales of Dupixent and an increase in reimbursable expenses in connection with late-stage clinical development activities for cemiplimab. These increases were partly offset by the Company's Discovery and Preclinical Development Agreement with Sanofi ending on December 31, 2017, lower reimbursement for Dupixent development activities, and an increase in the Company's share of the collaboration's Dupixent commercialization expenses. Bayer collaboration revenue increased in the second quarter of 2018 primarily due to an increase in the Company's share of net profits in connection with higher sales of EYLEA outside the United States.</w:t>
      </w:r>
    </w:p>
    <w:p>
      <w:pPr>
        <w:spacing w:after="0" w:line="221" w:lineRule="exact"/>
        <w:rPr>
          <w:sz w:val="20"/>
          <w:szCs w:val="20"/>
          <w:color w:val="auto"/>
        </w:rPr>
      </w:pPr>
    </w:p>
    <w:p>
      <w:pPr>
        <w:jc w:val="both"/>
        <w:ind w:right="280"/>
        <w:spacing w:after="0" w:line="252" w:lineRule="auto"/>
        <w:rPr>
          <w:sz w:val="20"/>
          <w:szCs w:val="20"/>
          <w:color w:val="auto"/>
        </w:rPr>
      </w:pPr>
      <w:r>
        <w:rPr>
          <w:rFonts w:ascii="Arial" w:cs="Arial" w:eastAsia="Arial" w:hAnsi="Arial"/>
          <w:sz w:val="22"/>
          <w:szCs w:val="22"/>
          <w:color w:val="auto"/>
        </w:rPr>
        <w:t xml:space="preserve">The Company adopted Accounting Standard Codification (ASC) 606,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as of January 1, 2018. The Company adopted the standard using the modified retrospective method; prior period amounts have not been adjusted and the adoption of the new standard did not have a material impact on the Company's total revenues in the second quarter of 2018.</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$529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2018, compared to $510 million in the second quarter of 2017. The higher R&amp;D expenses in the second quarter of 2018 were principally due to an increase in cemiplimab and fasinumab clinical trial costs and higher R&amp;D headcount and facilities-related costs, partly offset by a decrease in Dupixent development expenses and the discontinuation of certain development programs. In the second quarter of 2018, R&amp;D-related non-cash share-based compensation expense was $60 million, compared to $70 million in the second quarter of 2017.</w:t>
      </w:r>
    </w:p>
    <w:p>
      <w:pPr>
        <w:spacing w:after="0" w:line="221" w:lineRule="exact"/>
        <w:rPr>
          <w:sz w:val="20"/>
          <w:szCs w:val="20"/>
          <w:color w:val="auto"/>
        </w:rPr>
      </w:pPr>
    </w:p>
    <w:p>
      <w:pPr>
        <w:ind w:right="280"/>
        <w:spacing w:after="0" w:line="249"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$365 million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2018, compared to $307 million in the second quarter of 2017. The higher SG&amp;A expenses in the second quarter of 2018 were primarily due to higher headcount and headcount-related costs and an increase in commercialization-related expenses for EYLEA and Dupixent, and, to a lesser extent, for cemiplimab. In the second quarter of 2018, SG&amp;A-related non-cash share-based compensation expense decreased to $40 million, compared to $45 million in the second quarter of 2017.</w:t>
      </w:r>
    </w:p>
    <w:p>
      <w:pPr>
        <w:spacing w:after="0" w:line="221"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second quarter of 2018, GAAP income tax expense was $105 million and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tax rate was 16.0%, compared to $138 million and 26.3% in the second quarter of 2017. The Company's effective tax rate for the second quarter of 2018 was significantly impacted by the bill known as the Tax Cuts and Jobs Act (the "U.S. Tax Reform Act"), which reduced the U.S. federal corporate income tax rate from 35% to 21% effective January 1, 2018. The effective tax rate for the second quarter of 2018 was positively impacted, compared to the U.S. federal statutory rate, primarily by the tax benefit associated with stock-based compensation, income earned in foreign jurisdictions with tax rates lower than the U.S. federal statutory rate, the foreign-derived intangible income deduction, and the federal tax credit for research activities.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9" w:name="page10"/>
    <w:bookmarkEnd w:id="9"/>
    <w:p>
      <w:pPr>
        <w:ind w:right="160"/>
        <w:spacing w:after="0" w:line="263" w:lineRule="auto"/>
        <w:rPr>
          <w:sz w:val="20"/>
          <w:szCs w:val="20"/>
          <w:color w:val="auto"/>
        </w:rPr>
      </w:pPr>
      <w:r>
        <w:rPr>
          <w:rFonts w:ascii="Arial" w:cs="Arial" w:eastAsia="Arial" w:hAnsi="Arial"/>
          <w:sz w:val="21"/>
          <w:szCs w:val="21"/>
          <w:b w:val="1"/>
          <w:bCs w:val="1"/>
          <w:color w:val="auto"/>
        </w:rPr>
        <w:t xml:space="preserve">Other income (expense), net: </w:t>
      </w:r>
      <w:r>
        <w:rPr>
          <w:rFonts w:ascii="Arial" w:cs="Arial" w:eastAsia="Arial" w:hAnsi="Arial"/>
          <w:sz w:val="21"/>
          <w:szCs w:val="21"/>
          <w:color w:val="auto"/>
        </w:rPr>
        <w:t>GAAP other income in the second quarter of 2018 included the recognition of $17</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million of net unrealized gains on equity securities. In the first quarter of 2018, the Company adopted Accounting Standards Update ("ASU") 2016-01, </w:t>
      </w:r>
      <w:r>
        <w:rPr>
          <w:rFonts w:ascii="Arial" w:cs="Arial" w:eastAsia="Arial" w:hAnsi="Arial"/>
          <w:sz w:val="21"/>
          <w:szCs w:val="21"/>
          <w:i w:val="1"/>
          <w:iCs w:val="1"/>
          <w:color w:val="auto"/>
        </w:rPr>
        <w:t>Recognition and Measurement of Financial Assets and Financial Liabilities</w:t>
      </w:r>
      <w:r>
        <w:rPr>
          <w:rFonts w:ascii="Arial" w:cs="Arial" w:eastAsia="Arial" w:hAnsi="Arial"/>
          <w:sz w:val="21"/>
          <w:szCs w:val="21"/>
          <w:color w:val="auto"/>
        </w:rPr>
        <w:t>, as of January 1, 2018, which requires the Company to measure equity investments at fair value with changes in fair value recognized in net income; previously, such changes in fair value were recognized in Other comprehensive income (loss). Refer to Table 3 for the non-GAAP adjustment related to gains and losses on investments in equity securities.</w:t>
      </w:r>
    </w:p>
    <w:p>
      <w:pPr>
        <w:spacing w:after="0" w:line="234"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color w:val="auto"/>
        </w:rPr>
        <w:t>GAAP other expenses in the second quarter of 2017 included a $30 million loss on debt extinguishment related to the 2017 Tarrytown lease transaction.</w:t>
      </w:r>
    </w:p>
    <w:p>
      <w:pPr>
        <w:spacing w:after="0" w:line="219" w:lineRule="exact"/>
        <w:rPr>
          <w:sz w:val="20"/>
          <w:szCs w:val="20"/>
          <w:color w:val="auto"/>
        </w:rPr>
      </w:pPr>
    </w:p>
    <w:p>
      <w:pPr>
        <w:ind w:right="20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GAAP net income was $551 million, or $5.12 per basic share and $4.82 per</w:t>
      </w:r>
      <w:r>
        <w:rPr>
          <w:rFonts w:ascii="Arial" w:cs="Arial" w:eastAsia="Arial" w:hAnsi="Arial"/>
          <w:sz w:val="22"/>
          <w:szCs w:val="22"/>
          <w:b w:val="1"/>
          <w:bCs w:val="1"/>
          <w:color w:val="auto"/>
        </w:rPr>
        <w:t xml:space="preserve"> </w:t>
      </w:r>
      <w:r>
        <w:rPr>
          <w:rFonts w:ascii="Arial" w:cs="Arial" w:eastAsia="Arial" w:hAnsi="Arial"/>
          <w:sz w:val="22"/>
          <w:szCs w:val="22"/>
          <w:color w:val="auto"/>
        </w:rPr>
        <w:t>diluted share, in the second quarter of 2018, compared to GAAP net income of $388 million, or $3.66 per basic share and $3.34 per diluted share, in the second quarter of 2017.</w:t>
      </w:r>
    </w:p>
    <w:p>
      <w:pPr>
        <w:spacing w:after="0" w:line="25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Non-GAAP net income was $624 million, or $5.79 per basic share and $5.45 per diluted share, in the second quarter of 2018, compared to non-GAAP net income of $487 million, or $4.59 per basic share and $4.17 per diluted share, in the second quarter of 2017.</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2018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2018 financial guidance consists of the following components: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49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w w:val="99"/>
              </w:rPr>
              <w:t>Sanofi collaboration revenue: Sanofi reimbursement of</w:t>
            </w:r>
          </w:p>
        </w:tc>
        <w:tc>
          <w:tcPr>
            <w:tcW w:w="54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$455 million–$485 million</w:t>
            </w:r>
          </w:p>
        </w:tc>
      </w:tr>
      <w:tr>
        <w:trPr>
          <w:trHeight w:val="262"/>
        </w:trPr>
        <w:tc>
          <w:tcPr>
            <w:tcW w:w="49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Regeneron commercialization-related expenses</w:t>
            </w: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$450 million–$485 million)</w:t>
            </w:r>
          </w:p>
        </w:tc>
      </w:tr>
      <w:tr>
        <w:trPr>
          <w:trHeight w:val="218"/>
        </w:trPr>
        <w:tc>
          <w:tcPr>
            <w:tcW w:w="490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548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$1.210 billion</w:t>
            </w:r>
            <w:r>
              <w:rPr>
                <w:rFonts w:ascii="Arial" w:cs="Arial" w:eastAsia="Arial" w:hAnsi="Arial"/>
                <w:sz w:val="20"/>
                <w:szCs w:val="20"/>
                <w:i w:val="1"/>
                <w:iCs w:val="1"/>
                <w:color w:val="auto"/>
              </w:rPr>
              <w:t>–</w:t>
            </w:r>
            <w:r>
              <w:rPr>
                <w:rFonts w:ascii="Arial" w:cs="Arial" w:eastAsia="Arial" w:hAnsi="Arial"/>
                <w:sz w:val="20"/>
                <w:szCs w:val="20"/>
                <w:color w:val="auto"/>
              </w:rPr>
              <w:t>$1.260 billion</w:t>
            </w:r>
          </w:p>
        </w:tc>
      </w:tr>
      <w:tr>
        <w:trPr>
          <w:trHeight w:val="262"/>
        </w:trPr>
        <w:tc>
          <w:tcPr>
            <w:tcW w:w="4900" w:type="dxa"/>
            <w:vAlign w:val="bottom"/>
            <w:tcBorders>
              <w:left w:val="single" w:sz="8" w:color="auto"/>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$1.230 billion–$1.310 billion)</w:t>
            </w:r>
          </w:p>
        </w:tc>
      </w:tr>
      <w:tr>
        <w:trPr>
          <w:trHeight w:val="218"/>
        </w:trPr>
        <w:tc>
          <w:tcPr>
            <w:tcW w:w="4900" w:type="dxa"/>
            <w:vAlign w:val="bottom"/>
            <w:tcBorders>
              <w:left w:val="single" w:sz="8" w:color="auto"/>
              <w:right w:val="single" w:sz="8" w:color="auto"/>
            </w:tcBorders>
            <w:shd w:val="clear" w:color="auto" w:fill="CCEEFF"/>
          </w:tcPr>
          <w:p>
            <w:pPr>
              <w:ind w:left="40"/>
              <w:spacing w:after="0" w:line="21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548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color w:val="auto"/>
              </w:rPr>
              <w:t>$1.340 billion–$1.390 billion</w:t>
            </w:r>
          </w:p>
        </w:tc>
      </w:tr>
      <w:tr>
        <w:trPr>
          <w:trHeight w:val="262"/>
        </w:trPr>
        <w:tc>
          <w:tcPr>
            <w:tcW w:w="490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$1.325 billion–$1.395 billion)</w:t>
            </w:r>
          </w:p>
        </w:tc>
      </w:tr>
      <w:tr>
        <w:trPr>
          <w:trHeight w:val="218"/>
        </w:trPr>
        <w:tc>
          <w:tcPr>
            <w:tcW w:w="4900" w:type="dxa"/>
            <w:vAlign w:val="bottom"/>
            <w:tcBorders>
              <w:left w:val="single" w:sz="8" w:color="auto"/>
              <w:right w:val="single" w:sz="8" w:color="auto"/>
            </w:tcBorders>
          </w:tcPr>
          <w:p>
            <w:pPr>
              <w:ind w:left="40"/>
              <w:spacing w:after="0" w:line="218" w:lineRule="exact"/>
              <w:rPr>
                <w:sz w:val="20"/>
                <w:szCs w:val="20"/>
                <w:color w:val="auto"/>
              </w:rPr>
            </w:pPr>
            <w:r>
              <w:rPr>
                <w:rFonts w:ascii="Arial" w:cs="Arial" w:eastAsia="Arial" w:hAnsi="Arial"/>
                <w:sz w:val="20"/>
                <w:szCs w:val="20"/>
                <w:color w:val="auto"/>
              </w:rPr>
              <w:t>Effective tax rate</w:t>
            </w:r>
          </w:p>
        </w:tc>
        <w:tc>
          <w:tcPr>
            <w:tcW w:w="5480" w:type="dxa"/>
            <w:vAlign w:val="bottom"/>
            <w:tcBorders>
              <w:right w:val="single" w:sz="8" w:color="auto"/>
            </w:tcBorders>
          </w:tcPr>
          <w:p>
            <w:pPr>
              <w:ind w:left="20"/>
              <w:spacing w:after="0" w:line="218" w:lineRule="exact"/>
              <w:rPr>
                <w:sz w:val="20"/>
                <w:szCs w:val="20"/>
                <w:color w:val="auto"/>
              </w:rPr>
            </w:pPr>
            <w:r>
              <w:rPr>
                <w:rFonts w:ascii="Arial" w:cs="Arial" w:eastAsia="Arial" w:hAnsi="Arial"/>
                <w:sz w:val="20"/>
                <w:szCs w:val="20"/>
                <w:color w:val="auto"/>
              </w:rPr>
              <w:t>13%–16%</w:t>
            </w:r>
          </w:p>
        </w:tc>
      </w:tr>
      <w:tr>
        <w:trPr>
          <w:trHeight w:val="262"/>
        </w:trPr>
        <w:tc>
          <w:tcPr>
            <w:tcW w:w="4900" w:type="dxa"/>
            <w:vAlign w:val="bottom"/>
            <w:tcBorders>
              <w:left w:val="single" w:sz="8" w:color="auto"/>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15%–18%)</w:t>
            </w:r>
          </w:p>
        </w:tc>
      </w:tr>
      <w:tr>
        <w:trPr>
          <w:trHeight w:val="218"/>
        </w:trPr>
        <w:tc>
          <w:tcPr>
            <w:tcW w:w="4900" w:type="dxa"/>
            <w:vAlign w:val="bottom"/>
            <w:tcBorders>
              <w:left w:val="single" w:sz="8" w:color="auto"/>
              <w:right w:val="single" w:sz="8" w:color="auto"/>
            </w:tcBorders>
            <w:shd w:val="clear" w:color="auto" w:fill="CCEEFF"/>
          </w:tcPr>
          <w:p>
            <w:pPr>
              <w:ind w:left="40"/>
              <w:spacing w:after="0" w:line="218" w:lineRule="exact"/>
              <w:rPr>
                <w:sz w:val="20"/>
                <w:szCs w:val="20"/>
                <w:color w:val="auto"/>
              </w:rPr>
            </w:pPr>
            <w:r>
              <w:rPr>
                <w:rFonts w:ascii="Arial" w:cs="Arial" w:eastAsia="Arial" w:hAnsi="Arial"/>
                <w:sz w:val="20"/>
                <w:szCs w:val="20"/>
                <w:color w:val="auto"/>
              </w:rPr>
              <w:t>Capital expenditures</w:t>
            </w:r>
          </w:p>
        </w:tc>
        <w:tc>
          <w:tcPr>
            <w:tcW w:w="5480" w:type="dxa"/>
            <w:vAlign w:val="bottom"/>
            <w:tcBorders>
              <w:right w:val="single" w:sz="8" w:color="auto"/>
            </w:tcBorders>
            <w:shd w:val="clear" w:color="auto" w:fill="CCEEFF"/>
          </w:tcPr>
          <w:p>
            <w:pPr>
              <w:ind w:left="20"/>
              <w:spacing w:after="0" w:line="218" w:lineRule="exact"/>
              <w:rPr>
                <w:sz w:val="20"/>
                <w:szCs w:val="20"/>
                <w:color w:val="auto"/>
              </w:rPr>
            </w:pPr>
            <w:r>
              <w:rPr>
                <w:rFonts w:ascii="Arial" w:cs="Arial" w:eastAsia="Arial" w:hAnsi="Arial"/>
                <w:sz w:val="20"/>
                <w:szCs w:val="20"/>
                <w:color w:val="auto"/>
              </w:rPr>
              <w:t>$410 million</w:t>
            </w:r>
            <w:r>
              <w:rPr>
                <w:rFonts w:ascii="Arial" w:cs="Arial" w:eastAsia="Arial" w:hAnsi="Arial"/>
                <w:sz w:val="20"/>
                <w:szCs w:val="20"/>
                <w:i w:val="1"/>
                <w:iCs w:val="1"/>
                <w:color w:val="auto"/>
              </w:rPr>
              <w:t>–</w:t>
            </w:r>
            <w:r>
              <w:rPr>
                <w:rFonts w:ascii="Arial" w:cs="Arial" w:eastAsia="Arial" w:hAnsi="Arial"/>
                <w:sz w:val="20"/>
                <w:szCs w:val="20"/>
                <w:color w:val="auto"/>
              </w:rPr>
              <w:t>$450 million</w:t>
            </w:r>
          </w:p>
        </w:tc>
      </w:tr>
      <w:tr>
        <w:trPr>
          <w:trHeight w:val="262"/>
        </w:trPr>
        <w:tc>
          <w:tcPr>
            <w:tcW w:w="490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$420 million–$480 million)</w:t>
            </w:r>
          </w:p>
        </w:tc>
      </w:tr>
      <w:tr>
        <w:trPr>
          <w:trHeight w:val="782"/>
        </w:trPr>
        <w:tc>
          <w:tcPr>
            <w:tcW w:w="4900" w:type="dxa"/>
            <w:vAlign w:val="bottom"/>
          </w:tcPr>
          <w:p>
            <w:pPr>
              <w:spacing w:after="0"/>
              <w:rPr>
                <w:sz w:val="24"/>
                <w:szCs w:val="24"/>
                <w:color w:val="auto"/>
              </w:rPr>
            </w:pPr>
          </w:p>
        </w:tc>
        <w:tc>
          <w:tcPr>
            <w:tcW w:w="5480" w:type="dxa"/>
            <w:vAlign w:val="bottom"/>
          </w:tcPr>
          <w:p>
            <w:pPr>
              <w:ind w:left="7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80"/>
          </w:cols>
          <w:pgMar w:left="240" w:top="364" w:right="279" w:bottom="1440" w:gutter="0" w:footer="0" w:header="0"/>
        </w:sectPr>
      </w:pPr>
    </w:p>
    <w:bookmarkStart w:id="10" w:name="page11"/>
    <w:bookmarkEnd w:id="10"/>
    <w:p>
      <w:pPr>
        <w:ind w:left="345" w:right="26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6" w:lineRule="exact"/>
        <w:rPr>
          <w:rFonts w:ascii="Arial" w:cs="Arial" w:eastAsia="Arial" w:hAnsi="Arial"/>
          <w:sz w:val="22"/>
          <w:szCs w:val="22"/>
          <w:color w:val="auto"/>
          <w:vertAlign w:val="superscript"/>
        </w:rPr>
      </w:pPr>
    </w:p>
    <w:p>
      <w:pPr>
        <w:ind w:left="345" w:right="1020" w:hanging="345"/>
        <w:spacing w:after="0" w:line="225"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The Company's 2018 financial guidance does not assume the completion of any significant business development transactions not completed as of the date of this press release.</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2018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194945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5"/>
          </w:cols>
          <w:pgMar w:left="275" w:top="555"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Regeneron will host a conference call and simultaneous webcast to discuss its second quarter 2018 financial and operating results on Thursday, August 2, 2018, at 8:30 AM. To access this call, dial (800) 708-4539 (U.S.) or (847) 619-6396 (International). A link to the webcast may be accessed from the "Investors and Media" page of Regeneron's website at www.regeneron.com.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30 years by physician-scientists, Regeneron's unique ability to repeatedly and consistently translate science into medicine has led to six FDA-approved treatments and numerous product candidates in development, all of which were homegrown in Regeneron's laboratories. Regeneron's medicines and pipeline are designed to help patients with eye disease, heart disease, allergic and inflammatory diseases, pain, cancer, infectious diseases, and rare diseases.</w:t>
      </w:r>
    </w:p>
    <w:p>
      <w:pPr>
        <w:spacing w:after="0" w:line="231" w:lineRule="exact"/>
        <w:rPr>
          <w:sz w:val="20"/>
          <w:szCs w:val="20"/>
          <w:color w:val="auto"/>
        </w:rPr>
      </w:pPr>
    </w:p>
    <w:p>
      <w:pPr>
        <w:ind w:right="80"/>
        <w:spacing w:after="0" w:line="219"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such as </w:t>
      </w:r>
      <w:r>
        <w:rPr>
          <w:rFonts w:ascii="Arial" w:cs="Arial" w:eastAsia="Arial" w:hAnsi="Arial"/>
          <w:sz w:val="22"/>
          <w:szCs w:val="22"/>
          <w:i w:val="1"/>
          <w:iCs w:val="1"/>
          <w:color w:val="auto"/>
        </w:rPr>
        <w:t>VelocImmune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produces optimized fully-human antibodies, and ambitious research initiatives such as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which is conducting one of the largest genetics sequencing efforts in the world.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Injection, Praluent</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(alirocumab) Injection,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Injection, cemiplimab, fasinumab, and evinacumab;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4" w:right="259" w:bottom="1440" w:gutter="0" w:footer="0" w:header="0"/>
        </w:sectPr>
      </w:pPr>
    </w:p>
    <w:bookmarkStart w:id="12" w:name="page13"/>
    <w:bookmarkEnd w:id="12"/>
    <w:p>
      <w:pPr>
        <w:spacing w:after="0" w:line="243" w:lineRule="auto"/>
        <w:rPr>
          <w:sz w:val="20"/>
          <w:szCs w:val="20"/>
          <w:color w:val="auto"/>
        </w:rPr>
      </w:pPr>
      <w:r>
        <w:rPr>
          <w:rFonts w:ascii="Arial" w:cs="Arial" w:eastAsia="Arial" w:hAnsi="Arial"/>
          <w:sz w:val="22"/>
          <w:szCs w:val="22"/>
          <w:color w:val="auto"/>
        </w:rPr>
        <w:t>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including without limitation those relating to Sanofi reimbursement of Regeneron commercialization-related expenses, non-GAAP unreimbursed R&amp;D,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8"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90" w:right="27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3359"/>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9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179"/>
          </w:cols>
          <w:pgMar w:left="280" w:top="670"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 w:type="dxa"/>
            <w:vAlign w:val="bottom"/>
          </w:tcPr>
          <w:p>
            <w:pPr>
              <w:spacing w:after="0"/>
              <w:rPr>
                <w:sz w:val="24"/>
                <w:szCs w:val="24"/>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500" w:type="dxa"/>
            <w:vAlign w:val="bottom"/>
            <w:gridSpan w:val="2"/>
          </w:tcPr>
          <w:p>
            <w:pPr>
              <w:jc w:val="center"/>
              <w:ind w:left="26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8240" w:type="dxa"/>
            <w:vAlign w:val="bottom"/>
          </w:tcPr>
          <w:p>
            <w:pPr>
              <w:jc w:val="center"/>
              <w:ind w:left="2930"/>
              <w:spacing w:after="0"/>
              <w:rPr>
                <w:sz w:val="20"/>
                <w:szCs w:val="20"/>
                <w:color w:val="auto"/>
              </w:rPr>
            </w:pPr>
            <w:r>
              <w:rPr>
                <w:rFonts w:ascii="Arial" w:cs="Arial" w:eastAsia="Arial" w:hAnsi="Arial"/>
                <w:sz w:val="18"/>
                <w:szCs w:val="18"/>
                <w:b w:val="1"/>
                <w:bCs w:val="1"/>
                <w:i w:val="1"/>
                <w:iCs w:val="1"/>
                <w:color w:val="auto"/>
                <w:w w:val="88"/>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3,728,221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2,896,074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1,538,642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Accounts receivable from Sanofi and Bayer</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504,923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435,698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726,138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2,461,614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2,358,605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506,291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249,268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302,838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9,951,980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1,032,635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967,418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949,337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Capital and facility lease obligations</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705,903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703,453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7,186,426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6,144,078</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2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9,951,980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8,764,286</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center"/>
              <w:ind w:left="3010"/>
              <w:spacing w:after="0"/>
              <w:rPr>
                <w:sz w:val="20"/>
                <w:szCs w:val="20"/>
                <w:color w:val="auto"/>
              </w:rPr>
            </w:pPr>
            <w:r>
              <w:rPr>
                <w:rFonts w:ascii="Arial" w:cs="Arial" w:eastAsia="Arial" w:hAnsi="Arial"/>
                <w:sz w:val="18"/>
                <w:szCs w:val="18"/>
                <w:color w:val="auto"/>
                <w:w w:val="89"/>
              </w:rPr>
              <w:t>11</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68" w:right="3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TABLE 2</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0"/>
        </w:trPr>
        <w:tc>
          <w:tcPr>
            <w:tcW w:w="3840" w:type="dxa"/>
            <w:vAlign w:val="bottom"/>
          </w:tcPr>
          <w:p>
            <w:pPr>
              <w:spacing w:after="0"/>
              <w:rPr>
                <w:sz w:val="24"/>
                <w:szCs w:val="24"/>
                <w:color w:val="auto"/>
              </w:rPr>
            </w:pPr>
          </w:p>
        </w:tc>
        <w:tc>
          <w:tcPr>
            <w:tcW w:w="428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9820" w:type="dxa"/>
            <w:vAlign w:val="bottom"/>
            <w:gridSpan w:val="11"/>
          </w:tcPr>
          <w:p>
            <w:pPr>
              <w:jc w:val="center"/>
              <w:ind w:left="153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4280" w:type="dxa"/>
            <w:vAlign w:val="bottom"/>
            <w:gridSpan w:val="7"/>
          </w:tcPr>
          <w:p>
            <w:pPr>
              <w:jc w:val="center"/>
              <w:ind w:right="52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76"/>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996,382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924,133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1,984,291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1,782,378</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432,495</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Bayer collaboration revenue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262,863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210,355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510,791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404,294</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197,182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169,940</w:t>
            </w: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1,608,022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1,470,116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3,119,507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2,789,107</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529,289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509,975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1,027,875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1,017,410</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364,884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603,754</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35,950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105,193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103,386</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Cost of collaboration and contract manufacturing</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83,703</w:t>
            </w:r>
          </w:p>
        </w:tc>
      </w:tr>
      <w:tr>
        <w:trPr>
          <w:trHeight w:val="237"/>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985,834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919,804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1,930,088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1,808,253</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622,188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550,312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1,189,419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980,854</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33,886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52,053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(22,715)</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656,074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525,850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1,241,472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958,139</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(138,106)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(212,080)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(321,464)</w:t>
            </w:r>
          </w:p>
        </w:tc>
      </w:tr>
      <w:tr>
        <w:trPr>
          <w:trHeight w:val="27"/>
        </w:trPr>
        <w:tc>
          <w:tcPr>
            <w:tcW w:w="38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3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551,412</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1,029,392</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636,675</w:t>
            </w:r>
          </w:p>
        </w:tc>
      </w:tr>
      <w:tr>
        <w:trPr>
          <w:trHeight w:val="311"/>
        </w:trPr>
        <w:tc>
          <w:tcPr>
            <w:tcW w:w="384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
        </w:trPr>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324"/>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105,804</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114,477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114,697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115,607</w:t>
            </w:r>
          </w:p>
        </w:tc>
      </w:tr>
      <w:tr>
        <w:trPr>
          <w:trHeight w:val="891"/>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TABLE 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0"/>
        </w:trPr>
        <w:tc>
          <w:tcPr>
            <w:tcW w:w="8120" w:type="dxa"/>
            <w:vAlign w:val="bottom"/>
            <w:gridSpan w:val="8"/>
          </w:tcPr>
          <w:p>
            <w:pPr>
              <w:jc w:val="center"/>
              <w:ind w:left="321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9820" w:type="dxa"/>
            <w:vAlign w:val="bottom"/>
            <w:gridSpan w:val="11"/>
          </w:tcPr>
          <w:p>
            <w:pPr>
              <w:jc w:val="center"/>
              <w:ind w:left="153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p>
        </w:tc>
        <w:tc>
          <w:tcPr>
            <w:tcW w:w="3820" w:type="dxa"/>
            <w:vAlign w:val="bottom"/>
            <w:gridSpan w:val="7"/>
          </w:tcPr>
          <w:p>
            <w:pPr>
              <w:jc w:val="center"/>
              <w:ind w:right="98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76"/>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551,412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1,029,392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636,675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R&amp;D: Non-cash 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143,051</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w w:val="94"/>
              </w:rPr>
              <w:t>SG&amp;A: Non-cash share-based compensation expense</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40,467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44,708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75,481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98,520</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COGS and COCM: Non-cash share-based compensation</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13,476</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30,100</w:t>
            </w:r>
          </w:p>
        </w:tc>
      </w:tr>
      <w:tr>
        <w:trPr>
          <w:trHeight w:val="27"/>
        </w:trPr>
        <w:tc>
          <w:tcPr>
            <w:tcW w:w="4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income/expense: Gains and losses on investments in</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430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5"/>
                <w:szCs w:val="25"/>
                <w:color w:val="auto"/>
                <w:vertAlign w:val="superscript"/>
              </w:rPr>
              <w:t>(a)</w:t>
            </w:r>
          </w:p>
        </w:tc>
        <w:tc>
          <w:tcPr>
            <w:tcW w:w="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Income tax effect of reconciling items above</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(98,500)</w:t>
            </w:r>
          </w:p>
        </w:tc>
      </w:tr>
      <w:tr>
        <w:trPr>
          <w:trHeight w:val="27"/>
        </w:trPr>
        <w:tc>
          <w:tcPr>
            <w:tcW w:w="4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Non-GAAP net income</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623,652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486,792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1,160,384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823,322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Non-GAAP net income per share - diluted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105,804</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Non-GAAP net income per share - diluted</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114,478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116,832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114,700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115,903</w:t>
            </w:r>
          </w:p>
        </w:tc>
      </w:tr>
    </w:tbl>
    <w:p>
      <w:pPr>
        <w:spacing w:after="0" w:line="202" w:lineRule="exact"/>
        <w:rPr>
          <w:sz w:val="20"/>
          <w:szCs w:val="20"/>
          <w:color w:val="auto"/>
        </w:rPr>
      </w:pPr>
    </w:p>
    <w:p>
      <w:pPr>
        <w:ind w:left="360" w:right="260" w:hanging="1"/>
        <w:spacing w:after="0" w:line="262" w:lineRule="auto"/>
        <w:tabs>
          <w:tab w:leader="none" w:pos="545"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Prior to the quarter ended March 31, 2018, unrealized gains and losses on equity securities were recorded in Other comprehensive income (loss). In connection with the adoption of ASU 2016-01, unrealized gains and losses on equity securities during the three and six months ended June 30, 2018 were recorded in Other income, net.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OTHER REVENUE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Reimbursement of Regeneron research and development</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141,536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205,352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275,754</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419,276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Reimbursement of Regeneron commercialization-related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105,727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161,412</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(122,281)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(143,671)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(230,683)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82,490</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237,753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222,128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427,243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432,495</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Bayer collaboration revenue: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Regeneron's net profit in connection with commercialization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EYLEA outside the United States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190,883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365,759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Reimbursement of Regeneron development expenses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13,069</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25,466</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Bayer collaboration revenue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262,863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210,355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510,791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404,294</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Sanofi and Bayer collaboration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500,616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432,483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938,034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836,789</w:t>
            </w:r>
          </w:p>
        </w:tc>
      </w:tr>
      <w:tr>
        <w:trPr>
          <w:trHeight w:val="311"/>
        </w:trPr>
        <w:tc>
          <w:tcPr>
            <w:tcW w:w="4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Other revenue: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Reimbursement of Regeneron research and development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 - Teva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53,531</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Reimbursement of Regeneron research and development</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expenses - other</w:t>
            </w:r>
          </w:p>
        </w:tc>
        <w:tc>
          <w:tcPr>
            <w:tcW w:w="3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3,412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112,997</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other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111,024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113,500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197,182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169,940</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2019-12-28T20:42:13Z</dcterms:created>
  <dcterms:modified xsi:type="dcterms:W3CDTF">2019-12-28T20:42:13Z</dcterms:modified>
</cp:coreProperties>
</file>