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16510</wp:posOffset>
            </wp:positionV>
            <wp:extent cx="7045960" cy="58134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813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restart"/>
          </w:tcPr>
          <w:p>
            <w:pPr>
              <w:spacing w:after="0" w:line="240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3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3"/>
                </w:rPr>
                <w:t>McCourt Marion</w:t>
              </w:r>
            </w:hyperlink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</w:tcPr>
          <w:p>
            <w:pPr>
              <w:spacing w:after="0" w:line="104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PHARMACEUTICALS,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spacing w:after="0" w:line="214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6"/>
                  <w:szCs w:val="16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EVP Commercial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6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580" w:type="dxa"/>
            <w:vAlign w:val="bottom"/>
            <w:gridSpan w:val="6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10/01/2021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1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80" w:type="dxa"/>
            <w:vAlign w:val="bottom"/>
            <w:gridSpan w:val="7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10/01/2021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1,000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342.93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18,038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10/01/2021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1,000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576.75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17,038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116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0" w:type="dxa"/>
            <w:vAlign w:val="bottom"/>
            <w:gridSpan w:val="1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342.93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10/01/2021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1,000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right"/>
              <w:ind w:right="3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02/12/2028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4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1,000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6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12,000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2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Disposition/acquisition made pursuant to a plan intended to comply with Rule 10b5-1(c).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award vests in four equal annual installments, commencing one year after the date of grant.</w:t>
      </w:r>
    </w:p>
    <w:p>
      <w:pPr>
        <w:spacing w:after="0" w:line="53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/s/**Marion McCourt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10/04/2021</w:t>
            </w:r>
          </w:p>
        </w:tc>
      </w:tr>
      <w:tr>
        <w:trPr>
          <w:trHeight w:val="20"/>
        </w:trPr>
        <w:tc>
          <w:tcPr>
            <w:tcW w:w="14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63758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2021-10-04T15:10:09Z</dcterms:created>
  <dcterms:modified xsi:type="dcterms:W3CDTF">2021-10-04T15:10:09Z</dcterms:modified>
</cp:coreProperties>
</file>