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96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96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381.92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26,114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725.84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11/07/2022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742.79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743.39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37,264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2,032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744.61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35,232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1,468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745.51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33,764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2,782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746.56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30,982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747.2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1,100 shares of Company stock on November 7, 2022 at prices ranging from $743.00 to $743.86. Upon request by the Commission staff, the Company, or a security holder of the Company, the reporting person will provide full information regarding the number of shares sold by the reporting person on November 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2,032 shares of Company stock on November 7, 2022 at prices ranging from $744.02 to $744.99. Upon request by the Commission staff, the Company, or a security holder of the Company, the reporting person will provide full information regarding the number of shares sold by the reporting person on November 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1,468 shares of Company stock on November 7, 2022 at prices ranging from $745.00 to $745.82. Upon request by the Commission staff, the Company, or a security holder of the Company, the reporting person will provide full information regarding the number of shares sold by the reporting person on November 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2,782 shares of Company stock on November 7, 2022 at prices ranging from $746.15 to $746.94. Upon request by the Commission staff, the Company, or a security holder of the Company, the reporting person will provide full information regarding the number of shares sold by the reporting person on November 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404 shares of Company stock on November 7, 2022 at prices ranging from $747.00 to $747.43. Upon request by the Commission staff, the Company, or a security holder of the Company, the reporting person will provide full information regarding the number of shares sold by the reporting person on November 7,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11/07/2022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2022-11-08T15:02:48Z</dcterms:created>
  <dcterms:modified xsi:type="dcterms:W3CDTF">2022-11-08T15:02:48Z</dcterms:modified>
</cp:coreProperties>
</file>