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13, 2007 (August 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w:t>
      </w:r>
      <w:r>
        <w:rPr>
          <w:rFonts w:ascii="Arial" w:cs="Arial" w:eastAsia="Arial" w:hAnsi="Arial"/>
          <w:sz w:val="43"/>
          <w:szCs w:val="43"/>
          <w:b w:val="1"/>
          <w:bCs w:val="1"/>
          <w:u w:val="single" w:color="auto"/>
          <w:color w:val="auto"/>
        </w:rPr>
        <w:t>ERON PHARMACEUTICAL</w:t>
      </w:r>
      <w:r>
        <w:rPr>
          <w:rFonts w:ascii="Arial" w:cs="Arial" w:eastAsia="Arial" w:hAnsi="Arial"/>
          <w:sz w:val="43"/>
          <w:szCs w:val="43"/>
          <w:b w:val="1"/>
          <w:bCs w:val="1"/>
          <w:color w:val="auto"/>
        </w:rPr>
        <w:t>S, INC.</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80" w:type="dxa"/>
            <w:vAlign w:val="bottom"/>
            <w:gridSpan w:val="5"/>
          </w:tcPr>
          <w:p>
            <w:pPr>
              <w:jc w:val="center"/>
              <w:ind w:right="620"/>
              <w:spacing w:after="0"/>
              <w:rPr>
                <w:sz w:val="20"/>
                <w:szCs w:val="20"/>
                <w:color w:val="auto"/>
              </w:rPr>
            </w:pPr>
            <w:r>
              <w:rPr>
                <w:rFonts w:ascii="Arial" w:cs="Arial" w:eastAsia="Arial" w:hAnsi="Arial"/>
                <w:sz w:val="18"/>
                <w:szCs w:val="18"/>
                <w:color w:val="auto"/>
                <w:w w:val="91"/>
              </w:rPr>
              <w:t>(Exact Name of Registrant as Specified in Charter)</w:t>
            </w:r>
          </w:p>
        </w:tc>
        <w:tc>
          <w:tcPr>
            <w:tcW w:w="2800" w:type="dxa"/>
            <w:vAlign w:val="bottom"/>
          </w:tcPr>
          <w:p>
            <w:pPr>
              <w:spacing w:after="0"/>
              <w:rPr>
                <w:sz w:val="20"/>
                <w:szCs w:val="20"/>
                <w:color w:val="auto"/>
              </w:rPr>
            </w:pPr>
          </w:p>
        </w:tc>
      </w:tr>
      <w:tr>
        <w:trPr>
          <w:trHeight w:val="432"/>
        </w:trPr>
        <w:tc>
          <w:tcPr>
            <w:tcW w:w="32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New York</w:t>
            </w:r>
          </w:p>
        </w:tc>
        <w:tc>
          <w:tcPr>
            <w:tcW w:w="42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000-19034</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133444607</w:t>
            </w:r>
          </w:p>
        </w:tc>
      </w:tr>
      <w:tr>
        <w:trPr>
          <w:trHeight w:val="209"/>
        </w:trPr>
        <w:tc>
          <w:tcPr>
            <w:tcW w:w="324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92"/>
              </w:rPr>
              <w:t>(State or other jurisdiction of</w:t>
            </w:r>
          </w:p>
        </w:tc>
        <w:tc>
          <w:tcPr>
            <w:tcW w:w="2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No.)</w:t>
            </w:r>
          </w:p>
        </w:tc>
        <w:tc>
          <w:tcPr>
            <w:tcW w:w="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auto"/>
                <w:w w:val="93"/>
              </w:rPr>
              <w:t>(IRS Employer</w:t>
            </w:r>
          </w:p>
        </w:tc>
      </w:tr>
      <w:tr>
        <w:trPr>
          <w:trHeight w:val="230"/>
        </w:trPr>
        <w:tc>
          <w:tcPr>
            <w:tcW w:w="3240" w:type="dxa"/>
            <w:vAlign w:val="bottom"/>
          </w:tcPr>
          <w:p>
            <w:pPr>
              <w:jc w:val="center"/>
              <w:ind w:left="110"/>
              <w:spacing w:after="0"/>
              <w:rPr>
                <w:sz w:val="20"/>
                <w:szCs w:val="20"/>
                <w:color w:val="auto"/>
              </w:rPr>
            </w:pPr>
            <w:r>
              <w:rPr>
                <w:rFonts w:ascii="Arial" w:cs="Arial" w:eastAsia="Arial" w:hAnsi="Arial"/>
                <w:sz w:val="18"/>
                <w:szCs w:val="18"/>
                <w:color w:val="auto"/>
                <w:w w:val="93"/>
              </w:rPr>
              <w:t>Incorporation)</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0" w:type="dxa"/>
            <w:vAlign w:val="bottom"/>
          </w:tcPr>
          <w:p>
            <w:pPr>
              <w:jc w:val="center"/>
              <w:ind w:right="53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3240" w:type="dxa"/>
            <w:vAlign w:val="bottom"/>
          </w:tcPr>
          <w:p>
            <w:pPr>
              <w:spacing w:after="0"/>
              <w:rPr>
                <w:sz w:val="24"/>
                <w:szCs w:val="24"/>
                <w:color w:val="auto"/>
              </w:rPr>
            </w:pPr>
          </w:p>
        </w:tc>
        <w:tc>
          <w:tcPr>
            <w:tcW w:w="53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2800" w:type="dxa"/>
            <w:vAlign w:val="bottom"/>
          </w:tcPr>
          <w:p>
            <w:pPr>
              <w:spacing w:after="0"/>
              <w:rPr>
                <w:sz w:val="24"/>
                <w:szCs w:val="24"/>
                <w:color w:val="auto"/>
              </w:rPr>
            </w:pPr>
          </w:p>
        </w:tc>
      </w:tr>
      <w:tr>
        <w:trPr>
          <w:trHeight w:val="237"/>
        </w:trPr>
        <w:tc>
          <w:tcPr>
            <w:tcW w:w="3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740" w:type="dxa"/>
            <w:vAlign w:val="bottom"/>
            <w:tcBorders>
              <w:top w:val="single" w:sz="8" w:color="auto"/>
            </w:tcBorders>
            <w:gridSpan w:val="4"/>
          </w:tcPr>
          <w:p>
            <w:pPr>
              <w:jc w:val="center"/>
              <w:ind w:right="18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44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26035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EX-99.1: PRESS RELEASE</w:t>
      </w:r>
    </w:p>
    <w:p>
      <w:pPr>
        <w:spacing w:after="0"/>
        <w:rPr>
          <w:sz w:val="20"/>
          <w:szCs w:val="20"/>
          <w:color w:val="auto"/>
        </w:rPr>
      </w:pPr>
      <w:r>
        <w:rPr>
          <w:rFonts w:ascii="Arial" w:cs="Arial" w:eastAsia="Arial" w:hAnsi="Arial"/>
          <w:sz w:val="22"/>
          <w:szCs w:val="22"/>
          <w:u w:val="single" w:color="auto"/>
          <w:color w:val="0000EE"/>
        </w:rPr>
        <w:t>EX-99.2: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On August 8, 2007, Regeneron Pharmaceuticals, Inc. issued a press release announcing that the U.S. Food and Drug Administration (FDA) has accepted for filing and granted priority review status to the Biologics License Application (BLA) for rilonacept, the Interleukin-1 (IL-1) Trap, for the long-term treatment of Cryopyrin-Associated Periodic Syndromes (CAPS). A copy of this press release is attached as Exhibit 99.1 and is incorporated herein by reference.</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August 13, 2007, Regeneron Pharmaceuticals, Inc. issued a press release announcing that it received a milestone payment of $20 million from Bayer HealthCare following dosing of the first patient in the Phase 3 study of the VEGF Trap-Eye in the neovascular form of age-related macular degeneration (wet AMD). A copy of this press release is attached as Exhibit 99.2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8,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99.2 Press Release dated August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Date: August 13, 2007</w:t>
      </w:r>
      <w:r>
        <w:rPr>
          <w:sz w:val="20"/>
          <w:szCs w:val="20"/>
          <w:color w:val="auto"/>
        </w:rPr>
        <w:tab/>
      </w:r>
      <w:r>
        <w:rPr>
          <w:rFonts w:ascii="Arial" w:cs="Arial" w:eastAsia="Arial" w:hAnsi="Arial"/>
          <w:sz w:val="17"/>
          <w:szCs w:val="17"/>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95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rPr>
              <w:t>Press Release dated August 8, 2007</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August 13, 2007</w:t>
            </w:r>
          </w:p>
        </w:tc>
      </w:tr>
    </w:tbl>
    <w:p>
      <w:pPr>
        <w:sectPr>
          <w:pgSz w:w="11900" w:h="16838" w:orient="portrait"/>
          <w:cols w:equalWidth="0" w:num="1">
            <w:col w:w="11420"/>
          </w:cols>
          <w:pgMar w:left="240" w:top="419"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303593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035935" cy="488950"/>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Rilonacept (IL-1 Trap) Granted FDA Priority Review for the Treatment of CAPS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Regeneron’s first marketing application is accepted for review by the FDA</w:t>
      </w:r>
    </w:p>
    <w:p>
      <w:pPr>
        <w:spacing w:after="0" w:line="11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Tarrytown, NY (August 8, 2007) </w:t>
      </w:r>
      <w:r>
        <w:rPr>
          <w:rFonts w:ascii="Arial" w:cs="Arial" w:eastAsia="Arial" w:hAnsi="Arial"/>
          <w:sz w:val="18"/>
          <w:szCs w:val="18"/>
          <w:color w:val="auto"/>
        </w:rPr>
        <w:t>— Regeneron Pharmaceuticals, Inc. (Nasdaq: REGN) today announced that the U.S. Food and Drug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(FDA) has accepted for filing and granted priority review status to the Biologics License Application (BLA) for rilonacept, the Interleukin-1 (IL-1) Trap, for the long-term treatment of Cryopyrin-Associated Periodic Syndromes (CAPS). The FDA has previously granted Orphan Drug status and Fast Track designation to rilonacept for the treatment of CAPS.</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FDA grants priority review to drugs that may offer a significant improvement in the safety or effectiveness of the treatment, diagnosis, or prevention of a serious or life-threatening disease. Under priority review status, a target date is established for the FDA to complete their review of a BLA within six months from their receipt of the submission. The FDA is expected to take action on the rilonacept application by the end of November 2007. Currently, there are no medicines approved for patients suffering from CAPS, a spectrum of rare inherited inflammatory conditions, including Familial Cold Autoinflammatory Syndrome (FCAS) and Muckle-Wells Syndrome (MWS).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FDA’s decision to grant priority review to rilonacept underscores the need for an effective therapy for patients suffering from this serious, debilitating disease,” said Leonard S. Schleifer, M.D., Ph.D., president and chief executive officer of Regeneron. “Acceptance of the BLA filing brings us one step closer to our goal of providing the first approved treatment for patients with CAPS. We look forward to continuing to work with the FDA during their ongoing review of our marketing application.”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Rilonacept</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Interleukin-1 (IL-1) is a protein secreted by certain cells in the body. In many cases, IL-1 acts as a messenger to help regulate immune and inflammatory responses by attaching to cell-surface receptors in cells that participate in the body’s immune system. In excess, it can be harmful and has been shown to be a key driver of inflammation in a variety of diseases, including CAPS.</w:t>
      </w:r>
    </w:p>
    <w:p>
      <w:pPr>
        <w:spacing w:after="0" w:line="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Rilonacept is a potent, long-acting, investigational agent that inhibits IL-1. It is designed to attach to and neutralize IL-1 in the blood stream before the IL-1 can attach to cell-surface receptors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ind w:right="180"/>
        <w:spacing w:after="0" w:line="277" w:lineRule="auto"/>
        <w:rPr>
          <w:sz w:val="20"/>
          <w:szCs w:val="20"/>
          <w:color w:val="auto"/>
        </w:rPr>
      </w:pPr>
      <w:r>
        <w:rPr>
          <w:rFonts w:ascii="Arial" w:cs="Arial" w:eastAsia="Arial" w:hAnsi="Arial"/>
          <w:sz w:val="18"/>
          <w:szCs w:val="18"/>
          <w:color w:val="auto"/>
        </w:rPr>
        <w:t>generate signals that can trigger disease activity in body tissue. Once attached to rilonacept, IL-1 cannot bind to the cell surface receptors and, together with rilonacept, is flushed from the body.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Cryopyrin-Associated Periodic Syndromes (CAPS)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Cryopyrin-Associated Periodic Syndromes (CAPS) is a spectrum of rare inherited inflammatory conditions, including Familial Cold Autoinflammatory Syndrome (FCAS) and Muckle-Wells Syndrome (MWS). These autoinflammatory diseases are characterized by spontaneous and environmentally triggered systemic inflammation. Inflammatory symptoms in patients with FCAS and MWS include fever, chills, rash, fatigue, joint pain, and eye redness. Currently, there are no medicines approved for the treatment of CAPS.</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CAPS is caused by a range of mutations in the gene CIAS1 (also known as NALP3) that encodes a protein named cryopyrin. This gene, and its causal relationship to FCAS and MWS, was discovered by Dr. Hal Hoffman and colleagues at the University of California at San Diego. Dr. Hoffman and others have studied the ability of IL-1 blocking agents to reduce signs and symptoms of CAPS, and Dr. Hoffman served as the key advisor in the design and conduct of the Phase 3 rilonacept CAPS program.</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CAPS has been reported primarily in North America and Europe. There are no reliable prevalence statistics for this disease. We estimate that the number of patients with CAPS in the United States is between 200 and 500.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Regeneron is a biopharmaceutical company that discovers, develops, and intends to commercialize therapeutic medicines for the treatment of serious medical conditions. Regeneron has therapeutic candidates for the potential treatment of cancer, eye diseases, and inflammatory diseases and has preclinical programs in other diseases and disorders. Additional information about Regeneron and recent news releases are available on Regeneron’s worldwide web site at </w:t>
      </w:r>
      <w:r>
        <w:rPr>
          <w:rFonts w:ascii="Arial" w:cs="Arial" w:eastAsia="Arial" w:hAnsi="Arial"/>
          <w:sz w:val="18"/>
          <w:szCs w:val="18"/>
          <w:u w:val="single" w:color="auto"/>
          <w:color w:val="auto"/>
        </w:rPr>
        <w:t>www.regeneron.com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10-Q for the quarter ended June 30, 2007. Regeneron does not undertake any obligation to update publicly any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color w:val="auto"/>
        </w:rPr>
        <w:t>looking statement, whether as a result of new information, future events, or otherwise unless required by law.</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 # #</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210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Laura Lindsay</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10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Corporate Communications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660" w:type="dxa"/>
            <w:vAlign w:val="bottom"/>
          </w:tcPr>
          <w:p>
            <w:pPr>
              <w:spacing w:after="0"/>
              <w:rPr>
                <w:sz w:val="18"/>
                <w:szCs w:val="18"/>
                <w:color w:val="auto"/>
              </w:rPr>
            </w:pPr>
          </w:p>
        </w:tc>
        <w:tc>
          <w:tcPr>
            <w:tcW w:w="4020" w:type="dxa"/>
            <w:vAlign w:val="bottom"/>
            <w:gridSpan w:val="3"/>
          </w:tcPr>
          <w:p>
            <w:pPr>
              <w:ind w:left="2540"/>
              <w:spacing w:after="0"/>
              <w:rPr>
                <w:sz w:val="20"/>
                <w:szCs w:val="20"/>
                <w:color w:val="auto"/>
              </w:rPr>
            </w:pPr>
            <w:r>
              <w:rPr>
                <w:rFonts w:ascii="Arial" w:cs="Arial" w:eastAsia="Arial" w:hAnsi="Arial"/>
                <w:sz w:val="18"/>
                <w:szCs w:val="18"/>
                <w:color w:val="auto"/>
              </w:rPr>
              <w:t>914.345.7800</w:t>
            </w:r>
          </w:p>
        </w:tc>
        <w:tc>
          <w:tcPr>
            <w:tcW w:w="680" w:type="dxa"/>
            <w:vAlign w:val="bottom"/>
          </w:tcPr>
          <w:p>
            <w:pPr>
              <w:spacing w:after="0"/>
              <w:rPr>
                <w:sz w:val="18"/>
                <w:szCs w:val="18"/>
                <w:color w:val="auto"/>
              </w:rPr>
            </w:pPr>
          </w:p>
        </w:tc>
      </w:tr>
      <w:tr>
        <w:trPr>
          <w:trHeight w:val="190"/>
        </w:trPr>
        <w:tc>
          <w:tcPr>
            <w:tcW w:w="386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2100" w:type="dxa"/>
            <w:vAlign w:val="bottom"/>
          </w:tcPr>
          <w:p>
            <w:pPr>
              <w:spacing w:after="0"/>
              <w:rPr>
                <w:sz w:val="16"/>
                <w:szCs w:val="16"/>
                <w:color w:val="auto"/>
              </w:rPr>
            </w:pPr>
          </w:p>
        </w:tc>
        <w:tc>
          <w:tcPr>
            <w:tcW w:w="2600" w:type="dxa"/>
            <w:vAlign w:val="bottom"/>
            <w:gridSpan w:val="3"/>
          </w:tcPr>
          <w:p>
            <w:pPr>
              <w:ind w:left="440"/>
              <w:spacing w:after="0" w:line="190" w:lineRule="exact"/>
              <w:rPr>
                <w:sz w:val="20"/>
                <w:szCs w:val="20"/>
                <w:color w:val="auto"/>
              </w:rPr>
            </w:pPr>
            <w:r>
              <w:rPr>
                <w:rFonts w:ascii="Arial" w:cs="Arial" w:eastAsia="Arial" w:hAnsi="Arial"/>
                <w:sz w:val="18"/>
                <w:szCs w:val="18"/>
                <w:color w:val="auto"/>
                <w:w w:val="89"/>
              </w:rPr>
              <w:t>laura.lindsay@regeneron.com</w:t>
            </w:r>
          </w:p>
        </w:tc>
      </w:tr>
      <w:tr>
        <w:trPr>
          <w:trHeight w:val="20"/>
        </w:trPr>
        <w:tc>
          <w:tcPr>
            <w:tcW w:w="22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38"/>
        </w:trPr>
        <w:tc>
          <w:tcPr>
            <w:tcW w:w="2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2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20" w:type="dxa"/>
            <w:vAlign w:val="bottom"/>
            <w:gridSpan w:val="3"/>
          </w:tcPr>
          <w:p>
            <w:pPr>
              <w:ind w:left="2100"/>
              <w:spacing w:after="0"/>
              <w:rPr>
                <w:sz w:val="20"/>
                <w:szCs w:val="20"/>
                <w:color w:val="auto"/>
              </w:rPr>
            </w:pPr>
            <w:r>
              <w:rPr>
                <w:rFonts w:ascii="Arial" w:cs="Arial" w:eastAsia="Arial" w:hAnsi="Arial"/>
                <w:sz w:val="18"/>
                <w:szCs w:val="18"/>
                <w:color w:val="auto"/>
              </w:rPr>
              <w:t>212.845.5609</w:t>
            </w:r>
          </w:p>
        </w:tc>
        <w:tc>
          <w:tcPr>
            <w:tcW w:w="680" w:type="dxa"/>
            <w:vAlign w:val="bottom"/>
          </w:tcPr>
          <w:p>
            <w:pPr>
              <w:spacing w:after="0"/>
              <w:rPr>
                <w:sz w:val="18"/>
                <w:szCs w:val="18"/>
                <w:color w:val="auto"/>
              </w:rPr>
            </w:pPr>
          </w:p>
        </w:tc>
      </w:tr>
      <w:tr>
        <w:trPr>
          <w:trHeight w:val="190"/>
        </w:trPr>
        <w:tc>
          <w:tcPr>
            <w:tcW w:w="2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0" w:type="dxa"/>
            <w:vAlign w:val="bottom"/>
            <w:gridSpan w:val="3"/>
          </w:tcPr>
          <w:p>
            <w:pPr>
              <w:spacing w:after="0" w:line="190" w:lineRule="exact"/>
              <w:rPr>
                <w:sz w:val="20"/>
                <w:szCs w:val="20"/>
                <w:color w:val="auto"/>
              </w:rPr>
            </w:pPr>
            <w:r>
              <w:rPr>
                <w:rFonts w:ascii="Arial" w:cs="Arial" w:eastAsia="Arial" w:hAnsi="Arial"/>
                <w:sz w:val="18"/>
                <w:szCs w:val="18"/>
                <w:color w:val="auto"/>
              </w:rPr>
              <w:t>ltortorete@biosector2.com</w:t>
            </w:r>
          </w:p>
        </w:tc>
      </w:tr>
      <w:tr>
        <w:trPr>
          <w:trHeight w:val="20"/>
        </w:trPr>
        <w:tc>
          <w:tcPr>
            <w:tcW w:w="2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ectPr>
          <w:pgSz w:w="11900" w:h="16838" w:orient="portrait"/>
          <w:cols w:equalWidth="0" w:num="1">
            <w:col w:w="10219"/>
          </w:cols>
          <w:pgMar w:left="240" w:top="935"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99.2</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FOR IMMEDIATE RELEASE</w:t>
      </w:r>
    </w:p>
    <w:p>
      <w:pPr>
        <w:spacing w:after="0" w:line="226" w:lineRule="exact"/>
        <w:rPr>
          <w:sz w:val="20"/>
          <w:szCs w:val="20"/>
          <w:color w:val="auto"/>
        </w:rPr>
      </w:pPr>
    </w:p>
    <w:p>
      <w:pPr>
        <w:ind w:right="160"/>
        <w:spacing w:after="0" w:line="282" w:lineRule="auto"/>
        <w:rPr>
          <w:sz w:val="20"/>
          <w:szCs w:val="20"/>
          <w:color w:val="auto"/>
        </w:rPr>
      </w:pPr>
      <w:r>
        <w:rPr>
          <w:rFonts w:ascii="Arial" w:cs="Arial" w:eastAsia="Arial" w:hAnsi="Arial"/>
          <w:sz w:val="25"/>
          <w:szCs w:val="25"/>
          <w:b w:val="1"/>
          <w:bCs w:val="1"/>
          <w:color w:val="auto"/>
        </w:rPr>
        <w:t>Regeneron Receives $20 Million Milestone Payment for Initiation of Phase 3 Study of VEGF Trap-Eye in Wet AMD</w:t>
      </w:r>
    </w:p>
    <w:p>
      <w:pPr>
        <w:spacing w:after="0" w:line="3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Tarrytown, NY (August 13, 2007) — Regeneron Pharmaceuticals, Inc. (Nasdaq: REGN) announced today that it has received a $20 million milestone payment from Bayer HealthCare following dosing of the first patient in the Phase 3 study of the VEGF Trap-Eye in the neovascular form of age-related macular degeneration (wet AMD).</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“Age-related macular degeneration continues to be one of the leading causes of blindness in adults today,” said Leonard S. Schleifer, M.D., Ph.D., president and chief executive officer of Regeneron. “Results of early phase studies have shown that VEGF Trap-Eye has the potential to be an important addition to the treatment alternatives available for patients with wet AMD. We are especially pleased to be collaborating with Bayer HealthCare on this program. Bayer is an established leader in specialty pharmaceutical products, and we believe that they add important global expertise as we continue the development of the VEGF Trap-Eye.”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About the Phase 3 Study</w:t>
      </w:r>
    </w:p>
    <w:p>
      <w:pPr>
        <w:spacing w:after="0" w:line="2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Phase 3 study will be a non-inferiority comparison of the VEGF Trap-Eye and ranibizumab (Lucentis</w:t>
      </w:r>
      <w:r>
        <w:rPr>
          <w:rFonts w:ascii="Arial" w:cs="Arial" w:eastAsia="Arial" w:hAnsi="Arial"/>
          <w:sz w:val="13"/>
          <w:szCs w:val="13"/>
          <w:color w:val="auto"/>
        </w:rPr>
        <w:t>â</w:t>
      </w:r>
      <w:r>
        <w:rPr>
          <w:rFonts w:ascii="Arial" w:cs="Arial" w:eastAsia="Arial" w:hAnsi="Arial"/>
          <w:sz w:val="16"/>
          <w:szCs w:val="16"/>
          <w:color w:val="auto"/>
        </w:rPr>
        <w:t>, a registered trademark of Genentech, Inc.), an anti-angiogenic agent approved for use in wet AMD. The randomized, double-masked Phase 3 study is expected to enroll approximately 1,200 patients in more than 200 centers throughout the United States and Canada. This trial, known as VIEW 1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 </w:t>
      </w:r>
      <w:r>
        <w:rPr>
          <w:rFonts w:ascii="Arial" w:cs="Arial" w:eastAsia="Arial" w:hAnsi="Arial"/>
          <w:sz w:val="16"/>
          <w:szCs w:val="16"/>
          <w:u w:val="single" w:color="auto"/>
          <w:color w:val="auto"/>
        </w:rPr>
        <w:t>I</w:t>
      </w:r>
      <w:r>
        <w:rPr>
          <w:rFonts w:ascii="Arial" w:cs="Arial" w:eastAsia="Arial" w:hAnsi="Arial"/>
          <w:sz w:val="16"/>
          <w:szCs w:val="16"/>
          <w:color w:val="auto"/>
        </w:rPr>
        <w:t xml:space="preserve">nvestigation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fficacy and safety in </w:t>
      </w:r>
      <w:r>
        <w:rPr>
          <w:rFonts w:ascii="Arial" w:cs="Arial" w:eastAsia="Arial" w:hAnsi="Arial"/>
          <w:sz w:val="16"/>
          <w:szCs w:val="16"/>
          <w:u w:val="single" w:color="auto"/>
          <w:color w:val="auto"/>
        </w:rPr>
        <w:t>W</w:t>
      </w:r>
      <w:r>
        <w:rPr>
          <w:rFonts w:ascii="Arial" w:cs="Arial" w:eastAsia="Arial" w:hAnsi="Arial"/>
          <w:sz w:val="16"/>
          <w:szCs w:val="16"/>
          <w:color w:val="auto"/>
        </w:rPr>
        <w:t>et age-related macular degeneration), will be conducted pursuant to a Special Protocol Assessment from the U.S. Food and Drug Administration (FDA) and is the first in the companies’ Phase 3 global development program in wet AMD to be carried out in the U.S., Europe, and other parts of the world.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About the VEGF Trap-Eye</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Vascular endothelial growth factor (VEGF) is a naturally occurring protein in the body whose normal role is to trigger formation of new blood vessels (angiogenesis) to support the growth of the body’s tissues and organs. It has also been associated with the abnormal growth and fragility of new blood vessels in the eye, which lead to the development of wet AMD. The VEGF Trap-Eye is a fully human, soluble VEGF receptor fusion protein that binds all forms of VEGF-A along with the related placental growth factor (PlGF). The VEGF Trap-Eye is a specific and highly potent blocker of these growth factors. Blockade of VEGF, which can prevent abnormal blood vessel formation and vascular leak, has proven beneficial in the treatment of wet AMD.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About AMD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Age-related macular degeneration (AMD) is a leading cause of acquired blindness. Patients with this condition can experience a loss of vision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abnormal, fragile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240"/>
        <w:spacing w:after="0" w:line="272" w:lineRule="auto"/>
        <w:rPr>
          <w:sz w:val="20"/>
          <w:szCs w:val="20"/>
          <w:color w:val="auto"/>
        </w:rPr>
      </w:pPr>
      <w:r>
        <w:rPr>
          <w:rFonts w:ascii="Arial" w:cs="Arial" w:eastAsia="Arial" w:hAnsi="Arial"/>
          <w:sz w:val="18"/>
          <w:szCs w:val="18"/>
          <w:color w:val="auto"/>
        </w:rPr>
        <w:t>vessels in the back of the eye. A particular type of AMD, called wet AMD, accounts for approximately 90 percent of AMD-related blindness. Wet AMD is the leading cause of blindness for people over the age of 65 in the U.S. and Europe. About Regeneron Pharmaceuticals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Regeneron is a biopharmaceutical company that discovers, develops, and intends to commercialize therapeutic medicines for the treatment of serious medical conditions. Regeneron has therapeutic candidates for the potential treatment of cancer, eye diseases, and inflammatory diseases and has preclinical programs in other diseases and disorders. Additional information about Regeneron and recent news releases are available on Regeneron’s worldwide web site at </w:t>
      </w:r>
      <w:r>
        <w:rPr>
          <w:rFonts w:ascii="Arial" w:cs="Arial" w:eastAsia="Arial" w:hAnsi="Arial"/>
          <w:sz w:val="18"/>
          <w:szCs w:val="18"/>
          <w:u w:val="single" w:color="auto"/>
          <w:color w:val="auto"/>
        </w:rPr>
        <w:t>www.regeneron.com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10-Q for the quarter ended June 30, 2007. Regeneron does not undertake any obligation to update publicly any forward-looking statement, whether as a result of new information, future events, or otherwise unless required by law.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40" w:type="dxa"/>
            <w:vAlign w:val="bottom"/>
          </w:tcPr>
          <w:p>
            <w:pPr>
              <w:jc w:val="right"/>
              <w:ind w:right="410"/>
              <w:spacing w:after="0"/>
              <w:rPr>
                <w:sz w:val="20"/>
                <w:szCs w:val="20"/>
                <w:color w:val="auto"/>
              </w:rPr>
            </w:pPr>
            <w:r>
              <w:rPr>
                <w:rFonts w:ascii="Arial" w:cs="Arial" w:eastAsia="Arial" w:hAnsi="Arial"/>
                <w:sz w:val="18"/>
                <w:szCs w:val="18"/>
                <w:color w:val="auto"/>
              </w:rPr>
              <w:t># # #</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2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4700" w:type="dxa"/>
            <w:vAlign w:val="bottom"/>
            <w:gridSpan w:val="3"/>
          </w:tcPr>
          <w:p>
            <w:pPr>
              <w:ind w:left="2100"/>
              <w:spacing w:after="0"/>
              <w:rPr>
                <w:sz w:val="20"/>
                <w:szCs w:val="20"/>
                <w:color w:val="auto"/>
              </w:rPr>
            </w:pPr>
            <w:r>
              <w:rPr>
                <w:rFonts w:ascii="Arial" w:cs="Arial" w:eastAsia="Arial" w:hAnsi="Arial"/>
                <w:sz w:val="18"/>
                <w:szCs w:val="18"/>
                <w:color w:val="auto"/>
              </w:rPr>
              <w:t>Laura Lindsay</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54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97"/>
              </w:rPr>
              <w:t>Corporate Communications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66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914.345.7800</w:t>
            </w:r>
          </w:p>
        </w:tc>
        <w:tc>
          <w:tcPr>
            <w:tcW w:w="220" w:type="dxa"/>
            <w:vAlign w:val="bottom"/>
          </w:tcPr>
          <w:p>
            <w:pPr>
              <w:spacing w:after="0"/>
              <w:rPr>
                <w:sz w:val="18"/>
                <w:szCs w:val="18"/>
                <w:color w:val="auto"/>
              </w:rPr>
            </w:pPr>
          </w:p>
        </w:tc>
      </w:tr>
      <w:tr>
        <w:trPr>
          <w:trHeight w:val="190"/>
        </w:trPr>
        <w:tc>
          <w:tcPr>
            <w:tcW w:w="386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2540" w:type="dxa"/>
            <w:vAlign w:val="bottom"/>
          </w:tcPr>
          <w:p>
            <w:pPr>
              <w:spacing w:after="0"/>
              <w:rPr>
                <w:sz w:val="16"/>
                <w:szCs w:val="16"/>
                <w:color w:val="auto"/>
              </w:rPr>
            </w:pPr>
          </w:p>
        </w:tc>
        <w:tc>
          <w:tcPr>
            <w:tcW w:w="2160" w:type="dxa"/>
            <w:vAlign w:val="bottom"/>
            <w:gridSpan w:val="2"/>
          </w:tcPr>
          <w:p>
            <w:pPr>
              <w:spacing w:after="0" w:line="190" w:lineRule="exact"/>
              <w:rPr>
                <w:sz w:val="20"/>
                <w:szCs w:val="20"/>
                <w:color w:val="auto"/>
              </w:rPr>
            </w:pPr>
            <w:r>
              <w:rPr>
                <w:rFonts w:ascii="Arial" w:cs="Arial" w:eastAsia="Arial" w:hAnsi="Arial"/>
                <w:sz w:val="18"/>
                <w:szCs w:val="18"/>
                <w:color w:val="auto"/>
                <w:w w:val="89"/>
              </w:rPr>
              <w:t>laura.lindsay@regeneron.com</w:t>
            </w:r>
          </w:p>
        </w:tc>
      </w:tr>
      <w:tr>
        <w:trPr>
          <w:trHeight w:val="438"/>
        </w:trPr>
        <w:tc>
          <w:tcPr>
            <w:tcW w:w="220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2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80" w:type="dxa"/>
            <w:vAlign w:val="bottom"/>
            <w:gridSpan w:val="2"/>
          </w:tcPr>
          <w:p>
            <w:pPr>
              <w:ind w:left="2540"/>
              <w:spacing w:after="0"/>
              <w:rPr>
                <w:sz w:val="20"/>
                <w:szCs w:val="20"/>
                <w:color w:val="auto"/>
              </w:rPr>
            </w:pPr>
            <w:r>
              <w:rPr>
                <w:rFonts w:ascii="Arial" w:cs="Arial" w:eastAsia="Arial" w:hAnsi="Arial"/>
                <w:sz w:val="18"/>
                <w:szCs w:val="18"/>
                <w:color w:val="auto"/>
              </w:rPr>
              <w:t>212.845.5609</w:t>
            </w:r>
          </w:p>
        </w:tc>
        <w:tc>
          <w:tcPr>
            <w:tcW w:w="220" w:type="dxa"/>
            <w:vAlign w:val="bottom"/>
          </w:tcPr>
          <w:p>
            <w:pPr>
              <w:spacing w:after="0"/>
              <w:rPr>
                <w:sz w:val="18"/>
                <w:szCs w:val="18"/>
                <w:color w:val="auto"/>
              </w:rPr>
            </w:pPr>
          </w:p>
        </w:tc>
      </w:tr>
      <w:tr>
        <w:trPr>
          <w:trHeight w:val="190"/>
        </w:trPr>
        <w:tc>
          <w:tcPr>
            <w:tcW w:w="2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9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ltortorete@biosector2.com</w:t>
            </w:r>
          </w:p>
        </w:tc>
        <w:tc>
          <w:tcPr>
            <w:tcW w:w="220" w:type="dxa"/>
            <w:vAlign w:val="bottom"/>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2019-12-20T03:06:33Z</dcterms:created>
  <dcterms:modified xsi:type="dcterms:W3CDTF">2019-12-20T03:06:33Z</dcterms:modified>
</cp:coreProperties>
</file>