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13G/A FILINGS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DATE:December 31, 2008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SECURITY NAME: REGENERON PHARMACEUTICALS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CUSIP:75886F107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CIK#:0000872589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IRS#:133444607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Exchange:NASDAQ</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ADDRESS:777 OLD SAW MILL RIVER ROAD</w:t>
      </w:r>
    </w:p>
    <w:p>
      <w:pPr>
        <w:ind w:left="860"/>
        <w:spacing w:after="0" w:line="238" w:lineRule="auto"/>
        <w:rPr>
          <w:sz w:val="20"/>
          <w:szCs w:val="20"/>
          <w:color w:val="auto"/>
        </w:rPr>
      </w:pPr>
      <w:r>
        <w:rPr>
          <w:rFonts w:ascii="Courier New" w:cs="Courier New" w:eastAsia="Courier New" w:hAnsi="Courier New"/>
          <w:sz w:val="18"/>
          <w:szCs w:val="18"/>
          <w:color w:val="auto"/>
        </w:rPr>
        <w:t>TARRYTOWN, NY 10591-6707</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SOLE VOTING SHARES: 93,388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SHARED DISPOSITIVE SHARES :-0-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AGGREGATE AMOUNT: 93,388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SHARES OUTSTANDING: 77,393,000</w:t>
      </w:r>
    </w:p>
    <w:p>
      <w:pPr>
        <w:spacing w:after="0" w:line="207" w:lineRule="exact"/>
        <w:rPr>
          <w:sz w:val="24"/>
          <w:szCs w:val="24"/>
          <w:color w:val="auto"/>
        </w:rPr>
      </w:pPr>
    </w:p>
    <w:p>
      <w:pPr>
        <w:ind w:right="7679" w:firstLine="8"/>
        <w:spacing w:after="0" w:line="536"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OWNED BY LOOMIS: .12% LOOMIS CIK#:0000312348 LOOMIS IRS#:043200030 LOOMIS PASSWORD:xxxxxxxx</w:t>
      </w:r>
    </w:p>
    <w:p>
      <w:pPr>
        <w:spacing w:after="0" w:line="235"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 2)*</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37" w:lineRule="auto"/>
        <w:rPr>
          <w:sz w:val="20"/>
          <w:szCs w:val="20"/>
          <w:color w:val="auto"/>
        </w:rPr>
      </w:pPr>
      <w:r>
        <w:rPr>
          <w:rFonts w:ascii="Courier New" w:cs="Courier New" w:eastAsia="Courier New" w:hAnsi="Courier New"/>
          <w:sz w:val="18"/>
          <w:szCs w:val="18"/>
          <w:color w:val="auto"/>
        </w:rPr>
        <w:t>75886F107</w:t>
      </w:r>
    </w:p>
    <w:p>
      <w:pPr>
        <w:spacing w:after="0" w:line="238" w:lineRule="auto"/>
        <w:rPr>
          <w:sz w:val="20"/>
          <w:szCs w:val="20"/>
          <w:color w:val="auto"/>
        </w:rPr>
      </w:pPr>
      <w:r>
        <w:rPr>
          <w:rFonts w:ascii="Courier New" w:cs="Courier New" w:eastAsia="Courier New" w:hAnsi="Courier New"/>
          <w:sz w:val="18"/>
          <w:szCs w:val="18"/>
          <w:color w:val="auto"/>
        </w:rPr>
        <w:t>_________________________</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Check the following box if a fee is being paid with this statement [ ]. A fee is not required only if the filing person: (1) has a previous statement on file reporting beneficial ownership of more than 5 percent</w:t>
      </w:r>
    </w:p>
    <w:p>
      <w:pPr>
        <w:spacing w:after="0" w:line="1" w:lineRule="exact"/>
        <w:rPr>
          <w:sz w:val="24"/>
          <w:szCs w:val="24"/>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of the class securities described in Item 1; and (2) has filed no amendment subsequent thereto reporting beneficial ownership of five percent or less of such class.) (See Rule 13d-7.)</w:t>
      </w:r>
    </w:p>
    <w:p>
      <w:pPr>
        <w:spacing w:after="0" w:line="209" w:lineRule="exact"/>
        <w:rPr>
          <w:sz w:val="24"/>
          <w:szCs w:val="24"/>
          <w:color w:val="auto"/>
        </w:rPr>
      </w:pPr>
    </w:p>
    <w:p>
      <w:pPr>
        <w:jc w:val="both"/>
        <w:ind w:right="2839" w:firstLine="8"/>
        <w:spacing w:after="0" w:line="275" w:lineRule="auto"/>
        <w:tabs>
          <w:tab w:leader="none" w:pos="21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the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32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following page(s))</w:t>
      </w:r>
    </w:p>
    <w:p>
      <w:pPr>
        <w:spacing w:after="0" w:line="238" w:lineRule="auto"/>
        <w:rPr>
          <w:sz w:val="20"/>
          <w:szCs w:val="20"/>
          <w:color w:val="auto"/>
        </w:rPr>
      </w:pPr>
      <w:r>
        <w:rPr>
          <w:rFonts w:ascii="Courier New" w:cs="Courier New" w:eastAsia="Courier New" w:hAnsi="Courier New"/>
          <w:sz w:val="18"/>
          <w:szCs w:val="18"/>
          <w:color w:val="auto"/>
        </w:rPr>
        <w:t>Page 1 of 5 Pages</w:t>
      </w:r>
    </w:p>
    <w:p>
      <w:pPr>
        <w:spacing w:after="0" w:line="202" w:lineRule="exact"/>
        <w:rPr>
          <w:sz w:val="24"/>
          <w:szCs w:val="24"/>
          <w:color w:val="auto"/>
        </w:rPr>
      </w:pPr>
    </w:p>
    <w:p>
      <w:pPr>
        <w:spacing w:after="0"/>
        <w:tabs>
          <w:tab w:leader="none" w:pos="3460" w:val="left"/>
          <w:tab w:leader="none" w:pos="5040" w:val="left"/>
        </w:tabs>
        <w:rPr>
          <w:sz w:val="20"/>
          <w:szCs w:val="20"/>
          <w:color w:val="auto"/>
        </w:rPr>
      </w:pPr>
      <w:r>
        <w:rPr>
          <w:rFonts w:ascii="Courier New" w:cs="Courier New" w:eastAsia="Courier New" w:hAnsi="Courier New"/>
          <w:sz w:val="18"/>
          <w:szCs w:val="18"/>
          <w:color w:val="auto"/>
        </w:rPr>
        <w:t>CUSIP No. 75886F107</w:t>
      </w:r>
      <w:r>
        <w:rPr>
          <w:sz w:val="20"/>
          <w:szCs w:val="20"/>
          <w:color w:val="auto"/>
        </w:rPr>
        <w:tab/>
      </w:r>
      <w:r>
        <w:rPr>
          <w:rFonts w:ascii="Courier New" w:cs="Courier New" w:eastAsia="Courier New" w:hAnsi="Courier New"/>
          <w:sz w:val="18"/>
          <w:szCs w:val="18"/>
          <w:color w:val="auto"/>
        </w:rPr>
        <w:t>13G/A</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 OF REPORTING PERSON</w:t>
      </w:r>
    </w:p>
    <w:p>
      <w:pPr>
        <w:spacing w:after="0" w:line="4" w:lineRule="exact"/>
        <w:rPr>
          <w:sz w:val="24"/>
          <w:szCs w:val="24"/>
          <w:color w:val="auto"/>
        </w:rPr>
      </w:pPr>
    </w:p>
    <w:p>
      <w:pPr>
        <w:ind w:right="5059" w:firstLine="8"/>
        <w:spacing w:after="0" w:line="235" w:lineRule="auto"/>
        <w:tabs>
          <w:tab w:leader="none" w:pos="52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I.R.S. IDENTIFICATION NO. OF ABOVE PERSON Loomis Sayles &amp; Co., L.P.</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#04-3200030</w:t>
      </w:r>
    </w:p>
    <w:p>
      <w:pPr>
        <w:sectPr>
          <w:pgSz w:w="11900" w:h="16855"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2.CHECK THE APPROPRIATE BOX IF A MEMBER OF A GROUP*</w:t>
      </w:r>
    </w:p>
    <w:p>
      <w:pPr>
        <w:ind w:left="540" w:hanging="532"/>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3.SEC USE ONLY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Place of Organization - Delaware.</w:t>
      </w:r>
    </w:p>
    <w:p>
      <w:pPr>
        <w:spacing w:after="0"/>
        <w:rPr>
          <w:sz w:val="20"/>
          <w:szCs w:val="20"/>
          <w:color w:val="auto"/>
        </w:rPr>
      </w:pPr>
      <w:r>
        <w:rPr>
          <w:rFonts w:ascii="Courier New" w:cs="Courier New" w:eastAsia="Courier New" w:hAnsi="Courier New"/>
          <w:sz w:val="18"/>
          <w:szCs w:val="18"/>
          <w:color w:val="auto"/>
        </w:rPr>
        <w:t>Principal Office of Reporting Person is in Boston, MA.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17"/>
                <w:szCs w:val="17"/>
                <w:color w:val="auto"/>
              </w:rPr>
            </w:pPr>
          </w:p>
        </w:tc>
        <w:tc>
          <w:tcPr>
            <w:tcW w:w="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ind w:left="32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93,388</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68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80" w:type="dxa"/>
            <w:vAlign w:val="bottom"/>
          </w:tcPr>
          <w:p>
            <w:pPr>
              <w:spacing w:after="0"/>
              <w:rPr>
                <w:sz w:val="17"/>
                <w:szCs w:val="17"/>
                <w:color w:val="auto"/>
              </w:rPr>
            </w:pPr>
          </w:p>
        </w:tc>
        <w:tc>
          <w:tcPr>
            <w:tcW w:w="2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68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680" w:type="dxa"/>
            <w:vAlign w:val="bottom"/>
          </w:tcPr>
          <w:p>
            <w:pPr>
              <w:spacing w:after="0"/>
              <w:rPr>
                <w:sz w:val="17"/>
                <w:szCs w:val="17"/>
                <w:color w:val="auto"/>
              </w:rPr>
            </w:pPr>
          </w:p>
        </w:tc>
        <w:tc>
          <w:tcPr>
            <w:tcW w:w="2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93,388</w:t>
            </w:r>
          </w:p>
        </w:tc>
      </w:tr>
      <w:tr>
        <w:trPr>
          <w:trHeight w:val="405"/>
        </w:trPr>
        <w:tc>
          <w:tcPr>
            <w:tcW w:w="1540" w:type="dxa"/>
            <w:vAlign w:val="bottom"/>
          </w:tcPr>
          <w:p>
            <w:pPr>
              <w:spacing w:after="0"/>
              <w:rPr>
                <w:sz w:val="24"/>
                <w:szCs w:val="24"/>
                <w:color w:val="auto"/>
              </w:rPr>
            </w:pPr>
          </w:p>
        </w:tc>
        <w:tc>
          <w:tcPr>
            <w:tcW w:w="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w:t>
            </w:r>
          </w:p>
        </w:tc>
        <w:tc>
          <w:tcPr>
            <w:tcW w:w="2840" w:type="dxa"/>
            <w:vAlign w:val="bottom"/>
          </w:tcPr>
          <w:p>
            <w:pPr>
              <w:ind w:left="320"/>
              <w:spacing w:after="0"/>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9.AGGREGATE AMOUNT BENEFICIALLY OWNED BY EACH REPORTING PERSON</w:t>
      </w:r>
    </w:p>
    <w:p>
      <w:pPr>
        <w:spacing w:after="0" w:line="238" w:lineRule="auto"/>
        <w:rPr>
          <w:sz w:val="20"/>
          <w:szCs w:val="20"/>
          <w:color w:val="auto"/>
        </w:rPr>
      </w:pPr>
      <w:r>
        <w:rPr>
          <w:rFonts w:ascii="Courier New" w:cs="Courier New" w:eastAsia="Courier New" w:hAnsi="Courier New"/>
          <w:sz w:val="18"/>
          <w:szCs w:val="18"/>
          <w:color w:val="auto"/>
        </w:rPr>
        <w:t>93,388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spacing w:after="0"/>
        <w:tabs>
          <w:tab w:leader="none" w:pos="6740" w:val="left"/>
        </w:tabs>
        <w:rPr>
          <w:sz w:val="20"/>
          <w:szCs w:val="20"/>
          <w:color w:val="auto"/>
        </w:rPr>
      </w:pPr>
      <w:r>
        <w:rPr>
          <w:rFonts w:ascii="Courier New" w:cs="Courier New" w:eastAsia="Courier New" w:hAnsi="Courier New"/>
          <w:sz w:val="18"/>
          <w:szCs w:val="18"/>
          <w:color w:val="auto"/>
        </w:rPr>
        <w:t>10.CHECK BOX IF AGGREGATE AMOUNT IN ROW (9) EXCLUDES CERTAIN</w:t>
      </w:r>
      <w:r>
        <w:rPr>
          <w:sz w:val="20"/>
          <w:szCs w:val="20"/>
          <w:color w:val="auto"/>
        </w:rPr>
        <w:tab/>
      </w:r>
      <w:r>
        <w:rPr>
          <w:rFonts w:ascii="Courier New" w:cs="Courier New" w:eastAsia="Courier New" w:hAnsi="Courier New"/>
          <w:sz w:val="16"/>
          <w:szCs w:val="16"/>
          <w:color w:val="auto"/>
        </w:rPr>
        <w:t>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11.PERCENT OF CLASS REPRESENTED BY AMOUNT IN ROW (9)</w:t>
      </w:r>
    </w:p>
    <w:p>
      <w:pPr>
        <w:spacing w:after="0" w:line="238" w:lineRule="auto"/>
        <w:rPr>
          <w:sz w:val="20"/>
          <w:szCs w:val="20"/>
          <w:color w:val="auto"/>
        </w:rPr>
      </w:pPr>
      <w:r>
        <w:rPr>
          <w:rFonts w:ascii="Courier New" w:cs="Courier New" w:eastAsia="Courier New" w:hAnsi="Courier New"/>
          <w:sz w:val="18"/>
          <w:szCs w:val="18"/>
          <w:color w:val="auto"/>
        </w:rPr>
        <w:t>..12%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12.TYPE OF REPORTING PERSON*</w:t>
      </w:r>
    </w:p>
    <w:p>
      <w:pPr>
        <w:spacing w:after="0" w:line="238" w:lineRule="auto"/>
        <w:rPr>
          <w:sz w:val="20"/>
          <w:szCs w:val="20"/>
          <w:color w:val="auto"/>
        </w:rPr>
      </w:pPr>
      <w:r>
        <w:rPr>
          <w:rFonts w:ascii="Courier New" w:cs="Courier New" w:eastAsia="Courier New" w:hAnsi="Courier New"/>
          <w:sz w:val="18"/>
          <w:szCs w:val="18"/>
          <w:color w:val="auto"/>
        </w:rPr>
        <w:t>Investment Adviser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1(a).Name of Issuer</w:t>
      </w:r>
    </w:p>
    <w:p>
      <w:pPr>
        <w:spacing w:after="0" w:line="238" w:lineRule="auto"/>
        <w:rPr>
          <w:sz w:val="20"/>
          <w:szCs w:val="20"/>
          <w:color w:val="auto"/>
        </w:rPr>
      </w:pPr>
      <w:r>
        <w:rPr>
          <w:rFonts w:ascii="Courier New" w:cs="Courier New" w:eastAsia="Courier New" w:hAnsi="Courier New"/>
          <w:sz w:val="18"/>
          <w:szCs w:val="18"/>
          <w:color w:val="auto"/>
        </w:rPr>
        <w:t>REGENERON PHARMACEUTICALS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1(b).Address of Issuers Principal Office</w:t>
      </w:r>
    </w:p>
    <w:p>
      <w:pPr>
        <w:spacing w:after="0" w:line="238" w:lineRule="auto"/>
        <w:rPr>
          <w:sz w:val="20"/>
          <w:szCs w:val="20"/>
          <w:color w:val="auto"/>
        </w:rPr>
      </w:pPr>
      <w:r>
        <w:rPr>
          <w:rFonts w:ascii="Courier New" w:cs="Courier New" w:eastAsia="Courier New" w:hAnsi="Courier New"/>
          <w:sz w:val="18"/>
          <w:szCs w:val="18"/>
          <w:color w:val="auto"/>
        </w:rPr>
        <w:t>777 OLD SAW MILL RIVER ROAD</w:t>
      </w:r>
    </w:p>
    <w:p>
      <w:pPr>
        <w:spacing w:after="0"/>
        <w:rPr>
          <w:sz w:val="20"/>
          <w:szCs w:val="20"/>
          <w:color w:val="auto"/>
        </w:rPr>
      </w:pPr>
      <w:r>
        <w:rPr>
          <w:rFonts w:ascii="Courier New" w:cs="Courier New" w:eastAsia="Courier New" w:hAnsi="Courier New"/>
          <w:sz w:val="18"/>
          <w:szCs w:val="18"/>
          <w:color w:val="auto"/>
        </w:rPr>
        <w:t>TARRYTOWN, NY 10591-6707</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2(a).Name of Person Filing</w:t>
      </w:r>
    </w:p>
    <w:p>
      <w:pPr>
        <w:spacing w:after="0" w:line="238" w:lineRule="auto"/>
        <w:rPr>
          <w:sz w:val="20"/>
          <w:szCs w:val="20"/>
          <w:color w:val="auto"/>
        </w:rPr>
      </w:pPr>
      <w:r>
        <w:rPr>
          <w:rFonts w:ascii="Courier New" w:cs="Courier New" w:eastAsia="Courier New" w:hAnsi="Courier New"/>
          <w:sz w:val="18"/>
          <w:szCs w:val="18"/>
          <w:color w:val="auto"/>
        </w:rPr>
        <w:t>Loomis, Sayles &amp; Co., L.P.</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One Financial Center</w:t>
      </w:r>
    </w:p>
    <w:p>
      <w:pPr>
        <w:spacing w:after="0"/>
        <w:tabs>
          <w:tab w:leader="none" w:pos="1260" w:val="left"/>
        </w:tabs>
        <w:rPr>
          <w:sz w:val="20"/>
          <w:szCs w:val="20"/>
          <w:color w:val="auto"/>
        </w:rPr>
      </w:pPr>
      <w:r>
        <w:rPr>
          <w:rFonts w:ascii="Courier New" w:cs="Courier New" w:eastAsia="Courier New" w:hAnsi="Courier New"/>
          <w:sz w:val="18"/>
          <w:szCs w:val="18"/>
          <w:color w:val="auto"/>
        </w:rPr>
        <w:t>Boston, MA</w:t>
      </w:r>
      <w:r>
        <w:rPr>
          <w:sz w:val="20"/>
          <w:szCs w:val="20"/>
          <w:color w:val="auto"/>
        </w:rPr>
        <w:tab/>
      </w:r>
      <w:r>
        <w:rPr>
          <w:rFonts w:ascii="Courier New" w:cs="Courier New" w:eastAsia="Courier New" w:hAnsi="Courier New"/>
          <w:sz w:val="16"/>
          <w:szCs w:val="16"/>
          <w:color w:val="auto"/>
        </w:rPr>
        <w:t>02111</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2(c).Citizenship</w:t>
      </w:r>
    </w:p>
    <w:p>
      <w:pPr>
        <w:spacing w:after="0" w:line="238" w:lineRule="auto"/>
        <w:rPr>
          <w:sz w:val="20"/>
          <w:szCs w:val="20"/>
          <w:color w:val="auto"/>
        </w:rPr>
      </w:pPr>
      <w:r>
        <w:rPr>
          <w:rFonts w:ascii="Courier New" w:cs="Courier New" w:eastAsia="Courier New" w:hAnsi="Courier New"/>
          <w:sz w:val="18"/>
          <w:szCs w:val="18"/>
          <w:color w:val="auto"/>
        </w:rPr>
        <w:t>Place of Organization - Delaware.</w:t>
      </w:r>
    </w:p>
    <w:p>
      <w:pPr>
        <w:spacing w:after="0"/>
        <w:rPr>
          <w:sz w:val="20"/>
          <w:szCs w:val="20"/>
          <w:color w:val="auto"/>
        </w:rPr>
      </w:pPr>
      <w:r>
        <w:rPr>
          <w:rFonts w:ascii="Courier New" w:cs="Courier New" w:eastAsia="Courier New" w:hAnsi="Courier New"/>
          <w:sz w:val="18"/>
          <w:szCs w:val="18"/>
          <w:color w:val="auto"/>
        </w:rPr>
        <w:t>Principal office of Reporting Person is Boston, MA</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2(d).Title of Class of Securities</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Item 2(e).CUSIP Number 75886F107</w:t>
      </w:r>
    </w:p>
    <w:p>
      <w:pPr>
        <w:spacing w:after="0" w:line="206"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3. f this statement is filed pursuant to Rules 13d-1(b), or 13d-2(b), check whether the person filing is a:</w:t>
      </w:r>
    </w:p>
    <w:p>
      <w:pPr>
        <w:spacing w:after="0" w:line="208"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(a)[ ]Broker or dealer registered under Section 15 of the Act (b)[ ]Bank as defined in Section 3(a)(6) of the Act</w:t>
      </w:r>
    </w:p>
    <w:p>
      <w:pPr>
        <w:spacing w:after="0" w:line="6" w:lineRule="exact"/>
        <w:rPr>
          <w:sz w:val="20"/>
          <w:szCs w:val="20"/>
          <w:color w:val="auto"/>
        </w:rPr>
      </w:pPr>
    </w:p>
    <w:p>
      <w:pPr>
        <w:jc w:val="both"/>
        <w:ind w:right="2939"/>
        <w:spacing w:after="0" w:line="236" w:lineRule="auto"/>
        <w:rPr>
          <w:sz w:val="20"/>
          <w:szCs w:val="20"/>
          <w:color w:val="auto"/>
        </w:rPr>
      </w:pPr>
      <w:r>
        <w:rPr>
          <w:rFonts w:ascii="Courier New" w:cs="Courier New" w:eastAsia="Courier New" w:hAnsi="Courier New"/>
          <w:sz w:val="18"/>
          <w:szCs w:val="18"/>
          <w:color w:val="auto"/>
        </w:rPr>
        <w:t>(c)[ ]Insurance Company registered under Section 3(a)(19) of the Act (d)[ ]Investment company registered under Section 8 of the Investment Company Act</w:t>
      </w:r>
    </w:p>
    <w:p>
      <w:pPr>
        <w:spacing w:after="0" w:line="6" w:lineRule="exact"/>
        <w:rPr>
          <w:sz w:val="20"/>
          <w:szCs w:val="20"/>
          <w:color w:val="auto"/>
        </w:rPr>
      </w:pPr>
    </w:p>
    <w:p>
      <w:pPr>
        <w:ind w:right="4619"/>
        <w:spacing w:after="0" w:line="235" w:lineRule="auto"/>
        <w:rPr>
          <w:sz w:val="20"/>
          <w:szCs w:val="20"/>
          <w:color w:val="auto"/>
        </w:rPr>
      </w:pPr>
      <w:r>
        <w:rPr>
          <w:rFonts w:ascii="Courier New" w:cs="Courier New" w:eastAsia="Courier New" w:hAnsi="Courier New"/>
          <w:sz w:val="18"/>
          <w:szCs w:val="18"/>
          <w:color w:val="auto"/>
        </w:rPr>
        <w:t>(e)[x]Investment Adviser registered under Section 203 of the Investment Advisers Act of 1940</w:t>
      </w:r>
    </w:p>
    <w:p>
      <w:pPr>
        <w:spacing w:after="0" w:line="6"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(f)[ ]Employee Benefit Plan, Pension Fund which is subject to the provisions of the Employee Retirement Income Security Act of 1974 or Endowment Fund: see Section 240.13d-1(b)(1)(ii)(F)</w:t>
      </w:r>
    </w:p>
    <w:p>
      <w:pPr>
        <w:spacing w:after="0" w:line="6"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(g)[ ]Parent Holding Company, in accordance with Section 240.13d-1(b)(ii)(G) (Note: See Item 7)</w:t>
      </w:r>
    </w:p>
    <w:p>
      <w:pPr>
        <w:spacing w:after="0"/>
        <w:rPr>
          <w:sz w:val="20"/>
          <w:szCs w:val="20"/>
          <w:color w:val="auto"/>
        </w:rPr>
      </w:pPr>
      <w:r>
        <w:rPr>
          <w:rFonts w:ascii="Courier New" w:cs="Courier New" w:eastAsia="Courier New" w:hAnsi="Courier New"/>
          <w:sz w:val="18"/>
          <w:szCs w:val="18"/>
          <w:color w:val="auto"/>
        </w:rPr>
        <w:t>(h)[ ]Group, in accordance with Section 240.13d-1(b)(1)(ii)(H)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4.Ownership</w:t>
      </w:r>
    </w:p>
    <w:p>
      <w:pPr>
        <w:sectPr>
          <w:pgSz w:w="11900" w:h="16838" w:orient="portrait"/>
          <w:cols w:equalWidth="0" w:num="1">
            <w:col w:w="10219"/>
          </w:cols>
          <w:pgMar w:left="240" w:top="142" w:right="1440" w:bottom="0" w:gutter="0" w:footer="0" w:header="0"/>
        </w:sectPr>
      </w:pPr>
    </w:p>
    <w:bookmarkStart w:id="2" w:name="page3"/>
    <w:bookmarkEnd w:id="2"/>
    <w:p>
      <w:pPr>
        <w:ind w:right="3479"/>
        <w:spacing w:after="0" w:line="237" w:lineRule="auto"/>
        <w:rPr>
          <w:sz w:val="20"/>
          <w:szCs w:val="20"/>
          <w:color w:val="auto"/>
        </w:rPr>
      </w:pPr>
      <w:r>
        <w:rPr>
          <w:rFonts w:ascii="Courier New" w:cs="Courier New" w:eastAsia="Courier New" w:hAnsi="Courier New"/>
          <w:sz w:val="18"/>
          <w:szCs w:val="18"/>
          <w:color w:val="auto"/>
        </w:rPr>
        <w:t>If the percent of the class owned, as of December 31 of the year covered by the statement, or as of the last day of any month described in Rule 13d-1(b)(2), if applicable, exceeds 5 percent provide the following information as of that date and identify those shares which there is a right to acquire.</w:t>
      </w:r>
    </w:p>
    <w:p>
      <w:pPr>
        <w:spacing w:after="0" w:line="203" w:lineRule="exact"/>
        <w:rPr>
          <w:sz w:val="20"/>
          <w:szCs w:val="20"/>
          <w:color w:val="auto"/>
        </w:rPr>
      </w:pPr>
    </w:p>
    <w:p>
      <w:pPr>
        <w:spacing w:after="0"/>
        <w:tabs>
          <w:tab w:leader="none" w:pos="3360" w:val="left"/>
        </w:tabs>
        <w:rPr>
          <w:sz w:val="20"/>
          <w:szCs w:val="20"/>
          <w:color w:val="auto"/>
        </w:rPr>
      </w:pPr>
      <w:r>
        <w:rPr>
          <w:rFonts w:ascii="Courier New" w:cs="Courier New" w:eastAsia="Courier New" w:hAnsi="Courier New"/>
          <w:sz w:val="18"/>
          <w:szCs w:val="18"/>
          <w:color w:val="auto"/>
        </w:rPr>
        <w:t>(a)Amount beneficially owned:</w:t>
      </w:r>
      <w:r>
        <w:rPr>
          <w:sz w:val="20"/>
          <w:szCs w:val="20"/>
          <w:color w:val="auto"/>
        </w:rPr>
        <w:tab/>
      </w:r>
      <w:r>
        <w:rPr>
          <w:rFonts w:ascii="Courier New" w:cs="Courier New" w:eastAsia="Courier New" w:hAnsi="Courier New"/>
          <w:sz w:val="16"/>
          <w:szCs w:val="16"/>
          <w:color w:val="auto"/>
        </w:rPr>
        <w:t>-0-</w:t>
      </w:r>
    </w:p>
    <w:p>
      <w:pPr>
        <w:spacing w:after="0" w:line="238" w:lineRule="auto"/>
        <w:tabs>
          <w:tab w:leader="none" w:pos="3460" w:val="left"/>
        </w:tabs>
        <w:rPr>
          <w:sz w:val="20"/>
          <w:szCs w:val="20"/>
          <w:color w:val="auto"/>
        </w:rPr>
      </w:pPr>
      <w:r>
        <w:rPr>
          <w:rFonts w:ascii="Courier New" w:cs="Courier New" w:eastAsia="Courier New" w:hAnsi="Courier New"/>
          <w:sz w:val="18"/>
          <w:szCs w:val="18"/>
          <w:color w:val="auto"/>
        </w:rPr>
        <w:t>(b)Percent of Class:</w:t>
      </w:r>
      <w:r>
        <w:rPr>
          <w:sz w:val="20"/>
          <w:szCs w:val="20"/>
          <w:color w:val="auto"/>
        </w:rPr>
        <w:tab/>
      </w:r>
      <w:r>
        <w:rPr>
          <w:rFonts w:ascii="Courier New" w:cs="Courier New" w:eastAsia="Courier New" w:hAnsi="Courier New"/>
          <w:sz w:val="18"/>
          <w:szCs w:val="18"/>
          <w:color w:val="auto"/>
        </w:rPr>
        <w:t>0%</w:t>
      </w:r>
    </w:p>
    <w:p>
      <w:pPr>
        <w:spacing w:after="0"/>
        <w:rPr>
          <w:sz w:val="20"/>
          <w:szCs w:val="20"/>
          <w:color w:val="auto"/>
        </w:rPr>
      </w:pPr>
      <w:r>
        <w:rPr>
          <w:rFonts w:ascii="Courier New" w:cs="Courier New" w:eastAsia="Courier New" w:hAnsi="Courier New"/>
          <w:sz w:val="18"/>
          <w:szCs w:val="18"/>
          <w:color w:val="auto"/>
        </w:rPr>
        <w:t>(c)Number of shares as to which such person has:</w:t>
      </w:r>
    </w:p>
    <w:p>
      <w:pPr>
        <w:spacing w:after="0" w:line="200" w:lineRule="exact"/>
        <w:rPr>
          <w:sz w:val="20"/>
          <w:szCs w:val="20"/>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-0-</w:t>
      </w:r>
    </w:p>
    <w:p>
      <w:pPr>
        <w:ind w:left="860" w:hanging="852"/>
        <w:spacing w:after="0" w:line="238"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-0-</w:t>
      </w:r>
    </w:p>
    <w:p>
      <w:pPr>
        <w:ind w:left="860" w:hanging="852"/>
        <w:spacing w:after="0" w:line="238"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-0-</w:t>
      </w:r>
    </w:p>
    <w:p>
      <w:pPr>
        <w:ind w:left="860" w:hanging="852"/>
        <w:spacing w:after="0" w:line="238"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of:</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-0-</w:t>
      </w:r>
    </w:p>
    <w:p>
      <w:pPr>
        <w:spacing w:after="0" w:line="207"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Loomis, Sayles &amp; Company, L.P. disclaims any beneficial interest in any of the foregoing securities.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4"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any other person is known to have the right to receive or the power</w:t>
      </w:r>
    </w:p>
    <w:p>
      <w:pPr>
        <w:spacing w:after="0" w:line="4" w:lineRule="exact"/>
        <w:rPr>
          <w:sz w:val="20"/>
          <w:szCs w:val="20"/>
          <w:color w:val="auto"/>
        </w:rPr>
      </w:pPr>
    </w:p>
    <w:p>
      <w:pPr>
        <w:jc w:val="both"/>
        <w:ind w:right="2419"/>
        <w:spacing w:after="0" w:line="268" w:lineRule="auto"/>
        <w:rPr>
          <w:sz w:val="20"/>
          <w:szCs w:val="20"/>
          <w:color w:val="auto"/>
        </w:rPr>
      </w:pPr>
      <w:r>
        <w:rPr>
          <w:rFonts w:ascii="Courier New" w:cs="Courier New" w:eastAsia="Courier New" w:hAnsi="Courier New"/>
          <w:sz w:val="16"/>
          <w:szCs w:val="16"/>
          <w:color w:val="auto"/>
        </w:rPr>
        <w:t>to direct the receipt of dividends from, or the proceeds from the sale of, such securities, a statement to that effect should be included in response to this item and, if such interest relates to more than five percent</w:t>
      </w:r>
    </w:p>
    <w:p>
      <w:pPr>
        <w:spacing w:after="0" w:line="1"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of the class, such person should be identified. A listing of the shareholders of an investment company registered under the Investment Company Act of 1940 or the beneficiaries of an employee benefit plan pension fund or endowment fund is not required.</w:t>
      </w:r>
    </w:p>
    <w:p>
      <w:pPr>
        <w:spacing w:after="0" w:line="207"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Clients of Reporting Person have such a right, none of whom has such interest relating to more than 5% of any class.</w:t>
      </w:r>
    </w:p>
    <w:p>
      <w:pPr>
        <w:spacing w:after="0" w:line="208" w:lineRule="exact"/>
        <w:rPr>
          <w:sz w:val="20"/>
          <w:szCs w:val="20"/>
          <w:color w:val="auto"/>
        </w:rPr>
      </w:pPr>
    </w:p>
    <w:p>
      <w:pPr>
        <w:ind w:right="3999"/>
        <w:spacing w:after="0" w:line="236" w:lineRule="auto"/>
        <w:rPr>
          <w:sz w:val="20"/>
          <w:szCs w:val="20"/>
          <w:color w:val="auto"/>
        </w:rPr>
      </w:pPr>
      <w:r>
        <w:rPr>
          <w:rFonts w:ascii="Courier New" w:cs="Courier New" w:eastAsia="Courier New" w:hAnsi="Courier New"/>
          <w:sz w:val="18"/>
          <w:szCs w:val="18"/>
          <w:color w:val="auto"/>
        </w:rPr>
        <w:t>Item 7.Identification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a parent holding company has filed this schedule, pursuant to</w:t>
      </w:r>
    </w:p>
    <w:p>
      <w:pPr>
        <w:spacing w:after="0" w:line="4"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Rule 13d-1(b)(ii)(G), so indicate under Item 3(g) and attach an exhibit stating the identity and the Item 3 classification of the relevant subsidiary. If a parent holding company has filed this schedule pursuant to Rule 13d-1(c) attach an exhibit stating the identification of the relevant subsidiary.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Inapplicable</w:t>
      </w:r>
    </w:p>
    <w:p>
      <w:pPr>
        <w:spacing w:after="0" w:line="207"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Item 8.Identification and Classification of Members of the Group. If a group has filed this schedule pursuant to Rule 13d-1(b)(ii)(H), so indicate under Item 3(b) and attach an exhibit stating the identity and Item 3 classification of each member of the group.</w:t>
      </w:r>
    </w:p>
    <w:p>
      <w:pPr>
        <w:spacing w:after="0" w:line="1" w:lineRule="exact"/>
        <w:rPr>
          <w:sz w:val="20"/>
          <w:szCs w:val="20"/>
          <w:color w:val="auto"/>
        </w:rPr>
      </w:pPr>
    </w:p>
    <w:p>
      <w:pPr>
        <w:ind w:right="3159"/>
        <w:spacing w:after="0" w:line="236" w:lineRule="auto"/>
        <w:rPr>
          <w:sz w:val="20"/>
          <w:szCs w:val="20"/>
          <w:color w:val="auto"/>
        </w:rPr>
      </w:pPr>
      <w:r>
        <w:rPr>
          <w:rFonts w:ascii="Courier New" w:cs="Courier New" w:eastAsia="Courier New" w:hAnsi="Courier New"/>
          <w:sz w:val="18"/>
          <w:szCs w:val="18"/>
          <w:color w:val="auto"/>
        </w:rPr>
        <w:t>If a group has filed this schedule pursuant to Rule 13d-1(c), attach an exhibit stating the identity of each member of the group. Inapplicable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10.Certification</w:t>
      </w:r>
    </w:p>
    <w:p>
      <w:pPr>
        <w:spacing w:after="0" w:line="207" w:lineRule="exact"/>
        <w:rPr>
          <w:sz w:val="20"/>
          <w:szCs w:val="20"/>
          <w:color w:val="auto"/>
        </w:rPr>
      </w:pPr>
    </w:p>
    <w:p>
      <w:pPr>
        <w:jc w:val="center"/>
        <w:ind w:right="261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w:t>
      </w:r>
    </w:p>
    <w:p>
      <w:pPr>
        <w:spacing w:after="0" w:line="1"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effect of changing or influencing the control of the issuer of such securities and were not acquired in connection with or as a participant in any transaction having such purposes or effect.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After reasonable inquire and to the best of my knowledge and belief, I certify that the information set forth in this statement is true, complete and correct.</w:t>
      </w:r>
    </w:p>
    <w:p>
      <w:pPr>
        <w:sectPr>
          <w:pgSz w:w="11900" w:h="16838" w:orient="portrait"/>
          <w:cols w:equalWidth="0" w:num="1">
            <w:col w:w="10219"/>
          </w:cols>
          <w:pgMar w:left="240" w:top="142" w:right="1440" w:bottom="0" w:gutter="0" w:footer="0" w:header="0"/>
        </w:sectPr>
      </w:pPr>
    </w:p>
    <w:bookmarkStart w:id="3" w:name="page4"/>
    <w:bookmarkEnd w:id="3"/>
    <w:p>
      <w:pPr>
        <w:spacing w:after="0"/>
        <w:tabs>
          <w:tab w:leader="none" w:pos="8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13, 2009</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/s/ Don Ryan</w:t>
      </w: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6"/>
          <w:szCs w:val="16"/>
          <w:color w:val="auto"/>
        </w:rPr>
        <w:t>Name/Title:</w:t>
      </w:r>
      <w:r>
        <w:rPr>
          <w:sz w:val="20"/>
          <w:szCs w:val="20"/>
          <w:color w:val="auto"/>
        </w:rPr>
        <w:tab/>
      </w:r>
      <w:r>
        <w:rPr>
          <w:rFonts w:ascii="Courier New" w:cs="Courier New" w:eastAsia="Courier New" w:hAnsi="Courier New"/>
          <w:sz w:val="16"/>
          <w:szCs w:val="16"/>
          <w:color w:val="auto"/>
        </w:rPr>
        <w:t>Don Ryan/Chief Compliance Officer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S.%1."/>
      <w:numFmt w:val="upperLetter"/>
      <w:start w:val="19"/>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2019-12-10T09:52:15Z</dcterms:created>
  <dcterms:modified xsi:type="dcterms:W3CDTF">2019-12-10T09:52:15Z</dcterms:modified>
</cp:coreProperties>
</file>