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10)*</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Karen Linehan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Sanofi</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Paris, France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Telephone: +33 1 53 77 40 00</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Copy to:</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Michael J. Aiello, Esq.</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Weil, Gotshal &amp; Manges LLP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47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October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47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8"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666750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color w:val="auto"/>
        </w:rPr>
        <w:t>13D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Borders>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3460" w:type="dxa"/>
            <w:vAlign w:val="bottom"/>
            <w:tcBorders>
              <w:top w:val="single" w:sz="8" w:color="auto"/>
            </w:tcBorders>
          </w:tcPr>
          <w:p>
            <w:pPr>
              <w:spacing w:after="0"/>
              <w:rPr>
                <w:sz w:val="17"/>
                <w:szCs w:val="17"/>
                <w:color w:val="auto"/>
              </w:rPr>
            </w:pPr>
          </w:p>
        </w:tc>
        <w:tc>
          <w:tcPr>
            <w:tcW w:w="26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0" w:type="dxa"/>
            <w:vAlign w:val="bottom"/>
            <w:tcBorders>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Sanofi</w:t>
            </w:r>
          </w:p>
        </w:tc>
        <w:tc>
          <w:tcPr>
            <w:tcW w:w="6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60" w:type="dxa"/>
            <w:vAlign w:val="bottom"/>
            <w:tcBorders>
              <w:right w:val="single" w:sz="8" w:color="auto"/>
            </w:tcBorders>
            <w:shd w:val="clear" w:color="auto" w:fill="000000"/>
          </w:tcPr>
          <w:p>
            <w:pPr>
              <w:spacing w:after="0"/>
              <w:rPr>
                <w:sz w:val="13"/>
                <w:szCs w:val="13"/>
                <w:color w:val="auto"/>
              </w:rPr>
            </w:pPr>
          </w:p>
        </w:tc>
        <w:tc>
          <w:tcPr>
            <w:tcW w:w="1360" w:type="dxa"/>
            <w:vAlign w:val="bottom"/>
            <w:tcBorders>
              <w:right w:val="single" w:sz="8" w:color="auto"/>
            </w:tcBorders>
          </w:tcPr>
          <w:p>
            <w:pPr>
              <w:ind w:left="140"/>
              <w:spacing w:after="0" w:line="150" w:lineRule="exact"/>
              <w:rPr>
                <w:sz w:val="20"/>
                <w:szCs w:val="20"/>
                <w:color w:val="auto"/>
              </w:rPr>
            </w:pPr>
            <w:r>
              <w:rPr>
                <w:rFonts w:ascii="Arial" w:cs="Arial" w:eastAsia="Arial" w:hAnsi="Arial"/>
                <w:sz w:val="17"/>
                <w:szCs w:val="17"/>
                <w:color w:val="auto"/>
              </w:rPr>
              <w:t>2.</w:t>
            </w:r>
          </w:p>
        </w:tc>
        <w:tc>
          <w:tcPr>
            <w:tcW w:w="100" w:type="dxa"/>
            <w:vAlign w:val="bottom"/>
          </w:tcPr>
          <w:p>
            <w:pPr>
              <w:spacing w:after="0"/>
              <w:rPr>
                <w:sz w:val="13"/>
                <w:szCs w:val="13"/>
                <w:color w:val="auto"/>
              </w:rPr>
            </w:pPr>
          </w:p>
        </w:tc>
        <w:tc>
          <w:tcPr>
            <w:tcW w:w="7280" w:type="dxa"/>
            <w:vAlign w:val="bottom"/>
            <w:gridSpan w:val="7"/>
          </w:tcPr>
          <w:p>
            <w:pPr>
              <w:ind w:left="60"/>
              <w:spacing w:after="0" w:line="150" w:lineRule="exact"/>
              <w:rPr>
                <w:sz w:val="20"/>
                <w:szCs w:val="20"/>
                <w:color w:val="auto"/>
              </w:rPr>
            </w:pPr>
            <w:r>
              <w:rPr>
                <w:rFonts w:ascii="Arial" w:cs="Arial" w:eastAsia="Arial" w:hAnsi="Arial"/>
                <w:sz w:val="17"/>
                <w:szCs w:val="17"/>
                <w:color w:val="auto"/>
              </w:rPr>
              <w:t>CHECK THE APPROPRIATE BOX IF A MEMBER OF A GROUP</w:t>
            </w:r>
          </w:p>
        </w:tc>
        <w:tc>
          <w:tcPr>
            <w:tcW w:w="2620" w:type="dxa"/>
            <w:vAlign w:val="bottom"/>
            <w:tcBorders>
              <w:right w:val="single" w:sz="8" w:color="auto"/>
            </w:tcBorders>
          </w:tcPr>
          <w:p>
            <w:pPr>
              <w:ind w:left="1100"/>
              <w:spacing w:after="0" w:line="150" w:lineRule="exact"/>
              <w:rPr>
                <w:sz w:val="20"/>
                <w:szCs w:val="20"/>
                <w:color w:val="auto"/>
              </w:rPr>
            </w:pPr>
            <w:r>
              <w:rPr>
                <w:rFonts w:ascii="Arial" w:cs="Arial" w:eastAsia="Arial" w:hAnsi="Arial"/>
                <w:sz w:val="17"/>
                <w:szCs w:val="17"/>
                <w:color w:val="auto"/>
              </w:rPr>
              <w:t>(a)</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2620" w:type="dxa"/>
            <w:vAlign w:val="bottom"/>
            <w:tcBorders>
              <w:bottom w:val="single" w:sz="8" w:color="auto"/>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120" w:type="dxa"/>
            <w:vAlign w:val="bottom"/>
            <w:gridSpan w:val="5"/>
          </w:tcPr>
          <w:p>
            <w:pPr>
              <w:ind w:left="60"/>
              <w:spacing w:after="0"/>
              <w:rPr>
                <w:sz w:val="20"/>
                <w:szCs w:val="20"/>
                <w:color w:val="auto"/>
              </w:rPr>
            </w:pPr>
            <w:r>
              <w:rPr>
                <w:rFonts w:ascii="Arial" w:cs="Arial" w:eastAsia="Arial" w:hAnsi="Arial"/>
                <w:sz w:val="18"/>
                <w:szCs w:val="18"/>
                <w:color w:val="auto"/>
              </w:rPr>
              <w:t>SOURCE OF FUNDS</w:t>
            </w:r>
          </w:p>
        </w:tc>
        <w:tc>
          <w:tcPr>
            <w:tcW w:w="1700" w:type="dxa"/>
            <w:vAlign w:val="bottom"/>
          </w:tcPr>
          <w:p>
            <w:pPr>
              <w:ind w:left="380"/>
              <w:spacing w:after="0"/>
              <w:rPr>
                <w:sz w:val="20"/>
                <w:szCs w:val="20"/>
                <w:color w:val="auto"/>
              </w:rPr>
            </w:pPr>
            <w:r>
              <w:rPr>
                <w:rFonts w:ascii="Arial" w:cs="Arial" w:eastAsia="Arial" w:hAnsi="Arial"/>
                <w:sz w:val="18"/>
                <w:szCs w:val="18"/>
                <w:color w:val="auto"/>
              </w:rPr>
              <w:t>WC</w:t>
            </w:r>
          </w:p>
        </w:tc>
        <w:tc>
          <w:tcPr>
            <w:tcW w:w="346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8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900" w:type="dxa"/>
            <w:vAlign w:val="bottom"/>
            <w:tcBorders>
              <w:right w:val="single" w:sz="8" w:color="auto"/>
            </w:tcBorders>
            <w:gridSpan w:val="8"/>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0" w:type="dxa"/>
            <w:vAlign w:val="bottom"/>
            <w:tcBorders>
              <w:right w:val="single" w:sz="8" w:color="auto"/>
            </w:tcBorders>
            <w:shd w:val="clear" w:color="auto" w:fill="000000"/>
          </w:tcPr>
          <w:p>
            <w:pPr>
              <w:spacing w:after="0"/>
              <w:rPr>
                <w:sz w:val="17"/>
                <w:szCs w:val="17"/>
                <w:color w:val="auto"/>
              </w:rPr>
            </w:pPr>
          </w:p>
        </w:tc>
        <w:tc>
          <w:tcPr>
            <w:tcW w:w="1360" w:type="dxa"/>
            <w:vAlign w:val="bottom"/>
            <w:tcBorders>
              <w:right w:val="single" w:sz="8" w:color="auto"/>
            </w:tcBorders>
          </w:tcPr>
          <w:p>
            <w:pPr>
              <w:ind w:left="140"/>
              <w:spacing w:after="0" w:line="200"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382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8"/>
              </w:rPr>
              <w:t>CITIZENSHIP OR PLACE OF ORGANIZATION</w:t>
            </w:r>
          </w:p>
        </w:tc>
        <w:tc>
          <w:tcPr>
            <w:tcW w:w="3460" w:type="dxa"/>
            <w:vAlign w:val="bottom"/>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The Republic of France</w:t>
            </w:r>
          </w:p>
        </w:tc>
        <w:tc>
          <w:tcPr>
            <w:tcW w:w="17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3460" w:type="dxa"/>
            <w:vAlign w:val="bottom"/>
          </w:tcPr>
          <w:p>
            <w:pPr>
              <w:jc w:val="right"/>
              <w:ind w:right="3151"/>
              <w:spacing w:after="0"/>
              <w:rPr>
                <w:sz w:val="20"/>
                <w:szCs w:val="20"/>
                <w:color w:val="auto"/>
              </w:rPr>
            </w:pPr>
            <w:r>
              <w:rPr>
                <w:rFonts w:ascii="Arial" w:cs="Arial" w:eastAsia="Arial" w:hAnsi="Arial"/>
                <w:sz w:val="18"/>
                <w:szCs w:val="18"/>
                <w:color w:val="auto"/>
                <w:w w:val="90"/>
              </w:rPr>
              <w:t>-0-</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4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NUMBER OF</w:t>
            </w:r>
          </w:p>
        </w:tc>
        <w:tc>
          <w:tcPr>
            <w:tcW w:w="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780" w:type="dxa"/>
            <w:vAlign w:val="bottom"/>
            <w:gridSpan w:val="3"/>
          </w:tcPr>
          <w:p>
            <w:pPr>
              <w:ind w:left="80"/>
              <w:spacing w:after="0"/>
              <w:rPr>
                <w:sz w:val="20"/>
                <w:szCs w:val="20"/>
                <w:color w:val="auto"/>
              </w:rPr>
            </w:pPr>
            <w:r>
              <w:rPr>
                <w:rFonts w:ascii="Arial" w:cs="Arial" w:eastAsia="Arial" w:hAnsi="Arial"/>
                <w:sz w:val="18"/>
                <w:szCs w:val="18"/>
                <w:color w:val="auto"/>
              </w:rPr>
              <w:t>SHARED VOTING POWER 22,535,558 (1)</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1720" w:type="dxa"/>
            <w:vAlign w:val="bottom"/>
            <w:gridSpan w:val="3"/>
          </w:tcPr>
          <w:p>
            <w:pPr>
              <w:ind w:left="140"/>
              <w:spacing w:after="0" w:line="187" w:lineRule="exact"/>
              <w:rPr>
                <w:sz w:val="20"/>
                <w:szCs w:val="20"/>
                <w:color w:val="auto"/>
              </w:rPr>
            </w:pPr>
            <w:r>
              <w:rPr>
                <w:rFonts w:ascii="Arial" w:cs="Arial" w:eastAsia="Arial" w:hAnsi="Arial"/>
                <w:sz w:val="18"/>
                <w:szCs w:val="18"/>
                <w:color w:val="auto"/>
              </w:rPr>
              <w:t>OWNED BY EACH</w:t>
            </w:r>
          </w:p>
        </w:tc>
        <w:tc>
          <w:tcPr>
            <w:tcW w:w="1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ind w:left="160"/>
              <w:spacing w:after="0" w:line="187"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2320" w:type="dxa"/>
            <w:vAlign w:val="bottom"/>
            <w:gridSpan w:val="2"/>
          </w:tcPr>
          <w:p>
            <w:pPr>
              <w:ind w:left="80"/>
              <w:spacing w:after="0" w:line="187" w:lineRule="exact"/>
              <w:rPr>
                <w:sz w:val="20"/>
                <w:szCs w:val="20"/>
                <w:color w:val="auto"/>
              </w:rPr>
            </w:pPr>
            <w:r>
              <w:rPr>
                <w:rFonts w:ascii="Arial" w:cs="Arial" w:eastAsia="Arial" w:hAnsi="Arial"/>
                <w:sz w:val="18"/>
                <w:szCs w:val="18"/>
                <w:color w:val="auto"/>
                <w:w w:val="92"/>
              </w:rPr>
              <w:t>SOLE DISPOSITIVE POWER</w:t>
            </w:r>
          </w:p>
        </w:tc>
        <w:tc>
          <w:tcPr>
            <w:tcW w:w="3460" w:type="dxa"/>
            <w:vAlign w:val="bottom"/>
          </w:tcPr>
          <w:p>
            <w:pPr>
              <w:jc w:val="right"/>
              <w:ind w:right="2771"/>
              <w:spacing w:after="0" w:line="187" w:lineRule="exact"/>
              <w:rPr>
                <w:sz w:val="20"/>
                <w:szCs w:val="20"/>
                <w:color w:val="auto"/>
              </w:rPr>
            </w:pPr>
            <w:r>
              <w:rPr>
                <w:rFonts w:ascii="Arial" w:cs="Arial" w:eastAsia="Arial" w:hAnsi="Arial"/>
                <w:sz w:val="18"/>
                <w:szCs w:val="18"/>
                <w:color w:val="auto"/>
              </w:rPr>
              <w:t>-0-</w:t>
            </w:r>
          </w:p>
        </w:tc>
        <w:tc>
          <w:tcPr>
            <w:tcW w:w="2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REPORTING</w:t>
            </w:r>
          </w:p>
        </w:tc>
        <w:tc>
          <w:tcPr>
            <w:tcW w:w="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8"/>
                <w:szCs w:val="18"/>
                <w:color w:val="auto"/>
              </w:rPr>
              <w:t>PERSON WITH</w:t>
            </w: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gridSpan w:val="3"/>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78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 22,535,558 (1)</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gridSpan w:val="2"/>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gridSpan w:val="4"/>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Borders>
              <w:right w:val="single" w:sz="8" w:color="auto"/>
            </w:tcBorders>
            <w:shd w:val="clear" w:color="auto" w:fill="000000"/>
          </w:tcPr>
          <w:p>
            <w:pPr>
              <w:spacing w:after="0"/>
              <w:rPr>
                <w:sz w:val="17"/>
                <w:szCs w:val="17"/>
                <w:color w:val="auto"/>
              </w:rPr>
            </w:pPr>
          </w:p>
        </w:tc>
        <w:tc>
          <w:tcPr>
            <w:tcW w:w="1360" w:type="dxa"/>
            <w:vAlign w:val="bottom"/>
            <w:tcBorders>
              <w:right w:val="single" w:sz="8" w:color="auto"/>
            </w:tcBorders>
          </w:tcPr>
          <w:p>
            <w:pPr>
              <w:ind w:left="140"/>
              <w:spacing w:after="0" w:line="200"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7280" w:type="dxa"/>
            <w:vAlign w:val="bottom"/>
            <w:gridSpan w:val="7"/>
          </w:tcPr>
          <w:p>
            <w:pPr>
              <w:ind w:left="60"/>
              <w:spacing w:after="0" w:line="200" w:lineRule="exact"/>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22,535,558 (1)</w:t>
            </w: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280" w:type="dxa"/>
            <w:vAlign w:val="bottom"/>
            <w:gridSpan w:val="7"/>
          </w:tcPr>
          <w:p>
            <w:pPr>
              <w:ind w:left="60"/>
              <w:spacing w:after="0"/>
              <w:rPr>
                <w:sz w:val="20"/>
                <w:szCs w:val="20"/>
                <w:color w:val="auto"/>
              </w:rPr>
            </w:pPr>
            <w:r>
              <w:rPr>
                <w:rFonts w:ascii="Arial" w:cs="Arial" w:eastAsia="Arial" w:hAnsi="Arial"/>
                <w:sz w:val="18"/>
                <w:szCs w:val="18"/>
                <w:color w:val="auto"/>
                <w:w w:val="96"/>
              </w:rPr>
              <w:t>CHECK BOX IF THE AGGREGATE AMOUNT IN ROW (11) EXCLUDES CERTAIN SHARES</w:t>
            </w:r>
          </w:p>
        </w:tc>
        <w:tc>
          <w:tcPr>
            <w:tcW w:w="2620" w:type="dxa"/>
            <w:vAlign w:val="bottom"/>
            <w:tcBorders>
              <w:right w:val="single" w:sz="8" w:color="auto"/>
            </w:tcBorders>
          </w:tcPr>
          <w:p>
            <w:pPr>
              <w:ind w:left="2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80" w:type="dxa"/>
            <w:vAlign w:val="bottom"/>
            <w:tcBorders>
              <w:bottom w:val="single" w:sz="8" w:color="auto"/>
            </w:tcBorders>
            <w:gridSpan w:val="7"/>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280" w:type="dxa"/>
            <w:vAlign w:val="bottom"/>
            <w:gridSpan w:val="7"/>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620" w:type="dxa"/>
            <w:vAlign w:val="bottom"/>
            <w:tcBorders>
              <w:right w:val="single" w:sz="8" w:color="auto"/>
            </w:tcBorders>
          </w:tcPr>
          <w:p>
            <w:pPr>
              <w:jc w:val="right"/>
              <w:ind w:right="1672"/>
              <w:spacing w:after="0"/>
              <w:rPr>
                <w:sz w:val="20"/>
                <w:szCs w:val="20"/>
                <w:color w:val="auto"/>
              </w:rPr>
            </w:pPr>
            <w:r>
              <w:rPr>
                <w:rFonts w:ascii="Arial" w:cs="Arial" w:eastAsia="Arial" w:hAnsi="Arial"/>
                <w:sz w:val="18"/>
                <w:szCs w:val="18"/>
                <w:color w:val="auto"/>
              </w:rPr>
              <w:t>22.7% (2)</w:t>
            </w: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2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3460" w:type="dxa"/>
            <w:vAlign w:val="bottom"/>
          </w:tcPr>
          <w:p>
            <w:pPr>
              <w:jc w:val="right"/>
              <w:ind w:right="891"/>
              <w:spacing w:after="0"/>
              <w:rPr>
                <w:sz w:val="20"/>
                <w:szCs w:val="20"/>
                <w:color w:val="auto"/>
              </w:rPr>
            </w:pPr>
            <w:r>
              <w:rPr>
                <w:rFonts w:ascii="Arial" w:cs="Arial" w:eastAsia="Arial" w:hAnsi="Arial"/>
                <w:sz w:val="18"/>
                <w:szCs w:val="18"/>
                <w:color w:val="auto"/>
              </w:rPr>
              <w:t>CO</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19,736,006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1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99,086,588 shares of Common Stock outstanding as of July 17, 2014, as reported in the Company’s Quarterly Report on Form 10-Q filed with the Securities and Exchange Commission on August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10 (this “</w:t>
      </w:r>
      <w:r>
        <w:rPr>
          <w:rFonts w:ascii="Arial" w:cs="Arial" w:eastAsia="Arial" w:hAnsi="Arial"/>
          <w:sz w:val="18"/>
          <w:szCs w:val="18"/>
          <w:u w:val="single" w:color="auto"/>
          <w:color w:val="auto"/>
        </w:rPr>
        <w:t>Amendment No. 10</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purchases it made as disclosed in Item 5(c) of this Amendment No 10, SAAN paid an aggregate of $111,587,565.07, excluding brokerage commission and fees. The source of such funds was working capital.</w:t>
      </w:r>
    </w:p>
    <w:p>
      <w:pPr>
        <w:spacing w:after="0" w:line="198"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15, 2014, SAAN entered into agreement with a broker (a “</w:t>
      </w:r>
      <w:r>
        <w:rPr>
          <w:rFonts w:ascii="Arial" w:cs="Arial" w:eastAsia="Arial" w:hAnsi="Arial"/>
          <w:sz w:val="16"/>
          <w:szCs w:val="16"/>
          <w:u w:val="single" w:color="auto"/>
          <w:color w:val="auto"/>
        </w:rPr>
        <w:t>Rule 10b5-1 Plan</w:t>
      </w:r>
      <w:r>
        <w:rPr>
          <w:rFonts w:ascii="Arial" w:cs="Arial" w:eastAsia="Arial" w:hAnsi="Arial"/>
          <w:sz w:val="16"/>
          <w:szCs w:val="16"/>
          <w:color w:val="auto"/>
        </w:rPr>
        <w:t>”), intended to comply with the requirements of Rule 10b5-1(c)(1)(i)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This Rule 10b5-1 Plan generally provides for purchases by SAAN during a period beginning no earlier than October 15, 2014 and ending not later than November 15, 2014, of up to an aggregate of 1,515,984 shares of Common Stock subject to certain amount and price thresholds and in conformity with Rule 10b-18 under the Exchange Act. The Reporting Person makes no commitment in terms of the timing of such transactions, which will depend on market conditions including the price and availability of shares of Common Stock, and on such other factors considered relevant to the Reporting Person or to the broker in carrying out the Rule 10b5-1 Plan, as the case may be.</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330,717 shares of Common Stock in market transactions, as disclosed in Item 5(c) of this Amendment No. 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that are the subject of this filing were purchased for the purpose of making an investment in the Issuer.</w:t>
      </w:r>
    </w:p>
    <w:p>
      <w:pPr>
        <w:spacing w:after="0" w:line="24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10 as of the close of business on October 15, 2014, are incorporated herein by reference. As of the close of business on October 15, 2014, the Reporting Person beneficially owned 22,535,558 shares of Common Stock, representing approximately 22.7% of the shares of Common Stock outstanding (based on 99,086,588 shares of Common Stock outstanding as of July 17, 2014, as reported in the Company’s Quarterly Report on Form 10-Q filed with the Securities and Exchange Commission on August 5,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0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October 15, 2014.</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3" w:name="page4"/>
    <w:bookmarkEnd w:id="3"/>
    <w:p>
      <w:pPr>
        <w:ind w:right="10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October 15, 2014, market transactions were effected in the Common Stock as disclosed in Schedule A to this Amendment No. 10.</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17, 2014</w:t>
      </w:r>
    </w:p>
    <w:p>
      <w:pPr>
        <w:spacing w:after="0" w:line="200" w:lineRule="exact"/>
        <w:rPr>
          <w:sz w:val="20"/>
          <w:szCs w:val="20"/>
          <w:color w:val="auto"/>
        </w:rPr>
      </w:pP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20"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80" w:type="dxa"/>
            <w:vAlign w:val="bottom"/>
            <w:gridSpan w:val="3"/>
          </w:tcPr>
          <w:p>
            <w:pPr>
              <w:jc w:val="right"/>
              <w:ind w:right="1231"/>
              <w:spacing w:after="0"/>
              <w:rPr>
                <w:sz w:val="20"/>
                <w:szCs w:val="20"/>
                <w:color w:val="auto"/>
              </w:rPr>
            </w:pPr>
            <w:r>
              <w:rPr>
                <w:rFonts w:ascii="Arial" w:cs="Arial" w:eastAsia="Arial" w:hAnsi="Arial"/>
                <w:sz w:val="18"/>
                <w:szCs w:val="18"/>
                <w:color w:val="auto"/>
              </w:rPr>
              <w:t>Schedule A</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61"/>
        </w:trPr>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20" w:type="dxa"/>
            <w:vAlign w:val="bottom"/>
          </w:tcPr>
          <w:p>
            <w:pPr>
              <w:jc w:val="center"/>
              <w:ind w:right="171"/>
              <w:spacing w:after="0"/>
              <w:rPr>
                <w:sz w:val="20"/>
                <w:szCs w:val="20"/>
                <w:color w:val="auto"/>
              </w:rPr>
            </w:pPr>
            <w:r>
              <w:rPr>
                <w:rFonts w:ascii="Arial" w:cs="Arial" w:eastAsia="Arial" w:hAnsi="Arial"/>
                <w:sz w:val="18"/>
                <w:szCs w:val="18"/>
                <w:color w:val="auto"/>
                <w:w w:val="92"/>
              </w:rPr>
              <w:t>Number of</w:t>
            </w:r>
          </w:p>
        </w:tc>
        <w:tc>
          <w:tcPr>
            <w:tcW w:w="1520" w:type="dxa"/>
            <w:vAlign w:val="bottom"/>
          </w:tcPr>
          <w:p>
            <w:pPr>
              <w:jc w:val="center"/>
              <w:ind w:left="231"/>
              <w:spacing w:after="0"/>
              <w:rPr>
                <w:sz w:val="20"/>
                <w:szCs w:val="20"/>
                <w:color w:val="auto"/>
              </w:rPr>
            </w:pPr>
            <w:r>
              <w:rPr>
                <w:rFonts w:ascii="Arial" w:cs="Arial" w:eastAsia="Arial" w:hAnsi="Arial"/>
                <w:sz w:val="18"/>
                <w:szCs w:val="18"/>
                <w:color w:val="auto"/>
                <w:w w:val="88"/>
              </w:rPr>
              <w:t>Price per</w:t>
            </w: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4"/>
        </w:trPr>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center"/>
              <w:ind w:right="151"/>
              <w:spacing w:after="0"/>
              <w:rPr>
                <w:sz w:val="20"/>
                <w:szCs w:val="20"/>
                <w:color w:val="auto"/>
              </w:rPr>
            </w:pPr>
            <w:r>
              <w:rPr>
                <w:rFonts w:ascii="Arial" w:cs="Arial" w:eastAsia="Arial" w:hAnsi="Arial"/>
                <w:sz w:val="18"/>
                <w:szCs w:val="18"/>
                <w:color w:val="auto"/>
                <w:w w:val="88"/>
              </w:rPr>
              <w:t>Shares of</w:t>
            </w:r>
          </w:p>
        </w:tc>
        <w:tc>
          <w:tcPr>
            <w:tcW w:w="1520" w:type="dxa"/>
            <w:vAlign w:val="bottom"/>
          </w:tcPr>
          <w:p>
            <w:pPr>
              <w:jc w:val="center"/>
              <w:ind w:left="211"/>
              <w:spacing w:after="0"/>
              <w:rPr>
                <w:sz w:val="20"/>
                <w:szCs w:val="20"/>
                <w:color w:val="auto"/>
              </w:rPr>
            </w:pPr>
            <w:r>
              <w:rPr>
                <w:rFonts w:ascii="Arial" w:cs="Arial" w:eastAsia="Arial" w:hAnsi="Arial"/>
                <w:sz w:val="18"/>
                <w:szCs w:val="18"/>
                <w:color w:val="auto"/>
                <w:w w:val="90"/>
              </w:rPr>
              <w:t>Share*</w:t>
            </w: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1660" w:type="dxa"/>
            <w:vAlign w:val="bottom"/>
          </w:tcPr>
          <w:p>
            <w:pPr>
              <w:spacing w:after="0"/>
              <w:rPr>
                <w:sz w:val="18"/>
                <w:szCs w:val="18"/>
                <w:color w:val="auto"/>
              </w:rPr>
            </w:pPr>
          </w:p>
        </w:tc>
        <w:tc>
          <w:tcPr>
            <w:tcW w:w="2020" w:type="dxa"/>
            <w:vAlign w:val="bottom"/>
          </w:tcPr>
          <w:p>
            <w:pPr>
              <w:ind w:left="720"/>
              <w:spacing w:after="0"/>
              <w:rPr>
                <w:sz w:val="20"/>
                <w:szCs w:val="20"/>
                <w:color w:val="auto"/>
              </w:rPr>
            </w:pPr>
            <w:r>
              <w:rPr>
                <w:rFonts w:ascii="Arial" w:cs="Arial" w:eastAsia="Arial" w:hAnsi="Arial"/>
                <w:sz w:val="18"/>
                <w:szCs w:val="18"/>
                <w:color w:val="auto"/>
              </w:rPr>
              <w:t>Trade Date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center"/>
              <w:ind w:right="171"/>
              <w:spacing w:after="0"/>
              <w:rPr>
                <w:sz w:val="20"/>
                <w:szCs w:val="20"/>
                <w:color w:val="auto"/>
              </w:rPr>
            </w:pPr>
            <w:r>
              <w:rPr>
                <w:rFonts w:ascii="Arial" w:cs="Arial" w:eastAsia="Arial" w:hAnsi="Arial"/>
                <w:sz w:val="18"/>
                <w:szCs w:val="18"/>
                <w:color w:val="auto"/>
                <w:w w:val="90"/>
              </w:rPr>
              <w:t>Common</w:t>
            </w:r>
          </w:p>
        </w:tc>
        <w:tc>
          <w:tcPr>
            <w:tcW w:w="1520" w:type="dxa"/>
            <w:vAlign w:val="bottom"/>
          </w:tcPr>
          <w:p>
            <w:pPr>
              <w:jc w:val="center"/>
              <w:ind w:left="231"/>
              <w:spacing w:after="0"/>
              <w:rPr>
                <w:sz w:val="20"/>
                <w:szCs w:val="20"/>
                <w:color w:val="auto"/>
              </w:rPr>
            </w:pPr>
            <w:r>
              <w:rPr>
                <w:rFonts w:ascii="Arial" w:cs="Arial" w:eastAsia="Arial" w:hAnsi="Arial"/>
                <w:sz w:val="18"/>
                <w:szCs w:val="18"/>
                <w:color w:val="auto"/>
                <w:w w:val="88"/>
              </w:rPr>
              <w:t>Price per</w:t>
            </w: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7"/>
        </w:trPr>
        <w:tc>
          <w:tcPr>
            <w:tcW w:w="1660" w:type="dxa"/>
            <w:vAlign w:val="bottom"/>
          </w:tcPr>
          <w:p>
            <w:pPr>
              <w:ind w:left="480"/>
              <w:spacing w:after="0"/>
              <w:rPr>
                <w:sz w:val="20"/>
                <w:szCs w:val="20"/>
                <w:color w:val="auto"/>
              </w:rPr>
            </w:pPr>
            <w:r>
              <w:rPr>
                <w:rFonts w:ascii="Arial" w:cs="Arial" w:eastAsia="Arial" w:hAnsi="Arial"/>
                <w:sz w:val="18"/>
                <w:szCs w:val="18"/>
                <w:color w:val="auto"/>
              </w:rPr>
              <w:t>Entity</w:t>
            </w:r>
          </w:p>
        </w:tc>
        <w:tc>
          <w:tcPr>
            <w:tcW w:w="2020" w:type="dxa"/>
            <w:vAlign w:val="bottom"/>
          </w:tcPr>
          <w:p>
            <w:pPr>
              <w:ind w:left="740"/>
              <w:spacing w:after="0"/>
              <w:rPr>
                <w:sz w:val="20"/>
                <w:szCs w:val="20"/>
                <w:color w:val="auto"/>
              </w:rPr>
            </w:pPr>
            <w:r>
              <w:rPr>
                <w:rFonts w:ascii="Arial" w:cs="Arial" w:eastAsia="Arial" w:hAnsi="Arial"/>
                <w:sz w:val="18"/>
                <w:szCs w:val="18"/>
                <w:color w:val="auto"/>
              </w:rPr>
              <w:t>(M/D/Y) †</w:t>
            </w:r>
          </w:p>
        </w:tc>
        <w:tc>
          <w:tcPr>
            <w:tcW w:w="1480" w:type="dxa"/>
            <w:vAlign w:val="bottom"/>
          </w:tcPr>
          <w:p>
            <w:pPr>
              <w:jc w:val="center"/>
              <w:ind w:left="251"/>
              <w:spacing w:after="0"/>
              <w:rPr>
                <w:sz w:val="20"/>
                <w:szCs w:val="20"/>
                <w:color w:val="auto"/>
              </w:rPr>
            </w:pPr>
            <w:r>
              <w:rPr>
                <w:rFonts w:ascii="Arial" w:cs="Arial" w:eastAsia="Arial" w:hAnsi="Arial"/>
                <w:sz w:val="18"/>
                <w:szCs w:val="18"/>
                <w:color w:val="auto"/>
                <w:w w:val="87"/>
              </w:rPr>
              <w:t>Transaction</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center"/>
              <w:ind w:right="171"/>
              <w:spacing w:after="0"/>
              <w:rPr>
                <w:sz w:val="20"/>
                <w:szCs w:val="20"/>
                <w:color w:val="auto"/>
              </w:rPr>
            </w:pPr>
            <w:r>
              <w:rPr>
                <w:rFonts w:ascii="Arial" w:cs="Arial" w:eastAsia="Arial" w:hAnsi="Arial"/>
                <w:sz w:val="18"/>
                <w:szCs w:val="18"/>
                <w:color w:val="auto"/>
                <w:w w:val="96"/>
              </w:rPr>
              <w:t>Stock*</w:t>
            </w:r>
          </w:p>
        </w:tc>
        <w:tc>
          <w:tcPr>
            <w:tcW w:w="1520" w:type="dxa"/>
            <w:vAlign w:val="bottom"/>
          </w:tcPr>
          <w:p>
            <w:pPr>
              <w:spacing w:after="0"/>
              <w:rPr>
                <w:sz w:val="19"/>
                <w:szCs w:val="19"/>
                <w:color w:val="auto"/>
              </w:rPr>
            </w:pPr>
          </w:p>
        </w:tc>
        <w:tc>
          <w:tcPr>
            <w:tcW w:w="2460" w:type="dxa"/>
            <w:vAlign w:val="bottom"/>
            <w:gridSpan w:val="2"/>
          </w:tcPr>
          <w:p>
            <w:pPr>
              <w:jc w:val="right"/>
              <w:ind w:right="811"/>
              <w:spacing w:after="0"/>
              <w:rPr>
                <w:sz w:val="20"/>
                <w:szCs w:val="20"/>
                <w:color w:val="auto"/>
              </w:rPr>
            </w:pPr>
            <w:r>
              <w:rPr>
                <w:rFonts w:ascii="Arial" w:cs="Arial" w:eastAsia="Arial" w:hAnsi="Arial"/>
                <w:sz w:val="18"/>
                <w:szCs w:val="18"/>
                <w:color w:val="auto"/>
              </w:rPr>
              <w:t>Price Range*</w:t>
            </w:r>
          </w:p>
        </w:tc>
      </w:tr>
      <w:tr>
        <w:trPr>
          <w:trHeight w:val="216"/>
        </w:trPr>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9/12/2014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1,871</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$345.0655</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$344.45</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$345.37</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9/12/2014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22,872</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$346.1174</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$345.48</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$346.47</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9/12/2014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23,324</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$346.8796</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$346.48</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$347.39</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9/12/2014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11,741</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$347.9181</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$347.48</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$348.23</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11,922</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$340.8803</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$340.35</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$341.32</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4,859</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$341.9486</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$341.40</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$342.38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16,623</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$342.9230</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$342.43</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$343.40</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10,471</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$343.8373</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$343.44</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$344.38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12,934</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$344.8936</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$344.45</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$345.43</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19,117</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$346.1309</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$345.45</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$346.43</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4,898</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$346.6958</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$346.45</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$347.36</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9/16/2014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4,039</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$347.7774</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$347.58</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$348.00</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9/16/2014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15,031</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$349.1198</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$348.67</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$349.66</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9"/>
              </w:rPr>
              <w:t>9/16/2014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12,647</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$349.9076</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$349.71</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$350.00</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5,739</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$323.8960</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$323.40</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$324.32</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13,876</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$324.9268</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$324.39</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$325.38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28,003</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$325.6033</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$325.39</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$326.37</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7,249</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$326.8701</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$326.39</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$327.38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23,602</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$328.0115</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$327.39</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$328.38</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42,447</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$328.8469</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$328.39</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$329.38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20,062</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$329.7899</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$329.39</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$330.11</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930</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$330.9003</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$330.46</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$331.26</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1,200</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$331.6717</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$331.47</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$332.41</w:t>
            </w:r>
          </w:p>
        </w:tc>
      </w:tr>
      <w:tr>
        <w:trPr>
          <w:trHeight w:val="214"/>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5,016</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$332.7549</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$332.47</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$333.28</w:t>
            </w:r>
          </w:p>
        </w:tc>
      </w:tr>
      <w:tr>
        <w:trPr>
          <w:trHeight w:val="214"/>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shd w:val="clear" w:color="auto" w:fill="CCEEFF"/>
          </w:tcPr>
          <w:p>
            <w:pPr>
              <w:jc w:val="right"/>
              <w:ind w:right="471"/>
              <w:spacing w:after="0"/>
              <w:rPr>
                <w:sz w:val="20"/>
                <w:szCs w:val="20"/>
                <w:color w:val="auto"/>
              </w:rPr>
            </w:pPr>
            <w:r>
              <w:rPr>
                <w:rFonts w:ascii="Arial" w:cs="Arial" w:eastAsia="Arial" w:hAnsi="Arial"/>
                <w:sz w:val="18"/>
                <w:szCs w:val="18"/>
                <w:color w:val="auto"/>
              </w:rPr>
              <w:t>7,825</w:t>
            </w:r>
          </w:p>
        </w:tc>
        <w:tc>
          <w:tcPr>
            <w:tcW w:w="1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$334.0712</w:t>
            </w: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$333.50</w:t>
            </w:r>
          </w:p>
        </w:tc>
        <w:tc>
          <w:tcPr>
            <w:tcW w:w="13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$334.40</w:t>
            </w:r>
          </w:p>
        </w:tc>
      </w:tr>
      <w:tr>
        <w:trPr>
          <w:trHeight w:val="227"/>
        </w:trPr>
        <w:tc>
          <w:tcPr>
            <w:tcW w:w="1660" w:type="dxa"/>
            <w:vAlign w:val="bottom"/>
          </w:tcPr>
          <w:p>
            <w:pPr>
              <w:ind w:left="480"/>
              <w:spacing w:after="0"/>
              <w:rPr>
                <w:sz w:val="20"/>
                <w:szCs w:val="20"/>
                <w:color w:val="auto"/>
              </w:rPr>
            </w:pPr>
            <w:r>
              <w:rPr>
                <w:rFonts w:ascii="Arial" w:cs="Arial" w:eastAsia="Arial" w:hAnsi="Arial"/>
                <w:sz w:val="18"/>
                <w:szCs w:val="18"/>
                <w:color w:val="auto"/>
              </w:rPr>
              <w:t>SAAN</w:t>
            </w:r>
          </w:p>
        </w:tc>
        <w:tc>
          <w:tcPr>
            <w:tcW w:w="2020" w:type="dxa"/>
            <w:vAlign w:val="bottom"/>
          </w:tcPr>
          <w:p>
            <w:pPr>
              <w:jc w:val="center"/>
              <w:ind w:left="131"/>
              <w:spacing w:after="0"/>
              <w:rPr>
                <w:sz w:val="20"/>
                <w:szCs w:val="20"/>
                <w:color w:val="auto"/>
              </w:rPr>
            </w:pPr>
            <w:r>
              <w:rPr>
                <w:rFonts w:ascii="Arial" w:cs="Arial" w:eastAsia="Arial" w:hAnsi="Arial"/>
                <w:sz w:val="18"/>
                <w:szCs w:val="18"/>
                <w:color w:val="auto"/>
                <w:w w:val="88"/>
              </w:rPr>
              <w:t>10/15/2014</w:t>
            </w:r>
          </w:p>
        </w:tc>
        <w:tc>
          <w:tcPr>
            <w:tcW w:w="1480" w:type="dxa"/>
            <w:vAlign w:val="bottom"/>
          </w:tcPr>
          <w:p>
            <w:pPr>
              <w:jc w:val="center"/>
              <w:ind w:left="291"/>
              <w:spacing w:after="0"/>
              <w:rPr>
                <w:sz w:val="20"/>
                <w:szCs w:val="20"/>
                <w:color w:val="auto"/>
              </w:rPr>
            </w:pPr>
            <w:r>
              <w:rPr>
                <w:rFonts w:ascii="Arial" w:cs="Arial" w:eastAsia="Arial" w:hAnsi="Arial"/>
                <w:sz w:val="18"/>
                <w:szCs w:val="18"/>
                <w:color w:val="auto"/>
                <w:w w:val="86"/>
              </w:rPr>
              <w:t>Purchase</w:t>
            </w:r>
          </w:p>
        </w:tc>
        <w:tc>
          <w:tcPr>
            <w:tcW w:w="2280" w:type="dxa"/>
            <w:vAlign w:val="bottom"/>
            <w:gridSpan w:val="3"/>
          </w:tcPr>
          <w:p>
            <w:pPr>
              <w:jc w:val="right"/>
              <w:ind w:right="471"/>
              <w:spacing w:after="0"/>
              <w:rPr>
                <w:sz w:val="20"/>
                <w:szCs w:val="20"/>
                <w:color w:val="auto"/>
              </w:rPr>
            </w:pPr>
            <w:r>
              <w:rPr>
                <w:rFonts w:ascii="Arial" w:cs="Arial" w:eastAsia="Arial" w:hAnsi="Arial"/>
                <w:sz w:val="18"/>
                <w:szCs w:val="18"/>
                <w:color w:val="auto"/>
              </w:rPr>
              <w:t>2,419</w:t>
            </w:r>
          </w:p>
        </w:tc>
        <w:tc>
          <w:tcPr>
            <w:tcW w:w="1520" w:type="dxa"/>
            <w:vAlign w:val="bottom"/>
          </w:tcPr>
          <w:p>
            <w:pPr>
              <w:jc w:val="right"/>
              <w:ind w:right="291"/>
              <w:spacing w:after="0"/>
              <w:rPr>
                <w:sz w:val="20"/>
                <w:szCs w:val="20"/>
                <w:color w:val="auto"/>
              </w:rPr>
            </w:pPr>
            <w:r>
              <w:rPr>
                <w:rFonts w:ascii="Arial" w:cs="Arial" w:eastAsia="Arial" w:hAnsi="Arial"/>
                <w:sz w:val="18"/>
                <w:szCs w:val="18"/>
                <w:color w:val="auto"/>
              </w:rPr>
              <w:t>$334.8098</w:t>
            </w: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$334.62</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$335.00</w:t>
            </w:r>
          </w:p>
        </w:tc>
      </w:tr>
    </w:tbl>
    <w:p>
      <w:pPr>
        <w:spacing w:after="0" w:line="200" w:lineRule="exact"/>
        <w:rPr>
          <w:sz w:val="20"/>
          <w:szCs w:val="20"/>
          <w:color w:val="auto"/>
        </w:rPr>
      </w:pPr>
    </w:p>
    <w:p>
      <w:pPr>
        <w:spacing w:after="0" w:line="255" w:lineRule="exact"/>
        <w:rPr>
          <w:sz w:val="20"/>
          <w:szCs w:val="20"/>
          <w:color w:val="auto"/>
        </w:rPr>
      </w:pPr>
    </w:p>
    <w:p>
      <w:pPr>
        <w:ind w:right="50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38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†Beginning October 15, 2014, SAAN purchased the shares of Common Stock pursuant to a plan intended to comply with Rule 10b5-1(c)(1)(i) under the Exchange Act, entered into with a broker on October 15, 2014.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2019-12-06T04:06:27Z</dcterms:created>
  <dcterms:modified xsi:type="dcterms:W3CDTF">2019-12-06T04:06:27Z</dcterms:modified>
</cp:coreProperties>
</file>